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both"/>
        <w:outlineLvl w:val="9"/>
        <w:rPr>
          <w:rFonts w:hint="eastAsia" w:ascii="宋体" w:hAnsi="宋体" w:eastAsia="宋体" w:cs="宋体"/>
          <w:b/>
          <w:color w:val="auto"/>
          <w:sz w:val="44"/>
          <w:szCs w:val="44"/>
          <w:highlight w:val="none"/>
        </w:rPr>
      </w:pPr>
    </w:p>
    <w:p>
      <w:pPr>
        <w:pStyle w:val="19"/>
        <w:jc w:val="center"/>
        <w:rPr>
          <w:rFonts w:hint="eastAsia" w:ascii="宋体" w:hAnsi="宋体" w:cs="宋体"/>
          <w:b/>
          <w:bCs/>
          <w:color w:val="auto"/>
          <w:sz w:val="52"/>
          <w:szCs w:val="40"/>
          <w:highlight w:val="none"/>
          <w:lang w:val="en-US" w:eastAsia="zh-CN"/>
        </w:rPr>
      </w:pPr>
    </w:p>
    <w:p>
      <w:pPr>
        <w:pStyle w:val="19"/>
        <w:jc w:val="center"/>
        <w:rPr>
          <w:rFonts w:hint="eastAsia" w:ascii="宋体" w:hAnsi="宋体" w:cs="宋体"/>
          <w:b/>
          <w:bCs/>
          <w:color w:val="auto"/>
          <w:sz w:val="52"/>
          <w:szCs w:val="40"/>
          <w:highlight w:val="none"/>
          <w:lang w:val="en-US" w:eastAsia="zh-CN"/>
        </w:rPr>
      </w:pPr>
    </w:p>
    <w:p>
      <w:pPr>
        <w:pStyle w:val="19"/>
        <w:jc w:val="center"/>
        <w:rPr>
          <w:rFonts w:hint="eastAsia" w:ascii="宋体" w:hAnsi="宋体" w:cs="宋体"/>
          <w:b/>
          <w:bCs/>
          <w:color w:val="auto"/>
          <w:sz w:val="52"/>
          <w:szCs w:val="40"/>
          <w:highlight w:val="none"/>
          <w:lang w:eastAsia="zh-CN"/>
        </w:rPr>
      </w:pPr>
      <w:r>
        <w:rPr>
          <w:rFonts w:hint="eastAsia" w:ascii="宋体" w:hAnsi="宋体" w:cs="宋体"/>
          <w:b/>
          <w:bCs/>
          <w:color w:val="auto"/>
          <w:sz w:val="52"/>
          <w:szCs w:val="40"/>
          <w:highlight w:val="none"/>
          <w:lang w:val="en-US" w:eastAsia="zh-CN"/>
        </w:rPr>
        <w:t>喀什市文旅系统干部培训项目</w:t>
      </w:r>
    </w:p>
    <w:p>
      <w:pPr>
        <w:spacing w:line="240" w:lineRule="atLeast"/>
        <w:jc w:val="center"/>
        <w:rPr>
          <w:rFonts w:hint="eastAsia" w:ascii="宋体" w:hAnsi="宋体" w:eastAsia="宋体" w:cs="宋体"/>
          <w:b/>
          <w:bCs/>
          <w:color w:val="auto"/>
          <w:kern w:val="2"/>
          <w:sz w:val="52"/>
          <w:szCs w:val="40"/>
          <w:highlight w:val="none"/>
          <w:lang w:val="en-US" w:eastAsia="zh-CN" w:bidi="ar-SA"/>
        </w:rPr>
      </w:pPr>
      <w:r>
        <w:rPr>
          <w:rFonts w:hint="eastAsia" w:ascii="宋体" w:hAnsi="宋体" w:eastAsia="宋体" w:cs="宋体"/>
          <w:b/>
          <w:bCs/>
          <w:color w:val="auto"/>
          <w:kern w:val="2"/>
          <w:sz w:val="52"/>
          <w:szCs w:val="40"/>
          <w:highlight w:val="none"/>
          <w:lang w:val="en-US" w:eastAsia="zh-CN" w:bidi="ar-SA"/>
        </w:rPr>
        <w:t>磋 商 文 件</w:t>
      </w:r>
    </w:p>
    <w:p>
      <w:pPr>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rPr>
      </w:pPr>
    </w:p>
    <w:p>
      <w:pPr>
        <w:spacing w:line="240" w:lineRule="atLeast"/>
        <w:ind w:firstLine="1920" w:firstLineChars="600"/>
        <w:jc w:val="both"/>
        <w:outlineLvl w:val="9"/>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val="en-US" w:eastAsia="zh-CN"/>
        </w:rPr>
        <w:t>KSJC(CS)-008</w:t>
      </w:r>
    </w:p>
    <w:p>
      <w:pPr>
        <w:spacing w:line="240" w:lineRule="atLeast"/>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outlineLvl w:val="9"/>
        <w:rPr>
          <w:rFonts w:hint="eastAsia"/>
          <w:lang w:eastAsia="zh-CN"/>
        </w:rPr>
      </w:pPr>
      <w:bookmarkStart w:id="0" w:name="_Toc11706"/>
      <w:bookmarkStart w:id="1" w:name="_Toc13357"/>
      <w:bookmarkStart w:id="2" w:name="_Toc11695"/>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购</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人</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u w:val="single"/>
        </w:rPr>
        <w:t xml:space="preserve"> </w:t>
      </w:r>
      <w:bookmarkEnd w:id="0"/>
      <w:bookmarkEnd w:id="1"/>
      <w:r>
        <w:rPr>
          <w:rFonts w:hint="eastAsia" w:ascii="宋体" w:hAnsi="宋体" w:cs="宋体"/>
          <w:b/>
          <w:color w:val="auto"/>
          <w:sz w:val="28"/>
          <w:szCs w:val="28"/>
          <w:highlight w:val="none"/>
          <w:u w:val="single"/>
          <w:lang w:eastAsia="zh-CN"/>
        </w:rPr>
        <w:t>喀什市文化体育广播电视和旅游局</w:t>
      </w:r>
      <w:bookmarkEnd w:id="2"/>
      <w:r>
        <w:rPr>
          <w:rFonts w:hint="eastAsia" w:ascii="宋体" w:hAnsi="宋体" w:eastAsia="宋体" w:cs="宋体"/>
          <w:b/>
          <w:color w:val="auto"/>
          <w:sz w:val="28"/>
          <w:szCs w:val="28"/>
          <w:highlight w:val="none"/>
        </w:rPr>
        <w:t xml:space="preserve"> </w:t>
      </w:r>
    </w:p>
    <w:p>
      <w:pPr>
        <w:ind w:firstLine="1120" w:firstLineChars="400"/>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张倬铭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pPr>
        <w:spacing w:line="360" w:lineRule="auto"/>
        <w:ind w:firstLine="1120" w:firstLineChars="400"/>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联系电话：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13909989963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p>
    <w:p>
      <w:pPr>
        <w:pStyle w:val="8"/>
        <w:outlineLvl w:val="9"/>
        <w:rPr>
          <w:rFonts w:hint="eastAsia"/>
        </w:rPr>
      </w:pPr>
    </w:p>
    <w:p>
      <w:pPr>
        <w:pStyle w:val="8"/>
        <w:outlineLvl w:val="9"/>
        <w:rPr>
          <w:rFonts w:hint="eastAsia" w:ascii="宋体" w:hAnsi="宋体" w:eastAsia="宋体" w:cs="宋体"/>
          <w:color w:val="auto"/>
          <w:sz w:val="28"/>
          <w:szCs w:val="28"/>
          <w:highlight w:val="none"/>
        </w:rPr>
      </w:pPr>
    </w:p>
    <w:p>
      <w:pPr>
        <w:outlineLvl w:val="9"/>
        <w:rPr>
          <w:rFonts w:hint="eastAsia"/>
        </w:rPr>
      </w:pPr>
    </w:p>
    <w:p>
      <w:pPr>
        <w:outlineLvl w:val="9"/>
        <w:rPr>
          <w:rFonts w:hint="eastAsia"/>
        </w:rPr>
      </w:pPr>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代理机构： </w:t>
      </w:r>
      <w:r>
        <w:rPr>
          <w:rFonts w:hint="eastAsia" w:ascii="宋体" w:hAnsi="宋体" w:cs="宋体"/>
          <w:b/>
          <w:color w:val="auto"/>
          <w:sz w:val="28"/>
          <w:szCs w:val="28"/>
          <w:highlight w:val="none"/>
          <w:u w:val="single"/>
          <w:lang w:val="en-US" w:eastAsia="zh-CN"/>
        </w:rPr>
        <w:t xml:space="preserve">  喀什璟宸项目咨询管理有限公司  </w:t>
      </w:r>
      <w:r>
        <w:rPr>
          <w:rFonts w:hint="eastAsia" w:ascii="宋体" w:hAnsi="宋体" w:eastAsia="宋体" w:cs="宋体"/>
          <w:b/>
          <w:color w:val="auto"/>
          <w:sz w:val="28"/>
          <w:szCs w:val="28"/>
          <w:highlight w:val="none"/>
        </w:rPr>
        <w:t xml:space="preserve">  </w:t>
      </w:r>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人：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刘雅</w:t>
      </w:r>
      <w:r>
        <w:rPr>
          <w:rFonts w:hint="eastAsia" w:ascii="宋体" w:hAnsi="宋体" w:eastAsia="宋体" w:cs="宋体"/>
          <w:b/>
          <w:color w:val="auto"/>
          <w:sz w:val="28"/>
          <w:szCs w:val="28"/>
          <w:highlight w:val="none"/>
          <w:u w:val="single"/>
          <w:lang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联系电话 ：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19351190999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pStyle w:val="19"/>
        <w:outlineLvl w:val="9"/>
        <w:rPr>
          <w:rFonts w:hint="eastAsia" w:ascii="宋体" w:hAnsi="宋体" w:eastAsia="宋体" w:cs="宋体"/>
          <w:color w:val="auto"/>
          <w:highlight w:val="none"/>
        </w:rPr>
      </w:pPr>
    </w:p>
    <w:p>
      <w:pPr>
        <w:spacing w:line="240" w:lineRule="atLeast"/>
        <w:jc w:val="center"/>
        <w:outlineLvl w:val="9"/>
        <w:rPr>
          <w:rFonts w:hint="eastAsia" w:ascii="宋体" w:hAnsi="宋体" w:eastAsia="宋体" w:cs="宋体"/>
          <w:b/>
          <w:color w:val="auto"/>
          <w:sz w:val="28"/>
          <w:szCs w:val="28"/>
          <w:highlight w:val="none"/>
        </w:rPr>
        <w:sectPr>
          <w:headerReference r:id="rId4" w:type="first"/>
          <w:footerReference r:id="rId5" w:type="first"/>
          <w:headerReference r:id="rId3" w:type="default"/>
          <w:pgSz w:w="11906" w:h="16838"/>
          <w:pgMar w:top="1440" w:right="1797" w:bottom="1440" w:left="1797" w:header="851" w:footer="992" w:gutter="0"/>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目录</w:t>
      </w:r>
    </w:p>
    <w:p>
      <w:pPr>
        <w:pStyle w:val="18"/>
        <w:tabs>
          <w:tab w:val="right" w:leader="dot" w:pos="8312"/>
        </w:tabs>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TOC \o "1-2" \h \u </w:instrText>
      </w:r>
      <w:r>
        <w:rPr>
          <w:rFonts w:hint="eastAsia" w:ascii="宋体" w:hAnsi="宋体" w:eastAsia="宋体" w:cs="宋体"/>
          <w:color w:val="auto"/>
          <w:kern w:val="0"/>
          <w:szCs w:val="21"/>
          <w:highlight w:val="none"/>
        </w:rPr>
        <w:fldChar w:fldCharType="separate"/>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_Toc14480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1</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供应商</w:t>
      </w:r>
      <w:r>
        <w:rPr>
          <w:rFonts w:hint="eastAsia" w:ascii="宋体" w:hAnsi="宋体" w:eastAsia="宋体" w:cs="宋体"/>
          <w:highlight w:val="none"/>
        </w:rPr>
        <w:t>须知</w:t>
      </w:r>
      <w:r>
        <w:tab/>
      </w:r>
      <w:r>
        <w:fldChar w:fldCharType="begin"/>
      </w:r>
      <w:r>
        <w:instrText xml:space="preserve"> PAGEREF _Toc14480 \h </w:instrText>
      </w:r>
      <w:r>
        <w:fldChar w:fldCharType="separate"/>
      </w:r>
      <w:r>
        <w:t>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_Toc7027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一   总 则</w:t>
      </w:r>
      <w:r>
        <w:tab/>
      </w:r>
      <w:r>
        <w:fldChar w:fldCharType="begin"/>
      </w:r>
      <w:r>
        <w:instrText xml:space="preserve"> PAGEREF _Toc7027 \h </w:instrText>
      </w:r>
      <w:r>
        <w:fldChar w:fldCharType="separate"/>
      </w:r>
      <w:r>
        <w:t>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_Toc11676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4"/>
          <w:highlight w:val="none"/>
        </w:rPr>
        <w:t>二   磋商文件</w:t>
      </w:r>
      <w:r>
        <w:tab/>
      </w:r>
      <w:r>
        <w:fldChar w:fldCharType="begin"/>
      </w:r>
      <w:r>
        <w:instrText xml:space="preserve"> PAGEREF _Toc11676 \h </w:instrText>
      </w:r>
      <w:r>
        <w:fldChar w:fldCharType="separate"/>
      </w:r>
      <w:r>
        <w:t>4</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_Toc20422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highlight w:val="none"/>
        </w:rPr>
        <w:t>三   响应文件的编制</w:t>
      </w:r>
      <w:r>
        <w:tab/>
      </w:r>
      <w:r>
        <w:fldChar w:fldCharType="begin"/>
      </w:r>
      <w:r>
        <w:instrText xml:space="preserve"> PAGEREF _Toc20422 \h </w:instrText>
      </w:r>
      <w:r>
        <w:fldChar w:fldCharType="separate"/>
      </w:r>
      <w:r>
        <w:t>5</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_Toc13081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highlight w:val="none"/>
        </w:rPr>
        <w:t>四   响应文件的递交</w:t>
      </w:r>
      <w:r>
        <w:tab/>
      </w:r>
      <w:r>
        <w:fldChar w:fldCharType="begin"/>
      </w:r>
      <w:r>
        <w:instrText xml:space="preserve"> PAGEREF _Toc13081 \h </w:instrText>
      </w:r>
      <w:r>
        <w:fldChar w:fldCharType="separate"/>
      </w:r>
      <w:r>
        <w:t>7</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_Toc32140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highlight w:val="none"/>
        </w:rPr>
        <w:t xml:space="preserve">五   </w:t>
      </w:r>
      <w:r>
        <w:rPr>
          <w:rFonts w:hint="eastAsia" w:ascii="宋体" w:hAnsi="宋体" w:eastAsia="宋体" w:cs="宋体"/>
          <w:i w:val="0"/>
          <w:caps w:val="0"/>
          <w:spacing w:val="0"/>
          <w:w w:val="100"/>
          <w:highlight w:val="none"/>
          <w:lang w:val="en-US" w:eastAsia="zh-CN"/>
        </w:rPr>
        <w:t>磋商</w:t>
      </w:r>
      <w:r>
        <w:rPr>
          <w:rFonts w:hint="eastAsia" w:ascii="宋体" w:hAnsi="宋体" w:eastAsia="宋体" w:cs="宋体"/>
          <w:i w:val="0"/>
          <w:caps w:val="0"/>
          <w:spacing w:val="0"/>
          <w:w w:val="100"/>
          <w:highlight w:val="none"/>
        </w:rPr>
        <w:t>及</w:t>
      </w:r>
      <w:r>
        <w:rPr>
          <w:rFonts w:hint="eastAsia" w:ascii="宋体" w:hAnsi="宋体" w:eastAsia="宋体" w:cs="宋体"/>
          <w:i w:val="0"/>
          <w:caps w:val="0"/>
          <w:spacing w:val="0"/>
          <w:w w:val="100"/>
          <w:highlight w:val="none"/>
          <w:lang w:val="en-US" w:eastAsia="zh-CN"/>
        </w:rPr>
        <w:t>评审</w:t>
      </w:r>
      <w:r>
        <w:tab/>
      </w:r>
      <w:r>
        <w:fldChar w:fldCharType="begin"/>
      </w:r>
      <w:r>
        <w:instrText xml:space="preserve"> PAGEREF _Toc32140 \h </w:instrText>
      </w:r>
      <w:r>
        <w:fldChar w:fldCharType="separate"/>
      </w:r>
      <w:r>
        <w:t>8</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_Toc166 </w:instrText>
      </w:r>
      <w:r>
        <w:rPr>
          <w:rFonts w:hint="eastAsia" w:ascii="宋体" w:hAnsi="宋体" w:eastAsia="宋体" w:cs="宋体"/>
          <w:kern w:val="0"/>
          <w:szCs w:val="21"/>
          <w:highlight w:val="none"/>
        </w:rPr>
        <w:fldChar w:fldCharType="separate"/>
      </w:r>
      <w:r>
        <w:rPr>
          <w:rFonts w:hint="eastAsia" w:ascii="宋体" w:hAnsi="宋体" w:eastAsia="宋体" w:cs="宋体"/>
          <w:szCs w:val="24"/>
          <w:highlight w:val="none"/>
        </w:rPr>
        <w:t>六   确定</w:t>
      </w:r>
      <w:r>
        <w:rPr>
          <w:rFonts w:hint="eastAsia" w:ascii="宋体" w:hAnsi="宋体" w:eastAsia="宋体" w:cs="宋体"/>
          <w:szCs w:val="24"/>
          <w:highlight w:val="none"/>
          <w:lang w:eastAsia="zh-CN"/>
        </w:rPr>
        <w:t>成交</w:t>
      </w:r>
      <w:r>
        <w:tab/>
      </w:r>
      <w:r>
        <w:fldChar w:fldCharType="begin"/>
      </w:r>
      <w:r>
        <w:instrText xml:space="preserve"> PAGEREF _Toc166 \h </w:instrText>
      </w:r>
      <w:r>
        <w:fldChar w:fldCharType="separate"/>
      </w:r>
      <w:r>
        <w:t>12</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_Toc4379 </w:instrText>
      </w:r>
      <w:r>
        <w:rPr>
          <w:rFonts w:hint="eastAsia" w:ascii="宋体" w:hAnsi="宋体" w:eastAsia="宋体" w:cs="宋体"/>
          <w:kern w:val="0"/>
          <w:szCs w:val="21"/>
          <w:highlight w:val="none"/>
        </w:rPr>
        <w:fldChar w:fldCharType="separate"/>
      </w:r>
      <w:r>
        <w:rPr>
          <w:rFonts w:hint="eastAsia" w:ascii="宋体" w:hAnsi="宋体" w:eastAsia="宋体" w:cs="宋体"/>
          <w:szCs w:val="21"/>
          <w:highlight w:val="none"/>
        </w:rPr>
        <w:t>第2章 响应文件格式</w:t>
      </w:r>
      <w:r>
        <w:tab/>
      </w:r>
      <w:r>
        <w:fldChar w:fldCharType="begin"/>
      </w:r>
      <w:r>
        <w:instrText xml:space="preserve"> PAGEREF _Toc4379 \h </w:instrText>
      </w:r>
      <w:r>
        <w:fldChar w:fldCharType="separate"/>
      </w:r>
      <w:r>
        <w:t>18</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_Toc6233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8"/>
          <w:highlight w:val="none"/>
        </w:rPr>
        <w:t>第一部分 磋商开启一览表及资格证明文件</w:t>
      </w:r>
      <w:r>
        <w:tab/>
      </w:r>
      <w:r>
        <w:fldChar w:fldCharType="begin"/>
      </w:r>
      <w:r>
        <w:instrText xml:space="preserve"> PAGEREF _Toc6233 \h </w:instrText>
      </w:r>
      <w:r>
        <w:fldChar w:fldCharType="separate"/>
      </w:r>
      <w:r>
        <w:t>18</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_Toc14845 </w:instrText>
      </w:r>
      <w:r>
        <w:rPr>
          <w:rFonts w:hint="eastAsia" w:ascii="宋体" w:hAnsi="宋体" w:eastAsia="宋体" w:cs="宋体"/>
          <w:kern w:val="0"/>
          <w:szCs w:val="21"/>
          <w:highlight w:val="none"/>
        </w:rPr>
        <w:fldChar w:fldCharType="separate"/>
      </w:r>
      <w:r>
        <w:rPr>
          <w:rFonts w:hint="eastAsia" w:ascii="宋体" w:hAnsi="宋体" w:eastAsia="宋体" w:cs="宋体"/>
          <w:szCs w:val="28"/>
        </w:rPr>
        <w:t xml:space="preserve">1. </w:t>
      </w:r>
      <w:r>
        <w:rPr>
          <w:rFonts w:hint="eastAsia" w:ascii="宋体" w:hAnsi="宋体" w:eastAsia="宋体" w:cs="宋体"/>
          <w:szCs w:val="28"/>
          <w:highlight w:val="none"/>
          <w:lang w:eastAsia="zh-CN"/>
        </w:rPr>
        <w:t>磋商</w:t>
      </w:r>
      <w:r>
        <w:rPr>
          <w:rFonts w:hint="eastAsia" w:ascii="宋体" w:hAnsi="宋体" w:cs="宋体"/>
          <w:szCs w:val="28"/>
          <w:highlight w:val="none"/>
          <w:lang w:val="en-US" w:eastAsia="zh-CN"/>
        </w:rPr>
        <w:t>报价</w:t>
      </w:r>
      <w:r>
        <w:rPr>
          <w:rFonts w:hint="eastAsia" w:ascii="宋体" w:hAnsi="宋体" w:eastAsia="宋体" w:cs="宋体"/>
          <w:szCs w:val="28"/>
          <w:highlight w:val="none"/>
          <w:lang w:eastAsia="zh-CN"/>
        </w:rPr>
        <w:t>一览表</w:t>
      </w:r>
      <w:r>
        <w:tab/>
      </w:r>
      <w:r>
        <w:fldChar w:fldCharType="begin"/>
      </w:r>
      <w:r>
        <w:instrText xml:space="preserve"> PAGEREF _Toc14845 \h </w:instrText>
      </w:r>
      <w:r>
        <w:fldChar w:fldCharType="separate"/>
      </w:r>
      <w:r>
        <w:t>19</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_Toc32039 </w:instrText>
      </w:r>
      <w:r>
        <w:rPr>
          <w:rFonts w:hint="eastAsia" w:ascii="宋体" w:hAnsi="宋体" w:eastAsia="宋体" w:cs="宋体"/>
          <w:kern w:val="0"/>
          <w:szCs w:val="21"/>
          <w:highlight w:val="none"/>
        </w:rPr>
        <w:fldChar w:fldCharType="separate"/>
      </w:r>
      <w:r>
        <w:rPr>
          <w:rFonts w:hint="eastAsia" w:ascii="宋体" w:hAnsi="宋体" w:eastAsia="宋体" w:cs="宋体"/>
          <w:szCs w:val="28"/>
          <w:highlight w:val="none"/>
          <w:lang w:val="en-US" w:eastAsia="zh-CN"/>
        </w:rPr>
        <w:t>2.具有有效的营业执照；</w:t>
      </w:r>
      <w:r>
        <w:tab/>
      </w:r>
      <w:r>
        <w:fldChar w:fldCharType="begin"/>
      </w:r>
      <w:r>
        <w:instrText xml:space="preserve"> PAGEREF _Toc32039 \h </w:instrText>
      </w:r>
      <w:r>
        <w:fldChar w:fldCharType="separate"/>
      </w:r>
      <w:r>
        <w:t>19</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_Toc4311 </w:instrText>
      </w:r>
      <w:r>
        <w:rPr>
          <w:rFonts w:hint="eastAsia" w:ascii="宋体" w:hAnsi="宋体" w:eastAsia="宋体" w:cs="宋体"/>
          <w:kern w:val="0"/>
          <w:szCs w:val="21"/>
          <w:highlight w:val="none"/>
        </w:rPr>
        <w:fldChar w:fldCharType="separate"/>
      </w:r>
      <w:r>
        <w:rPr>
          <w:rFonts w:hint="eastAsia" w:ascii="宋体" w:hAnsi="宋体" w:eastAsia="宋体" w:cs="宋体"/>
          <w:szCs w:val="28"/>
          <w:highlight w:val="none"/>
          <w:lang w:val="en-US" w:eastAsia="zh-CN"/>
        </w:rPr>
        <w:t>3.提供法定代表人身份证明及身份证或法定代表人授权委托书和委托代理人身份证；</w:t>
      </w:r>
      <w:r>
        <w:tab/>
      </w:r>
      <w:r>
        <w:fldChar w:fldCharType="begin"/>
      </w:r>
      <w:r>
        <w:instrText xml:space="preserve"> PAGEREF _Toc4311 \h </w:instrText>
      </w:r>
      <w:r>
        <w:fldChar w:fldCharType="separate"/>
      </w:r>
      <w:r>
        <w:t>20</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_Toc32241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4.</w:t>
      </w:r>
      <w:r>
        <w:rPr>
          <w:rFonts w:hint="eastAsia" w:ascii="宋体" w:hAnsi="宋体" w:eastAsia="宋体" w:cs="宋体"/>
          <w:bCs/>
          <w:kern w:val="2"/>
          <w:szCs w:val="28"/>
          <w:highlight w:val="none"/>
          <w:lang w:val="en-US" w:eastAsia="zh-CN" w:bidi="ar-SA"/>
        </w:rPr>
        <w:t>提供近两年内任意一年的财务审计报告或健全的财务会计制度</w:t>
      </w:r>
      <w:r>
        <w:rPr>
          <w:rFonts w:hint="eastAsia" w:ascii="宋体" w:hAnsi="宋体" w:eastAsia="宋体" w:cs="宋体"/>
          <w:kern w:val="0"/>
          <w:szCs w:val="28"/>
          <w:highlight w:val="none"/>
          <w:lang w:val="en-US" w:eastAsia="zh-CN" w:bidi="ar-SA"/>
        </w:rPr>
        <w:t>；</w:t>
      </w:r>
      <w:r>
        <w:tab/>
      </w:r>
      <w:r>
        <w:fldChar w:fldCharType="begin"/>
      </w:r>
      <w:r>
        <w:instrText xml:space="preserve"> PAGEREF _Toc32241 \h </w:instrText>
      </w:r>
      <w:r>
        <w:fldChar w:fldCharType="separate"/>
      </w:r>
      <w:r>
        <w:t>22</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_Toc16146 </w:instrText>
      </w:r>
      <w:r>
        <w:rPr>
          <w:rFonts w:hint="eastAsia" w:ascii="宋体" w:hAnsi="宋体" w:eastAsia="宋体" w:cs="宋体"/>
          <w:kern w:val="0"/>
          <w:szCs w:val="21"/>
          <w:highlight w:val="none"/>
        </w:rPr>
        <w:fldChar w:fldCharType="separate"/>
      </w:r>
      <w:r>
        <w:rPr>
          <w:rFonts w:hint="eastAsia" w:ascii="宋体" w:hAnsi="宋体" w:eastAsia="宋体" w:cs="宋体"/>
          <w:bCs/>
          <w:kern w:val="2"/>
          <w:szCs w:val="28"/>
          <w:lang w:val="en-US" w:eastAsia="zh-CN" w:bidi="ar-SA"/>
        </w:rPr>
        <w:t xml:space="preserve">5. </w:t>
      </w:r>
      <w:r>
        <w:rPr>
          <w:rFonts w:hint="eastAsia" w:ascii="宋体" w:hAnsi="宋体" w:cs="宋体"/>
          <w:bCs/>
          <w:kern w:val="2"/>
          <w:szCs w:val="28"/>
          <w:highlight w:val="none"/>
          <w:lang w:val="en-US" w:eastAsia="zh-CN" w:bidi="ar-SA"/>
        </w:rPr>
        <w:t>提供依法缴纳近六个月任意一个月的社会保险证明（新成立公司未满六个月，无须提供社会保险证明）</w:t>
      </w:r>
      <w:r>
        <w:rPr>
          <w:rFonts w:hint="eastAsia" w:ascii="宋体" w:hAnsi="宋体" w:eastAsia="宋体" w:cs="宋体"/>
          <w:bCs/>
          <w:kern w:val="2"/>
          <w:szCs w:val="28"/>
          <w:highlight w:val="none"/>
          <w:lang w:val="en-US" w:eastAsia="zh-CN" w:bidi="ar-SA"/>
        </w:rPr>
        <w:t>；</w:t>
      </w:r>
      <w:r>
        <w:tab/>
      </w:r>
      <w:r>
        <w:fldChar w:fldCharType="begin"/>
      </w:r>
      <w:r>
        <w:instrText xml:space="preserve"> PAGEREF _Toc16146 \h </w:instrText>
      </w:r>
      <w:r>
        <w:fldChar w:fldCharType="separate"/>
      </w:r>
      <w:r>
        <w:t>22</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_Toc8084 </w:instrText>
      </w:r>
      <w:r>
        <w:rPr>
          <w:rFonts w:hint="eastAsia" w:ascii="宋体" w:hAnsi="宋体" w:eastAsia="宋体" w:cs="宋体"/>
          <w:kern w:val="0"/>
          <w:szCs w:val="21"/>
          <w:highlight w:val="none"/>
        </w:rPr>
        <w:fldChar w:fldCharType="separate"/>
      </w:r>
      <w:r>
        <w:rPr>
          <w:rFonts w:hint="eastAsia" w:ascii="宋体" w:hAnsi="宋体" w:eastAsia="宋体" w:cs="宋体"/>
          <w:bCs/>
          <w:kern w:val="2"/>
          <w:szCs w:val="28"/>
          <w:lang w:val="en-US" w:eastAsia="zh-CN" w:bidi="ar-SA"/>
        </w:rPr>
        <w:t xml:space="preserve">6. </w:t>
      </w:r>
      <w:r>
        <w:rPr>
          <w:rFonts w:hint="eastAsia" w:ascii="宋体" w:hAnsi="宋体" w:cs="宋体"/>
          <w:bCs/>
          <w:kern w:val="2"/>
          <w:szCs w:val="28"/>
          <w:highlight w:val="none"/>
          <w:lang w:val="en-US" w:eastAsia="zh-CN" w:bidi="ar-SA"/>
        </w:rPr>
        <w:t>提供依法缴纳近六个月任意一个月的税收证明（新成立公司未满六个月，无须提供税收证明）</w:t>
      </w:r>
      <w:r>
        <w:rPr>
          <w:rFonts w:hint="eastAsia" w:ascii="宋体" w:hAnsi="宋体" w:eastAsia="宋体" w:cs="宋体"/>
          <w:bCs/>
          <w:kern w:val="2"/>
          <w:szCs w:val="28"/>
          <w:highlight w:val="none"/>
          <w:lang w:val="en-US" w:eastAsia="zh-CN" w:bidi="ar-SA"/>
        </w:rPr>
        <w:t>；</w:t>
      </w:r>
      <w:r>
        <w:tab/>
      </w:r>
      <w:r>
        <w:fldChar w:fldCharType="begin"/>
      </w:r>
      <w:r>
        <w:instrText xml:space="preserve"> PAGEREF _Toc8084 \h </w:instrText>
      </w:r>
      <w:r>
        <w:fldChar w:fldCharType="separate"/>
      </w:r>
      <w:r>
        <w:t>22</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_Toc6856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7.</w:t>
      </w:r>
      <w:r>
        <w:rPr>
          <w:rFonts w:hint="eastAsia" w:ascii="宋体" w:hAnsi="宋体" w:eastAsia="宋体" w:cs="宋体"/>
          <w:bCs/>
          <w:kern w:val="2"/>
          <w:szCs w:val="28"/>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w:t>
      </w:r>
      <w:r>
        <w:rPr>
          <w:rFonts w:hint="eastAsia" w:ascii="宋体" w:hAnsi="宋体" w:eastAsia="宋体" w:cs="宋体"/>
          <w:kern w:val="0"/>
          <w:szCs w:val="28"/>
          <w:highlight w:val="none"/>
          <w:lang w:val="en-US" w:eastAsia="zh-CN" w:bidi="ar-SA"/>
        </w:rPr>
        <w:t>；</w:t>
      </w:r>
      <w:r>
        <w:tab/>
      </w:r>
      <w:r>
        <w:fldChar w:fldCharType="begin"/>
      </w:r>
      <w:r>
        <w:instrText xml:space="preserve"> PAGEREF _Toc6856 \h </w:instrText>
      </w:r>
      <w:r>
        <w:fldChar w:fldCharType="separate"/>
      </w:r>
      <w:r>
        <w:t>22</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_Toc31152 </w:instrText>
      </w:r>
      <w:r>
        <w:rPr>
          <w:rFonts w:hint="eastAsia" w:ascii="宋体" w:hAnsi="宋体" w:eastAsia="宋体" w:cs="宋体"/>
          <w:kern w:val="0"/>
          <w:szCs w:val="21"/>
          <w:highlight w:val="none"/>
        </w:rPr>
        <w:fldChar w:fldCharType="separate"/>
      </w:r>
      <w:r>
        <w:rPr>
          <w:rFonts w:hint="eastAsia" w:ascii="宋体" w:hAnsi="宋体" w:eastAsia="宋体" w:cs="宋体"/>
          <w:kern w:val="0"/>
          <w:szCs w:val="28"/>
          <w:highlight w:val="none"/>
          <w:lang w:val="en-US" w:eastAsia="zh-CN" w:bidi="ar-SA"/>
        </w:rPr>
        <w:t>8.</w:t>
      </w:r>
      <w:r>
        <w:rPr>
          <w:rFonts w:hint="eastAsia" w:ascii="宋体" w:hAnsi="宋体" w:eastAsia="宋体" w:cs="宋体"/>
          <w:bCs/>
          <w:kern w:val="2"/>
          <w:szCs w:val="28"/>
          <w:highlight w:val="none"/>
          <w:lang w:val="en-US" w:eastAsia="zh-CN" w:bidi="ar-SA"/>
        </w:rPr>
        <w:t>提供参加政府采购活动前3年内在经营活动中没有重大违法违规记录的书面声明</w:t>
      </w:r>
      <w:r>
        <w:rPr>
          <w:rFonts w:hint="eastAsia" w:ascii="宋体" w:hAnsi="宋体" w:eastAsia="宋体" w:cs="宋体"/>
          <w:kern w:val="0"/>
          <w:szCs w:val="28"/>
          <w:highlight w:val="none"/>
          <w:lang w:val="en-US" w:eastAsia="zh-CN" w:bidi="ar-SA"/>
        </w:rPr>
        <w:t>；</w:t>
      </w:r>
      <w:r>
        <w:tab/>
      </w:r>
      <w:r>
        <w:fldChar w:fldCharType="begin"/>
      </w:r>
      <w:r>
        <w:instrText xml:space="preserve"> PAGEREF _Toc31152 \h </w:instrText>
      </w:r>
      <w:r>
        <w:fldChar w:fldCharType="separate"/>
      </w:r>
      <w:r>
        <w:t>22</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_Toc14177 </w:instrText>
      </w:r>
      <w:r>
        <w:rPr>
          <w:rFonts w:hint="eastAsia" w:ascii="宋体" w:hAnsi="宋体" w:eastAsia="宋体" w:cs="宋体"/>
          <w:kern w:val="0"/>
          <w:szCs w:val="21"/>
          <w:highlight w:val="none"/>
        </w:rPr>
        <w:fldChar w:fldCharType="separate"/>
      </w:r>
      <w:r>
        <w:rPr>
          <w:rFonts w:hint="eastAsia" w:ascii="宋体" w:hAnsi="宋体" w:eastAsia="宋体" w:cs="宋体"/>
          <w:bCs/>
          <w:kern w:val="2"/>
          <w:szCs w:val="28"/>
          <w:highlight w:val="none"/>
          <w:lang w:val="en-US" w:eastAsia="zh-CN" w:bidi="ar-SA"/>
        </w:rPr>
        <w:t>9.提供针对本次项目《反商业贿赂承诺书》</w:t>
      </w:r>
      <w:r>
        <w:rPr>
          <w:rFonts w:hint="eastAsia" w:ascii="宋体" w:hAnsi="宋体" w:cs="宋体"/>
          <w:bCs/>
          <w:kern w:val="2"/>
          <w:szCs w:val="28"/>
          <w:highlight w:val="none"/>
          <w:lang w:val="en-US" w:eastAsia="zh-CN" w:bidi="ar-SA"/>
        </w:rPr>
        <w:t>；</w:t>
      </w:r>
      <w:r>
        <w:tab/>
      </w:r>
      <w:r>
        <w:fldChar w:fldCharType="begin"/>
      </w:r>
      <w:r>
        <w:instrText xml:space="preserve"> PAGEREF _Toc14177 \h </w:instrText>
      </w:r>
      <w:r>
        <w:fldChar w:fldCharType="separate"/>
      </w:r>
      <w:r>
        <w:t>22</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_Toc19266 </w:instrText>
      </w:r>
      <w:r>
        <w:rPr>
          <w:rFonts w:hint="eastAsia" w:ascii="宋体" w:hAnsi="宋体" w:eastAsia="宋体" w:cs="宋体"/>
          <w:kern w:val="0"/>
          <w:szCs w:val="21"/>
          <w:highlight w:val="none"/>
        </w:rPr>
        <w:fldChar w:fldCharType="separate"/>
      </w:r>
      <w:r>
        <w:rPr>
          <w:rFonts w:hint="eastAsia" w:ascii="宋体" w:hAnsi="宋体" w:cs="宋体"/>
          <w:bCs/>
          <w:kern w:val="2"/>
          <w:szCs w:val="28"/>
          <w:highlight w:val="none"/>
          <w:lang w:val="en-US" w:eastAsia="zh-CN" w:bidi="ar-SA"/>
        </w:rPr>
        <w:t>10.</w:t>
      </w:r>
      <w:r>
        <w:rPr>
          <w:rFonts w:hint="eastAsia" w:ascii="宋体" w:hAnsi="宋体" w:eastAsia="宋体" w:cs="宋体"/>
          <w:bCs/>
          <w:kern w:val="2"/>
          <w:szCs w:val="28"/>
          <w:highlight w:val="none"/>
          <w:lang w:val="en-US" w:eastAsia="zh-CN" w:bidi="ar-SA"/>
        </w:rPr>
        <w:t>缴纳磋商保证金有效凭证</w:t>
      </w:r>
      <w:r>
        <w:rPr>
          <w:rFonts w:hint="eastAsia" w:ascii="宋体" w:hAnsi="宋体" w:eastAsia="宋体" w:cs="宋体"/>
          <w:kern w:val="0"/>
          <w:szCs w:val="28"/>
          <w:highlight w:val="none"/>
          <w:lang w:val="en-US" w:eastAsia="zh-CN" w:bidi="ar-SA"/>
        </w:rPr>
        <w:t>。</w:t>
      </w:r>
      <w:r>
        <w:tab/>
      </w:r>
      <w:r>
        <w:fldChar w:fldCharType="begin"/>
      </w:r>
      <w:r>
        <w:instrText xml:space="preserve"> PAGEREF _Toc19266 \h </w:instrText>
      </w:r>
      <w:r>
        <w:fldChar w:fldCharType="separate"/>
      </w:r>
      <w:r>
        <w:t>23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_Toc21555 </w:instrText>
      </w:r>
      <w:r>
        <w:rPr>
          <w:rFonts w:hint="eastAsia" w:ascii="宋体" w:hAnsi="宋体" w:eastAsia="宋体" w:cs="宋体"/>
          <w:kern w:val="0"/>
          <w:szCs w:val="21"/>
          <w:highlight w:val="none"/>
        </w:rPr>
        <w:fldChar w:fldCharType="separate"/>
      </w:r>
      <w:r>
        <w:rPr>
          <w:rFonts w:hint="eastAsia" w:ascii="宋体" w:hAnsi="宋体" w:cs="宋体"/>
          <w:kern w:val="0"/>
          <w:szCs w:val="28"/>
          <w:highlight w:val="none"/>
          <w:lang w:val="en-US" w:eastAsia="zh-CN" w:bidi="ar-SA"/>
        </w:rPr>
        <w:t>11.</w:t>
      </w:r>
      <w:r>
        <w:rPr>
          <w:rFonts w:hint="eastAsia" w:ascii="宋体" w:hAnsi="宋体" w:eastAsia="宋体" w:cs="宋体"/>
          <w:kern w:val="0"/>
          <w:szCs w:val="28"/>
          <w:highlight w:val="none"/>
          <w:lang w:val="en-US" w:eastAsia="zh-CN" w:bidi="ar-SA"/>
        </w:rPr>
        <w:t>银行开户许可证复印件或银行基本账户信息(包含：银行账号及开户行名称）；</w:t>
      </w:r>
      <w:r>
        <w:tab/>
      </w:r>
      <w:r>
        <w:fldChar w:fldCharType="begin"/>
      </w:r>
      <w:r>
        <w:instrText xml:space="preserve"> PAGEREF _Toc21555 \h </w:instrText>
      </w:r>
      <w:r>
        <w:fldChar w:fldCharType="separate"/>
      </w:r>
      <w:r>
        <w:t>23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_Toc10581 </w:instrText>
      </w:r>
      <w:r>
        <w:rPr>
          <w:rFonts w:hint="eastAsia" w:ascii="宋体" w:hAnsi="宋体" w:eastAsia="宋体" w:cs="宋体"/>
          <w:kern w:val="0"/>
          <w:szCs w:val="21"/>
          <w:highlight w:val="none"/>
        </w:rPr>
        <w:fldChar w:fldCharType="separate"/>
      </w:r>
      <w:r>
        <w:rPr>
          <w:rFonts w:hint="eastAsia" w:ascii="宋体" w:hAnsi="宋体" w:cs="宋体"/>
          <w:kern w:val="0"/>
          <w:szCs w:val="28"/>
          <w:highlight w:val="none"/>
          <w:lang w:val="en-US" w:eastAsia="zh-CN" w:bidi="ar-SA"/>
        </w:rPr>
        <w:t>12.</w:t>
      </w:r>
      <w:r>
        <w:rPr>
          <w:rFonts w:hint="eastAsia" w:ascii="宋体" w:hAnsi="宋体" w:eastAsia="宋体" w:cs="宋体"/>
          <w:kern w:val="0"/>
          <w:szCs w:val="28"/>
          <w:highlight w:val="none"/>
          <w:lang w:val="en-US" w:eastAsia="zh-CN" w:bidi="ar-SA"/>
        </w:rPr>
        <w:t>供应商可提供有利于投标的其他资格证明材料。</w:t>
      </w:r>
      <w:r>
        <w:tab/>
      </w:r>
      <w:r>
        <w:fldChar w:fldCharType="begin"/>
      </w:r>
      <w:r>
        <w:instrText xml:space="preserve"> PAGEREF _Toc10581 \h </w:instrText>
      </w:r>
      <w:r>
        <w:fldChar w:fldCharType="separate"/>
      </w:r>
      <w:r>
        <w:t>23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_Toc24833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32"/>
          <w:highlight w:val="none"/>
        </w:rPr>
        <w:t>第二部分  商务及技术文件</w:t>
      </w:r>
      <w:r>
        <w:tab/>
      </w:r>
      <w:r>
        <w:fldChar w:fldCharType="begin"/>
      </w:r>
      <w:r>
        <w:instrText xml:space="preserve"> PAGEREF _Toc24833 \h </w:instrText>
      </w:r>
      <w:r>
        <w:fldChar w:fldCharType="separate"/>
      </w:r>
      <w:r>
        <w:t>24</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_Toc16377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8"/>
          <w:highlight w:val="none"/>
        </w:rPr>
        <w:t>1</w:t>
      </w:r>
      <w:r>
        <w:rPr>
          <w:rFonts w:hint="eastAsia" w:ascii="宋体" w:hAnsi="宋体" w:eastAsia="宋体" w:cs="宋体"/>
          <w:i w:val="0"/>
          <w:caps w:val="0"/>
          <w:spacing w:val="0"/>
          <w:w w:val="100"/>
          <w:szCs w:val="28"/>
          <w:highlight w:val="none"/>
          <w:lang w:eastAsia="zh-CN"/>
        </w:rPr>
        <w:t>.</w:t>
      </w:r>
      <w:r>
        <w:rPr>
          <w:rFonts w:hint="eastAsia" w:ascii="宋体" w:hAnsi="宋体" w:eastAsia="宋体" w:cs="宋体"/>
          <w:i w:val="0"/>
          <w:caps w:val="0"/>
          <w:spacing w:val="0"/>
          <w:w w:val="100"/>
          <w:szCs w:val="28"/>
          <w:highlight w:val="none"/>
        </w:rPr>
        <w:t>磋商书</w:t>
      </w:r>
      <w:r>
        <w:tab/>
      </w:r>
      <w:r>
        <w:fldChar w:fldCharType="begin"/>
      </w:r>
      <w:r>
        <w:instrText xml:space="preserve"> PAGEREF _Toc16377 \h </w:instrText>
      </w:r>
      <w:r>
        <w:fldChar w:fldCharType="separate"/>
      </w:r>
      <w:r>
        <w:t>25</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_Toc20362 </w:instrText>
      </w:r>
      <w:r>
        <w:rPr>
          <w:rFonts w:hint="eastAsia" w:ascii="宋体" w:hAnsi="宋体" w:eastAsia="宋体" w:cs="宋体"/>
          <w:kern w:val="0"/>
          <w:szCs w:val="21"/>
          <w:highlight w:val="none"/>
        </w:rPr>
        <w:fldChar w:fldCharType="separate"/>
      </w:r>
      <w:r>
        <w:rPr>
          <w:rFonts w:hint="eastAsia" w:ascii="宋体" w:hAnsi="宋体" w:eastAsia="宋体" w:cs="宋体"/>
          <w:bCs w:val="0"/>
          <w:i w:val="0"/>
          <w:caps w:val="0"/>
          <w:spacing w:val="0"/>
          <w:w w:val="100"/>
          <w:szCs w:val="28"/>
          <w:highlight w:val="none"/>
          <w:lang w:val="en-US" w:eastAsia="zh-CN"/>
        </w:rPr>
        <w:t>2</w:t>
      </w:r>
      <w:r>
        <w:rPr>
          <w:rFonts w:hint="eastAsia" w:ascii="宋体" w:hAnsi="宋体" w:eastAsia="宋体" w:cs="宋体"/>
          <w:bCs w:val="0"/>
          <w:i w:val="0"/>
          <w:caps w:val="0"/>
          <w:spacing w:val="0"/>
          <w:w w:val="100"/>
          <w:szCs w:val="28"/>
          <w:highlight w:val="none"/>
          <w:lang w:eastAsia="zh-CN"/>
        </w:rPr>
        <w:t>.</w:t>
      </w:r>
      <w:r>
        <w:rPr>
          <w:rFonts w:hint="eastAsia" w:ascii="宋体" w:hAnsi="宋体" w:eastAsia="宋体" w:cs="宋体"/>
          <w:bCs w:val="0"/>
          <w:szCs w:val="28"/>
          <w:highlight w:val="none"/>
          <w:lang w:val="en-US" w:eastAsia="zh-CN"/>
        </w:rPr>
        <w:t>投标分项报价表</w:t>
      </w:r>
      <w:r>
        <w:tab/>
      </w:r>
      <w:r>
        <w:fldChar w:fldCharType="begin"/>
      </w:r>
      <w:r>
        <w:instrText xml:space="preserve"> PAGEREF _Toc20362 \h </w:instrText>
      </w:r>
      <w:r>
        <w:fldChar w:fldCharType="separate"/>
      </w:r>
      <w:r>
        <w:t>26</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_Toc8218 </w:instrText>
      </w:r>
      <w:r>
        <w:rPr>
          <w:rFonts w:hint="eastAsia" w:ascii="宋体" w:hAnsi="宋体" w:eastAsia="宋体" w:cs="宋体"/>
          <w:kern w:val="0"/>
          <w:szCs w:val="21"/>
          <w:highlight w:val="none"/>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eastAsia="宋体" w:cs="宋体"/>
          <w:bCs/>
          <w:szCs w:val="28"/>
          <w:highlight w:val="none"/>
          <w:lang w:val="en-US" w:eastAsia="zh-CN"/>
        </w:rPr>
        <w:t>货物说明一览表</w:t>
      </w:r>
      <w:r>
        <w:tab/>
      </w:r>
      <w:r>
        <w:fldChar w:fldCharType="begin"/>
      </w:r>
      <w:r>
        <w:instrText xml:space="preserve"> PAGEREF _Toc8218 \h </w:instrText>
      </w:r>
      <w:r>
        <w:fldChar w:fldCharType="separate"/>
      </w:r>
      <w:r>
        <w:t>27</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_Toc25230 </w:instrText>
      </w:r>
      <w:r>
        <w:rPr>
          <w:rFonts w:hint="eastAsia" w:ascii="宋体" w:hAnsi="宋体" w:eastAsia="宋体" w:cs="宋体"/>
          <w:kern w:val="0"/>
          <w:szCs w:val="21"/>
          <w:highlight w:val="none"/>
        </w:rPr>
        <w:fldChar w:fldCharType="separate"/>
      </w:r>
      <w:r>
        <w:rPr>
          <w:rFonts w:hint="eastAsia" w:ascii="宋体" w:hAnsi="宋体" w:eastAsia="宋体" w:cs="宋体"/>
          <w:bCs/>
          <w:kern w:val="2"/>
          <w:szCs w:val="28"/>
          <w:highlight w:val="none"/>
          <w:lang w:val="en-US" w:eastAsia="zh-CN" w:bidi="ar-SA"/>
        </w:rPr>
        <w:t>4.技术规格偏离表</w:t>
      </w:r>
      <w:r>
        <w:tab/>
      </w:r>
      <w:r>
        <w:fldChar w:fldCharType="begin"/>
      </w:r>
      <w:r>
        <w:instrText xml:space="preserve"> PAGEREF _Toc25230 \h </w:instrText>
      </w:r>
      <w:r>
        <w:fldChar w:fldCharType="separate"/>
      </w:r>
      <w:r>
        <w:t>28</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_Toc10484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8"/>
          <w:highlight w:val="none"/>
          <w:lang w:val="en-US" w:eastAsia="zh-CN"/>
        </w:rPr>
        <w:t>5.</w:t>
      </w:r>
      <w:r>
        <w:rPr>
          <w:rFonts w:hint="eastAsia" w:ascii="宋体" w:hAnsi="宋体" w:eastAsia="宋体" w:cs="宋体"/>
          <w:i w:val="0"/>
          <w:caps w:val="0"/>
          <w:spacing w:val="0"/>
          <w:w w:val="100"/>
          <w:szCs w:val="28"/>
          <w:highlight w:val="none"/>
        </w:rPr>
        <w:t>商务条款偏离表</w:t>
      </w:r>
      <w:r>
        <w:tab/>
      </w:r>
      <w:r>
        <w:fldChar w:fldCharType="begin"/>
      </w:r>
      <w:r>
        <w:instrText xml:space="preserve"> PAGEREF _Toc10484 \h </w:instrText>
      </w:r>
      <w:r>
        <w:fldChar w:fldCharType="separate"/>
      </w:r>
      <w:r>
        <w:t>29</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_Toc28142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8"/>
          <w:highlight w:val="none"/>
          <w:lang w:val="en-US" w:eastAsia="zh-CN"/>
        </w:rPr>
        <w:t>6</w:t>
      </w:r>
      <w:r>
        <w:rPr>
          <w:rFonts w:hint="eastAsia" w:ascii="宋体" w:hAnsi="宋体" w:eastAsia="宋体" w:cs="宋体"/>
          <w:i w:val="0"/>
          <w:caps w:val="0"/>
          <w:spacing w:val="0"/>
          <w:w w:val="100"/>
          <w:szCs w:val="28"/>
          <w:highlight w:val="none"/>
        </w:rPr>
        <w:t>-1  中小企业声明函</w:t>
      </w:r>
      <w:r>
        <w:tab/>
      </w:r>
      <w:r>
        <w:fldChar w:fldCharType="begin"/>
      </w:r>
      <w:r>
        <w:instrText xml:space="preserve"> PAGEREF _Toc28142 \h </w:instrText>
      </w:r>
      <w:r>
        <w:fldChar w:fldCharType="separate"/>
      </w:r>
      <w:r>
        <w:t>30</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_Toc21039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8"/>
          <w:highlight w:val="none"/>
          <w:lang w:val="en-US" w:eastAsia="zh-CN"/>
        </w:rPr>
        <w:t>6</w:t>
      </w:r>
      <w:r>
        <w:rPr>
          <w:rFonts w:hint="eastAsia" w:ascii="宋体" w:hAnsi="宋体" w:eastAsia="宋体" w:cs="宋体"/>
          <w:i w:val="0"/>
          <w:caps w:val="0"/>
          <w:spacing w:val="0"/>
          <w:w w:val="100"/>
          <w:szCs w:val="28"/>
          <w:highlight w:val="none"/>
        </w:rPr>
        <w:t>-2  残疾人福利性单位声明函</w:t>
      </w:r>
      <w:r>
        <w:tab/>
      </w:r>
      <w:r>
        <w:fldChar w:fldCharType="begin"/>
      </w:r>
      <w:r>
        <w:instrText xml:space="preserve"> PAGEREF _Toc21039 \h </w:instrText>
      </w:r>
      <w:r>
        <w:fldChar w:fldCharType="separate"/>
      </w:r>
      <w:r>
        <w:t>33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_Toc22735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8"/>
          <w:highlight w:val="none"/>
          <w:lang w:val="en-US" w:eastAsia="zh-CN"/>
        </w:rPr>
        <w:t>7.</w:t>
      </w:r>
      <w:r>
        <w:rPr>
          <w:rFonts w:hint="eastAsia" w:ascii="宋体" w:hAnsi="宋体" w:eastAsia="宋体" w:cs="宋体"/>
          <w:i w:val="0"/>
          <w:caps w:val="0"/>
          <w:spacing w:val="0"/>
          <w:w w:val="100"/>
          <w:szCs w:val="28"/>
          <w:highlight w:val="none"/>
        </w:rPr>
        <w:t>供应商关联单位的说明</w:t>
      </w:r>
      <w:r>
        <w:tab/>
      </w:r>
      <w:r>
        <w:fldChar w:fldCharType="begin"/>
      </w:r>
      <w:r>
        <w:instrText xml:space="preserve"> PAGEREF _Toc22735 \h </w:instrText>
      </w:r>
      <w:r>
        <w:fldChar w:fldCharType="separate"/>
      </w:r>
      <w:r>
        <w:t>33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_Toc1010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kern w:val="0"/>
          <w:szCs w:val="28"/>
          <w:highlight w:val="none"/>
          <w:lang w:val="en-US" w:eastAsia="zh-CN" w:bidi="ar-SA"/>
        </w:rPr>
        <w:t>8.供应商可提供有利于投标的其他证明材料</w:t>
      </w:r>
      <w:r>
        <w:tab/>
      </w:r>
      <w:r>
        <w:fldChar w:fldCharType="begin"/>
      </w:r>
      <w:r>
        <w:instrText xml:space="preserve"> PAGEREF _Toc1010 \h </w:instrText>
      </w:r>
      <w:r>
        <w:fldChar w:fldCharType="separate"/>
      </w:r>
      <w:r>
        <w:t>33</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_Toc31218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szCs w:val="28"/>
          <w:highlight w:val="none"/>
          <w:lang w:val="en-US" w:eastAsia="zh-CN"/>
        </w:rPr>
        <w:t>9.</w:t>
      </w:r>
      <w:r>
        <w:rPr>
          <w:rFonts w:hint="eastAsia" w:ascii="宋体" w:hAnsi="宋体" w:eastAsia="宋体" w:cs="宋体"/>
          <w:i w:val="0"/>
          <w:caps w:val="0"/>
          <w:spacing w:val="0"/>
          <w:w w:val="100"/>
          <w:szCs w:val="28"/>
          <w:highlight w:val="none"/>
          <w:lang w:eastAsia="zh-CN"/>
        </w:rPr>
        <w:t>响应文件</w:t>
      </w:r>
      <w:r>
        <w:rPr>
          <w:rFonts w:hint="eastAsia" w:ascii="宋体" w:hAnsi="宋体" w:eastAsia="宋体" w:cs="宋体"/>
          <w:i w:val="0"/>
          <w:caps w:val="0"/>
          <w:spacing w:val="0"/>
          <w:w w:val="100"/>
          <w:szCs w:val="28"/>
          <w:highlight w:val="none"/>
        </w:rPr>
        <w:t>格式范本</w:t>
      </w:r>
      <w:r>
        <w:tab/>
      </w:r>
      <w:r>
        <w:fldChar w:fldCharType="begin"/>
      </w:r>
      <w:r>
        <w:instrText xml:space="preserve"> PAGEREF _Toc31218 \h </w:instrText>
      </w:r>
      <w:r>
        <w:fldChar w:fldCharType="separate"/>
      </w:r>
      <w:r>
        <w:t>34</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_Toc26518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第3章</w:t>
      </w:r>
      <w:r>
        <w:rPr>
          <w:rFonts w:hint="eastAsia" w:ascii="宋体" w:hAnsi="宋体" w:eastAsia="宋体" w:cs="宋体"/>
          <w:highlight w:val="none"/>
        </w:rPr>
        <w:t xml:space="preserve"> </w:t>
      </w:r>
      <w:r>
        <w:rPr>
          <w:rFonts w:hint="eastAsia" w:ascii="宋体" w:hAnsi="宋体" w:eastAsia="宋体" w:cs="宋体"/>
          <w:highlight w:val="none"/>
          <w:lang w:eastAsia="zh-CN"/>
        </w:rPr>
        <w:t>磋商</w:t>
      </w:r>
      <w:r>
        <w:rPr>
          <w:rFonts w:hint="eastAsia" w:ascii="宋体" w:hAnsi="宋体" w:eastAsia="宋体" w:cs="宋体"/>
          <w:highlight w:val="none"/>
        </w:rPr>
        <w:t>邀请</w:t>
      </w:r>
      <w:r>
        <w:tab/>
      </w:r>
      <w:r>
        <w:fldChar w:fldCharType="begin"/>
      </w:r>
      <w:r>
        <w:instrText xml:space="preserve"> PAGEREF _Toc26518 \h </w:instrText>
      </w:r>
      <w:r>
        <w:fldChar w:fldCharType="separate"/>
      </w:r>
      <w:r>
        <w:t>37</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_Toc17364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lang w:val="en-US" w:eastAsia="zh-CN"/>
        </w:rPr>
        <w:t xml:space="preserve">第4章 </w:t>
      </w:r>
      <w:r>
        <w:rPr>
          <w:rFonts w:hint="eastAsia" w:ascii="宋体" w:hAnsi="宋体" w:eastAsia="宋体" w:cs="宋体"/>
          <w:highlight w:val="none"/>
          <w:lang w:eastAsia="zh-CN"/>
        </w:rPr>
        <w:t>供应商</w:t>
      </w:r>
      <w:r>
        <w:rPr>
          <w:rFonts w:hint="eastAsia" w:ascii="宋体" w:hAnsi="宋体" w:eastAsia="宋体" w:cs="宋体"/>
          <w:highlight w:val="none"/>
        </w:rPr>
        <w:t>须知资料表</w:t>
      </w:r>
      <w:r>
        <w:tab/>
      </w:r>
      <w:r>
        <w:fldChar w:fldCharType="begin"/>
      </w:r>
      <w:r>
        <w:instrText xml:space="preserve"> PAGEREF _Toc17364 \h </w:instrText>
      </w:r>
      <w:r>
        <w:fldChar w:fldCharType="separate"/>
      </w:r>
      <w:r>
        <w:t>40</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_Toc3165 </w:instrText>
      </w:r>
      <w:r>
        <w:rPr>
          <w:rFonts w:hint="eastAsia" w:ascii="宋体" w:hAnsi="宋体" w:eastAsia="宋体" w:cs="宋体"/>
          <w:kern w:val="0"/>
          <w:szCs w:val="21"/>
          <w:highlight w:val="none"/>
        </w:rPr>
        <w:fldChar w:fldCharType="separate"/>
      </w:r>
      <w:r>
        <w:rPr>
          <w:rFonts w:hint="eastAsia" w:ascii="宋体" w:hAnsi="宋体" w:eastAsia="宋体" w:cs="宋体"/>
          <w:szCs w:val="32"/>
          <w:highlight w:val="none"/>
          <w:lang w:val="en-US" w:eastAsia="zh-CN"/>
        </w:rPr>
        <w:t xml:space="preserve">第5章 </w:t>
      </w:r>
      <w:r>
        <w:rPr>
          <w:rFonts w:hint="eastAsia" w:ascii="宋体" w:hAnsi="宋体" w:cs="宋体"/>
          <w:szCs w:val="32"/>
          <w:highlight w:val="none"/>
          <w:lang w:val="en-US" w:eastAsia="zh-CN"/>
        </w:rPr>
        <w:t>服务</w:t>
      </w:r>
      <w:r>
        <w:rPr>
          <w:rFonts w:hint="eastAsia" w:ascii="宋体" w:hAnsi="宋体" w:eastAsia="宋体" w:cs="宋体"/>
          <w:highlight w:val="none"/>
          <w:lang w:val="en-US" w:eastAsia="zh-CN"/>
        </w:rPr>
        <w:t>需求</w:t>
      </w:r>
      <w:r>
        <w:rPr>
          <w:rFonts w:hint="eastAsia" w:hAnsi="宋体" w:cs="宋体"/>
          <w:highlight w:val="none"/>
          <w:lang w:val="en-US" w:eastAsia="zh-CN"/>
        </w:rPr>
        <w:t>及项目要求</w:t>
      </w:r>
      <w:r>
        <w:tab/>
      </w:r>
      <w:r>
        <w:fldChar w:fldCharType="begin"/>
      </w:r>
      <w:r>
        <w:instrText xml:space="preserve"> PAGEREF _Toc3165 \h </w:instrText>
      </w:r>
      <w:r>
        <w:fldChar w:fldCharType="separate"/>
      </w:r>
      <w:r>
        <w:t>44</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_Toc30388 </w:instrText>
      </w:r>
      <w:r>
        <w:rPr>
          <w:rFonts w:hint="eastAsia" w:ascii="宋体" w:hAnsi="宋体" w:eastAsia="宋体" w:cs="宋体"/>
          <w:kern w:val="0"/>
          <w:szCs w:val="21"/>
          <w:highlight w:val="none"/>
        </w:rPr>
        <w:fldChar w:fldCharType="separate"/>
      </w:r>
      <w:r>
        <w:rPr>
          <w:rFonts w:hint="eastAsia" w:ascii="宋体" w:hAnsi="宋体" w:eastAsia="宋体" w:cs="宋体"/>
          <w:bCs/>
          <w:kern w:val="0"/>
          <w:szCs w:val="28"/>
          <w:highlight w:val="none"/>
          <w:lang w:val="en-US" w:eastAsia="zh-CN"/>
        </w:rPr>
        <w:t>一、</w:t>
      </w:r>
      <w:r>
        <w:rPr>
          <w:rFonts w:hint="eastAsia" w:ascii="宋体" w:hAnsi="宋体" w:cs="宋体"/>
          <w:bCs/>
          <w:kern w:val="0"/>
          <w:szCs w:val="28"/>
          <w:highlight w:val="none"/>
          <w:lang w:val="en-US" w:eastAsia="zh-CN"/>
        </w:rPr>
        <w:t>服务</w:t>
      </w:r>
      <w:r>
        <w:rPr>
          <w:rFonts w:hint="eastAsia" w:ascii="宋体" w:hAnsi="宋体" w:eastAsia="宋体" w:cs="宋体"/>
          <w:bCs/>
          <w:kern w:val="0"/>
          <w:szCs w:val="28"/>
          <w:highlight w:val="none"/>
          <w:lang w:val="en-US" w:eastAsia="zh-CN"/>
        </w:rPr>
        <w:t>需求</w:t>
      </w:r>
      <w:r>
        <w:tab/>
      </w:r>
      <w:r>
        <w:fldChar w:fldCharType="begin"/>
      </w:r>
      <w:r>
        <w:instrText xml:space="preserve"> PAGEREF _Toc30388 \h </w:instrText>
      </w:r>
      <w:r>
        <w:fldChar w:fldCharType="separate"/>
      </w:r>
      <w:r>
        <w:t>44</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_Toc1227 </w:instrText>
      </w:r>
      <w:r>
        <w:rPr>
          <w:rFonts w:hint="eastAsia" w:ascii="宋体" w:hAnsi="宋体" w:eastAsia="宋体" w:cs="宋体"/>
          <w:kern w:val="0"/>
          <w:szCs w:val="21"/>
          <w:highlight w:val="none"/>
        </w:rPr>
        <w:fldChar w:fldCharType="separate"/>
      </w:r>
      <w:r>
        <w:rPr>
          <w:rFonts w:hint="eastAsia"/>
          <w:lang w:val="en-US" w:eastAsia="zh-CN"/>
        </w:rPr>
        <w:t>二、</w:t>
      </w:r>
      <w:r>
        <w:rPr>
          <w:rFonts w:hint="eastAsia" w:ascii="宋体" w:hAnsi="宋体" w:cs="宋体"/>
          <w:bCs/>
          <w:kern w:val="0"/>
          <w:szCs w:val="28"/>
          <w:highlight w:val="none"/>
          <w:lang w:val="en-US" w:eastAsia="zh-CN"/>
        </w:rPr>
        <w:t>项目要求</w:t>
      </w:r>
      <w:r>
        <w:tab/>
      </w:r>
      <w:r>
        <w:fldChar w:fldCharType="begin"/>
      </w:r>
      <w:r>
        <w:instrText xml:space="preserve"> PAGEREF _Toc1227 \h </w:instrText>
      </w:r>
      <w:r>
        <w:fldChar w:fldCharType="separate"/>
      </w:r>
      <w:r>
        <w:t>46</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_Toc26722 </w:instrText>
      </w:r>
      <w:r>
        <w:rPr>
          <w:rFonts w:hint="eastAsia" w:ascii="宋体" w:hAnsi="宋体" w:eastAsia="宋体" w:cs="宋体"/>
          <w:kern w:val="0"/>
          <w:szCs w:val="21"/>
          <w:highlight w:val="none"/>
        </w:rPr>
        <w:fldChar w:fldCharType="separate"/>
      </w:r>
      <w:r>
        <w:rPr>
          <w:rFonts w:hint="eastAsia" w:ascii="宋体" w:hAnsi="宋体" w:eastAsia="宋体" w:cs="宋体"/>
          <w:i w:val="0"/>
          <w:caps w:val="0"/>
          <w:spacing w:val="0"/>
          <w:w w:val="100"/>
          <w:highlight w:val="none"/>
        </w:rPr>
        <w:t>第6章 评审方法和标准</w:t>
      </w:r>
      <w:r>
        <w:tab/>
      </w:r>
      <w:r>
        <w:fldChar w:fldCharType="begin"/>
      </w:r>
      <w:r>
        <w:instrText xml:space="preserve"> PAGEREF _Toc26722 \h </w:instrText>
      </w:r>
      <w:r>
        <w:fldChar w:fldCharType="separate"/>
      </w:r>
      <w:r>
        <w:t>51</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_Toc22412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初步评审—资格性审查表</w:t>
      </w:r>
      <w:r>
        <w:tab/>
      </w:r>
      <w:r>
        <w:fldChar w:fldCharType="begin"/>
      </w:r>
      <w:r>
        <w:instrText xml:space="preserve"> PAGEREF _Toc22412 \h </w:instrText>
      </w:r>
      <w:r>
        <w:fldChar w:fldCharType="separate"/>
      </w:r>
      <w:r>
        <w:t>57</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_Toc17953 </w:instrText>
      </w:r>
      <w:r>
        <w:rPr>
          <w:rFonts w:hint="eastAsia" w:ascii="宋体" w:hAnsi="宋体" w:eastAsia="宋体" w:cs="宋体"/>
          <w:kern w:val="0"/>
          <w:szCs w:val="21"/>
          <w:highlight w:val="none"/>
        </w:rPr>
        <w:fldChar w:fldCharType="separate"/>
      </w:r>
      <w:r>
        <w:rPr>
          <w:rFonts w:hint="eastAsia" w:ascii="宋体" w:hAnsi="宋体" w:eastAsia="宋体" w:cs="宋体"/>
          <w:bCs/>
          <w:szCs w:val="24"/>
          <w:highlight w:val="none"/>
        </w:rPr>
        <w:t>初步评审—符合性审查表</w:t>
      </w:r>
      <w:r>
        <w:tab/>
      </w:r>
      <w:r>
        <w:fldChar w:fldCharType="begin"/>
      </w:r>
      <w:r>
        <w:instrText xml:space="preserve"> PAGEREF _Toc17953 \h </w:instrText>
      </w:r>
      <w:r>
        <w:fldChar w:fldCharType="separate"/>
      </w:r>
      <w:r>
        <w:t>58</w:t>
      </w:r>
      <w:r>
        <w:fldChar w:fldCharType="end"/>
      </w:r>
      <w:r>
        <w:rPr>
          <w:rFonts w:hint="eastAsia" w:ascii="宋体" w:hAnsi="宋体" w:eastAsia="宋体" w:cs="宋体"/>
          <w:color w:val="auto"/>
          <w:kern w:val="0"/>
          <w:szCs w:val="21"/>
          <w:highlight w:val="none"/>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_Toc16825 </w:instrText>
      </w:r>
      <w:r>
        <w:rPr>
          <w:rFonts w:hint="eastAsia" w:ascii="宋体" w:hAnsi="宋体" w:eastAsia="宋体" w:cs="宋体"/>
          <w:kern w:val="0"/>
          <w:szCs w:val="21"/>
          <w:highlight w:val="none"/>
        </w:rPr>
        <w:fldChar w:fldCharType="separate"/>
      </w:r>
      <w:r>
        <w:rPr>
          <w:rFonts w:hint="eastAsia" w:ascii="宋体" w:hAnsi="宋体" w:eastAsia="宋体" w:cs="宋体"/>
          <w:highlight w:val="none"/>
        </w:rPr>
        <w:t>综合评分表</w:t>
      </w:r>
      <w:r>
        <w:tab/>
      </w:r>
      <w:r>
        <w:fldChar w:fldCharType="begin"/>
      </w:r>
      <w:r>
        <w:instrText xml:space="preserve"> PAGEREF _Toc16825 \h </w:instrText>
      </w:r>
      <w:r>
        <w:fldChar w:fldCharType="separate"/>
      </w:r>
      <w:r>
        <w:t>59</w:t>
      </w:r>
      <w:r>
        <w:fldChar w:fldCharType="end"/>
      </w:r>
      <w:r>
        <w:rPr>
          <w:rFonts w:hint="eastAsia" w:ascii="宋体" w:hAnsi="宋体" w:eastAsia="宋体" w:cs="宋体"/>
          <w:color w:val="auto"/>
          <w:kern w:val="0"/>
          <w:szCs w:val="21"/>
          <w:highlight w:val="none"/>
        </w:rPr>
        <w:fldChar w:fldCharType="end"/>
      </w: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0"/>
          <w:szCs w:val="21"/>
          <w:highlight w:val="none"/>
        </w:rPr>
        <w:fldChar w:fldCharType="begin"/>
      </w:r>
      <w:r>
        <w:rPr>
          <w:rFonts w:hint="eastAsia" w:ascii="宋体" w:hAnsi="宋体" w:eastAsia="宋体" w:cs="宋体"/>
          <w:kern w:val="0"/>
          <w:szCs w:val="21"/>
          <w:highlight w:val="none"/>
        </w:rPr>
        <w:instrText xml:space="preserve"> HYPERLINK \l _Toc12263 </w:instrText>
      </w:r>
      <w:r>
        <w:rPr>
          <w:rFonts w:hint="eastAsia" w:ascii="宋体" w:hAnsi="宋体" w:eastAsia="宋体" w:cs="宋体"/>
          <w:kern w:val="0"/>
          <w:szCs w:val="21"/>
          <w:highlight w:val="none"/>
        </w:rPr>
        <w:fldChar w:fldCharType="separate"/>
      </w:r>
      <w:r>
        <w:rPr>
          <w:rFonts w:hint="eastAsia" w:ascii="宋体" w:hAnsi="宋体" w:eastAsia="宋体" w:cs="宋体"/>
          <w:bCs/>
          <w:szCs w:val="32"/>
          <w:highlight w:val="none"/>
        </w:rPr>
        <w:t>第7章 政府采购合同</w:t>
      </w:r>
      <w:r>
        <w:tab/>
      </w:r>
      <w:r>
        <w:fldChar w:fldCharType="begin"/>
      </w:r>
      <w:r>
        <w:instrText xml:space="preserve"> PAGEREF _Toc12263 \h </w:instrText>
      </w:r>
      <w:r>
        <w:fldChar w:fldCharType="separate"/>
      </w:r>
      <w:r>
        <w:t>62</w:t>
      </w:r>
      <w:r>
        <w:fldChar w:fldCharType="end"/>
      </w:r>
      <w:r>
        <w:rPr>
          <w:rFonts w:hint="eastAsia" w:ascii="宋体" w:hAnsi="宋体" w:eastAsia="宋体" w:cs="宋体"/>
          <w:color w:val="auto"/>
          <w:kern w:val="0"/>
          <w:szCs w:val="21"/>
          <w:highlight w:val="none"/>
        </w:rPr>
        <w:fldChar w:fldCharType="end"/>
      </w:r>
    </w:p>
    <w:p>
      <w:pPr>
        <w:pStyle w:val="18"/>
        <w:tabs>
          <w:tab w:val="right" w:leader="dot" w:pos="8312"/>
        </w:tabs>
      </w:pPr>
    </w:p>
    <w:p>
      <w:pPr>
        <w:pStyle w:val="18"/>
        <w:keepNext w:val="0"/>
        <w:keepLines w:val="0"/>
        <w:pageBreakBefore w:val="0"/>
        <w:widowControl w:val="0"/>
        <w:tabs>
          <w:tab w:val="right" w:leader="dot" w:pos="8312"/>
        </w:tabs>
        <w:kinsoku/>
        <w:wordWrap/>
        <w:overflowPunct/>
        <w:topLinePunct w:val="0"/>
        <w:autoSpaceDE/>
        <w:autoSpaceDN/>
        <w:bidi w:val="0"/>
        <w:adjustRightInd/>
        <w:snapToGrid/>
        <w:spacing w:line="260" w:lineRule="exact"/>
        <w:textAlignment w:val="auto"/>
        <w:rPr>
          <w:rFonts w:hint="eastAsia" w:ascii="宋体" w:hAnsi="宋体" w:eastAsia="宋体" w:cs="宋体"/>
          <w:color w:val="auto"/>
          <w:highlight w:val="none"/>
        </w:rPr>
        <w:sectPr>
          <w:headerReference r:id="rId6" w:type="default"/>
          <w:footerReference r:id="rId7" w:type="default"/>
          <w:pgSz w:w="11906" w:h="16838"/>
          <w:pgMar w:top="1440" w:right="1797" w:bottom="1440" w:left="1797" w:header="851" w:footer="992" w:gutter="0"/>
          <w:pgNumType w:fmt="decimal" w:start="1"/>
          <w:cols w:space="720" w:num="1"/>
          <w:docGrid w:linePitch="312" w:charSpace="0"/>
        </w:sectPr>
      </w:pPr>
      <w:r>
        <w:rPr>
          <w:rFonts w:hint="eastAsia" w:ascii="宋体" w:hAnsi="宋体" w:eastAsia="宋体" w:cs="宋体"/>
          <w:color w:val="auto"/>
          <w:kern w:val="0"/>
          <w:szCs w:val="21"/>
          <w:highlight w:val="none"/>
        </w:rPr>
        <w:fldChar w:fldCharType="end"/>
      </w:r>
    </w:p>
    <w:p>
      <w:pPr>
        <w:pStyle w:val="3"/>
        <w:tabs>
          <w:tab w:val="left" w:pos="0"/>
        </w:tabs>
        <w:spacing w:before="0" w:after="0" w:line="240" w:lineRule="atLeast"/>
        <w:jc w:val="center"/>
        <w:rPr>
          <w:rFonts w:hint="eastAsia" w:ascii="宋体" w:hAnsi="宋体" w:eastAsia="宋体" w:cs="宋体"/>
          <w:color w:val="auto"/>
          <w:highlight w:val="none"/>
        </w:rPr>
      </w:pPr>
      <w:bookmarkStart w:id="3" w:name="_Toc14480"/>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bookmarkEnd w:id="3"/>
    </w:p>
    <w:p>
      <w:pPr>
        <w:pStyle w:val="4"/>
        <w:spacing w:before="0" w:line="240" w:lineRule="atLeast"/>
        <w:ind w:left="1080" w:leftChars="257" w:hanging="540"/>
        <w:rPr>
          <w:rFonts w:hint="eastAsia" w:ascii="宋体" w:hAnsi="宋体" w:eastAsia="宋体" w:cs="宋体"/>
          <w:color w:val="auto"/>
          <w:sz w:val="24"/>
          <w:szCs w:val="24"/>
          <w:highlight w:val="none"/>
        </w:rPr>
      </w:pPr>
      <w:bookmarkStart w:id="4" w:name="_Toc515647757"/>
      <w:bookmarkStart w:id="5" w:name="_Toc216582805"/>
      <w:bookmarkStart w:id="6" w:name="_Toc520356143"/>
      <w:bookmarkStart w:id="7" w:name="_Toc19645"/>
      <w:bookmarkStart w:id="8" w:name="_Toc23018"/>
      <w:bookmarkStart w:id="9" w:name="_Toc21015"/>
      <w:bookmarkStart w:id="10" w:name="_Toc7027"/>
      <w:bookmarkStart w:id="11" w:name="_Toc5597"/>
      <w:bookmarkStart w:id="12" w:name="_Toc21215"/>
      <w:bookmarkStart w:id="13" w:name="_Toc16706"/>
      <w:r>
        <w:rPr>
          <w:rFonts w:hint="eastAsia" w:ascii="宋体" w:hAnsi="宋体" w:eastAsia="宋体" w:cs="宋体"/>
          <w:color w:val="auto"/>
          <w:sz w:val="24"/>
          <w:szCs w:val="24"/>
          <w:highlight w:val="none"/>
        </w:rPr>
        <w:t xml:space="preserve">一   </w:t>
      </w:r>
      <w:bookmarkEnd w:id="4"/>
      <w:bookmarkEnd w:id="5"/>
      <w:bookmarkEnd w:id="6"/>
      <w:r>
        <w:rPr>
          <w:rFonts w:hint="eastAsia" w:ascii="宋体" w:hAnsi="宋体" w:eastAsia="宋体" w:cs="宋体"/>
          <w:color w:val="auto"/>
          <w:sz w:val="24"/>
          <w:szCs w:val="24"/>
          <w:highlight w:val="none"/>
        </w:rPr>
        <w:t>总 则</w:t>
      </w:r>
      <w:bookmarkEnd w:id="7"/>
      <w:bookmarkEnd w:id="8"/>
      <w:bookmarkEnd w:id="9"/>
      <w:bookmarkEnd w:id="10"/>
      <w:bookmarkEnd w:id="11"/>
      <w:bookmarkEnd w:id="12"/>
      <w:bookmarkEnd w:id="13"/>
    </w:p>
    <w:p>
      <w:pPr>
        <w:pStyle w:val="2"/>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szCs w:val="24"/>
          <w:highlight w:val="none"/>
          <w:u w:val="single" w:color="000000"/>
        </w:rPr>
      </w:pPr>
      <w:bookmarkStart w:id="14" w:name="_Toc32623"/>
      <w:bookmarkStart w:id="15" w:name="_Toc32189"/>
      <w:bookmarkStart w:id="16" w:name="_Toc515647758"/>
      <w:bookmarkStart w:id="17" w:name="_Toc520356144"/>
      <w:bookmarkStart w:id="18" w:name="_Toc11217"/>
      <w:bookmarkStart w:id="19" w:name="_Toc1134"/>
      <w:bookmarkStart w:id="20" w:name="_Toc16501"/>
      <w:bookmarkStart w:id="21" w:name="_Toc15290"/>
      <w:bookmarkStart w:id="22" w:name="_Toc9574"/>
      <w:bookmarkStart w:id="23" w:name="_Toc28974"/>
      <w:bookmarkStart w:id="24" w:name="_Toc19826"/>
      <w:bookmarkStart w:id="25" w:name="_Toc23887"/>
      <w:bookmarkStart w:id="26" w:name="_Toc18866"/>
      <w:bookmarkStart w:id="27" w:name="_Toc16079"/>
      <w:bookmarkStart w:id="28" w:name="_Toc16328"/>
      <w:bookmarkStart w:id="29" w:name="_Toc5853"/>
      <w:bookmarkStart w:id="30" w:name="_Toc12920"/>
      <w:bookmarkStart w:id="31" w:name="_Toc4619"/>
      <w:r>
        <w:rPr>
          <w:rFonts w:hint="eastAsia" w:ascii="宋体" w:hAnsi="宋体" w:eastAsia="宋体" w:cs="宋体"/>
          <w:b/>
          <w:i w:val="0"/>
          <w:caps w:val="0"/>
          <w:color w:val="auto"/>
          <w:spacing w:val="0"/>
          <w:w w:val="100"/>
          <w:sz w:val="24"/>
          <w:szCs w:val="24"/>
          <w:highlight w:val="none"/>
          <w:u w:val="single" w:color="000000"/>
        </w:rPr>
        <w:t>1.采购人、采购代理机构及</w:t>
      </w:r>
      <w:bookmarkEnd w:id="14"/>
      <w:bookmarkEnd w:id="15"/>
      <w:bookmarkEnd w:id="16"/>
      <w:bookmarkEnd w:id="17"/>
      <w:r>
        <w:rPr>
          <w:rFonts w:hint="eastAsia" w:ascii="宋体" w:hAnsi="宋体" w:eastAsia="宋体" w:cs="宋体"/>
          <w:b/>
          <w:i w:val="0"/>
          <w:caps w:val="0"/>
          <w:color w:val="auto"/>
          <w:spacing w:val="0"/>
          <w:w w:val="100"/>
          <w:sz w:val="24"/>
          <w:szCs w:val="24"/>
          <w:highlight w:val="none"/>
          <w:u w:val="single" w:color="000000"/>
        </w:rPr>
        <w:t>供应商</w:t>
      </w:r>
      <w:bookmarkEnd w:id="18"/>
      <w:bookmarkEnd w:id="19"/>
      <w:bookmarkEnd w:id="20"/>
      <w:bookmarkEnd w:id="21"/>
      <w:bookmarkEnd w:id="22"/>
      <w:bookmarkEnd w:id="23"/>
      <w:bookmarkEnd w:id="24"/>
      <w:bookmarkEnd w:id="25"/>
      <w:bookmarkEnd w:id="26"/>
      <w:bookmarkEnd w:id="27"/>
    </w:p>
    <w:p>
      <w:pPr>
        <w:pageBreakBefore w:val="0"/>
        <w:numPr>
          <w:ilvl w:val="0"/>
          <w:numId w:val="0"/>
        </w:numPr>
        <w:shd w:val="clear"/>
        <w:tabs>
          <w:tab w:val="left" w:pos="0"/>
        </w:tabs>
        <w:kinsoku/>
        <w:wordWrap/>
        <w:overflowPunct/>
        <w:topLinePunct w:val="0"/>
        <w:bidi w:val="0"/>
        <w:snapToGrid w:val="0"/>
        <w:spacing w:before="0" w:beforeAutospacing="0" w:after="0" w:afterAutospacing="0" w:line="360" w:lineRule="exact"/>
        <w:ind w:left="-898" w:leftChars="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 xml:space="preserve">       1.1    </w:t>
      </w:r>
      <w:r>
        <w:rPr>
          <w:rFonts w:hint="eastAsia" w:ascii="宋体" w:hAnsi="宋体" w:eastAsia="宋体" w:cs="宋体"/>
          <w:b w:val="0"/>
          <w:i w:val="0"/>
          <w:caps w:val="0"/>
          <w:color w:val="auto"/>
          <w:spacing w:val="0"/>
          <w:w w:val="100"/>
          <w:sz w:val="24"/>
          <w:highlight w:val="none"/>
        </w:rPr>
        <w:t>采购人：是指依法开展政府采购活动的国家机关、事业单位、团体组织。</w:t>
      </w:r>
    </w:p>
    <w:p>
      <w:pPr>
        <w:pageBreakBefore w:val="0"/>
        <w:shd w:val="clear"/>
        <w:tabs>
          <w:tab w:val="left" w:pos="0"/>
        </w:tabs>
        <w:kinsoku/>
        <w:wordWrap/>
        <w:overflowPunct/>
        <w:topLinePunct w:val="0"/>
        <w:bidi w:val="0"/>
        <w:snapToGrid w:val="0"/>
        <w:spacing w:before="0" w:beforeAutospacing="0" w:after="0" w:afterAutospacing="0" w:line="360" w:lineRule="exact"/>
        <w:ind w:left="0" w:leftChars="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本项目的采购人见</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val="0"/>
        <w:spacing w:before="0" w:beforeAutospacing="0" w:after="0" w:afterAutospacing="0" w:line="360" w:lineRule="exact"/>
        <w:ind w:leftChars="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 xml:space="preserve">1.2   </w:t>
      </w:r>
      <w:r>
        <w:rPr>
          <w:rFonts w:hint="eastAsia" w:ascii="宋体" w:hAnsi="宋体" w:eastAsia="宋体" w:cs="宋体"/>
          <w:b w:val="0"/>
          <w:i w:val="0"/>
          <w:caps w:val="0"/>
          <w:color w:val="auto"/>
          <w:spacing w:val="0"/>
          <w:w w:val="100"/>
          <w:sz w:val="24"/>
          <w:highlight w:val="none"/>
        </w:rPr>
        <w:t>采购代理机构：是指在集中采购机构或从事采购代理业务的社会中介机构。本项目的采购代理机构见</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w:t>
      </w:r>
    </w:p>
    <w:p>
      <w:pPr>
        <w:pageBreakBefore w:val="0"/>
        <w:numPr>
          <w:ilvl w:val="0"/>
          <w:numId w:val="0"/>
        </w:numPr>
        <w:shd w:val="clear"/>
        <w:kinsoku/>
        <w:wordWrap/>
        <w:overflowPunct/>
        <w:topLinePunct w:val="0"/>
        <w:bidi w:val="0"/>
        <w:snapToGrid w:val="0"/>
        <w:spacing w:before="0" w:beforeAutospacing="0" w:after="0" w:afterAutospacing="0" w:line="360" w:lineRule="exact"/>
        <w:ind w:left="-63" w:leftChars="-30" w:firstLine="0" w:firstLineChars="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 xml:space="preserve">1.3   </w:t>
      </w:r>
      <w:r>
        <w:rPr>
          <w:rFonts w:hint="eastAsia" w:ascii="宋体" w:hAnsi="宋体" w:eastAsia="宋体" w:cs="宋体"/>
          <w:b w:val="0"/>
          <w:i w:val="0"/>
          <w:caps w:val="0"/>
          <w:color w:val="auto"/>
          <w:spacing w:val="0"/>
          <w:w w:val="100"/>
          <w:sz w:val="24"/>
          <w:highlight w:val="none"/>
        </w:rPr>
        <w:t>供应商：是指向采购人提供货物、工程或者</w:t>
      </w:r>
      <w:r>
        <w:rPr>
          <w:rFonts w:hint="eastAsia" w:ascii="宋体" w:hAnsi="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的</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、非</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组织或者自然人。本项目的供应商及其磋商</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须满足以下条件：</w:t>
      </w:r>
    </w:p>
    <w:p>
      <w:pPr>
        <w:pageBreakBefore w:val="0"/>
        <w:shd w:val="clear"/>
        <w:kinsoku/>
        <w:wordWrap/>
        <w:overflowPunct/>
        <w:topLinePunct w:val="0"/>
        <w:bidi w:val="0"/>
        <w:snapToGrid w:val="0"/>
        <w:spacing w:before="0" w:beforeAutospacing="0" w:after="0" w:afterAutospacing="0" w:line="360" w:lineRule="exact"/>
        <w:ind w:left="849" w:leftChars="0" w:hangingChars="354"/>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1.3.1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在中华人民共和国境内注册，能够独立承担民事责任，有生产或供应能力的本国供应商。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1.3.2  具备《中华人民共和国政府采购法》第二十二条关于供应商条件的规定，遵守本项目采购人本级和上级财政部门政府采购的有关规定。</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1.3.3   以采购代理机构认可的方式获得了本项目的磋商文件。</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1.3.4   符合</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中规定的其他要求。</w:t>
      </w:r>
    </w:p>
    <w:p>
      <w:pPr>
        <w:pageBreakBefore w:val="0"/>
        <w:shd w:val="clear"/>
        <w:kinsoku/>
        <w:wordWrap/>
        <w:overflowPunct/>
        <w:topLinePunct w:val="0"/>
        <w:bidi w:val="0"/>
        <w:snapToGrid w:val="0"/>
        <w:spacing w:before="0" w:beforeAutospacing="0" w:after="0" w:afterAutospacing="0" w:line="360" w:lineRule="exact"/>
        <w:ind w:left="840" w:leftChars="0" w:hangingChars="35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1.3.5   若</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中写明专门面向中小企业采购的，如供应商为非中小企业且所投产品为非中小企业产品，其磋商将被认定为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     如</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中允许联合体磋商，对联合体规定如下：</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1.4.1   两个以上供应商可以组成一个磋商联合体，以一个供应商的身份磋商。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1.4.2   联合体各方均应符合《中华人民共和国政府采购法》第二十二条规定的条件。</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1.4.3   采购人根据采购项目对供应商的特殊要求，联合体中至少应当有一方符合相关规定。</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1.4.4   联合体各方应签订共同磋商协议，明确约定联合体各方承担的工作和相应的责任，并将共同磋商协议连同作为磋商文件第一部分的内容提交。</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1.4.5   大中型企业、其他自然人、</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或者非</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组织与小型、微型企业组成联合体共同参加磋商，共同磋商协议中应写明小型、微型企业的协议合同金额占到共同磋商协议磋商总金额的比例。</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1.4.6  联合体中有同类资质的供应商按照联合体分工承担相同工作的，按照较低的资质等级确定联合体的资质等级。</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1.4.8   对联合体磋商的其他资格要求见</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1.5    单位负责人为同一人或者存在直接控股、管理关系的不同供应商，其相关磋商将被认定为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1.6    为本项目提供过整体设计、规范编制或者项目管理、监理、检测等</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的供应商，不得再参加本项目上述</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以外的其他采购活动。否则其磋商将被认定为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1.7</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供应商在磋商过程中不得向采购人提供、给予任何有价值的物品，影响其正常决策行为。一经发现，其将被认定为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Style w:val="2"/>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szCs w:val="24"/>
          <w:highlight w:val="none"/>
          <w:u w:val="single" w:color="000000"/>
        </w:rPr>
      </w:pPr>
      <w:bookmarkStart w:id="32" w:name="_Toc31303"/>
      <w:bookmarkStart w:id="33" w:name="_Toc515647759"/>
      <w:bookmarkStart w:id="34" w:name="_Toc15504"/>
      <w:bookmarkStart w:id="35" w:name="_Toc17954"/>
      <w:bookmarkStart w:id="36" w:name="_Toc12417"/>
      <w:bookmarkStart w:id="37" w:name="_Toc1145"/>
      <w:bookmarkStart w:id="38" w:name="_Toc570"/>
      <w:bookmarkStart w:id="39" w:name="_Toc5286"/>
      <w:bookmarkStart w:id="40" w:name="_Toc12139"/>
      <w:bookmarkStart w:id="41" w:name="_Toc23184"/>
      <w:bookmarkStart w:id="42" w:name="_Toc12082"/>
      <w:bookmarkStart w:id="43" w:name="_Toc21899"/>
      <w:bookmarkStart w:id="44" w:name="_Toc12994"/>
      <w:r>
        <w:rPr>
          <w:rFonts w:hint="eastAsia" w:ascii="宋体" w:hAnsi="宋体" w:eastAsia="宋体" w:cs="宋体"/>
          <w:b/>
          <w:i w:val="0"/>
          <w:caps w:val="0"/>
          <w:color w:val="auto"/>
          <w:spacing w:val="0"/>
          <w:w w:val="100"/>
          <w:sz w:val="24"/>
          <w:szCs w:val="24"/>
          <w:highlight w:val="none"/>
          <w:u w:val="single" w:color="000000"/>
        </w:rPr>
        <w:t>2.资金来源</w:t>
      </w:r>
      <w:bookmarkEnd w:id="32"/>
      <w:bookmarkEnd w:id="33"/>
      <w:bookmarkEnd w:id="34"/>
      <w:bookmarkEnd w:id="35"/>
      <w:bookmarkEnd w:id="36"/>
      <w:bookmarkEnd w:id="37"/>
      <w:bookmarkEnd w:id="38"/>
      <w:bookmarkEnd w:id="39"/>
      <w:bookmarkEnd w:id="40"/>
      <w:bookmarkEnd w:id="41"/>
      <w:bookmarkEnd w:id="42"/>
      <w:bookmarkEnd w:id="43"/>
      <w:bookmarkEnd w:id="44"/>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本项目的采购人已获得足以支付本次招标后所签订的合同项下的资金（包括财政性资金和本项目采购中无法与财政性资金分割的非财政性资金）。</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2.2    项目预算金额和分项或分包最高限价</w:t>
      </w:r>
      <w:r>
        <w:rPr>
          <w:rFonts w:hint="eastAsia" w:ascii="宋体" w:hAnsi="宋体" w:eastAsia="宋体" w:cs="宋体"/>
          <w:b w:val="0"/>
          <w:i w:val="0"/>
          <w:caps w:val="0"/>
          <w:color w:val="auto"/>
          <w:spacing w:val="0"/>
          <w:w w:val="100"/>
          <w:sz w:val="24"/>
          <w:highlight w:val="none"/>
          <w:u w:val="single" w:color="000000"/>
        </w:rPr>
        <w:t>见供应商须知资料表</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2.3    供应商报价超过磋商文件规定的预算金额或者分项、分包最高限价的，其磋商将被认定为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Style w:val="2"/>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szCs w:val="24"/>
          <w:highlight w:val="none"/>
          <w:u w:val="single" w:color="000000"/>
        </w:rPr>
      </w:pPr>
      <w:bookmarkStart w:id="45" w:name="_Toc28061"/>
      <w:bookmarkStart w:id="46" w:name="_Toc15936"/>
      <w:bookmarkStart w:id="47" w:name="_Toc16815"/>
      <w:bookmarkStart w:id="48" w:name="_Toc8"/>
      <w:bookmarkStart w:id="49" w:name="_Toc6076"/>
      <w:bookmarkStart w:id="50" w:name="_Toc20149"/>
      <w:bookmarkStart w:id="51" w:name="_Toc23939"/>
      <w:bookmarkStart w:id="52" w:name="_Toc91"/>
      <w:bookmarkStart w:id="53" w:name="_Toc20526"/>
      <w:bookmarkStart w:id="54" w:name="_Toc15302"/>
      <w:bookmarkStart w:id="55" w:name="_Toc520356145"/>
      <w:bookmarkStart w:id="56" w:name="_Toc15594"/>
      <w:bookmarkStart w:id="57" w:name="_Toc515647760"/>
      <w:bookmarkStart w:id="58" w:name="_Toc30341"/>
      <w:r>
        <w:rPr>
          <w:rFonts w:hint="eastAsia" w:ascii="宋体" w:hAnsi="宋体" w:eastAsia="宋体" w:cs="宋体"/>
          <w:b/>
          <w:i w:val="0"/>
          <w:caps w:val="0"/>
          <w:color w:val="auto"/>
          <w:spacing w:val="0"/>
          <w:w w:val="100"/>
          <w:sz w:val="24"/>
          <w:szCs w:val="24"/>
          <w:highlight w:val="none"/>
          <w:u w:val="single" w:color="000000"/>
        </w:rPr>
        <w:t>3.磋商费用</w:t>
      </w:r>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不论磋商的结果如何，供应商应承担所有与准备和参加磋商有关的费用。</w:t>
      </w:r>
    </w:p>
    <w:p>
      <w:pPr>
        <w:pStyle w:val="2"/>
        <w:pageBreakBefore w:val="0"/>
        <w:shd w:val="clear"/>
        <w:kinsoku/>
        <w:wordWrap/>
        <w:overflowPunct/>
        <w:topLinePunct w:val="0"/>
        <w:bidi w:val="0"/>
        <w:spacing w:before="0" w:after="0" w:line="360" w:lineRule="exact"/>
        <w:ind w:left="0" w:leftChars="0"/>
        <w:outlineLvl w:val="1"/>
        <w:rPr>
          <w:rFonts w:hint="eastAsia" w:ascii="宋体" w:hAnsi="宋体" w:eastAsia="宋体" w:cs="宋体"/>
          <w:color w:val="auto"/>
          <w:sz w:val="24"/>
          <w:szCs w:val="24"/>
          <w:highlight w:val="none"/>
          <w:u w:val="none"/>
        </w:rPr>
      </w:pPr>
      <w:bookmarkStart w:id="59" w:name="_Toc15309"/>
      <w:bookmarkStart w:id="60" w:name="_Toc22838"/>
      <w:bookmarkStart w:id="61" w:name="_Toc15474"/>
      <w:r>
        <w:rPr>
          <w:rFonts w:hint="eastAsia" w:ascii="宋体" w:hAnsi="宋体" w:eastAsia="宋体" w:cs="宋体"/>
          <w:color w:val="auto"/>
          <w:sz w:val="24"/>
          <w:szCs w:val="24"/>
          <w:highlight w:val="none"/>
          <w:u w:val="none"/>
        </w:rPr>
        <w:t>4.适用法律</w:t>
      </w:r>
      <w:bookmarkEnd w:id="28"/>
      <w:bookmarkEnd w:id="29"/>
      <w:bookmarkEnd w:id="30"/>
      <w:bookmarkEnd w:id="31"/>
      <w:bookmarkEnd w:id="59"/>
      <w:bookmarkEnd w:id="60"/>
      <w:bookmarkEnd w:id="61"/>
    </w:p>
    <w:p>
      <w:pPr>
        <w:pageBreakBefore w:val="0"/>
        <w:shd w:val="clear"/>
        <w:kinsoku/>
        <w:wordWrap/>
        <w:overflowPunct/>
        <w:topLinePunct w:val="0"/>
        <w:bidi w:val="0"/>
        <w:spacing w:line="360" w:lineRule="exact"/>
        <w:ind w:left="900" w:leftChars="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、《政府采购竞争性磋商采购方式管理暂行办法》</w:t>
      </w:r>
      <w:r>
        <w:rPr>
          <w:rFonts w:hint="eastAsia" w:ascii="宋体" w:hAnsi="宋体" w:eastAsia="宋体" w:cs="宋体"/>
          <w:color w:val="auto"/>
          <w:sz w:val="24"/>
          <w:highlight w:val="none"/>
        </w:rPr>
        <w:t>令</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pPr>
        <w:pageBreakBefore w:val="0"/>
        <w:shd w:val="clear"/>
        <w:kinsoku/>
        <w:wordWrap/>
        <w:overflowPunct/>
        <w:topLinePunct w:val="0"/>
        <w:bidi w:val="0"/>
        <w:snapToGrid w:val="0"/>
        <w:spacing w:before="0" w:beforeAutospacing="0" w:after="0" w:afterAutospacing="0" w:line="360" w:lineRule="exact"/>
        <w:ind w:left="0" w:leftChars="0"/>
        <w:jc w:val="both"/>
        <w:textAlignment w:val="baseline"/>
        <w:rPr>
          <w:rFonts w:hint="eastAsia" w:ascii="宋体" w:hAnsi="宋体" w:eastAsia="宋体" w:cs="宋体"/>
          <w:b w:val="0"/>
          <w:i w:val="0"/>
          <w:caps w:val="0"/>
          <w:color w:val="auto"/>
          <w:spacing w:val="0"/>
          <w:w w:val="100"/>
          <w:sz w:val="24"/>
          <w:highlight w:val="none"/>
        </w:rPr>
      </w:pPr>
    </w:p>
    <w:p>
      <w:pPr>
        <w:pStyle w:val="4"/>
        <w:pageBreakBefore w:val="0"/>
        <w:shd w:val="clear"/>
        <w:kinsoku/>
        <w:wordWrap/>
        <w:overflowPunct/>
        <w:topLinePunct w:val="0"/>
        <w:bidi w:val="0"/>
        <w:snapToGrid w:val="0"/>
        <w:spacing w:before="0" w:beforeAutospacing="0" w:after="0" w:afterAutospacing="0" w:line="360" w:lineRule="exact"/>
        <w:ind w:left="0" w:leftChars="0" w:hanging="540"/>
        <w:jc w:val="center"/>
        <w:textAlignment w:val="baseline"/>
        <w:outlineLvl w:val="1"/>
        <w:rPr>
          <w:rFonts w:hint="eastAsia" w:ascii="宋体" w:hAnsi="宋体" w:eastAsia="宋体" w:cs="宋体"/>
          <w:b/>
          <w:i w:val="0"/>
          <w:caps w:val="0"/>
          <w:color w:val="auto"/>
          <w:spacing w:val="0"/>
          <w:w w:val="100"/>
          <w:sz w:val="24"/>
          <w:szCs w:val="24"/>
          <w:highlight w:val="none"/>
        </w:rPr>
      </w:pPr>
      <w:bookmarkStart w:id="62" w:name="_Toc216582806"/>
      <w:bookmarkStart w:id="63" w:name="_Toc21566"/>
      <w:bookmarkStart w:id="64" w:name="_Toc515647762"/>
      <w:bookmarkStart w:id="65" w:name="_Toc4365"/>
      <w:bookmarkStart w:id="66" w:name="_Toc520356146"/>
      <w:bookmarkStart w:id="67" w:name="_Toc11946"/>
      <w:bookmarkStart w:id="68" w:name="_Toc11676"/>
      <w:r>
        <w:rPr>
          <w:rFonts w:hint="eastAsia" w:ascii="宋体" w:hAnsi="宋体" w:eastAsia="宋体" w:cs="宋体"/>
          <w:b/>
          <w:i w:val="0"/>
          <w:caps w:val="0"/>
          <w:color w:val="auto"/>
          <w:spacing w:val="0"/>
          <w:w w:val="100"/>
          <w:sz w:val="24"/>
          <w:szCs w:val="24"/>
          <w:highlight w:val="none"/>
        </w:rPr>
        <w:t xml:space="preserve">二   </w:t>
      </w:r>
      <w:bookmarkEnd w:id="62"/>
      <w:bookmarkEnd w:id="63"/>
      <w:bookmarkEnd w:id="64"/>
      <w:bookmarkEnd w:id="65"/>
      <w:bookmarkEnd w:id="66"/>
      <w:r>
        <w:rPr>
          <w:rFonts w:hint="eastAsia" w:ascii="宋体" w:hAnsi="宋体" w:eastAsia="宋体" w:cs="宋体"/>
          <w:b/>
          <w:i w:val="0"/>
          <w:caps w:val="0"/>
          <w:color w:val="auto"/>
          <w:spacing w:val="0"/>
          <w:w w:val="100"/>
          <w:sz w:val="24"/>
          <w:szCs w:val="24"/>
          <w:highlight w:val="none"/>
        </w:rPr>
        <w:t>磋商文件</w:t>
      </w:r>
      <w:bookmarkEnd w:id="67"/>
      <w:bookmarkEnd w:id="68"/>
    </w:p>
    <w:p>
      <w:pPr>
        <w:pStyle w:val="2"/>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szCs w:val="24"/>
          <w:highlight w:val="none"/>
          <w:u w:val="single" w:color="000000"/>
        </w:rPr>
      </w:pPr>
      <w:bookmarkStart w:id="69" w:name="_Toc520356147"/>
      <w:bookmarkStart w:id="70" w:name="_Toc13690"/>
      <w:bookmarkStart w:id="71" w:name="_Toc20128"/>
      <w:bookmarkStart w:id="72" w:name="_Toc27545"/>
      <w:bookmarkStart w:id="73" w:name="_Toc16061"/>
      <w:bookmarkStart w:id="74" w:name="_Toc6368"/>
      <w:bookmarkStart w:id="75" w:name="_Toc4254"/>
      <w:bookmarkStart w:id="76" w:name="_Toc27747"/>
      <w:bookmarkStart w:id="77" w:name="_Toc9520"/>
      <w:bookmarkStart w:id="78" w:name="_Toc14084"/>
      <w:bookmarkStart w:id="79" w:name="_Toc25743"/>
      <w:bookmarkStart w:id="80" w:name="_Toc13013"/>
      <w:bookmarkStart w:id="81" w:name="_Toc515647763"/>
      <w:bookmarkStart w:id="82" w:name="_Toc15429"/>
      <w:r>
        <w:rPr>
          <w:rFonts w:hint="eastAsia" w:ascii="宋体" w:hAnsi="宋体" w:eastAsia="宋体" w:cs="宋体"/>
          <w:b/>
          <w:i w:val="0"/>
          <w:caps w:val="0"/>
          <w:color w:val="auto"/>
          <w:spacing w:val="0"/>
          <w:w w:val="100"/>
          <w:sz w:val="24"/>
          <w:szCs w:val="24"/>
          <w:highlight w:val="none"/>
          <w:u w:val="single" w:color="000000"/>
        </w:rPr>
        <w:t>5.磋商文件构成</w:t>
      </w:r>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磋商文件分为三册共7章，内容如下：</w:t>
      </w:r>
    </w:p>
    <w:p>
      <w:pPr>
        <w:pageBreakBefore w:val="0"/>
        <w:shd w:val="clear"/>
        <w:kinsoku/>
        <w:wordWrap/>
        <w:overflowPunct/>
        <w:topLinePunct w:val="0"/>
        <w:bidi w:val="0"/>
        <w:snapToGrid w:val="0"/>
        <w:spacing w:before="0" w:beforeAutospacing="0" w:after="0" w:afterAutospacing="0" w:line="360" w:lineRule="exact"/>
        <w:jc w:val="both"/>
        <w:textAlignment w:val="baseline"/>
        <w:outlineLvl w:val="9"/>
        <w:rPr>
          <w:rFonts w:hint="eastAsia" w:ascii="宋体" w:hAnsi="宋体" w:eastAsia="宋体" w:cs="宋体"/>
          <w:b/>
          <w:bCs/>
          <w:i w:val="0"/>
          <w:caps w:val="0"/>
          <w:color w:val="auto"/>
          <w:spacing w:val="0"/>
          <w:w w:val="100"/>
          <w:sz w:val="24"/>
          <w:highlight w:val="none"/>
        </w:rPr>
      </w:pPr>
      <w:bookmarkStart w:id="83" w:name="_Toc15095"/>
      <w:bookmarkStart w:id="84" w:name="_Toc10681"/>
      <w:bookmarkStart w:id="85" w:name="_Toc30317"/>
      <w:r>
        <w:rPr>
          <w:rFonts w:hint="eastAsia" w:ascii="宋体" w:hAnsi="宋体" w:eastAsia="宋体" w:cs="宋体"/>
          <w:b/>
          <w:bCs/>
          <w:i w:val="0"/>
          <w:caps w:val="0"/>
          <w:color w:val="auto"/>
          <w:spacing w:val="0"/>
          <w:w w:val="100"/>
          <w:sz w:val="24"/>
          <w:highlight w:val="none"/>
        </w:rPr>
        <w:t>第一册</w:t>
      </w:r>
      <w:bookmarkEnd w:id="83"/>
      <w:bookmarkEnd w:id="84"/>
      <w:bookmarkEnd w:id="85"/>
    </w:p>
    <w:p>
      <w:pPr>
        <w:pageBreakBefore w:val="0"/>
        <w:numPr>
          <w:ilvl w:val="0"/>
          <w:numId w:val="0"/>
        </w:numPr>
        <w:shd w:val="clear"/>
        <w:tabs>
          <w:tab w:val="left" w:pos="0"/>
        </w:tabs>
        <w:kinsoku/>
        <w:wordWrap/>
        <w:overflowPunct/>
        <w:topLinePunct w:val="0"/>
        <w:bidi w:val="0"/>
        <w:snapToGrid w:val="0"/>
        <w:spacing w:before="0" w:beforeAutospacing="0" w:after="0" w:afterAutospacing="0" w:line="360" w:lineRule="exact"/>
        <w:ind w:left="-829"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 xml:space="preserve">       第1章</w:t>
      </w:r>
      <w:r>
        <w:rPr>
          <w:rFonts w:hint="eastAsia" w:ascii="宋体" w:hAnsi="宋体" w:eastAsia="宋体" w:cs="宋体"/>
          <w:b w:val="0"/>
          <w:i w:val="0"/>
          <w:caps w:val="0"/>
          <w:color w:val="auto"/>
          <w:spacing w:val="0"/>
          <w:w w:val="100"/>
          <w:sz w:val="24"/>
          <w:highlight w:val="none"/>
        </w:rPr>
        <w:t xml:space="preserve"> </w:t>
      </w:r>
      <w:r>
        <w:rPr>
          <w:rFonts w:hint="eastAsia" w:ascii="宋体" w:hAnsi="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供应商须知</w:t>
      </w:r>
    </w:p>
    <w:p>
      <w:pPr>
        <w:pageBreakBefore w:val="0"/>
        <w:numPr>
          <w:ilvl w:val="0"/>
          <w:numId w:val="0"/>
        </w:numPr>
        <w:shd w:val="clear"/>
        <w:kinsoku/>
        <w:wordWrap/>
        <w:overflowPunct/>
        <w:topLinePunct w:val="0"/>
        <w:bidi w:val="0"/>
        <w:snapToGrid w:val="0"/>
        <w:spacing w:before="0" w:beforeAutospacing="0" w:after="0" w:afterAutospacing="0" w:line="36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第2章</w:t>
      </w:r>
      <w:r>
        <w:rPr>
          <w:rFonts w:hint="eastAsia" w:ascii="宋体" w:hAnsi="宋体" w:eastAsia="宋体" w:cs="宋体"/>
          <w:b w:val="0"/>
          <w:i w:val="0"/>
          <w:caps w:val="0"/>
          <w:color w:val="auto"/>
          <w:spacing w:val="0"/>
          <w:w w:val="100"/>
          <w:sz w:val="24"/>
          <w:highlight w:val="none"/>
        </w:rPr>
        <w:t xml:space="preserve"> </w:t>
      </w:r>
      <w:r>
        <w:rPr>
          <w:rFonts w:hint="eastAsia" w:ascii="宋体" w:hAnsi="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响应文件格式</w:t>
      </w:r>
    </w:p>
    <w:p>
      <w:pPr>
        <w:pageBreakBefore w:val="0"/>
        <w:shd w:val="clear"/>
        <w:kinsoku/>
        <w:wordWrap/>
        <w:overflowPunct/>
        <w:topLinePunct w:val="0"/>
        <w:bidi w:val="0"/>
        <w:snapToGrid w:val="0"/>
        <w:spacing w:before="0" w:beforeAutospacing="0" w:after="0" w:afterAutospacing="0" w:line="360" w:lineRule="exact"/>
        <w:jc w:val="both"/>
        <w:textAlignment w:val="baseline"/>
        <w:outlineLvl w:val="9"/>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第二册</w:t>
      </w:r>
    </w:p>
    <w:p>
      <w:pPr>
        <w:pageBreakBefore w:val="0"/>
        <w:numPr>
          <w:ilvl w:val="0"/>
          <w:numId w:val="0"/>
        </w:numPr>
        <w:shd w:val="clear"/>
        <w:kinsoku/>
        <w:wordWrap/>
        <w:overflowPunct/>
        <w:topLinePunct w:val="0"/>
        <w:bidi w:val="0"/>
        <w:snapToGrid w:val="0"/>
        <w:spacing w:before="0" w:beforeAutospacing="0" w:after="0" w:afterAutospacing="0" w:line="36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 xml:space="preserve">第3章  </w:t>
      </w:r>
      <w:r>
        <w:rPr>
          <w:rFonts w:hint="eastAsia" w:ascii="宋体" w:hAnsi="宋体" w:eastAsia="宋体" w:cs="宋体"/>
          <w:b w:val="0"/>
          <w:i w:val="0"/>
          <w:caps w:val="0"/>
          <w:color w:val="auto"/>
          <w:spacing w:val="0"/>
          <w:w w:val="100"/>
          <w:sz w:val="24"/>
          <w:highlight w:val="none"/>
        </w:rPr>
        <w:t xml:space="preserve"> 磋商邀请</w:t>
      </w:r>
    </w:p>
    <w:p>
      <w:pPr>
        <w:pageBreakBefore w:val="0"/>
        <w:numPr>
          <w:ilvl w:val="0"/>
          <w:numId w:val="0"/>
        </w:numPr>
        <w:shd w:val="clear"/>
        <w:kinsoku/>
        <w:wordWrap/>
        <w:overflowPunct/>
        <w:topLinePunct w:val="0"/>
        <w:bidi w:val="0"/>
        <w:snapToGrid w:val="0"/>
        <w:spacing w:before="0" w:beforeAutospacing="0" w:after="0" w:afterAutospacing="0" w:line="36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 xml:space="preserve">第4章  </w:t>
      </w:r>
      <w:r>
        <w:rPr>
          <w:rFonts w:hint="eastAsia" w:ascii="宋体" w:hAnsi="宋体" w:eastAsia="宋体" w:cs="宋体"/>
          <w:b w:val="0"/>
          <w:i w:val="0"/>
          <w:caps w:val="0"/>
          <w:color w:val="auto"/>
          <w:spacing w:val="0"/>
          <w:w w:val="100"/>
          <w:sz w:val="24"/>
          <w:highlight w:val="none"/>
        </w:rPr>
        <w:t xml:space="preserve"> 供应商须知资料表</w:t>
      </w:r>
    </w:p>
    <w:p>
      <w:pPr>
        <w:pageBreakBefore w:val="0"/>
        <w:numPr>
          <w:ilvl w:val="0"/>
          <w:numId w:val="0"/>
        </w:numPr>
        <w:shd w:val="clear"/>
        <w:kinsoku/>
        <w:wordWrap/>
        <w:overflowPunct/>
        <w:topLinePunct w:val="0"/>
        <w:bidi w:val="0"/>
        <w:snapToGrid w:val="0"/>
        <w:spacing w:before="0" w:beforeAutospacing="0" w:after="0" w:afterAutospacing="0" w:line="36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第5章</w:t>
      </w:r>
      <w:r>
        <w:rPr>
          <w:rFonts w:hint="eastAsia" w:ascii="宋体" w:hAnsi="宋体" w:eastAsia="宋体" w:cs="宋体"/>
          <w:b w:val="0"/>
          <w:i w:val="0"/>
          <w:caps w:val="0"/>
          <w:color w:val="auto"/>
          <w:spacing w:val="0"/>
          <w:w w:val="100"/>
          <w:sz w:val="24"/>
          <w:highlight w:val="none"/>
        </w:rPr>
        <w:t xml:space="preserve"> </w:t>
      </w:r>
      <w:r>
        <w:rPr>
          <w:rFonts w:hint="eastAsia" w:ascii="宋体" w:hAnsi="宋体" w:cs="宋体"/>
          <w:b w:val="0"/>
          <w:i w:val="0"/>
          <w:caps w:val="0"/>
          <w:color w:val="auto"/>
          <w:spacing w:val="0"/>
          <w:w w:val="100"/>
          <w:sz w:val="24"/>
          <w:highlight w:val="none"/>
          <w:lang w:val="en-US" w:eastAsia="zh-CN"/>
        </w:rPr>
        <w:t xml:space="preserve">  建设</w:t>
      </w:r>
      <w:r>
        <w:rPr>
          <w:rFonts w:hint="eastAsia" w:ascii="宋体" w:hAnsi="宋体" w:eastAsia="宋体" w:cs="宋体"/>
          <w:b w:val="0"/>
          <w:i w:val="0"/>
          <w:caps w:val="0"/>
          <w:color w:val="auto"/>
          <w:spacing w:val="0"/>
          <w:w w:val="100"/>
          <w:sz w:val="24"/>
          <w:highlight w:val="none"/>
          <w:lang w:val="en-US" w:eastAsia="zh-CN"/>
        </w:rPr>
        <w:t>需求及项目要求</w:t>
      </w:r>
    </w:p>
    <w:p>
      <w:pPr>
        <w:pageBreakBefore w:val="0"/>
        <w:numPr>
          <w:ilvl w:val="0"/>
          <w:numId w:val="0"/>
        </w:numPr>
        <w:shd w:val="clear"/>
        <w:kinsoku/>
        <w:wordWrap/>
        <w:overflowPunct/>
        <w:topLinePunct w:val="0"/>
        <w:bidi w:val="0"/>
        <w:snapToGrid w:val="0"/>
        <w:spacing w:before="0" w:beforeAutospacing="0" w:after="0" w:afterAutospacing="0" w:line="36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lang w:val="en-US" w:eastAsia="zh-CN"/>
        </w:rPr>
        <w:t>第6章</w:t>
      </w:r>
      <w:r>
        <w:rPr>
          <w:rFonts w:hint="eastAsia" w:ascii="宋体" w:hAnsi="宋体" w:eastAsia="宋体" w:cs="宋体"/>
          <w:b w:val="0"/>
          <w:i w:val="0"/>
          <w:caps w:val="0"/>
          <w:color w:val="auto"/>
          <w:spacing w:val="0"/>
          <w:w w:val="100"/>
          <w:sz w:val="24"/>
          <w:highlight w:val="none"/>
        </w:rPr>
        <w:t xml:space="preserve"> </w:t>
      </w:r>
      <w:r>
        <w:rPr>
          <w:rFonts w:hint="eastAsia" w:ascii="宋体" w:hAnsi="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评审方法和标准</w:t>
      </w:r>
    </w:p>
    <w:p>
      <w:pPr>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第三册</w:t>
      </w:r>
    </w:p>
    <w:p>
      <w:pPr>
        <w:pageBreakBefore w:val="0"/>
        <w:numPr>
          <w:ilvl w:val="0"/>
          <w:numId w:val="0"/>
        </w:numPr>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bookmarkStart w:id="86" w:name="_Toc13686"/>
      <w:bookmarkStart w:id="87" w:name="_Toc1026"/>
      <w:bookmarkStart w:id="88" w:name="_Toc1474"/>
      <w:r>
        <w:rPr>
          <w:rFonts w:hint="eastAsia" w:ascii="宋体" w:hAnsi="宋体" w:eastAsia="宋体" w:cs="宋体"/>
          <w:b w:val="0"/>
          <w:i w:val="0"/>
          <w:caps w:val="0"/>
          <w:color w:val="auto"/>
          <w:spacing w:val="0"/>
          <w:w w:val="100"/>
          <w:sz w:val="24"/>
          <w:highlight w:val="none"/>
          <w:lang w:val="en-US" w:eastAsia="zh-CN"/>
        </w:rPr>
        <w:t xml:space="preserve">第7章 </w:t>
      </w:r>
      <w:r>
        <w:rPr>
          <w:rFonts w:hint="eastAsia" w:ascii="宋体" w:hAnsi="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政府采购合同格式</w:t>
      </w:r>
      <w:bookmarkEnd w:id="86"/>
      <w:bookmarkEnd w:id="87"/>
      <w:bookmarkEnd w:id="88"/>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bookmarkStart w:id="89" w:name="_Toc110"/>
      <w:bookmarkStart w:id="90" w:name="_Toc5765"/>
      <w:bookmarkStart w:id="91" w:name="_Toc26625"/>
      <w:r>
        <w:rPr>
          <w:rFonts w:hint="eastAsia" w:ascii="宋体" w:hAnsi="宋体" w:eastAsia="宋体" w:cs="宋体"/>
          <w:b w:val="0"/>
          <w:i w:val="0"/>
          <w:caps w:val="0"/>
          <w:color w:val="auto"/>
          <w:spacing w:val="0"/>
          <w:w w:val="100"/>
          <w:sz w:val="24"/>
          <w:highlight w:val="none"/>
        </w:rPr>
        <w:t>5.2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如本文件的前后内容不一致，以最后描述为准。</w:t>
      </w:r>
      <w:bookmarkEnd w:id="89"/>
      <w:bookmarkEnd w:id="90"/>
      <w:bookmarkEnd w:id="91"/>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szCs w:val="24"/>
          <w:highlight w:val="none"/>
          <w:u w:val="single" w:color="000000"/>
        </w:rPr>
      </w:pPr>
      <w:bookmarkStart w:id="92" w:name="_Toc520356148"/>
      <w:bookmarkStart w:id="93" w:name="_Toc515904805"/>
      <w:bookmarkStart w:id="94" w:name="_Toc26044"/>
      <w:bookmarkStart w:id="95" w:name="_Toc5371"/>
      <w:bookmarkStart w:id="96" w:name="_Toc73"/>
      <w:bookmarkStart w:id="97" w:name="_Toc19969"/>
      <w:bookmarkStart w:id="98" w:name="_Toc6163"/>
      <w:bookmarkStart w:id="99" w:name="_Toc9232"/>
      <w:bookmarkStart w:id="100" w:name="_Toc8912"/>
      <w:bookmarkStart w:id="101" w:name="_Toc5443"/>
      <w:r>
        <w:rPr>
          <w:rFonts w:hint="eastAsia" w:ascii="宋体" w:hAnsi="宋体" w:eastAsia="宋体" w:cs="宋体"/>
          <w:b/>
          <w:i w:val="0"/>
          <w:caps w:val="0"/>
          <w:color w:val="auto"/>
          <w:spacing w:val="0"/>
          <w:w w:val="100"/>
          <w:sz w:val="24"/>
          <w:szCs w:val="24"/>
          <w:highlight w:val="none"/>
          <w:u w:val="single" w:color="000000"/>
        </w:rPr>
        <w:t>6.磋商文件的澄清</w:t>
      </w:r>
      <w:bookmarkEnd w:id="92"/>
      <w:bookmarkEnd w:id="93"/>
      <w:r>
        <w:rPr>
          <w:rFonts w:hint="eastAsia" w:ascii="宋体" w:hAnsi="宋体" w:eastAsia="宋体" w:cs="宋体"/>
          <w:b/>
          <w:i w:val="0"/>
          <w:caps w:val="0"/>
          <w:color w:val="auto"/>
          <w:spacing w:val="0"/>
          <w:w w:val="100"/>
          <w:sz w:val="24"/>
          <w:szCs w:val="24"/>
          <w:highlight w:val="none"/>
          <w:u w:val="single" w:color="000000"/>
        </w:rPr>
        <w:t>与修改</w:t>
      </w:r>
      <w:bookmarkEnd w:id="94"/>
      <w:bookmarkEnd w:id="95"/>
      <w:bookmarkEnd w:id="96"/>
      <w:bookmarkEnd w:id="97"/>
      <w:bookmarkEnd w:id="98"/>
      <w:bookmarkEnd w:id="99"/>
      <w:bookmarkEnd w:id="100"/>
      <w:bookmarkEnd w:id="101"/>
    </w:p>
    <w:p>
      <w:pPr>
        <w:pStyle w:val="7"/>
        <w:pageBreakBefore w:val="0"/>
        <w:shd w:val="clear"/>
        <w:kinsoku/>
        <w:wordWrap/>
        <w:overflowPunct/>
        <w:topLinePunct w:val="0"/>
        <w:bidi w:val="0"/>
        <w:snapToGrid w:val="0"/>
        <w:spacing w:before="0" w:beforeAutospacing="0" w:after="0" w:afterAutospacing="0" w:line="360" w:lineRule="exact"/>
        <w:ind w:left="840" w:leftChars="0" w:hangingChars="350"/>
        <w:jc w:val="lef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6.1    为了保证对磋商文件的澄清和修改满足法律的时限要求，任何要求对磋商文件进行澄清的供应商，均应在磋商截止期</w:t>
      </w:r>
      <w:r>
        <w:rPr>
          <w:rFonts w:hint="eastAsia" w:hAnsi="宋体" w:cs="宋体"/>
          <w:b w:val="0"/>
          <w:i w:val="0"/>
          <w:caps w:val="0"/>
          <w:color w:val="auto"/>
          <w:spacing w:val="0"/>
          <w:w w:val="100"/>
          <w:sz w:val="24"/>
          <w:szCs w:val="24"/>
          <w:highlight w:val="none"/>
          <w:lang w:val="en-US" w:eastAsia="zh-CN"/>
        </w:rPr>
        <w:t>5个工作日</w:t>
      </w:r>
      <w:r>
        <w:rPr>
          <w:rFonts w:hint="eastAsia" w:ascii="宋体" w:hAnsi="宋体" w:eastAsia="宋体" w:cs="宋体"/>
          <w:b w:val="0"/>
          <w:i w:val="0"/>
          <w:caps w:val="0"/>
          <w:color w:val="auto"/>
          <w:spacing w:val="0"/>
          <w:w w:val="100"/>
          <w:sz w:val="24"/>
          <w:szCs w:val="24"/>
          <w:highlight w:val="none"/>
        </w:rPr>
        <w:t>前，以书面形式将澄清要求通知采购人或采购代理机构。</w:t>
      </w:r>
    </w:p>
    <w:p>
      <w:pPr>
        <w:pStyle w:val="7"/>
        <w:pageBreakBefore w:val="0"/>
        <w:shd w:val="clear"/>
        <w:kinsoku/>
        <w:wordWrap/>
        <w:overflowPunct/>
        <w:topLinePunct w:val="0"/>
        <w:bidi w:val="0"/>
        <w:snapToGrid w:val="0"/>
        <w:spacing w:before="0" w:beforeAutospacing="0" w:after="0" w:afterAutospacing="0" w:line="360" w:lineRule="exact"/>
        <w:ind w:left="840" w:leftChars="0" w:hangingChars="350"/>
        <w:jc w:val="left"/>
        <w:textAlignment w:val="baseline"/>
        <w:rPr>
          <w:rFonts w:hint="eastAsia" w:ascii="宋体" w:hAnsi="宋体" w:eastAsia="宋体" w:cs="宋体"/>
          <w:b w:val="0"/>
          <w:i w:val="0"/>
          <w:caps w:val="0"/>
          <w:color w:val="auto"/>
          <w:spacing w:val="0"/>
          <w:w w:val="100"/>
          <w:sz w:val="24"/>
          <w:szCs w:val="24"/>
          <w:highlight w:val="none"/>
        </w:rPr>
      </w:pPr>
      <w:bookmarkStart w:id="102" w:name="_Toc515904806"/>
      <w:bookmarkStart w:id="103" w:name="_Ref467378678"/>
      <w:bookmarkStart w:id="104" w:name="_Toc520356149"/>
      <w:r>
        <w:rPr>
          <w:rFonts w:hint="eastAsia" w:ascii="宋体" w:hAnsi="宋体" w:eastAsia="宋体" w:cs="宋体"/>
          <w:b w:val="0"/>
          <w:i w:val="0"/>
          <w:caps w:val="0"/>
          <w:color w:val="auto"/>
          <w:spacing w:val="0"/>
          <w:w w:val="100"/>
          <w:sz w:val="24"/>
          <w:szCs w:val="24"/>
          <w:highlight w:val="none"/>
        </w:rPr>
        <w:t>6.2</w:t>
      </w:r>
      <w:r>
        <w:rPr>
          <w:rFonts w:hint="eastAsia" w:ascii="宋体" w:hAnsi="宋体" w:eastAsia="宋体" w:cs="宋体"/>
          <w:b w:val="0"/>
          <w:i w:val="0"/>
          <w:caps w:val="0"/>
          <w:color w:val="auto"/>
          <w:spacing w:val="0"/>
          <w:w w:val="100"/>
          <w:sz w:val="24"/>
          <w:szCs w:val="24"/>
          <w:highlight w:val="none"/>
        </w:rPr>
        <w:tab/>
      </w:r>
      <w:r>
        <w:rPr>
          <w:rFonts w:hint="eastAsia" w:ascii="宋体" w:hAnsi="宋体" w:eastAsia="宋体" w:cs="宋体"/>
          <w:b w:val="0"/>
          <w:i w:val="0"/>
          <w:caps w:val="0"/>
          <w:color w:val="auto"/>
          <w:spacing w:val="0"/>
          <w:w w:val="100"/>
          <w:sz w:val="24"/>
          <w:szCs w:val="24"/>
          <w:highlight w:val="none"/>
        </w:rPr>
        <w:t>采购人可主动地或在解答供应商提出的澄清问题时对磋商文件进行澄清或修改。采购代理机构将以发布澄清（更正）公告的方式，澄清或修改磋商文件，澄清或修改内容作为磋商文件的组成部分。</w:t>
      </w:r>
    </w:p>
    <w:p>
      <w:pPr>
        <w:pStyle w:val="7"/>
        <w:pageBreakBefore w:val="0"/>
        <w:shd w:val="clear"/>
        <w:kinsoku/>
        <w:wordWrap/>
        <w:overflowPunct/>
        <w:topLinePunct w:val="0"/>
        <w:bidi w:val="0"/>
        <w:snapToGrid w:val="0"/>
        <w:spacing w:before="0" w:beforeAutospacing="0" w:after="0" w:afterAutospacing="0" w:line="360" w:lineRule="exact"/>
        <w:ind w:left="840" w:leftChars="0" w:hangingChars="350"/>
        <w:jc w:val="lef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6.3</w:t>
      </w:r>
      <w:r>
        <w:rPr>
          <w:rFonts w:hint="eastAsia" w:ascii="宋体" w:hAnsi="宋体" w:eastAsia="宋体" w:cs="宋体"/>
          <w:b w:val="0"/>
          <w:i w:val="0"/>
          <w:caps w:val="0"/>
          <w:color w:val="auto"/>
          <w:spacing w:val="0"/>
          <w:w w:val="100"/>
          <w:sz w:val="24"/>
          <w:szCs w:val="24"/>
          <w:highlight w:val="none"/>
        </w:rPr>
        <w:tab/>
      </w:r>
      <w:r>
        <w:rPr>
          <w:rFonts w:hint="eastAsia" w:ascii="宋体" w:hAnsi="宋体" w:eastAsia="宋体" w:cs="宋体"/>
          <w:b w:val="0"/>
          <w:i w:val="0"/>
          <w:caps w:val="0"/>
          <w:color w:val="auto"/>
          <w:spacing w:val="0"/>
          <w:w w:val="100"/>
          <w:sz w:val="24"/>
          <w:szCs w:val="24"/>
          <w:highlight w:val="none"/>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4"/>
        <w:pageBreakBefore w:val="0"/>
        <w:shd w:val="clear"/>
        <w:tabs>
          <w:tab w:val="left" w:pos="900"/>
        </w:tabs>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szCs w:val="24"/>
          <w:highlight w:val="none"/>
          <w:u w:val="single" w:color="000000"/>
        </w:rPr>
      </w:pPr>
      <w:bookmarkStart w:id="105" w:name="_Toc12135"/>
      <w:bookmarkStart w:id="106" w:name="_Toc16843"/>
      <w:bookmarkStart w:id="107" w:name="_Toc14294"/>
      <w:bookmarkStart w:id="108" w:name="_Toc3801"/>
      <w:bookmarkStart w:id="109" w:name="_Toc16792"/>
      <w:bookmarkStart w:id="110" w:name="_Toc5970"/>
      <w:bookmarkStart w:id="111" w:name="_Toc20247"/>
      <w:bookmarkStart w:id="112" w:name="_Toc25635"/>
      <w:bookmarkStart w:id="113" w:name="_Toc14569"/>
      <w:r>
        <w:rPr>
          <w:rFonts w:hint="eastAsia" w:ascii="宋体" w:hAnsi="宋体" w:eastAsia="宋体" w:cs="宋体"/>
          <w:b/>
          <w:i w:val="0"/>
          <w:caps w:val="0"/>
          <w:color w:val="auto"/>
          <w:spacing w:val="0"/>
          <w:w w:val="100"/>
          <w:sz w:val="24"/>
          <w:szCs w:val="24"/>
          <w:highlight w:val="none"/>
          <w:u w:val="single" w:color="000000"/>
        </w:rPr>
        <w:t>7</w:t>
      </w:r>
      <w:bookmarkEnd w:id="102"/>
      <w:bookmarkEnd w:id="103"/>
      <w:bookmarkEnd w:id="104"/>
      <w:r>
        <w:rPr>
          <w:rFonts w:hint="eastAsia" w:ascii="宋体" w:hAnsi="宋体" w:eastAsia="宋体" w:cs="宋体"/>
          <w:b/>
          <w:i w:val="0"/>
          <w:caps w:val="0"/>
          <w:color w:val="auto"/>
          <w:spacing w:val="0"/>
          <w:w w:val="100"/>
          <w:sz w:val="24"/>
          <w:szCs w:val="24"/>
          <w:highlight w:val="none"/>
          <w:u w:val="single" w:color="000000"/>
        </w:rPr>
        <w:t>.磋商截止时间的顺延</w:t>
      </w:r>
      <w:bookmarkEnd w:id="105"/>
      <w:bookmarkEnd w:id="106"/>
      <w:bookmarkEnd w:id="107"/>
      <w:bookmarkEnd w:id="108"/>
      <w:bookmarkEnd w:id="109"/>
      <w:bookmarkEnd w:id="110"/>
      <w:bookmarkEnd w:id="111"/>
      <w:bookmarkEnd w:id="112"/>
      <w:bookmarkEnd w:id="113"/>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为使供应商准备磋商时有足够的时间对磋商文件的澄清或者修改部分进行研究，采购人将依法决定是否顺延磋商截止时间。</w:t>
      </w:r>
    </w:p>
    <w:p>
      <w:pPr>
        <w:pStyle w:val="4"/>
        <w:pageBreakBefore w:val="0"/>
        <w:shd w:val="clear"/>
        <w:tabs>
          <w:tab w:val="left" w:pos="900"/>
        </w:tabs>
        <w:kinsoku/>
        <w:wordWrap/>
        <w:overflowPunct/>
        <w:topLinePunct w:val="0"/>
        <w:bidi w:val="0"/>
        <w:snapToGrid w:val="0"/>
        <w:spacing w:before="0" w:beforeAutospacing="0" w:after="0" w:afterAutospacing="0" w:line="360" w:lineRule="exact"/>
        <w:ind w:left="0" w:leftChars="0" w:hanging="540"/>
        <w:jc w:val="center"/>
        <w:textAlignment w:val="baseline"/>
        <w:outlineLvl w:val="1"/>
        <w:rPr>
          <w:rFonts w:hint="eastAsia" w:ascii="宋体" w:hAnsi="宋体" w:eastAsia="宋体" w:cs="宋体"/>
          <w:b/>
          <w:i w:val="0"/>
          <w:caps w:val="0"/>
          <w:color w:val="auto"/>
          <w:spacing w:val="0"/>
          <w:w w:val="100"/>
          <w:sz w:val="28"/>
          <w:highlight w:val="none"/>
        </w:rPr>
      </w:pPr>
      <w:bookmarkStart w:id="114" w:name="_Toc516367020"/>
      <w:bookmarkStart w:id="115" w:name="_Toc30808"/>
      <w:bookmarkStart w:id="116" w:name="_Toc515647766"/>
      <w:bookmarkStart w:id="117" w:name="_Toc14732"/>
      <w:bookmarkStart w:id="118" w:name="_Toc18070"/>
      <w:bookmarkStart w:id="119" w:name="_Toc7636"/>
      <w:bookmarkStart w:id="120" w:name="_Toc520356150"/>
      <w:bookmarkStart w:id="121" w:name="_Toc20422"/>
      <w:bookmarkStart w:id="122" w:name="_Toc216582807"/>
      <w:r>
        <w:rPr>
          <w:rFonts w:hint="eastAsia" w:ascii="宋体" w:hAnsi="宋体" w:eastAsia="宋体" w:cs="宋体"/>
          <w:b/>
          <w:i w:val="0"/>
          <w:caps w:val="0"/>
          <w:color w:val="auto"/>
          <w:spacing w:val="0"/>
          <w:w w:val="100"/>
          <w:sz w:val="28"/>
          <w:highlight w:val="none"/>
        </w:rPr>
        <w:t xml:space="preserve">三   </w:t>
      </w:r>
      <w:bookmarkEnd w:id="114"/>
      <w:r>
        <w:rPr>
          <w:rFonts w:hint="eastAsia" w:ascii="宋体" w:hAnsi="宋体" w:eastAsia="宋体" w:cs="宋体"/>
          <w:b/>
          <w:i w:val="0"/>
          <w:caps w:val="0"/>
          <w:color w:val="auto"/>
          <w:spacing w:val="0"/>
          <w:w w:val="100"/>
          <w:sz w:val="28"/>
          <w:highlight w:val="none"/>
        </w:rPr>
        <w:t>响应文件的编制</w:t>
      </w:r>
      <w:bookmarkEnd w:id="115"/>
      <w:bookmarkEnd w:id="116"/>
      <w:bookmarkEnd w:id="117"/>
      <w:bookmarkEnd w:id="118"/>
      <w:bookmarkEnd w:id="119"/>
      <w:bookmarkEnd w:id="120"/>
      <w:bookmarkEnd w:id="121"/>
      <w:bookmarkEnd w:id="122"/>
    </w:p>
    <w:p>
      <w:pPr>
        <w:pStyle w:val="7"/>
        <w:pageBreakBefore w:val="0"/>
        <w:shd w:val="clear"/>
        <w:kinsoku/>
        <w:wordWrap/>
        <w:overflowPunct/>
        <w:topLinePunct w:val="0"/>
        <w:bidi w:val="0"/>
        <w:snapToGrid w:val="0"/>
        <w:spacing w:before="0" w:beforeAutospacing="0" w:after="0" w:afterAutospacing="0" w:line="360" w:lineRule="exact"/>
        <w:ind w:left="0" w:leftChars="0" w:firstLine="420"/>
        <w:jc w:val="left"/>
        <w:textAlignment w:val="baseline"/>
        <w:rPr>
          <w:rFonts w:hint="eastAsia" w:ascii="宋体" w:hAnsi="宋体" w:eastAsia="宋体" w:cs="宋体"/>
          <w:b w:val="0"/>
          <w:i w:val="0"/>
          <w:caps w:val="0"/>
          <w:color w:val="auto"/>
          <w:spacing w:val="0"/>
          <w:w w:val="100"/>
          <w:sz w:val="24"/>
          <w:highlight w:val="none"/>
        </w:rPr>
      </w:pPr>
    </w:p>
    <w:p>
      <w:pPr>
        <w:pStyle w:val="4"/>
        <w:pageBreakBefore w:val="0"/>
        <w:shd w:val="clear"/>
        <w:tabs>
          <w:tab w:val="left" w:pos="900"/>
        </w:tabs>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123" w:name="_Toc7786"/>
      <w:bookmarkStart w:id="124" w:name="_Toc14330"/>
      <w:bookmarkStart w:id="125" w:name="_Toc21122"/>
      <w:bookmarkStart w:id="126" w:name="_Toc520356151"/>
      <w:bookmarkStart w:id="127" w:name="_Toc11594"/>
      <w:bookmarkStart w:id="128" w:name="_Toc31904"/>
      <w:bookmarkStart w:id="129" w:name="_Toc21065"/>
      <w:bookmarkStart w:id="130" w:name="_Toc4525"/>
      <w:bookmarkStart w:id="131" w:name="_Toc19644"/>
      <w:bookmarkStart w:id="132" w:name="_Toc3553"/>
      <w:bookmarkStart w:id="133" w:name="_Toc515647767"/>
      <w:bookmarkStart w:id="134" w:name="_Toc516367021"/>
      <w:bookmarkStart w:id="135" w:name="_Toc21848"/>
      <w:r>
        <w:rPr>
          <w:rFonts w:hint="eastAsia" w:ascii="宋体" w:hAnsi="宋体" w:eastAsia="宋体" w:cs="宋体"/>
          <w:b/>
          <w:i w:val="0"/>
          <w:caps w:val="0"/>
          <w:color w:val="auto"/>
          <w:spacing w:val="0"/>
          <w:w w:val="100"/>
          <w:sz w:val="24"/>
          <w:highlight w:val="none"/>
          <w:u w:val="single" w:color="000000"/>
        </w:rPr>
        <w:t>8.磋商范围及响应文件成交准和计量单位的使用</w:t>
      </w:r>
      <w:bookmarkEnd w:id="123"/>
      <w:bookmarkEnd w:id="124"/>
      <w:bookmarkEnd w:id="125"/>
      <w:bookmarkEnd w:id="126"/>
      <w:bookmarkEnd w:id="127"/>
      <w:bookmarkEnd w:id="128"/>
      <w:bookmarkEnd w:id="129"/>
      <w:bookmarkEnd w:id="130"/>
      <w:bookmarkEnd w:id="131"/>
      <w:bookmarkEnd w:id="132"/>
      <w:bookmarkEnd w:id="133"/>
      <w:bookmarkEnd w:id="134"/>
      <w:bookmarkEnd w:id="135"/>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8.1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项目有分包的，供应商可对磋商文件其中某一个或几个分包</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进行磋商，除非在</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中另有规定。</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8.2     供应商应当对所投分包磋商文件中“</w:t>
      </w:r>
      <w:r>
        <w:rPr>
          <w:rFonts w:hint="eastAsia" w:ascii="宋体" w:hAnsi="宋体" w:cs="宋体"/>
          <w:b w:val="0"/>
          <w:i w:val="0"/>
          <w:caps w:val="0"/>
          <w:color w:val="auto"/>
          <w:spacing w:val="0"/>
          <w:w w:val="100"/>
          <w:sz w:val="24"/>
          <w:highlight w:val="none"/>
          <w:lang w:val="en-US" w:eastAsia="zh-CN"/>
        </w:rPr>
        <w:t>建设</w:t>
      </w:r>
      <w:r>
        <w:rPr>
          <w:rFonts w:hint="eastAsia" w:ascii="宋体" w:hAnsi="宋体" w:eastAsia="宋体" w:cs="宋体"/>
          <w:b w:val="0"/>
          <w:i w:val="0"/>
          <w:caps w:val="0"/>
          <w:color w:val="auto"/>
          <w:spacing w:val="0"/>
          <w:w w:val="100"/>
          <w:sz w:val="24"/>
          <w:highlight w:val="none"/>
          <w:lang w:val="en-US" w:eastAsia="zh-CN"/>
        </w:rPr>
        <w:t>需求及项目要求</w:t>
      </w:r>
      <w:r>
        <w:rPr>
          <w:rFonts w:hint="eastAsia" w:ascii="宋体" w:hAnsi="宋体" w:eastAsia="宋体" w:cs="宋体"/>
          <w:b w:val="0"/>
          <w:i w:val="0"/>
          <w:caps w:val="0"/>
          <w:color w:val="auto"/>
          <w:spacing w:val="0"/>
          <w:w w:val="100"/>
          <w:sz w:val="24"/>
          <w:highlight w:val="none"/>
        </w:rPr>
        <w:t>”所列的所有内容进行磋商，如仅响应某一包中的部分内容，其该包磋商将被认定为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8.3     无论磋商文件第5章</w:t>
      </w:r>
      <w:r>
        <w:rPr>
          <w:rFonts w:hint="eastAsia" w:ascii="宋体" w:hAnsi="宋体" w:cs="宋体"/>
          <w:b w:val="0"/>
          <w:i w:val="0"/>
          <w:caps w:val="0"/>
          <w:color w:val="auto"/>
          <w:spacing w:val="0"/>
          <w:w w:val="100"/>
          <w:sz w:val="24"/>
          <w:highlight w:val="none"/>
          <w:lang w:val="en-US" w:eastAsia="zh-CN"/>
        </w:rPr>
        <w:t>建设</w:t>
      </w:r>
      <w:r>
        <w:rPr>
          <w:rFonts w:hint="eastAsia" w:ascii="宋体" w:hAnsi="宋体" w:eastAsia="宋体" w:cs="宋体"/>
          <w:b w:val="0"/>
          <w:i w:val="0"/>
          <w:caps w:val="0"/>
          <w:color w:val="auto"/>
          <w:spacing w:val="0"/>
          <w:w w:val="100"/>
          <w:sz w:val="24"/>
          <w:highlight w:val="none"/>
          <w:lang w:val="en-US" w:eastAsia="zh-CN"/>
        </w:rPr>
        <w:t>需求及项目要求</w:t>
      </w:r>
      <w:r>
        <w:rPr>
          <w:rFonts w:hint="eastAsia" w:ascii="宋体" w:hAnsi="宋体" w:eastAsia="宋体" w:cs="宋体"/>
          <w:b w:val="0"/>
          <w:i w:val="0"/>
          <w:caps w:val="0"/>
          <w:color w:val="auto"/>
          <w:spacing w:val="0"/>
          <w:w w:val="100"/>
          <w:sz w:val="24"/>
          <w:highlight w:val="none"/>
        </w:rPr>
        <w:t>中是否要求，供应商所投</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均应符合国家强制性标准。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8.4     除磋商文件中有特殊要求外，响应文件中所使用的计量单位，应采用中华人民共和国法定计量单位。</w:t>
      </w:r>
    </w:p>
    <w:p>
      <w:pPr>
        <w:pStyle w:val="4"/>
        <w:pageBreakBefore w:val="0"/>
        <w:shd w:val="clear"/>
        <w:tabs>
          <w:tab w:val="left" w:pos="900"/>
        </w:tabs>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136" w:name="_Ref467306676"/>
      <w:bookmarkStart w:id="137" w:name="_Ref467306195"/>
      <w:bookmarkStart w:id="138" w:name="_Toc516367022"/>
      <w:bookmarkStart w:id="139" w:name="_Toc2582"/>
      <w:bookmarkStart w:id="140" w:name="_Toc28307"/>
      <w:bookmarkStart w:id="141" w:name="_Toc515647768"/>
      <w:bookmarkStart w:id="142" w:name="_Toc3006"/>
      <w:bookmarkStart w:id="143" w:name="_Toc28670"/>
      <w:bookmarkStart w:id="144" w:name="_Toc520356152"/>
      <w:bookmarkStart w:id="145" w:name="_Toc26395"/>
      <w:bookmarkStart w:id="146" w:name="_Toc22161"/>
      <w:bookmarkStart w:id="147" w:name="_Toc13837"/>
      <w:bookmarkStart w:id="148" w:name="_Toc10364"/>
      <w:bookmarkStart w:id="149" w:name="_Toc26502"/>
      <w:r>
        <w:rPr>
          <w:rFonts w:hint="eastAsia" w:ascii="宋体" w:hAnsi="宋体" w:eastAsia="宋体" w:cs="宋体"/>
          <w:b/>
          <w:i w:val="0"/>
          <w:caps w:val="0"/>
          <w:color w:val="auto"/>
          <w:spacing w:val="0"/>
          <w:w w:val="100"/>
          <w:sz w:val="24"/>
          <w:highlight w:val="none"/>
          <w:u w:val="single" w:color="000000"/>
        </w:rPr>
        <w:t>9.</w:t>
      </w:r>
      <w:bookmarkEnd w:id="136"/>
      <w:bookmarkEnd w:id="137"/>
      <w:bookmarkEnd w:id="138"/>
      <w:r>
        <w:rPr>
          <w:rFonts w:hint="eastAsia" w:ascii="宋体" w:hAnsi="宋体" w:eastAsia="宋体" w:cs="宋体"/>
          <w:b/>
          <w:i w:val="0"/>
          <w:caps w:val="0"/>
          <w:color w:val="auto"/>
          <w:spacing w:val="0"/>
          <w:w w:val="100"/>
          <w:sz w:val="24"/>
          <w:highlight w:val="none"/>
          <w:u w:val="single" w:color="000000"/>
        </w:rPr>
        <w:t>响应文件构成</w:t>
      </w:r>
      <w:bookmarkEnd w:id="139"/>
      <w:bookmarkEnd w:id="140"/>
      <w:bookmarkEnd w:id="141"/>
      <w:bookmarkEnd w:id="142"/>
      <w:bookmarkEnd w:id="143"/>
      <w:bookmarkEnd w:id="144"/>
      <w:bookmarkEnd w:id="145"/>
      <w:bookmarkEnd w:id="146"/>
      <w:bookmarkEnd w:id="147"/>
      <w:bookmarkEnd w:id="148"/>
      <w:bookmarkEnd w:id="149"/>
    </w:p>
    <w:p>
      <w:pPr>
        <w:pageBreakBefore w:val="0"/>
        <w:shd w:val="clear"/>
        <w:tabs>
          <w:tab w:val="left" w:pos="900"/>
          <w:tab w:val="left" w:pos="5580"/>
        </w:tabs>
        <w:kinsoku/>
        <w:wordWrap/>
        <w:overflowPunct/>
        <w:topLinePunct w:val="0"/>
        <w:bidi w:val="0"/>
        <w:snapToGrid w:val="0"/>
        <w:spacing w:before="0" w:beforeAutospacing="0" w:after="0" w:afterAutospacing="0" w:line="360" w:lineRule="exact"/>
        <w:ind w:left="960" w:leftChars="0" w:hangingChars="400"/>
        <w:jc w:val="left"/>
        <w:textAlignment w:val="baseline"/>
        <w:rPr>
          <w:rFonts w:hint="eastAsia" w:ascii="宋体" w:hAnsi="宋体" w:eastAsia="宋体" w:cs="宋体"/>
          <w:b w:val="0"/>
          <w:i w:val="0"/>
          <w:caps w:val="0"/>
          <w:color w:val="auto"/>
          <w:spacing w:val="0"/>
          <w:w w:val="100"/>
          <w:sz w:val="24"/>
          <w:highlight w:val="none"/>
          <w:u w:val="single" w:color="000000"/>
        </w:rPr>
      </w:pPr>
      <w:bookmarkStart w:id="150" w:name="_Ref467052588"/>
      <w:r>
        <w:rPr>
          <w:rFonts w:hint="eastAsia" w:ascii="宋体" w:hAnsi="宋体" w:eastAsia="宋体" w:cs="宋体"/>
          <w:b w:val="0"/>
          <w:i w:val="0"/>
          <w:caps w:val="0"/>
          <w:color w:val="auto"/>
          <w:spacing w:val="0"/>
          <w:w w:val="100"/>
          <w:sz w:val="24"/>
          <w:highlight w:val="none"/>
        </w:rPr>
        <w:t xml:space="preserve">9.1     </w:t>
      </w:r>
      <w:r>
        <w:rPr>
          <w:rFonts w:hint="eastAsia" w:ascii="宋体" w:hAnsi="宋体" w:eastAsia="宋体" w:cs="宋体"/>
          <w:b w:val="0"/>
          <w:i w:val="0"/>
          <w:caps w:val="0"/>
          <w:color w:val="auto"/>
          <w:spacing w:val="0"/>
          <w:w w:val="100"/>
          <w:sz w:val="24"/>
          <w:highlight w:val="none"/>
          <w:u w:val="single" w:color="000000"/>
        </w:rPr>
        <w:t>供应商应完整地按磋商文件提供的响应文件格式及要求</w:t>
      </w:r>
      <w:r>
        <w:rPr>
          <w:rFonts w:hint="eastAsia" w:ascii="宋体" w:hAnsi="宋体" w:eastAsia="宋体" w:cs="宋体"/>
          <w:b w:val="0"/>
          <w:i w:val="0"/>
          <w:caps w:val="0"/>
          <w:color w:val="auto"/>
          <w:spacing w:val="0"/>
          <w:w w:val="100"/>
          <w:sz w:val="24"/>
          <w:highlight w:val="none"/>
          <w:u w:val="single" w:color="000000"/>
          <w:lang w:eastAsia="zh-Hans"/>
        </w:rPr>
        <w:t>编写</w:t>
      </w:r>
      <w:r>
        <w:rPr>
          <w:rFonts w:hint="eastAsia" w:ascii="宋体" w:hAnsi="宋体" w:eastAsia="宋体" w:cs="宋体"/>
          <w:b w:val="0"/>
          <w:i w:val="0"/>
          <w:caps w:val="0"/>
          <w:color w:val="auto"/>
          <w:spacing w:val="0"/>
          <w:w w:val="100"/>
          <w:sz w:val="24"/>
          <w:highlight w:val="none"/>
          <w:u w:val="single" w:color="000000"/>
        </w:rPr>
        <w:t>响应文件，响应文件应包括“</w:t>
      </w:r>
      <w:r>
        <w:rPr>
          <w:rFonts w:hint="eastAsia" w:ascii="宋体" w:hAnsi="宋体" w:eastAsia="宋体" w:cs="宋体"/>
          <w:b w:val="0"/>
          <w:i w:val="0"/>
          <w:caps w:val="0"/>
          <w:color w:val="auto"/>
          <w:spacing w:val="0"/>
          <w:w w:val="100"/>
          <w:sz w:val="24"/>
          <w:highlight w:val="none"/>
          <w:u w:val="single" w:color="000000"/>
          <w:lang w:eastAsia="zh-CN"/>
        </w:rPr>
        <w:t>磋商报价表</w:t>
      </w:r>
      <w:r>
        <w:rPr>
          <w:rFonts w:hint="eastAsia" w:ascii="宋体" w:hAnsi="宋体" w:eastAsia="宋体" w:cs="宋体"/>
          <w:b w:val="0"/>
          <w:i w:val="0"/>
          <w:caps w:val="0"/>
          <w:color w:val="auto"/>
          <w:spacing w:val="0"/>
          <w:w w:val="100"/>
          <w:sz w:val="24"/>
          <w:highlight w:val="none"/>
          <w:u w:val="single" w:color="000000"/>
        </w:rPr>
        <w:t>及资格证明文件”和“商务及技术文件”两部分</w:t>
      </w:r>
      <w:r>
        <w:rPr>
          <w:rFonts w:hint="eastAsia" w:ascii="宋体" w:hAnsi="宋体" w:eastAsia="宋体" w:cs="宋体"/>
          <w:b w:val="0"/>
          <w:i w:val="0"/>
          <w:caps w:val="0"/>
          <w:color w:val="auto"/>
          <w:spacing w:val="0"/>
          <w:w w:val="100"/>
          <w:sz w:val="24"/>
          <w:highlight w:val="none"/>
          <w:u w:val="single" w:color="000000"/>
          <w:lang w:eastAsia="zh-CN"/>
        </w:rPr>
        <w:t>，</w:t>
      </w:r>
      <w:r>
        <w:rPr>
          <w:rFonts w:hint="eastAsia" w:ascii="宋体" w:hAnsi="宋体" w:eastAsia="宋体" w:cs="宋体"/>
          <w:b w:val="0"/>
          <w:i w:val="0"/>
          <w:caps w:val="0"/>
          <w:color w:val="auto"/>
          <w:spacing w:val="0"/>
          <w:w w:val="100"/>
          <w:sz w:val="24"/>
          <w:highlight w:val="none"/>
          <w:u w:val="single" w:color="000000"/>
        </w:rPr>
        <w:t>两部分合订成一册，递交</w:t>
      </w:r>
      <w:r>
        <w:rPr>
          <w:rFonts w:hint="eastAsia" w:ascii="宋体" w:hAnsi="宋体" w:eastAsia="宋体" w:cs="宋体"/>
          <w:b w:val="0"/>
          <w:i w:val="0"/>
          <w:caps w:val="0"/>
          <w:color w:val="auto"/>
          <w:spacing w:val="0"/>
          <w:w w:val="100"/>
          <w:sz w:val="24"/>
          <w:highlight w:val="none"/>
          <w:u w:val="single" w:color="000000"/>
          <w:lang w:val="en-US" w:eastAsia="zh-CN"/>
        </w:rPr>
        <w:t>上传。</w:t>
      </w:r>
      <w:r>
        <w:rPr>
          <w:rFonts w:hint="eastAsia" w:ascii="宋体" w:hAnsi="宋体" w:eastAsia="宋体" w:cs="宋体"/>
          <w:b w:val="0"/>
          <w:i w:val="0"/>
          <w:caps w:val="0"/>
          <w:color w:val="auto"/>
          <w:spacing w:val="0"/>
          <w:w w:val="100"/>
          <w:sz w:val="24"/>
          <w:highlight w:val="none"/>
          <w:u w:val="single" w:color="000000"/>
        </w:rPr>
        <w:t>供应商应承担</w:t>
      </w:r>
      <w:r>
        <w:rPr>
          <w:rFonts w:hint="eastAsia" w:ascii="宋体" w:hAnsi="宋体" w:eastAsia="宋体" w:cs="宋体"/>
          <w:b w:val="0"/>
          <w:i w:val="0"/>
          <w:caps w:val="0"/>
          <w:color w:val="auto"/>
          <w:spacing w:val="0"/>
          <w:w w:val="100"/>
          <w:sz w:val="24"/>
          <w:highlight w:val="none"/>
          <w:u w:val="single" w:color="000000"/>
          <w:lang w:val="en-US" w:eastAsia="zh-CN"/>
        </w:rPr>
        <w:t>上传响应文件</w:t>
      </w:r>
      <w:r>
        <w:rPr>
          <w:rFonts w:hint="eastAsia" w:ascii="宋体" w:hAnsi="宋体" w:eastAsia="宋体" w:cs="宋体"/>
          <w:b w:val="0"/>
          <w:i w:val="0"/>
          <w:caps w:val="0"/>
          <w:color w:val="auto"/>
          <w:spacing w:val="0"/>
          <w:w w:val="100"/>
          <w:sz w:val="24"/>
          <w:highlight w:val="none"/>
          <w:u w:val="single" w:color="000000"/>
        </w:rPr>
        <w:t>失误产生的任何后果。</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9.2    上述文件应按照磋商文件规定的格式填写、签署和盖章。</w:t>
      </w:r>
      <w:bookmarkEnd w:id="150"/>
    </w:p>
    <w:p>
      <w:pPr>
        <w:pStyle w:val="4"/>
        <w:pageBreakBefore w:val="0"/>
        <w:shd w:val="clear"/>
        <w:tabs>
          <w:tab w:val="left" w:pos="900"/>
        </w:tabs>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151" w:name="_Toc28330"/>
      <w:bookmarkStart w:id="152" w:name="_Toc10379"/>
      <w:bookmarkStart w:id="153" w:name="_Toc4291"/>
      <w:bookmarkStart w:id="154" w:name="_Toc520356153"/>
      <w:bookmarkStart w:id="155" w:name="_Toc870"/>
      <w:bookmarkStart w:id="156" w:name="_Toc516367023"/>
      <w:bookmarkStart w:id="157" w:name="_Toc22481"/>
      <w:bookmarkStart w:id="158" w:name="_Toc5569"/>
      <w:bookmarkStart w:id="159" w:name="_Toc4601"/>
      <w:bookmarkStart w:id="160" w:name="_Toc8626"/>
      <w:bookmarkStart w:id="161" w:name="_Toc5860"/>
      <w:bookmarkStart w:id="162" w:name="_Toc6860"/>
      <w:bookmarkStart w:id="163" w:name="_Toc515647769"/>
      <w:r>
        <w:rPr>
          <w:rFonts w:hint="eastAsia" w:ascii="宋体" w:hAnsi="宋体" w:eastAsia="宋体" w:cs="宋体"/>
          <w:b/>
          <w:i w:val="0"/>
          <w:caps w:val="0"/>
          <w:color w:val="auto"/>
          <w:spacing w:val="0"/>
          <w:w w:val="100"/>
          <w:sz w:val="24"/>
          <w:highlight w:val="none"/>
          <w:u w:val="single" w:color="000000"/>
        </w:rPr>
        <w:t>10.证明磋商标的的合格性和符合磋商文件规定的技术文件</w:t>
      </w:r>
      <w:bookmarkEnd w:id="151"/>
      <w:bookmarkEnd w:id="152"/>
      <w:bookmarkEnd w:id="153"/>
      <w:bookmarkEnd w:id="154"/>
      <w:bookmarkEnd w:id="155"/>
      <w:bookmarkEnd w:id="156"/>
      <w:bookmarkEnd w:id="157"/>
      <w:bookmarkEnd w:id="158"/>
      <w:bookmarkEnd w:id="159"/>
      <w:bookmarkEnd w:id="160"/>
      <w:bookmarkEnd w:id="161"/>
      <w:bookmarkEnd w:id="162"/>
      <w:bookmarkEnd w:id="163"/>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10.1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供应商应提交证明文件，证明其磋商内容符合磋商文件规定。该证明文件是响应文件的一部分。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bookmarkStart w:id="164" w:name="_Ref467306244"/>
      <w:r>
        <w:rPr>
          <w:rFonts w:hint="eastAsia" w:ascii="宋体" w:hAnsi="宋体" w:eastAsia="宋体" w:cs="宋体"/>
          <w:b w:val="0"/>
          <w:i w:val="0"/>
          <w:caps w:val="0"/>
          <w:color w:val="auto"/>
          <w:spacing w:val="0"/>
          <w:w w:val="100"/>
          <w:sz w:val="24"/>
          <w:highlight w:val="none"/>
        </w:rPr>
        <w:t>10.2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上款所述的证明文件，可以是文字资料、图纸和数据，</w:t>
      </w:r>
      <w:bookmarkEnd w:id="164"/>
      <w:r>
        <w:rPr>
          <w:rFonts w:hint="eastAsia" w:ascii="宋体" w:hAnsi="宋体" w:eastAsia="宋体" w:cs="宋体"/>
          <w:b w:val="0"/>
          <w:i w:val="0"/>
          <w:caps w:val="0"/>
          <w:color w:val="auto"/>
          <w:spacing w:val="0"/>
          <w:w w:val="100"/>
          <w:sz w:val="24"/>
          <w:highlight w:val="none"/>
        </w:rPr>
        <w:t>它包括：</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10.2.1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主要技术指标和性能的详细说明；</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10.2.2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对照磋商文件技术规格，逐条说明所提供</w:t>
      </w:r>
      <w:r>
        <w:rPr>
          <w:rFonts w:hint="eastAsia" w:ascii="宋体" w:hAnsi="宋体" w:cs="宋体"/>
          <w:b w:val="0"/>
          <w:i w:val="0"/>
          <w:caps w:val="0"/>
          <w:color w:val="auto"/>
          <w:spacing w:val="0"/>
          <w:w w:val="100"/>
          <w:sz w:val="24"/>
          <w:highlight w:val="none"/>
          <w:lang w:val="en-US" w:eastAsia="zh-CN"/>
        </w:rPr>
        <w:t>货物</w:t>
      </w:r>
      <w:r>
        <w:rPr>
          <w:rFonts w:hint="eastAsia" w:ascii="宋体" w:hAnsi="宋体" w:eastAsia="宋体" w:cs="宋体"/>
          <w:b w:val="0"/>
          <w:i w:val="0"/>
          <w:caps w:val="0"/>
          <w:color w:val="auto"/>
          <w:spacing w:val="0"/>
          <w:w w:val="100"/>
          <w:sz w:val="24"/>
          <w:highlight w:val="none"/>
        </w:rPr>
        <w:t>及伴随的工程和</w:t>
      </w:r>
      <w:r>
        <w:rPr>
          <w:rFonts w:hint="eastAsia" w:ascii="宋体" w:hAnsi="宋体" w:cs="宋体"/>
          <w:b w:val="0"/>
          <w:i w:val="0"/>
          <w:caps w:val="0"/>
          <w:color w:val="auto"/>
          <w:spacing w:val="0"/>
          <w:w w:val="100"/>
          <w:sz w:val="24"/>
          <w:highlight w:val="none"/>
          <w:lang w:val="en-US" w:eastAsia="zh-CN"/>
        </w:rPr>
        <w:t>货物</w:t>
      </w:r>
      <w:r>
        <w:rPr>
          <w:rFonts w:hint="eastAsia" w:ascii="宋体" w:hAnsi="宋体" w:eastAsia="宋体" w:cs="宋体"/>
          <w:b w:val="0"/>
          <w:i w:val="0"/>
          <w:caps w:val="0"/>
          <w:color w:val="auto"/>
          <w:spacing w:val="0"/>
          <w:w w:val="100"/>
          <w:sz w:val="24"/>
          <w:highlight w:val="none"/>
        </w:rPr>
        <w:t>已对磋商文件的技术规格做出了实质性的响应，或申明与技术规格条文的偏差和例外。</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165" w:name="_Toc10592"/>
      <w:bookmarkStart w:id="166" w:name="_Toc16854"/>
      <w:bookmarkStart w:id="167" w:name="_Toc3460"/>
      <w:bookmarkStart w:id="168" w:name="_Toc515647770"/>
      <w:bookmarkStart w:id="169" w:name="_Toc5859"/>
      <w:bookmarkStart w:id="170" w:name="_Toc27117"/>
      <w:bookmarkStart w:id="171" w:name="_Toc520356155"/>
      <w:bookmarkStart w:id="172" w:name="_Toc6864"/>
      <w:bookmarkStart w:id="173" w:name="_Toc2248"/>
      <w:bookmarkStart w:id="174" w:name="_Toc5239"/>
      <w:bookmarkStart w:id="175" w:name="_Toc9025"/>
      <w:bookmarkStart w:id="176" w:name="_Toc23231"/>
      <w:r>
        <w:rPr>
          <w:rFonts w:hint="eastAsia" w:ascii="宋体" w:hAnsi="宋体" w:eastAsia="宋体" w:cs="宋体"/>
          <w:b/>
          <w:i w:val="0"/>
          <w:caps w:val="0"/>
          <w:color w:val="auto"/>
          <w:spacing w:val="0"/>
          <w:w w:val="100"/>
          <w:sz w:val="24"/>
          <w:highlight w:val="none"/>
          <w:u w:val="single" w:color="000000"/>
        </w:rPr>
        <w:t>11.磋商报价</w:t>
      </w:r>
      <w:bookmarkEnd w:id="165"/>
      <w:bookmarkEnd w:id="166"/>
      <w:bookmarkEnd w:id="167"/>
      <w:bookmarkEnd w:id="168"/>
      <w:bookmarkEnd w:id="169"/>
      <w:bookmarkEnd w:id="170"/>
      <w:bookmarkEnd w:id="171"/>
      <w:bookmarkEnd w:id="172"/>
      <w:bookmarkEnd w:id="173"/>
      <w:bookmarkEnd w:id="174"/>
      <w:bookmarkEnd w:id="175"/>
      <w:bookmarkEnd w:id="176"/>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11.1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所有磋商均以人民币报价。供应商的磋商报价应遵守《中华人民共和国价格法》。同时，根据《中华人民共和国政府采购法》第二条的规定，为保证公平竞争，如有</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主体部分的赠与行为，其磋商将被认定为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11.2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供应商应在磋商分项报价表上标明磋商</w:t>
      </w:r>
      <w:r>
        <w:rPr>
          <w:rFonts w:hint="eastAsia" w:ascii="宋体" w:hAnsi="宋体" w:cs="宋体"/>
          <w:b w:val="0"/>
          <w:i w:val="0"/>
          <w:caps w:val="0"/>
          <w:color w:val="auto"/>
          <w:spacing w:val="0"/>
          <w:w w:val="100"/>
          <w:sz w:val="24"/>
          <w:highlight w:val="none"/>
          <w:lang w:val="en-US" w:eastAsia="zh-CN"/>
        </w:rPr>
        <w:t>货物</w:t>
      </w:r>
      <w:r>
        <w:rPr>
          <w:rFonts w:hint="eastAsia" w:ascii="宋体" w:hAnsi="宋体" w:eastAsia="宋体" w:cs="宋体"/>
          <w:b w:val="0"/>
          <w:i w:val="0"/>
          <w:caps w:val="0"/>
          <w:color w:val="auto"/>
          <w:spacing w:val="0"/>
          <w:w w:val="100"/>
          <w:sz w:val="24"/>
          <w:highlight w:val="none"/>
        </w:rPr>
        <w:t>及相关</w:t>
      </w:r>
      <w:r>
        <w:rPr>
          <w:rFonts w:hint="eastAsia" w:ascii="宋体" w:hAnsi="宋体" w:cs="宋体"/>
          <w:b w:val="0"/>
          <w:i w:val="0"/>
          <w:caps w:val="0"/>
          <w:color w:val="auto"/>
          <w:spacing w:val="0"/>
          <w:w w:val="100"/>
          <w:sz w:val="24"/>
          <w:highlight w:val="none"/>
          <w:lang w:val="en-US" w:eastAsia="zh-CN"/>
        </w:rPr>
        <w:t>货物</w:t>
      </w:r>
      <w:r>
        <w:rPr>
          <w:rFonts w:hint="eastAsia" w:ascii="宋体" w:hAnsi="宋体" w:eastAsia="宋体" w:cs="宋体"/>
          <w:b w:val="0"/>
          <w:i w:val="0"/>
          <w:caps w:val="0"/>
          <w:color w:val="auto"/>
          <w:spacing w:val="0"/>
          <w:w w:val="100"/>
          <w:sz w:val="24"/>
          <w:highlight w:val="none"/>
        </w:rPr>
        <w:t>的单价（如适用）和总价，并由法定代表人或其授权代表签署。</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lang w:eastAsia="zh-CN"/>
        </w:rPr>
      </w:pPr>
      <w:bookmarkStart w:id="177" w:name="_Toc645"/>
      <w:bookmarkStart w:id="178" w:name="_Toc8884"/>
      <w:bookmarkStart w:id="179" w:name="_Toc8347"/>
      <w:r>
        <w:rPr>
          <w:rFonts w:hint="eastAsia" w:ascii="宋体" w:hAnsi="宋体" w:eastAsia="宋体" w:cs="宋体"/>
          <w:b w:val="0"/>
          <w:i w:val="0"/>
          <w:caps w:val="0"/>
          <w:color w:val="auto"/>
          <w:spacing w:val="0"/>
          <w:w w:val="100"/>
          <w:sz w:val="24"/>
          <w:highlight w:val="none"/>
        </w:rPr>
        <w:t>11.3</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磋商分项报价表上的价格</w:t>
      </w:r>
      <w:r>
        <w:rPr>
          <w:rFonts w:hint="eastAsia" w:ascii="宋体" w:hAnsi="宋体" w:eastAsia="宋体" w:cs="宋体"/>
          <w:b w:val="0"/>
          <w:i w:val="0"/>
          <w:caps w:val="0"/>
          <w:color w:val="auto"/>
          <w:spacing w:val="0"/>
          <w:w w:val="100"/>
          <w:sz w:val="24"/>
          <w:highlight w:val="none"/>
          <w:lang w:eastAsia="zh-CN"/>
        </w:rPr>
        <w:t>。</w:t>
      </w:r>
      <w:bookmarkEnd w:id="177"/>
      <w:bookmarkEnd w:id="178"/>
      <w:bookmarkEnd w:id="179"/>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11.4</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供应商所报的各分项磋商单价在合同履行过程中是固定不变的，不得以任何理由予以变更。任何包含价格调整要求的磋商，其磋商将被认定为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bCs/>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rPr>
        <w:t>11.5</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bCs/>
          <w:i w:val="0"/>
          <w:caps w:val="0"/>
          <w:color w:val="auto"/>
          <w:spacing w:val="0"/>
          <w:w w:val="100"/>
          <w:sz w:val="24"/>
          <w:highlight w:val="non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宋体" w:hAnsi="宋体" w:eastAsia="宋体" w:cs="宋体"/>
          <w:b/>
          <w:bCs/>
          <w:i w:val="0"/>
          <w:caps w:val="0"/>
          <w:color w:val="auto"/>
          <w:spacing w:val="0"/>
          <w:w w:val="100"/>
          <w:sz w:val="24"/>
          <w:highlight w:val="none"/>
          <w:lang w:eastAsia="zh-CN"/>
        </w:rPr>
        <w:t>。</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180" w:name="_Toc19405"/>
      <w:bookmarkStart w:id="181" w:name="_Toc17788"/>
      <w:bookmarkStart w:id="182" w:name="_Toc3852"/>
      <w:bookmarkStart w:id="183" w:name="_Toc520356156"/>
      <w:bookmarkStart w:id="184" w:name="_Toc11514"/>
      <w:bookmarkStart w:id="185" w:name="_Toc31526"/>
      <w:bookmarkStart w:id="186" w:name="_Toc9763"/>
      <w:bookmarkStart w:id="187" w:name="_Toc32756"/>
      <w:bookmarkStart w:id="188" w:name="_Ref467306513"/>
      <w:bookmarkStart w:id="189" w:name="_Toc30640"/>
      <w:bookmarkStart w:id="190" w:name="_Toc16693"/>
      <w:bookmarkStart w:id="191" w:name="_Toc515647771"/>
      <w:bookmarkStart w:id="192" w:name="_Toc20519"/>
      <w:r>
        <w:rPr>
          <w:rFonts w:hint="eastAsia" w:ascii="宋体" w:hAnsi="宋体" w:eastAsia="宋体" w:cs="宋体"/>
          <w:b/>
          <w:i w:val="0"/>
          <w:caps w:val="0"/>
          <w:color w:val="auto"/>
          <w:spacing w:val="0"/>
          <w:w w:val="100"/>
          <w:sz w:val="24"/>
          <w:highlight w:val="none"/>
          <w:u w:val="single" w:color="000000"/>
        </w:rPr>
        <w:t>12.磋商保证金</w:t>
      </w:r>
      <w:bookmarkEnd w:id="180"/>
      <w:bookmarkEnd w:id="181"/>
      <w:bookmarkEnd w:id="182"/>
      <w:bookmarkEnd w:id="183"/>
      <w:bookmarkEnd w:id="184"/>
      <w:bookmarkEnd w:id="185"/>
      <w:bookmarkEnd w:id="186"/>
      <w:bookmarkEnd w:id="187"/>
      <w:bookmarkEnd w:id="188"/>
      <w:bookmarkEnd w:id="189"/>
      <w:bookmarkEnd w:id="190"/>
      <w:bookmarkEnd w:id="191"/>
      <w:bookmarkEnd w:id="192"/>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bookmarkStart w:id="193" w:name="_Ref467306302"/>
      <w:r>
        <w:rPr>
          <w:rFonts w:hint="eastAsia" w:ascii="宋体" w:hAnsi="宋体" w:eastAsia="宋体" w:cs="宋体"/>
          <w:b w:val="0"/>
          <w:i w:val="0"/>
          <w:caps w:val="0"/>
          <w:color w:val="auto"/>
          <w:spacing w:val="0"/>
          <w:w w:val="100"/>
          <w:sz w:val="24"/>
          <w:highlight w:val="none"/>
        </w:rPr>
        <w:t>12.1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供应商应提交</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中规定的磋商保证金</w:t>
      </w:r>
      <w:bookmarkEnd w:id="193"/>
      <w:r>
        <w:rPr>
          <w:rFonts w:hint="eastAsia" w:ascii="宋体" w:hAnsi="宋体" w:eastAsia="宋体" w:cs="宋体"/>
          <w:b w:val="0"/>
          <w:i w:val="0"/>
          <w:caps w:val="0"/>
          <w:color w:val="auto"/>
          <w:spacing w:val="0"/>
          <w:w w:val="100"/>
          <w:sz w:val="24"/>
          <w:highlight w:val="none"/>
        </w:rPr>
        <w:t>，并作为其磋商的一部分。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bookmarkStart w:id="194" w:name="_Toc16081"/>
      <w:bookmarkStart w:id="195" w:name="_Toc13787"/>
      <w:bookmarkStart w:id="196" w:name="_Toc2931"/>
      <w:r>
        <w:rPr>
          <w:rFonts w:hint="eastAsia" w:ascii="宋体" w:hAnsi="宋体" w:eastAsia="宋体" w:cs="宋体"/>
          <w:b w:val="0"/>
          <w:i w:val="0"/>
          <w:caps w:val="0"/>
          <w:color w:val="auto"/>
          <w:spacing w:val="0"/>
          <w:w w:val="100"/>
          <w:sz w:val="24"/>
          <w:highlight w:val="none"/>
        </w:rPr>
        <w:t>12.2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供应商存在下列情形的，磋商保证金不予退还：</w:t>
      </w:r>
      <w:bookmarkEnd w:id="194"/>
      <w:bookmarkEnd w:id="195"/>
      <w:bookmarkEnd w:id="196"/>
    </w:p>
    <w:p>
      <w:pPr>
        <w:pStyle w:val="13"/>
        <w:pageBreakBefore w:val="0"/>
        <w:shd w:val="clear"/>
        <w:tabs>
          <w:tab w:val="left" w:pos="2240"/>
        </w:tabs>
        <w:kinsoku/>
        <w:wordWrap/>
        <w:overflowPunct/>
        <w:topLinePunct w:val="0"/>
        <w:bidi w:val="0"/>
        <w:snapToGrid w:val="0"/>
        <w:spacing w:before="0" w:beforeAutospacing="0" w:after="0" w:afterAutospacing="0" w:line="360" w:lineRule="exact"/>
        <w:ind w:left="300" w:leftChars="0" w:hangingChars="12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（1）在磋商有效期内，撤销磋商的；</w:t>
      </w:r>
    </w:p>
    <w:p>
      <w:pPr>
        <w:pStyle w:val="13"/>
        <w:pageBreakBefore w:val="0"/>
        <w:shd w:val="clear"/>
        <w:tabs>
          <w:tab w:val="left" w:pos="2240"/>
        </w:tabs>
        <w:kinsoku/>
        <w:wordWrap/>
        <w:overflowPunct/>
        <w:topLinePunct w:val="0"/>
        <w:bidi w:val="0"/>
        <w:snapToGrid w:val="0"/>
        <w:spacing w:before="0" w:beforeAutospacing="0" w:after="0" w:afterAutospacing="0" w:line="360" w:lineRule="exact"/>
        <w:ind w:left="300" w:leftChars="0" w:hangingChars="12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（2）成交后不按本须知第30条的规定与采购人签订合同的；</w:t>
      </w:r>
    </w:p>
    <w:p>
      <w:pPr>
        <w:pStyle w:val="13"/>
        <w:pageBreakBefore w:val="0"/>
        <w:shd w:val="clear"/>
        <w:tabs>
          <w:tab w:val="left" w:pos="2240"/>
        </w:tabs>
        <w:kinsoku/>
        <w:wordWrap/>
        <w:overflowPunct/>
        <w:topLinePunct w:val="0"/>
        <w:bidi w:val="0"/>
        <w:snapToGrid w:val="0"/>
        <w:spacing w:before="0" w:beforeAutospacing="0" w:after="0" w:afterAutospacing="0" w:line="360" w:lineRule="exact"/>
        <w:ind w:left="300" w:leftChars="0" w:hangingChars="12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（3）成交后不按本须知第31条的规定提交履约保证金的；</w:t>
      </w:r>
    </w:p>
    <w:p>
      <w:pPr>
        <w:pStyle w:val="13"/>
        <w:pageBreakBefore w:val="0"/>
        <w:shd w:val="clear"/>
        <w:tabs>
          <w:tab w:val="left" w:pos="2240"/>
        </w:tabs>
        <w:kinsoku/>
        <w:wordWrap/>
        <w:overflowPunct/>
        <w:topLinePunct w:val="0"/>
        <w:bidi w:val="0"/>
        <w:snapToGrid w:val="0"/>
        <w:spacing w:before="0" w:beforeAutospacing="0" w:after="0" w:afterAutospacing="0" w:line="360" w:lineRule="exact"/>
        <w:ind w:left="300" w:leftChars="0" w:hangingChars="12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（4）成交后不按本须知第32条的规定缴纳成交</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费的；</w:t>
      </w:r>
    </w:p>
    <w:p>
      <w:pPr>
        <w:pStyle w:val="13"/>
        <w:pageBreakBefore w:val="0"/>
        <w:shd w:val="clear"/>
        <w:tabs>
          <w:tab w:val="left" w:pos="2240"/>
        </w:tabs>
        <w:kinsoku/>
        <w:wordWrap/>
        <w:overflowPunct/>
        <w:topLinePunct w:val="0"/>
        <w:bidi w:val="0"/>
        <w:snapToGrid w:val="0"/>
        <w:spacing w:before="0" w:beforeAutospacing="0" w:after="0" w:afterAutospacing="0" w:line="360" w:lineRule="exact"/>
        <w:ind w:left="300" w:leftChars="0" w:hangingChars="12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（5）存在其他违法违规行为的。</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bookmarkStart w:id="197" w:name="_Ref467306336"/>
      <w:r>
        <w:rPr>
          <w:rFonts w:hint="eastAsia" w:ascii="宋体" w:hAnsi="宋体" w:eastAsia="宋体" w:cs="宋体"/>
          <w:b w:val="0"/>
          <w:i w:val="0"/>
          <w:caps w:val="0"/>
          <w:color w:val="auto"/>
          <w:spacing w:val="0"/>
          <w:w w:val="100"/>
          <w:sz w:val="24"/>
          <w:highlight w:val="none"/>
        </w:rPr>
        <w:t>12.3</w:t>
      </w:r>
      <w:r>
        <w:rPr>
          <w:rFonts w:hint="eastAsia" w:ascii="宋体" w:hAnsi="宋体" w:eastAsia="宋体" w:cs="宋体"/>
          <w:b w:val="0"/>
          <w:i w:val="0"/>
          <w:caps w:val="0"/>
          <w:color w:val="auto"/>
          <w:spacing w:val="0"/>
          <w:w w:val="100"/>
          <w:sz w:val="24"/>
          <w:highlight w:val="none"/>
        </w:rPr>
        <w:tab/>
      </w:r>
      <w:bookmarkEnd w:id="197"/>
      <w:r>
        <w:rPr>
          <w:rFonts w:hint="eastAsia" w:ascii="宋体" w:hAnsi="宋体" w:eastAsia="宋体" w:cs="宋体"/>
          <w:b w:val="0"/>
          <w:i w:val="0"/>
          <w:caps w:val="0"/>
          <w:color w:val="auto"/>
          <w:spacing w:val="0"/>
          <w:w w:val="100"/>
          <w:sz w:val="24"/>
          <w:highlight w:val="none"/>
        </w:rPr>
        <w:t>政府采购信用担保试点范围内的项目，接受符合财政部门规定的政府采购磋商担保函原件。</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12.4</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供应商未按本须知第12.1和12.3条规定提交磋商保证金的，其磋商将被认定为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12.4.1  采用电汇形式的，一般可以实时入账。</w:t>
      </w:r>
    </w:p>
    <w:p>
      <w:pPr>
        <w:pageBreakBefore w:val="0"/>
        <w:shd w:val="clear"/>
        <w:kinsoku/>
        <w:wordWrap/>
        <w:overflowPunct/>
        <w:topLinePunct w:val="0"/>
        <w:bidi w:val="0"/>
        <w:snapToGrid w:val="0"/>
        <w:spacing w:before="0" w:beforeAutospacing="0" w:after="0" w:afterAutospacing="0" w:line="360" w:lineRule="exact"/>
        <w:ind w:left="960" w:leftChars="0" w:hangingChars="40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12.5   联合体磋商的，可以由联合体中的一方或者共同提交磋商保证金。以一方名义提交磋商保证金的，对联合体各方均具有约束力。</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bookmarkStart w:id="198" w:name="_Toc143"/>
      <w:bookmarkStart w:id="199" w:name="_Toc9494"/>
      <w:bookmarkStart w:id="200" w:name="_Toc5189"/>
      <w:r>
        <w:rPr>
          <w:rFonts w:hint="eastAsia" w:ascii="宋体" w:hAnsi="宋体" w:eastAsia="宋体" w:cs="宋体"/>
          <w:b w:val="0"/>
          <w:i w:val="0"/>
          <w:caps w:val="0"/>
          <w:color w:val="auto"/>
          <w:spacing w:val="0"/>
          <w:w w:val="100"/>
          <w:sz w:val="24"/>
          <w:highlight w:val="none"/>
        </w:rPr>
        <w:t>12.6</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磋商保证金的退还</w:t>
      </w:r>
      <w:bookmarkEnd w:id="198"/>
      <w:bookmarkEnd w:id="199"/>
      <w:bookmarkEnd w:id="200"/>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12.6.1  成交人应在与采购人签订合同之日起5个工作日内，及时联系保证金收受机构办理磋商保证金无息退还手续。</w:t>
      </w:r>
    </w:p>
    <w:p>
      <w:pPr>
        <w:pageBreakBefore w:val="0"/>
        <w:shd w:val="clear"/>
        <w:kinsoku/>
        <w:wordWrap/>
        <w:overflowPunct/>
        <w:topLinePunct w:val="0"/>
        <w:bidi w:val="0"/>
        <w:snapToGrid w:val="0"/>
        <w:spacing w:before="0" w:beforeAutospacing="0" w:after="0" w:afterAutospacing="0" w:line="360" w:lineRule="exact"/>
        <w:ind w:left="960" w:leftChars="0" w:hangingChars="40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12.6.2  未成交供应商的磋商保证金将在成交通知书发出之日暨成交结果公告公布之日起5个工作日内无息退还。供应商应及时联系保证金收受机构办理退还磋商保证金手续。</w:t>
      </w:r>
    </w:p>
    <w:p>
      <w:pPr>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12.6.3  政府采购磋商担保函不予退回。</w:t>
      </w:r>
    </w:p>
    <w:p>
      <w:pPr>
        <w:pageBreakBefore w:val="0"/>
        <w:shd w:val="clear"/>
        <w:kinsoku/>
        <w:wordWrap/>
        <w:overflowPunct/>
        <w:topLinePunct w:val="0"/>
        <w:bidi w:val="0"/>
        <w:snapToGrid w:val="0"/>
        <w:spacing w:before="0" w:beforeAutospacing="0" w:after="0" w:afterAutospacing="0" w:line="360" w:lineRule="exact"/>
        <w:ind w:left="960" w:leftChars="0" w:hangingChars="40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12.7    因供应商自身原因导致无法及时退还的，采购人或采购代理机构将不承担相应责任。</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201" w:name="_Toc32569"/>
      <w:bookmarkStart w:id="202" w:name="_Toc23590"/>
      <w:bookmarkStart w:id="203" w:name="_Toc3815"/>
      <w:bookmarkStart w:id="204" w:name="_Toc21509"/>
      <w:bookmarkStart w:id="205" w:name="_Toc325"/>
      <w:bookmarkStart w:id="206" w:name="_Toc1400"/>
      <w:bookmarkStart w:id="207" w:name="_Toc29124"/>
      <w:bookmarkStart w:id="208" w:name="_Toc20387"/>
      <w:bookmarkStart w:id="209" w:name="_Toc520356157"/>
      <w:bookmarkStart w:id="210" w:name="_Toc515647772"/>
      <w:bookmarkStart w:id="211" w:name="_Toc16046"/>
      <w:bookmarkStart w:id="212" w:name="_Toc28268"/>
      <w:r>
        <w:rPr>
          <w:rFonts w:hint="eastAsia" w:ascii="宋体" w:hAnsi="宋体" w:eastAsia="宋体" w:cs="宋体"/>
          <w:b/>
          <w:i w:val="0"/>
          <w:caps w:val="0"/>
          <w:color w:val="auto"/>
          <w:spacing w:val="0"/>
          <w:w w:val="100"/>
          <w:sz w:val="24"/>
          <w:highlight w:val="none"/>
          <w:u w:val="single" w:color="000000"/>
        </w:rPr>
        <w:t>13.磋商有效期</w:t>
      </w:r>
      <w:bookmarkEnd w:id="201"/>
      <w:bookmarkEnd w:id="202"/>
      <w:bookmarkEnd w:id="203"/>
      <w:bookmarkEnd w:id="204"/>
      <w:bookmarkEnd w:id="205"/>
      <w:bookmarkEnd w:id="206"/>
      <w:bookmarkEnd w:id="207"/>
      <w:bookmarkEnd w:id="208"/>
      <w:bookmarkEnd w:id="209"/>
      <w:bookmarkEnd w:id="210"/>
      <w:bookmarkEnd w:id="211"/>
      <w:bookmarkEnd w:id="212"/>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13.1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磋商应在</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中规定时间内保持有效。磋商有效期不满足要求的磋商，其磋商将被认定为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13.2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4"/>
        <w:pageBreakBefore w:val="0"/>
        <w:kinsoku/>
        <w:wordWrap/>
        <w:overflowPunct/>
        <w:topLinePunct w:val="0"/>
        <w:bidi w:val="0"/>
        <w:spacing w:before="0" w:after="0" w:line="360" w:lineRule="exact"/>
        <w:ind w:left="0" w:leftChars="0"/>
        <w:jc w:val="both"/>
        <w:outlineLvl w:val="1"/>
        <w:rPr>
          <w:rFonts w:hint="eastAsia" w:ascii="宋体" w:hAnsi="宋体" w:eastAsia="宋体" w:cs="宋体"/>
          <w:color w:val="auto"/>
          <w:kern w:val="2"/>
          <w:sz w:val="24"/>
          <w:szCs w:val="24"/>
          <w:highlight w:val="none"/>
          <w:lang w:val="en-US" w:eastAsia="zh-CN" w:bidi="ar-SA"/>
        </w:rPr>
      </w:pPr>
      <w:bookmarkStart w:id="213" w:name="_Toc520356158"/>
      <w:bookmarkStart w:id="214" w:name="_Toc515647773"/>
      <w:bookmarkStart w:id="215" w:name="_Toc10391"/>
      <w:bookmarkStart w:id="216" w:name="_Toc30127"/>
      <w:bookmarkStart w:id="217" w:name="_Toc29619"/>
      <w:bookmarkStart w:id="218" w:name="_Toc16503"/>
      <w:bookmarkStart w:id="219" w:name="_Toc24787"/>
      <w:bookmarkStart w:id="220" w:name="_Toc17074"/>
      <w:bookmarkStart w:id="221" w:name="_Toc493"/>
      <w:bookmarkStart w:id="222" w:name="_Toc6286"/>
      <w:bookmarkStart w:id="223" w:name="_Toc3558"/>
      <w:bookmarkStart w:id="224" w:name="_Toc9672"/>
      <w:bookmarkStart w:id="225" w:name="_Toc4425"/>
      <w:bookmarkStart w:id="226" w:name="_Toc26703"/>
      <w:bookmarkStart w:id="227" w:name="_Toc6302"/>
      <w:bookmarkStart w:id="228" w:name="_Toc11179"/>
      <w:bookmarkStart w:id="229" w:name="_Toc216582808"/>
      <w:bookmarkStart w:id="230" w:name="_Toc515647774"/>
      <w:bookmarkStart w:id="231" w:name="_Toc520356159"/>
      <w:bookmarkStart w:id="232" w:name="_Toc8711"/>
      <w:bookmarkStart w:id="233" w:name="_Toc16865"/>
      <w:bookmarkStart w:id="234" w:name="_Toc8824"/>
      <w:r>
        <w:rPr>
          <w:rFonts w:hint="eastAsia" w:ascii="宋体" w:hAnsi="宋体" w:eastAsia="宋体" w:cs="宋体"/>
          <w:color w:val="auto"/>
          <w:kern w:val="2"/>
          <w:sz w:val="24"/>
          <w:szCs w:val="24"/>
          <w:highlight w:val="none"/>
          <w:lang w:val="en-US" w:eastAsia="zh-CN" w:bidi="ar-SA"/>
        </w:rPr>
        <w:t>14.响应文件的签署</w:t>
      </w:r>
      <w:bookmarkEnd w:id="213"/>
      <w:r>
        <w:rPr>
          <w:rFonts w:hint="eastAsia" w:ascii="宋体" w:hAnsi="宋体" w:eastAsia="宋体" w:cs="宋体"/>
          <w:color w:val="auto"/>
          <w:kern w:val="2"/>
          <w:sz w:val="24"/>
          <w:szCs w:val="24"/>
          <w:highlight w:val="none"/>
          <w:lang w:val="en-US" w:eastAsia="zh-CN" w:bidi="ar-SA"/>
        </w:rPr>
        <w:t>及规定</w:t>
      </w:r>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cs="宋体"/>
          <w:b/>
          <w:bCs/>
          <w:color w:val="auto"/>
          <w:kern w:val="2"/>
          <w:sz w:val="24"/>
          <w:szCs w:val="24"/>
          <w:highlight w:val="none"/>
          <w:lang w:val="en-US" w:eastAsia="zh-CN" w:bidi="ar-SA"/>
        </w:rPr>
        <w:t>（后期邮寄的响应文件）</w:t>
      </w:r>
      <w:bookmarkEnd w:id="226"/>
      <w:bookmarkEnd w:id="227"/>
    </w:p>
    <w:p>
      <w:pPr>
        <w:pageBreakBefore w:val="0"/>
        <w:kinsoku/>
        <w:wordWrap/>
        <w:overflowPunct/>
        <w:topLinePunct w:val="0"/>
        <w:bidi w:val="0"/>
        <w:spacing w:line="360" w:lineRule="exact"/>
        <w:ind w:left="900" w:leftChars="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、磋商报价一览表”。</w:t>
      </w:r>
    </w:p>
    <w:p>
      <w:pPr>
        <w:pageBreakBefore w:val="0"/>
        <w:kinsoku/>
        <w:wordWrap/>
        <w:overflowPunct/>
        <w:topLinePunct w:val="0"/>
        <w:bidi w:val="0"/>
        <w:spacing w:line="360" w:lineRule="exact"/>
        <w:ind w:left="900" w:leftChars="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上签字或盖章并加盖单位印章。委托代理人须持有书面的“法定代表人授权委托书”，并将其附在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的副本可采用正本的复印件。</w:t>
      </w:r>
    </w:p>
    <w:p>
      <w:pPr>
        <w:pageBreakBefore w:val="0"/>
        <w:kinsoku/>
        <w:wordWrap/>
        <w:overflowPunct/>
        <w:topLinePunct w:val="0"/>
        <w:bidi w:val="0"/>
        <w:spacing w:line="360" w:lineRule="exact"/>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因字迹潦草、表达不清或装订不当所引起的后果由供应商负责。</w:t>
      </w:r>
    </w:p>
    <w:p>
      <w:pPr>
        <w:pStyle w:val="4"/>
        <w:pageBreakBefore w:val="0"/>
        <w:widowControl w:val="0"/>
        <w:shd w:val="clear"/>
        <w:kinsoku/>
        <w:wordWrap/>
        <w:overflowPunct/>
        <w:topLinePunct w:val="0"/>
        <w:bidi w:val="0"/>
        <w:snapToGrid w:val="0"/>
        <w:spacing w:before="0" w:beforeAutospacing="0" w:after="0" w:afterAutospacing="0" w:line="360" w:lineRule="exact"/>
        <w:ind w:left="0" w:leftChars="0" w:hanging="540"/>
        <w:jc w:val="center"/>
        <w:textAlignment w:val="baseline"/>
        <w:outlineLvl w:val="1"/>
        <w:rPr>
          <w:rFonts w:hint="eastAsia" w:ascii="宋体" w:hAnsi="宋体" w:eastAsia="宋体" w:cs="宋体"/>
          <w:b/>
          <w:i w:val="0"/>
          <w:caps w:val="0"/>
          <w:color w:val="auto"/>
          <w:spacing w:val="0"/>
          <w:w w:val="100"/>
          <w:sz w:val="24"/>
          <w:highlight w:val="none"/>
        </w:rPr>
      </w:pPr>
      <w:bookmarkStart w:id="235" w:name="_Toc13081"/>
      <w:r>
        <w:rPr>
          <w:rFonts w:hint="eastAsia" w:ascii="宋体" w:hAnsi="宋体" w:eastAsia="宋体" w:cs="宋体"/>
          <w:b/>
          <w:i w:val="0"/>
          <w:caps w:val="0"/>
          <w:color w:val="auto"/>
          <w:spacing w:val="0"/>
          <w:w w:val="100"/>
          <w:sz w:val="24"/>
          <w:highlight w:val="none"/>
        </w:rPr>
        <w:t>四   响应文件的递交</w:t>
      </w:r>
      <w:bookmarkEnd w:id="228"/>
      <w:bookmarkEnd w:id="229"/>
      <w:bookmarkEnd w:id="230"/>
      <w:bookmarkEnd w:id="231"/>
      <w:bookmarkEnd w:id="232"/>
      <w:bookmarkEnd w:id="233"/>
      <w:bookmarkEnd w:id="234"/>
      <w:bookmarkEnd w:id="235"/>
    </w:p>
    <w:p>
      <w:pPr>
        <w:pStyle w:val="7"/>
        <w:pageBreakBefore w:val="0"/>
        <w:widowControl w:val="0"/>
        <w:shd w:val="clear"/>
        <w:kinsoku/>
        <w:wordWrap/>
        <w:overflowPunct/>
        <w:topLinePunct w:val="0"/>
        <w:bidi w:val="0"/>
        <w:snapToGrid w:val="0"/>
        <w:spacing w:before="0" w:beforeAutospacing="0" w:after="0" w:afterAutospacing="0" w:line="360" w:lineRule="exact"/>
        <w:ind w:left="0" w:leftChars="0" w:firstLine="420"/>
        <w:jc w:val="left"/>
        <w:textAlignment w:val="baseline"/>
        <w:rPr>
          <w:rFonts w:hint="eastAsia" w:ascii="宋体" w:hAnsi="宋体" w:eastAsia="宋体" w:cs="宋体"/>
          <w:b w:val="0"/>
          <w:i w:val="0"/>
          <w:caps w:val="0"/>
          <w:color w:val="auto"/>
          <w:spacing w:val="0"/>
          <w:w w:val="100"/>
          <w:sz w:val="24"/>
          <w:highlight w:val="none"/>
        </w:rPr>
      </w:pPr>
    </w:p>
    <w:p>
      <w:pPr>
        <w:pageBreakBefore w:val="0"/>
        <w:numPr>
          <w:ilvl w:val="0"/>
          <w:numId w:val="2"/>
        </w:numPr>
        <w:kinsoku/>
        <w:wordWrap/>
        <w:overflowPunct/>
        <w:topLinePunct w:val="0"/>
        <w:bidi w:val="0"/>
        <w:spacing w:line="360" w:lineRule="exact"/>
        <w:ind w:left="0" w:leftChars="0"/>
        <w:outlineLvl w:val="1"/>
        <w:rPr>
          <w:rFonts w:hint="eastAsia" w:ascii="宋体" w:hAnsi="宋体" w:eastAsia="宋体" w:cs="宋体"/>
          <w:color w:val="auto"/>
          <w:sz w:val="24"/>
          <w:highlight w:val="none"/>
        </w:rPr>
      </w:pPr>
      <w:bookmarkStart w:id="236" w:name="_Toc20727"/>
      <w:bookmarkStart w:id="237" w:name="_Toc8317"/>
      <w:bookmarkStart w:id="238" w:name="_Toc14401"/>
      <w:bookmarkStart w:id="239" w:name="_Toc26069"/>
      <w:bookmarkStart w:id="240" w:name="_Toc9840"/>
      <w:bookmarkStart w:id="241" w:name="_Toc11639"/>
      <w:bookmarkStart w:id="242" w:name="_Toc7478"/>
      <w:bookmarkStart w:id="243" w:name="_Toc8557"/>
      <w:bookmarkStart w:id="244" w:name="_Toc7238"/>
      <w:bookmarkStart w:id="245" w:name="_Toc515647776"/>
      <w:bookmarkStart w:id="246" w:name="_Toc520356161"/>
      <w:bookmarkStart w:id="247" w:name="_Toc12751"/>
      <w:bookmarkStart w:id="248" w:name="_Toc27010"/>
      <w:bookmarkStart w:id="249" w:name="_Toc9452"/>
      <w:bookmarkStart w:id="250" w:name="_Toc31921"/>
      <w:bookmarkStart w:id="251" w:name="_Toc2068"/>
      <w:bookmarkStart w:id="252" w:name="_Toc18350"/>
      <w:bookmarkStart w:id="253" w:name="_Toc24025"/>
      <w:bookmarkStart w:id="254" w:name="_Toc3372"/>
      <w:bookmarkStart w:id="255" w:name="_Toc520356163"/>
      <w:bookmarkStart w:id="256" w:name="_Toc12436"/>
      <w:bookmarkStart w:id="257" w:name="_Toc216582809"/>
      <w:bookmarkStart w:id="258" w:name="_Toc27283"/>
      <w:bookmarkStart w:id="259" w:name="_Toc28398"/>
      <w:bookmarkStart w:id="260" w:name="_Toc515647778"/>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的密封和标记</w:t>
      </w:r>
      <w:r>
        <w:rPr>
          <w:rFonts w:hint="eastAsia" w:ascii="宋体" w:hAnsi="宋体" w:eastAsia="宋体" w:cs="宋体"/>
          <w:b/>
          <w:color w:val="auto"/>
          <w:sz w:val="24"/>
          <w:highlight w:val="none"/>
          <w:u w:val="single" w:color="000000"/>
        </w:rPr>
        <w:t>（后期邮寄的</w:t>
      </w:r>
      <w:r>
        <w:rPr>
          <w:rFonts w:hint="eastAsia" w:ascii="宋体" w:hAnsi="宋体" w:eastAsia="宋体" w:cs="宋体"/>
          <w:b/>
          <w:color w:val="auto"/>
          <w:sz w:val="24"/>
          <w:highlight w:val="none"/>
          <w:u w:val="single" w:color="000000"/>
          <w:lang w:eastAsia="zh-CN"/>
        </w:rPr>
        <w:t>响应文件</w:t>
      </w:r>
      <w:r>
        <w:rPr>
          <w:rFonts w:hint="eastAsia" w:ascii="宋体" w:hAnsi="宋体" w:eastAsia="宋体" w:cs="宋体"/>
          <w:b/>
          <w:color w:val="auto"/>
          <w:sz w:val="24"/>
          <w:highlight w:val="none"/>
          <w:u w:val="single" w:color="000000"/>
        </w:rPr>
        <w:t>）</w:t>
      </w:r>
      <w:bookmarkEnd w:id="236"/>
      <w:bookmarkEnd w:id="237"/>
      <w:bookmarkEnd w:id="238"/>
    </w:p>
    <w:p>
      <w:pPr>
        <w:pageBreakBefore w:val="0"/>
        <w:kinsoku/>
        <w:wordWrap/>
        <w:overflowPunct/>
        <w:topLinePunct w:val="0"/>
        <w:bidi w:val="0"/>
        <w:spacing w:line="360" w:lineRule="exact"/>
        <w:ind w:left="0"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第一部分和第二部分的内容合并成一册，</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rPr>
        <w:t>，并在封皮正面标明“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”字样。</w:t>
      </w:r>
      <w:r>
        <w:rPr>
          <w:rFonts w:hint="eastAsia" w:ascii="宋体" w:hAnsi="宋体" w:eastAsia="宋体" w:cs="宋体"/>
          <w:color w:val="auto"/>
          <w:sz w:val="24"/>
          <w:highlight w:val="none"/>
          <w:lang w:val="en-US" w:eastAsia="zh-CN"/>
        </w:rPr>
        <w:t>第三部分的内容单独成一册，上传至系统。</w:t>
      </w:r>
    </w:p>
    <w:p>
      <w:pPr>
        <w:pageBreakBefore w:val="0"/>
        <w:kinsoku/>
        <w:wordWrap/>
        <w:overflowPunct/>
        <w:topLinePunct w:val="0"/>
        <w:bidi w:val="0"/>
        <w:spacing w:line="360" w:lineRule="exact"/>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15.2   如果供应商未按上述要求标记的，将承担相应的后果。</w:t>
      </w:r>
    </w:p>
    <w:p>
      <w:pPr>
        <w:pStyle w:val="4"/>
        <w:pageBreakBefore w:val="0"/>
        <w:kinsoku/>
        <w:wordWrap/>
        <w:overflowPunct/>
        <w:topLinePunct w:val="0"/>
        <w:bidi w:val="0"/>
        <w:spacing w:before="0" w:line="360" w:lineRule="exact"/>
        <w:ind w:left="0" w:leftChars="0"/>
        <w:jc w:val="both"/>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16.磋商截止</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pageBreakBefore w:val="0"/>
        <w:kinsoku/>
        <w:wordWrap/>
        <w:overflowPunct/>
        <w:topLinePunct w:val="0"/>
        <w:bidi w:val="0"/>
        <w:spacing w:line="360" w:lineRule="exact"/>
        <w:ind w:left="0" w:leftChars="0"/>
        <w:rPr>
          <w:rFonts w:hint="eastAsia" w:ascii="宋体" w:hAnsi="宋体" w:eastAsia="宋体" w:cs="宋体"/>
          <w:color w:val="auto"/>
          <w:sz w:val="24"/>
          <w:highlight w:val="none"/>
        </w:rPr>
      </w:pPr>
      <w:bookmarkStart w:id="261" w:name="_Toc24275"/>
      <w:bookmarkStart w:id="262" w:name="_Toc27719"/>
      <w:bookmarkStart w:id="263" w:name="_Toc3014"/>
      <w:bookmarkStart w:id="264" w:name="_Toc11003"/>
      <w:bookmarkStart w:id="265" w:name="_Toc21926"/>
      <w:bookmarkStart w:id="266" w:name="_Toc18594"/>
      <w:bookmarkStart w:id="267" w:name="_Toc515647777"/>
      <w:bookmarkStart w:id="268" w:name="_Toc520356162"/>
      <w:bookmarkStart w:id="269" w:name="_Toc29943"/>
      <w:bookmarkStart w:id="270" w:name="_Toc18537"/>
      <w:bookmarkStart w:id="271" w:name="_Toc31057"/>
      <w:bookmarkStart w:id="272" w:name="_Toc10299"/>
      <w:bookmarkStart w:id="273" w:name="_Toc22201"/>
      <w:bookmarkStart w:id="274" w:name="_Toc23557"/>
      <w:bookmarkStart w:id="275" w:name="_Toc7274"/>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供应商应在供应商须知资料表中规定的投标截止时间前，将</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上传到公开招标公告中规定的地点。</w:t>
      </w:r>
    </w:p>
    <w:p>
      <w:pPr>
        <w:pageBreakBefore w:val="0"/>
        <w:kinsoku/>
        <w:wordWrap/>
        <w:overflowPunct/>
        <w:topLinePunct w:val="0"/>
        <w:bidi w:val="0"/>
        <w:spacing w:line="360" w:lineRule="exact"/>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pPr>
        <w:pageBreakBefore w:val="0"/>
        <w:kinsoku/>
        <w:wordWrap/>
        <w:overflowPunct/>
        <w:topLinePunct w:val="0"/>
        <w:bidi w:val="0"/>
        <w:spacing w:line="360" w:lineRule="exact"/>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采购人和采购代理机构将拒绝接收在投标截止时间后上传的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pPr>
        <w:pStyle w:val="4"/>
        <w:pageBreakBefore w:val="0"/>
        <w:kinsoku/>
        <w:wordWrap/>
        <w:overflowPunct/>
        <w:topLinePunct w:val="0"/>
        <w:bidi w:val="0"/>
        <w:spacing w:before="0" w:line="360" w:lineRule="exact"/>
        <w:ind w:left="0" w:leftChars="0"/>
        <w:jc w:val="both"/>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17.响应文件的接收、修改与撤回</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pageBreakBefore w:val="0"/>
        <w:kinsoku/>
        <w:wordWrap/>
        <w:overflowPunct/>
        <w:topLinePunct w:val="0"/>
        <w:bidi w:val="0"/>
        <w:spacing w:line="360" w:lineRule="exact"/>
        <w:ind w:left="0" w:leftChars="0"/>
        <w:outlineLvl w:val="9"/>
        <w:rPr>
          <w:rFonts w:hint="eastAsia" w:ascii="宋体" w:hAnsi="宋体" w:eastAsia="宋体" w:cs="宋体"/>
          <w:color w:val="auto"/>
          <w:sz w:val="24"/>
          <w:highlight w:val="none"/>
        </w:rPr>
      </w:pPr>
      <w:bookmarkStart w:id="276" w:name="_Toc910"/>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在投标截止时间后上传的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的，采购人和采购代理机构将拒绝接收。</w:t>
      </w:r>
    </w:p>
    <w:p>
      <w:pPr>
        <w:pageBreakBefore w:val="0"/>
        <w:kinsoku/>
        <w:wordWrap/>
        <w:overflowPunct/>
        <w:topLinePunct w:val="0"/>
        <w:bidi w:val="0"/>
        <w:spacing w:line="360" w:lineRule="exact"/>
        <w:ind w:left="0" w:left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以后，如果供应商要进行修改或撤回磋商，供应商对</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的组成部分。</w:t>
      </w:r>
    </w:p>
    <w:p>
      <w:pPr>
        <w:pageBreakBefore w:val="0"/>
        <w:kinsoku/>
        <w:wordWrap/>
        <w:overflowPunct/>
        <w:topLinePunct w:val="0"/>
        <w:bidi w:val="0"/>
        <w:spacing w:line="360" w:lineRule="exact"/>
        <w:ind w:left="0" w:left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在投标截止期之后，采购人和采购代理机构不接受供应商主动对其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做任何修改。</w:t>
      </w:r>
    </w:p>
    <w:p>
      <w:pPr>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color w:val="auto"/>
          <w:sz w:val="24"/>
          <w:highlight w:val="none"/>
        </w:rPr>
      </w:pPr>
      <w:bookmarkStart w:id="277" w:name="_Toc2296"/>
      <w:bookmarkStart w:id="278" w:name="_Toc14514"/>
      <w:bookmarkStart w:id="279" w:name="_Toc31738"/>
      <w:bookmarkStart w:id="280" w:name="_Toc16482"/>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概不退回。</w:t>
      </w:r>
      <w:bookmarkEnd w:id="277"/>
      <w:bookmarkEnd w:id="278"/>
      <w:bookmarkEnd w:id="279"/>
      <w:bookmarkEnd w:id="280"/>
    </w:p>
    <w:p>
      <w:pPr>
        <w:pageBreakBefore w:val="0"/>
        <w:kinsoku/>
        <w:wordWrap/>
        <w:overflowPunct/>
        <w:topLinePunct w:val="0"/>
        <w:bidi w:val="0"/>
        <w:spacing w:line="360" w:lineRule="exact"/>
        <w:ind w:left="0" w:leftChars="0"/>
        <w:rPr>
          <w:rFonts w:hint="eastAsia" w:ascii="宋体" w:hAnsi="宋体" w:eastAsia="宋体" w:cs="宋体"/>
          <w:color w:val="auto"/>
          <w:highlight w:val="none"/>
        </w:rPr>
      </w:pPr>
    </w:p>
    <w:p>
      <w:pPr>
        <w:pStyle w:val="4"/>
        <w:pageBreakBefore w:val="0"/>
        <w:shd w:val="clear"/>
        <w:kinsoku/>
        <w:wordWrap/>
        <w:overflowPunct/>
        <w:topLinePunct w:val="0"/>
        <w:bidi w:val="0"/>
        <w:snapToGrid w:val="0"/>
        <w:spacing w:before="0" w:beforeAutospacing="0" w:after="0" w:afterAutospacing="0" w:line="360" w:lineRule="exact"/>
        <w:ind w:left="0" w:leftChars="0" w:hanging="540"/>
        <w:jc w:val="center"/>
        <w:textAlignment w:val="baseline"/>
        <w:outlineLvl w:val="1"/>
        <w:rPr>
          <w:rFonts w:hint="eastAsia" w:ascii="宋体" w:hAnsi="宋体" w:eastAsia="宋体" w:cs="宋体"/>
          <w:b/>
          <w:i w:val="0"/>
          <w:caps w:val="0"/>
          <w:color w:val="auto"/>
          <w:spacing w:val="0"/>
          <w:w w:val="100"/>
          <w:sz w:val="24"/>
          <w:highlight w:val="none"/>
          <w:lang w:val="en-US" w:eastAsia="zh-CN"/>
        </w:rPr>
      </w:pPr>
      <w:bookmarkStart w:id="281" w:name="_Toc32140"/>
      <w:r>
        <w:rPr>
          <w:rFonts w:hint="eastAsia" w:ascii="宋体" w:hAnsi="宋体" w:eastAsia="宋体" w:cs="宋体"/>
          <w:b/>
          <w:i w:val="0"/>
          <w:caps w:val="0"/>
          <w:color w:val="auto"/>
          <w:spacing w:val="0"/>
          <w:w w:val="100"/>
          <w:sz w:val="24"/>
          <w:highlight w:val="none"/>
        </w:rPr>
        <w:t xml:space="preserve">五   </w:t>
      </w:r>
      <w:r>
        <w:rPr>
          <w:rFonts w:hint="eastAsia" w:ascii="宋体" w:hAnsi="宋体" w:eastAsia="宋体" w:cs="宋体"/>
          <w:b/>
          <w:i w:val="0"/>
          <w:caps w:val="0"/>
          <w:color w:val="auto"/>
          <w:spacing w:val="0"/>
          <w:w w:val="100"/>
          <w:sz w:val="24"/>
          <w:highlight w:val="none"/>
          <w:lang w:val="en-US" w:eastAsia="zh-CN"/>
        </w:rPr>
        <w:t>磋商</w:t>
      </w:r>
      <w:r>
        <w:rPr>
          <w:rFonts w:hint="eastAsia" w:ascii="宋体" w:hAnsi="宋体" w:eastAsia="宋体" w:cs="宋体"/>
          <w:b/>
          <w:i w:val="0"/>
          <w:caps w:val="0"/>
          <w:color w:val="auto"/>
          <w:spacing w:val="0"/>
          <w:w w:val="100"/>
          <w:sz w:val="24"/>
          <w:highlight w:val="none"/>
        </w:rPr>
        <w:t>及</w:t>
      </w:r>
      <w:bookmarkEnd w:id="255"/>
      <w:bookmarkEnd w:id="256"/>
      <w:bookmarkEnd w:id="257"/>
      <w:bookmarkEnd w:id="258"/>
      <w:bookmarkEnd w:id="259"/>
      <w:bookmarkEnd w:id="260"/>
      <w:bookmarkEnd w:id="276"/>
      <w:r>
        <w:rPr>
          <w:rFonts w:hint="eastAsia" w:ascii="宋体" w:hAnsi="宋体" w:eastAsia="宋体" w:cs="宋体"/>
          <w:b/>
          <w:i w:val="0"/>
          <w:caps w:val="0"/>
          <w:color w:val="auto"/>
          <w:spacing w:val="0"/>
          <w:w w:val="100"/>
          <w:sz w:val="24"/>
          <w:highlight w:val="none"/>
          <w:lang w:val="en-US" w:eastAsia="zh-CN"/>
        </w:rPr>
        <w:t>评审</w:t>
      </w:r>
      <w:bookmarkEnd w:id="281"/>
    </w:p>
    <w:p>
      <w:pPr>
        <w:pStyle w:val="4"/>
        <w:pageBreakBefore w:val="0"/>
        <w:kinsoku/>
        <w:wordWrap/>
        <w:overflowPunct/>
        <w:topLinePunct w:val="0"/>
        <w:bidi w:val="0"/>
        <w:spacing w:before="0" w:line="360" w:lineRule="exact"/>
        <w:ind w:left="0" w:leftChars="0"/>
        <w:jc w:val="both"/>
        <w:outlineLvl w:val="1"/>
        <w:rPr>
          <w:rFonts w:hint="eastAsia" w:ascii="宋体" w:hAnsi="宋体" w:eastAsia="宋体" w:cs="宋体"/>
          <w:color w:val="auto"/>
          <w:kern w:val="2"/>
          <w:sz w:val="24"/>
          <w:szCs w:val="24"/>
          <w:highlight w:val="none"/>
          <w:lang w:val="en-US" w:eastAsia="zh-CN" w:bidi="ar-SA"/>
        </w:rPr>
      </w:pPr>
      <w:bookmarkStart w:id="282" w:name="_Toc11726"/>
      <w:bookmarkStart w:id="283" w:name="_Toc23987"/>
      <w:bookmarkStart w:id="284" w:name="_Toc515647779"/>
      <w:bookmarkStart w:id="285" w:name="_Toc32409"/>
      <w:bookmarkStart w:id="286" w:name="_Toc520356164"/>
      <w:bookmarkStart w:id="287" w:name="_Toc7186"/>
      <w:bookmarkStart w:id="288" w:name="_Toc63"/>
      <w:bookmarkStart w:id="289" w:name="_Toc25345"/>
      <w:bookmarkStart w:id="290" w:name="_Toc7345"/>
      <w:bookmarkStart w:id="291" w:name="_Toc11762"/>
      <w:bookmarkStart w:id="292" w:name="_Toc1738"/>
      <w:bookmarkStart w:id="293" w:name="_Toc24922"/>
      <w:bookmarkStart w:id="294" w:name="_Toc9432"/>
      <w:bookmarkStart w:id="295" w:name="_Toc4771"/>
      <w:bookmarkStart w:id="296" w:name="_Toc23772"/>
      <w:bookmarkStart w:id="297" w:name="_Toc21418"/>
      <w:bookmarkStart w:id="298" w:name="_Toc28057"/>
      <w:bookmarkStart w:id="299" w:name="_Toc2886"/>
      <w:bookmarkStart w:id="300" w:name="_Toc30037"/>
      <w:bookmarkStart w:id="301" w:name="_Toc10415"/>
      <w:bookmarkStart w:id="302" w:name="_Toc520356165"/>
      <w:bookmarkStart w:id="303" w:name="_Toc2316"/>
      <w:bookmarkStart w:id="304" w:name="_Toc3080"/>
      <w:bookmarkStart w:id="305" w:name="_Toc515647780"/>
      <w:bookmarkStart w:id="306" w:name="_Toc26266"/>
      <w:bookmarkStart w:id="307" w:name="_Toc4063"/>
      <w:bookmarkStart w:id="308" w:name="_Toc21372"/>
      <w:bookmarkStart w:id="309" w:name="_Toc18228"/>
      <w:bookmarkStart w:id="310" w:name="_Toc21667"/>
      <w:bookmarkStart w:id="311" w:name="_Toc22792"/>
      <w:bookmarkStart w:id="312" w:name="_Toc10746"/>
      <w:bookmarkStart w:id="313" w:name="_Toc19296"/>
      <w:bookmarkStart w:id="314" w:name="_Toc22770"/>
      <w:bookmarkStart w:id="315" w:name="_Toc18233"/>
      <w:bookmarkStart w:id="316" w:name="_Toc10550"/>
      <w:bookmarkStart w:id="317" w:name="_Toc28586"/>
      <w:bookmarkStart w:id="318" w:name="_Toc5052"/>
      <w:r>
        <w:rPr>
          <w:rFonts w:hint="eastAsia" w:ascii="宋体" w:hAnsi="宋体" w:eastAsia="宋体" w:cs="宋体"/>
          <w:color w:val="auto"/>
          <w:kern w:val="2"/>
          <w:sz w:val="24"/>
          <w:szCs w:val="24"/>
          <w:highlight w:val="none"/>
          <w:lang w:val="en-US" w:eastAsia="zh-CN" w:bidi="ar-SA"/>
        </w:rPr>
        <w:t>18.开标</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pageBreakBefore w:val="0"/>
        <w:kinsoku/>
        <w:wordWrap/>
        <w:overflowPunct/>
        <w:topLinePunct w:val="0"/>
        <w:bidi w:val="0"/>
        <w:spacing w:line="360" w:lineRule="exact"/>
        <w:ind w:left="960" w:leftChars="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18.1采购人和采购代理机构将按投标供应商须知资料表中规定的开标时间和地点组织公开开标并邀请所有投标供应商代表参加。</w:t>
      </w:r>
    </w:p>
    <w:p>
      <w:pPr>
        <w:pageBreakBefore w:val="0"/>
        <w:kinsoku/>
        <w:wordWrap/>
        <w:overflowPunct/>
        <w:topLinePunct w:val="0"/>
        <w:bidi w:val="0"/>
        <w:spacing w:line="360" w:lineRule="exact"/>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投标供应商不足3家的，不得开标。</w:t>
      </w:r>
    </w:p>
    <w:p>
      <w:pPr>
        <w:pageBreakBefore w:val="0"/>
        <w:kinsoku/>
        <w:wordWrap/>
        <w:overflowPunct/>
        <w:topLinePunct w:val="0"/>
        <w:bidi w:val="0"/>
        <w:spacing w:line="360" w:lineRule="exact"/>
        <w:ind w:left="960" w:leftChars="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18.2   供应商按照须知资料表中规定的开标时间和地点，在规定时间内上传</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pPr>
        <w:pageBreakBefore w:val="0"/>
        <w:kinsoku/>
        <w:wordWrap/>
        <w:overflowPunct/>
        <w:topLinePunct w:val="0"/>
        <w:bidi w:val="0"/>
        <w:spacing w:line="360" w:lineRule="exact"/>
        <w:ind w:left="960" w:leftChars="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采购代理机构在规定时间内</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w:t>
      </w:r>
      <w:r>
        <w:rPr>
          <w:rFonts w:hint="eastAsia" w:ascii="宋体" w:hAnsi="宋体" w:eastAsia="宋体" w:cs="宋体"/>
          <w:b/>
          <w:bCs/>
          <w:color w:val="auto"/>
          <w:sz w:val="24"/>
          <w:highlight w:val="none"/>
        </w:rPr>
        <w:t>解密，时长为30分钟</w:t>
      </w:r>
      <w:r>
        <w:rPr>
          <w:rFonts w:hint="eastAsia" w:ascii="宋体" w:hAnsi="宋体" w:eastAsia="宋体" w:cs="宋体"/>
          <w:color w:val="auto"/>
          <w:sz w:val="24"/>
          <w:highlight w:val="none"/>
        </w:rPr>
        <w:t>。</w:t>
      </w:r>
    </w:p>
    <w:p>
      <w:pPr>
        <w:pageBreakBefore w:val="0"/>
        <w:kinsoku/>
        <w:wordWrap/>
        <w:overflowPunct/>
        <w:topLinePunct w:val="0"/>
        <w:bidi w:val="0"/>
        <w:spacing w:line="360" w:lineRule="exact"/>
        <w:ind w:left="960" w:leftChars="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18.4   由采购代理机构开启开标记录，须供应商在政采云平台对报价进行签字确认。</w:t>
      </w:r>
    </w:p>
    <w:p>
      <w:pPr>
        <w:pageBreakBefore w:val="0"/>
        <w:kinsoku/>
        <w:wordWrap/>
        <w:overflowPunct/>
        <w:topLinePunct w:val="0"/>
        <w:bidi w:val="0"/>
        <w:snapToGrid w:val="0"/>
        <w:spacing w:line="360" w:lineRule="exact"/>
        <w:ind w:left="720" w:leftChars="0" w:hanging="720" w:hangingChars="300"/>
        <w:textAlignment w:val="baseline"/>
        <w:outlineLvl w:val="1"/>
        <w:rPr>
          <w:rFonts w:hint="eastAsia" w:ascii="宋体" w:hAnsi="宋体" w:eastAsia="宋体" w:cs="宋体"/>
          <w:color w:val="auto"/>
          <w:kern w:val="2"/>
          <w:sz w:val="24"/>
          <w:szCs w:val="24"/>
          <w:highlight w:val="none"/>
          <w:lang w:val="en-US" w:eastAsia="zh-CN" w:bidi="ar-SA"/>
        </w:rPr>
      </w:pPr>
      <w:bookmarkStart w:id="319" w:name="_Toc25205"/>
      <w:bookmarkStart w:id="320" w:name="_Toc29601"/>
      <w:bookmarkStart w:id="321" w:name="_Toc2280"/>
      <w:r>
        <w:rPr>
          <w:rFonts w:hint="eastAsia" w:ascii="宋体" w:hAnsi="宋体" w:eastAsia="宋体" w:cs="宋体"/>
          <w:color w:val="auto"/>
          <w:kern w:val="2"/>
          <w:sz w:val="24"/>
          <w:szCs w:val="24"/>
          <w:highlight w:val="none"/>
          <w:lang w:val="en-US" w:eastAsia="zh-CN" w:bidi="ar-SA"/>
        </w:rPr>
        <w:t>19.</w:t>
      </w:r>
      <w:bookmarkEnd w:id="302"/>
      <w:r>
        <w:rPr>
          <w:rFonts w:hint="eastAsia" w:ascii="宋体" w:hAnsi="宋体" w:eastAsia="宋体" w:cs="宋体"/>
          <w:color w:val="auto"/>
          <w:kern w:val="2"/>
          <w:sz w:val="24"/>
          <w:szCs w:val="24"/>
          <w:highlight w:val="none"/>
          <w:lang w:val="en-US" w:eastAsia="zh-CN" w:bidi="ar-SA"/>
        </w:rPr>
        <w:t>资格审查及组建</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hint="eastAsia" w:ascii="宋体" w:hAnsi="宋体" w:eastAsia="宋体" w:cs="宋体"/>
          <w:color w:val="auto"/>
          <w:kern w:val="2"/>
          <w:sz w:val="24"/>
          <w:szCs w:val="24"/>
          <w:highlight w:val="none"/>
          <w:lang w:val="en-US" w:eastAsia="zh-CN" w:bidi="ar-SA"/>
        </w:rPr>
        <w:t>磋商小组</w:t>
      </w:r>
    </w:p>
    <w:p>
      <w:pPr>
        <w:pageBreakBefore w:val="0"/>
        <w:kinsoku/>
        <w:wordWrap/>
        <w:overflowPunct/>
        <w:topLinePunct w:val="0"/>
        <w:bidi w:val="0"/>
        <w:snapToGrid w:val="0"/>
        <w:spacing w:line="360" w:lineRule="exact"/>
        <w:ind w:left="720" w:leftChars="0" w:hanging="720" w:hangingChars="3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19.1 采购人或采购代理机构依据法律法规和</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中规定的内容，对供应商及其服务的资格进行审查，本项目审查内容如下：</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（1）具有有效的营业执照；</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（2）提供法定代表人身份证明及身份证或法定代表人授权委托书和委托代理人身份证；</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（3）提供近两年内任意一年的财务审计报告或健全的财务会计制度；</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color w:val="FF0000"/>
          <w:kern w:val="2"/>
          <w:sz w:val="24"/>
          <w:szCs w:val="24"/>
          <w:highlight w:val="none"/>
          <w:lang w:val="en-US" w:eastAsia="zh-CN" w:bidi="ar-SA"/>
        </w:rPr>
        <w:t>（4）</w:t>
      </w:r>
      <w:r>
        <w:rPr>
          <w:rFonts w:hint="eastAsia" w:ascii="宋体" w:hAnsi="宋体" w:cs="宋体"/>
          <w:b/>
          <w:bCs/>
          <w:color w:val="FF0000"/>
          <w:kern w:val="2"/>
          <w:sz w:val="24"/>
          <w:szCs w:val="24"/>
          <w:highlight w:val="none"/>
          <w:lang w:val="en-US" w:eastAsia="zh-CN" w:bidi="ar-SA"/>
        </w:rPr>
        <w:t>提供依法缴纳近六个月任意一个月的社会保险证明（新成立公司未满六个月，无须提供社会保险证明）</w:t>
      </w:r>
      <w:r>
        <w:rPr>
          <w:rFonts w:hint="eastAsia" w:ascii="宋体" w:hAnsi="宋体" w:eastAsia="宋体" w:cs="宋体"/>
          <w:b/>
          <w:bCs/>
          <w:color w:val="FF0000"/>
          <w:kern w:val="2"/>
          <w:sz w:val="24"/>
          <w:szCs w:val="24"/>
          <w:highlight w:val="none"/>
          <w:lang w:val="en-US" w:eastAsia="zh-CN" w:bidi="ar-SA"/>
        </w:rPr>
        <w:t>；</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cs="宋体"/>
          <w:b/>
          <w:bCs/>
          <w:color w:val="auto"/>
          <w:kern w:val="2"/>
          <w:sz w:val="24"/>
          <w:szCs w:val="24"/>
          <w:highlight w:val="none"/>
          <w:lang w:val="en-US" w:eastAsia="zh-CN" w:bidi="ar-SA"/>
        </w:rPr>
        <w:t>提供依法缴纳近六个月任意一个月的税收证明（新成立公司未满六个月，无须提供税收证明）</w:t>
      </w:r>
      <w:r>
        <w:rPr>
          <w:rFonts w:hint="eastAsia" w:ascii="宋体" w:hAnsi="宋体" w:eastAsia="宋体" w:cs="宋体"/>
          <w:b/>
          <w:bCs/>
          <w:color w:val="auto"/>
          <w:kern w:val="2"/>
          <w:sz w:val="24"/>
          <w:szCs w:val="24"/>
          <w:highlight w:val="none"/>
          <w:lang w:val="en-US" w:eastAsia="zh-CN" w:bidi="ar-SA"/>
        </w:rPr>
        <w:t>；</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 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（7）提供参加政府采购活动前3年内在经营活动中没有重大违法违规记录的书面声明；</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（8）提供针对本次项目《反商业贿赂承诺书》。</w:t>
      </w:r>
    </w:p>
    <w:p>
      <w:pPr>
        <w:pageBreakBefore w:val="0"/>
        <w:widowControl/>
        <w:kinsoku/>
        <w:wordWrap/>
        <w:overflowPunct/>
        <w:topLinePunct w:val="0"/>
        <w:bidi w:val="0"/>
        <w:snapToGrid w:val="0"/>
        <w:spacing w:line="360" w:lineRule="exact"/>
        <w:ind w:left="0" w:leftChars="0" w:firstLine="482"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9</w:t>
      </w:r>
      <w:r>
        <w:rPr>
          <w:rFonts w:hint="eastAsia" w:ascii="宋体" w:hAnsi="宋体" w:eastAsia="宋体" w:cs="宋体"/>
          <w:b/>
          <w:bCs/>
          <w:color w:val="auto"/>
          <w:kern w:val="2"/>
          <w:sz w:val="24"/>
          <w:szCs w:val="24"/>
          <w:highlight w:val="none"/>
          <w:lang w:val="en-US" w:eastAsia="zh-CN" w:bidi="ar-SA"/>
        </w:rPr>
        <w:t>）缴纳磋商保证金有效凭证。</w:t>
      </w:r>
    </w:p>
    <w:p>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cs="宋体"/>
          <w:b/>
          <w:bCs/>
          <w:color w:val="auto"/>
          <w:kern w:val="2"/>
          <w:sz w:val="24"/>
          <w:szCs w:val="24"/>
          <w:highlight w:val="none"/>
          <w:lang w:val="en-US" w:eastAsia="zh-CN" w:bidi="ar-SA"/>
        </w:rPr>
        <w:t>提供依法缴纳近六个月任意一个月的税收证明</w:t>
      </w:r>
      <w:r>
        <w:rPr>
          <w:rFonts w:hint="eastAsia" w:ascii="宋体" w:hAnsi="宋体" w:eastAsia="宋体" w:cs="宋体"/>
          <w:b/>
          <w:bCs/>
          <w:color w:val="auto"/>
          <w:sz w:val="24"/>
          <w:szCs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val="0"/>
        <w:shd w:val="clear"/>
        <w:kinsoku/>
        <w:wordWrap/>
        <w:overflowPunct/>
        <w:topLinePunct w:val="0"/>
        <w:autoSpaceDE/>
        <w:autoSpaceDN/>
        <w:bidi w:val="0"/>
        <w:adjustRightInd/>
        <w:snapToGrid/>
        <w:spacing w:line="36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未通过资格审查的供应商不进入</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；通过资格审查的供应商少于不足三家的，不得</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w:t>
      </w:r>
    </w:p>
    <w:p>
      <w:pPr>
        <w:pageBreakBefore w:val="0"/>
        <w:shd w:val="clear"/>
        <w:kinsoku/>
        <w:wordWrap/>
        <w:overflowPunct/>
        <w:topLinePunct w:val="0"/>
        <w:bidi w:val="0"/>
        <w:snapToGrid w:val="0"/>
        <w:spacing w:before="0" w:beforeAutospacing="0" w:after="0" w:afterAutospacing="0" w:line="360" w:lineRule="exact"/>
        <w:ind w:left="734" w:leftChars="0" w:hanging="734" w:hangingChars="306"/>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19.2   采购人或采购代理机构将在</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前1个工作日至磋商截止后1小时的期间内查询供应商的信用记录。供应商存在不良信用记录的，其磋商将被认定为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widowControl w:val="0"/>
        <w:shd w:val="clear"/>
        <w:kinsoku/>
        <w:wordWrap/>
        <w:overflowPunct/>
        <w:topLinePunct w:val="0"/>
        <w:bidi w:val="0"/>
        <w:snapToGrid w:val="0"/>
        <w:spacing w:before="0" w:beforeAutospacing="0" w:after="0" w:afterAutospacing="0" w:line="360" w:lineRule="exact"/>
        <w:ind w:left="734" w:leftChars="0" w:hanging="734" w:hangingChars="306"/>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rPr>
        <w:t>19.2.1 不良信用记录指：“信用中国”网站（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w:t>
      </w:r>
    </w:p>
    <w:p>
      <w:pPr>
        <w:pageBreakBefore w:val="0"/>
        <w:widowControl w:val="0"/>
        <w:shd w:val="clear"/>
        <w:kinsoku/>
        <w:wordWrap/>
        <w:overflowPunct/>
        <w:topLinePunct w:val="0"/>
        <w:bidi w:val="0"/>
        <w:snapToGrid w:val="0"/>
        <w:spacing w:before="0" w:beforeAutospacing="0" w:after="0" w:afterAutospacing="0" w:line="360" w:lineRule="exact"/>
        <w:ind w:left="7" w:leftChars="0" w:hangingChars="3"/>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以联合体形式参加磋商的，联合体任何成员存在以上不良信用记录的，联合体磋商将被认定为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Style w:val="7"/>
        <w:pageBreakBefore w:val="0"/>
        <w:widowControl w:val="0"/>
        <w:shd w:val="clear"/>
        <w:kinsoku/>
        <w:wordWrap/>
        <w:overflowPunct/>
        <w:topLinePunct w:val="0"/>
        <w:bidi w:val="0"/>
        <w:snapToGrid w:val="0"/>
        <w:spacing w:before="0" w:beforeAutospacing="0" w:after="0" w:afterAutospacing="0" w:line="360" w:lineRule="exact"/>
        <w:ind w:left="849" w:leftChars="0" w:hangingChars="354"/>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w:t>
      </w:r>
      <w:r>
        <w:rPr>
          <w:rFonts w:hint="eastAsia" w:ascii="宋体" w:hAnsi="宋体" w:eastAsia="宋体" w:cs="宋体"/>
          <w:b w:val="0"/>
          <w:i w:val="0"/>
          <w:caps w:val="0"/>
          <w:color w:val="auto"/>
          <w:spacing w:val="0"/>
          <w:w w:val="100"/>
          <w:sz w:val="24"/>
          <w:highlight w:val="none"/>
          <w:lang w:eastAsia="zh-CN"/>
        </w:rPr>
        <w:t>评审</w:t>
      </w:r>
      <w:r>
        <w:rPr>
          <w:rFonts w:hint="eastAsia" w:ascii="宋体" w:hAnsi="宋体" w:eastAsia="宋体" w:cs="宋体"/>
          <w:b w:val="0"/>
          <w:i w:val="0"/>
          <w:caps w:val="0"/>
          <w:color w:val="auto"/>
          <w:spacing w:val="0"/>
          <w:w w:val="100"/>
          <w:sz w:val="24"/>
          <w:highlight w:val="none"/>
        </w:rPr>
        <w:t>依据。</w:t>
      </w:r>
    </w:p>
    <w:p>
      <w:pPr>
        <w:pStyle w:val="7"/>
        <w:pageBreakBefore w:val="0"/>
        <w:widowControl w:val="0"/>
        <w:shd w:val="clear"/>
        <w:kinsoku/>
        <w:wordWrap/>
        <w:overflowPunct/>
        <w:topLinePunct w:val="0"/>
        <w:bidi w:val="0"/>
        <w:snapToGrid w:val="0"/>
        <w:spacing w:before="0" w:beforeAutospacing="0" w:after="0" w:afterAutospacing="0" w:line="360" w:lineRule="exact"/>
        <w:ind w:left="0" w:leftChars="0" w:firstLine="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供应商自行提供的与网站信息不一致的其他证明材料亦不作为资格审查依据。</w:t>
      </w:r>
    </w:p>
    <w:p>
      <w:pPr>
        <w:pageBreakBefore w:val="0"/>
        <w:widowControl w:val="0"/>
        <w:shd w:val="clear"/>
        <w:kinsoku/>
        <w:wordWrap/>
        <w:overflowPunct/>
        <w:topLinePunct w:val="0"/>
        <w:bidi w:val="0"/>
        <w:snapToGrid w:val="0"/>
        <w:spacing w:before="0" w:beforeAutospacing="0" w:after="0" w:afterAutospacing="0" w:line="360" w:lineRule="exact"/>
        <w:ind w:left="849" w:leftChars="0" w:hangingChars="354"/>
        <w:jc w:val="both"/>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rPr>
        <w:t xml:space="preserve">19.3   </w:t>
      </w:r>
      <w:bookmarkStart w:id="322" w:name="_Toc520356166"/>
      <w:r>
        <w:rPr>
          <w:rFonts w:hint="eastAsia" w:ascii="宋体" w:hAnsi="宋体" w:eastAsia="宋体" w:cs="宋体"/>
          <w:b w:val="0"/>
          <w:i w:val="0"/>
          <w:caps w:val="0"/>
          <w:color w:val="auto"/>
          <w:spacing w:val="0"/>
          <w:w w:val="100"/>
          <w:sz w:val="24"/>
          <w:highlight w:val="none"/>
        </w:rPr>
        <w:t>按照《中华人民共和国政府采购法》、《中华人民共和国政府采购法实施条例》及本项目本级和上级财政部门的有关规定依法组建3名磋商小组，负责评审工作</w:t>
      </w:r>
      <w:r>
        <w:rPr>
          <w:rFonts w:hint="eastAsia" w:ascii="宋体" w:hAnsi="宋体" w:eastAsia="宋体" w:cs="宋体"/>
          <w:b w:val="0"/>
          <w:i w:val="0"/>
          <w:caps w:val="0"/>
          <w:color w:val="auto"/>
          <w:spacing w:val="0"/>
          <w:w w:val="100"/>
          <w:sz w:val="24"/>
          <w:highlight w:val="none"/>
          <w:lang w:eastAsia="zh-CN"/>
        </w:rPr>
        <w:t>。</w:t>
      </w:r>
    </w:p>
    <w:p>
      <w:pPr>
        <w:pStyle w:val="4"/>
        <w:pageBreakBefore w:val="0"/>
        <w:widowControl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val="0"/>
          <w:bCs/>
          <w:i w:val="0"/>
          <w:caps w:val="0"/>
          <w:color w:val="auto"/>
          <w:spacing w:val="0"/>
          <w:w w:val="100"/>
          <w:sz w:val="24"/>
          <w:highlight w:val="none"/>
          <w:u w:val="single" w:color="000000"/>
          <w:bdr w:val="single" w:color="auto" w:sz="4" w:space="0"/>
        </w:rPr>
      </w:pPr>
      <w:bookmarkStart w:id="323" w:name="_Toc22740"/>
      <w:bookmarkStart w:id="324" w:name="_Toc10117"/>
      <w:bookmarkStart w:id="325" w:name="_Toc19949"/>
      <w:bookmarkStart w:id="326" w:name="_Toc28479"/>
      <w:bookmarkStart w:id="327" w:name="_Toc29043"/>
      <w:bookmarkStart w:id="328" w:name="_Toc29938"/>
      <w:bookmarkStart w:id="329" w:name="_Toc17557"/>
      <w:bookmarkStart w:id="330" w:name="_Toc17520"/>
      <w:bookmarkStart w:id="331" w:name="_Toc15335"/>
      <w:bookmarkStart w:id="332" w:name="_Toc32528"/>
      <w:bookmarkStart w:id="333" w:name="_Toc515647781"/>
      <w:r>
        <w:rPr>
          <w:rFonts w:hint="eastAsia" w:ascii="宋体" w:hAnsi="宋体" w:eastAsia="宋体" w:cs="宋体"/>
          <w:b/>
          <w:i w:val="0"/>
          <w:caps w:val="0"/>
          <w:color w:val="auto"/>
          <w:spacing w:val="0"/>
          <w:w w:val="100"/>
          <w:sz w:val="24"/>
          <w:highlight w:val="none"/>
          <w:u w:val="single" w:color="000000"/>
        </w:rPr>
        <w:t>20.</w:t>
      </w:r>
      <w:bookmarkEnd w:id="322"/>
      <w:r>
        <w:rPr>
          <w:rFonts w:hint="eastAsia" w:ascii="宋体" w:hAnsi="宋体" w:eastAsia="宋体" w:cs="宋体"/>
          <w:b/>
          <w:i w:val="0"/>
          <w:caps w:val="0"/>
          <w:color w:val="auto"/>
          <w:spacing w:val="0"/>
          <w:w w:val="100"/>
          <w:sz w:val="24"/>
          <w:highlight w:val="none"/>
          <w:u w:val="single" w:color="000000"/>
        </w:rPr>
        <w:t>响应文件符合性审查与澄清</w:t>
      </w:r>
      <w:bookmarkEnd w:id="323"/>
      <w:bookmarkEnd w:id="324"/>
      <w:bookmarkEnd w:id="325"/>
      <w:bookmarkEnd w:id="326"/>
      <w:bookmarkEnd w:id="327"/>
      <w:bookmarkEnd w:id="328"/>
      <w:bookmarkEnd w:id="329"/>
      <w:bookmarkEnd w:id="330"/>
      <w:bookmarkEnd w:id="331"/>
      <w:bookmarkEnd w:id="332"/>
      <w:bookmarkEnd w:id="333"/>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20.1   符合性审查是指依据磋商文件的规定，从响应文件的有效性和完整性对磋商文件的响应程度进行审查，以确定是否对磋商文件的实质性要求做出响应。</w:t>
      </w:r>
      <w:bookmarkStart w:id="334" w:name="_Hlt522424701"/>
      <w:bookmarkEnd w:id="334"/>
      <w:bookmarkStart w:id="335" w:name="_Toc520356167"/>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bookmarkStart w:id="336" w:name="_Toc27061"/>
      <w:bookmarkStart w:id="337" w:name="_Toc1379"/>
      <w:bookmarkStart w:id="338" w:name="_Toc23282"/>
      <w:r>
        <w:rPr>
          <w:rFonts w:hint="eastAsia" w:ascii="宋体" w:hAnsi="宋体" w:eastAsia="宋体" w:cs="宋体"/>
          <w:b w:val="0"/>
          <w:i w:val="0"/>
          <w:caps w:val="0"/>
          <w:color w:val="auto"/>
          <w:spacing w:val="0"/>
          <w:w w:val="100"/>
          <w:sz w:val="24"/>
          <w:highlight w:val="none"/>
        </w:rPr>
        <w:t>20.2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响应文件的澄清</w:t>
      </w:r>
      <w:bookmarkEnd w:id="336"/>
      <w:bookmarkEnd w:id="337"/>
      <w:bookmarkEnd w:id="338"/>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20.2.1  在</w:t>
      </w:r>
      <w:r>
        <w:rPr>
          <w:rFonts w:hint="eastAsia" w:ascii="宋体" w:hAnsi="宋体" w:eastAsia="宋体" w:cs="宋体"/>
          <w:b w:val="0"/>
          <w:i w:val="0"/>
          <w:caps w:val="0"/>
          <w:color w:val="auto"/>
          <w:spacing w:val="0"/>
          <w:w w:val="100"/>
          <w:sz w:val="24"/>
          <w:highlight w:val="none"/>
          <w:lang w:eastAsia="zh-CN"/>
        </w:rPr>
        <w:t>评审</w:t>
      </w:r>
      <w:r>
        <w:rPr>
          <w:rFonts w:hint="eastAsia" w:ascii="宋体" w:hAnsi="宋体" w:eastAsia="宋体" w:cs="宋体"/>
          <w:b w:val="0"/>
          <w:i w:val="0"/>
          <w:caps w:val="0"/>
          <w:color w:val="auto"/>
          <w:spacing w:val="0"/>
          <w:w w:val="100"/>
          <w:sz w:val="24"/>
          <w:highlight w:val="none"/>
        </w:rPr>
        <w:t>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20.2.2  供应商的的澄清、说明或补正将作为响应文件的一部分。</w:t>
      </w:r>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bookmarkStart w:id="339" w:name="_Toc20775"/>
      <w:bookmarkStart w:id="340" w:name="_Toc9384"/>
      <w:bookmarkStart w:id="341" w:name="_Toc987"/>
      <w:r>
        <w:rPr>
          <w:rFonts w:hint="eastAsia" w:ascii="宋体" w:hAnsi="宋体" w:eastAsia="宋体" w:cs="宋体"/>
          <w:b w:val="0"/>
          <w:i w:val="0"/>
          <w:caps w:val="0"/>
          <w:color w:val="auto"/>
          <w:spacing w:val="0"/>
          <w:w w:val="100"/>
          <w:sz w:val="24"/>
          <w:highlight w:val="none"/>
        </w:rPr>
        <w:t>20.3  响应文件报价出现前后不一致的，按照下列规定修正：</w:t>
      </w:r>
      <w:bookmarkEnd w:id="339"/>
      <w:bookmarkEnd w:id="340"/>
      <w:bookmarkEnd w:id="341"/>
    </w:p>
    <w:p>
      <w:pPr>
        <w:pageBreakBefore w:val="0"/>
        <w:widowControl w:val="0"/>
        <w:shd w:val="clear"/>
        <w:kinsoku/>
        <w:wordWrap/>
        <w:overflowPunct/>
        <w:topLinePunct w:val="0"/>
        <w:bidi w:val="0"/>
        <w:snapToGrid w:val="0"/>
        <w:spacing w:before="0" w:beforeAutospacing="0" w:after="0" w:afterAutospacing="0" w:line="360" w:lineRule="exact"/>
        <w:ind w:left="1020" w:leftChars="0" w:hangingChars="42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（一）响应文件中</w:t>
      </w:r>
      <w:r>
        <w:rPr>
          <w:rFonts w:hint="eastAsia" w:ascii="宋体" w:hAnsi="宋体" w:eastAsia="宋体" w:cs="宋体"/>
          <w:b w:val="0"/>
          <w:i w:val="0"/>
          <w:caps w:val="0"/>
          <w:color w:val="auto"/>
          <w:spacing w:val="0"/>
          <w:w w:val="100"/>
          <w:sz w:val="24"/>
          <w:highlight w:val="none"/>
          <w:lang w:eastAsia="zh-CN"/>
        </w:rPr>
        <w:t>磋商报价表</w:t>
      </w:r>
      <w:r>
        <w:rPr>
          <w:rFonts w:hint="eastAsia" w:ascii="宋体" w:hAnsi="宋体" w:eastAsia="宋体" w:cs="宋体"/>
          <w:b w:val="0"/>
          <w:i w:val="0"/>
          <w:caps w:val="0"/>
          <w:color w:val="auto"/>
          <w:spacing w:val="0"/>
          <w:w w:val="100"/>
          <w:sz w:val="24"/>
          <w:highlight w:val="none"/>
        </w:rPr>
        <w:t>（报价表）内容与响应文件中相应内容不一致的，以</w:t>
      </w:r>
      <w:r>
        <w:rPr>
          <w:rFonts w:hint="eastAsia" w:ascii="宋体" w:hAnsi="宋体" w:eastAsia="宋体" w:cs="宋体"/>
          <w:b w:val="0"/>
          <w:i w:val="0"/>
          <w:caps w:val="0"/>
          <w:color w:val="auto"/>
          <w:spacing w:val="0"/>
          <w:w w:val="100"/>
          <w:sz w:val="24"/>
          <w:highlight w:val="none"/>
          <w:lang w:eastAsia="zh-CN"/>
        </w:rPr>
        <w:t>磋商报价表</w:t>
      </w:r>
      <w:r>
        <w:rPr>
          <w:rFonts w:hint="eastAsia" w:ascii="宋体" w:hAnsi="宋体" w:eastAsia="宋体" w:cs="宋体"/>
          <w:b w:val="0"/>
          <w:i w:val="0"/>
          <w:caps w:val="0"/>
          <w:color w:val="auto"/>
          <w:spacing w:val="0"/>
          <w:w w:val="100"/>
          <w:sz w:val="24"/>
          <w:highlight w:val="none"/>
        </w:rPr>
        <w:t>（报价表）为准；</w:t>
      </w:r>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（二）大写金额和小写金额不一致的，以大写金额为准；</w:t>
      </w:r>
    </w:p>
    <w:p>
      <w:pPr>
        <w:pageBreakBefore w:val="0"/>
        <w:widowControl w:val="0"/>
        <w:shd w:val="clear"/>
        <w:kinsoku/>
        <w:wordWrap/>
        <w:overflowPunct/>
        <w:topLinePunct w:val="0"/>
        <w:bidi w:val="0"/>
        <w:snapToGrid w:val="0"/>
        <w:spacing w:before="0" w:beforeAutospacing="0" w:after="0" w:afterAutospacing="0" w:line="360" w:lineRule="exact"/>
        <w:ind w:left="1020" w:leftChars="0" w:hangingChars="42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（三）单价金额小数点或者百分比有明显错位的，以</w:t>
      </w:r>
      <w:r>
        <w:rPr>
          <w:rFonts w:hint="eastAsia" w:ascii="宋体" w:hAnsi="宋体" w:eastAsia="宋体" w:cs="宋体"/>
          <w:b w:val="0"/>
          <w:i w:val="0"/>
          <w:caps w:val="0"/>
          <w:color w:val="auto"/>
          <w:spacing w:val="0"/>
          <w:w w:val="100"/>
          <w:sz w:val="24"/>
          <w:highlight w:val="none"/>
          <w:lang w:eastAsia="zh-CN"/>
        </w:rPr>
        <w:t>磋商报价表</w:t>
      </w:r>
      <w:r>
        <w:rPr>
          <w:rFonts w:hint="eastAsia" w:ascii="宋体" w:hAnsi="宋体" w:eastAsia="宋体" w:cs="宋体"/>
          <w:b w:val="0"/>
          <w:i w:val="0"/>
          <w:caps w:val="0"/>
          <w:color w:val="auto"/>
          <w:spacing w:val="0"/>
          <w:w w:val="100"/>
          <w:sz w:val="24"/>
          <w:highlight w:val="none"/>
        </w:rPr>
        <w:t>的总价为准，并修改单价；</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（四）总价金额与按单价汇总金额不一致的，以单价金额计算结果为准。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ageBreakBefore w:val="0"/>
        <w:shd w:val="clear"/>
        <w:kinsoku/>
        <w:wordWrap/>
        <w:overflowPunct/>
        <w:topLinePunct w:val="0"/>
        <w:bidi w:val="0"/>
        <w:snapToGrid w:val="0"/>
        <w:spacing w:before="0" w:beforeAutospacing="0" w:after="0" w:afterAutospacing="0" w:line="360" w:lineRule="exact"/>
        <w:ind w:left="0" w:leftChars="0" w:firstLine="120" w:firstLineChars="5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对不同文字文本响应文件的解释发生异议的，以中文文本为准。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20.4   如一个分包内只有一种产品，不同供应商所投产品为同一品牌的，按如下方式处理：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w:t>
      </w:r>
      <w:r>
        <w:rPr>
          <w:rFonts w:hint="eastAsia" w:ascii="宋体" w:hAnsi="宋体" w:eastAsia="宋体" w:cs="宋体"/>
          <w:b w:val="0"/>
          <w:i w:val="0"/>
          <w:caps w:val="0"/>
          <w:color w:val="auto"/>
          <w:spacing w:val="0"/>
          <w:w w:val="100"/>
          <w:sz w:val="24"/>
          <w:highlight w:val="none"/>
          <w:lang w:eastAsia="zh-CN"/>
        </w:rPr>
        <w:t>评审</w:t>
      </w:r>
      <w:r>
        <w:rPr>
          <w:rFonts w:hint="eastAsia" w:ascii="宋体" w:hAnsi="宋体" w:eastAsia="宋体" w:cs="宋体"/>
          <w:b w:val="0"/>
          <w:i w:val="0"/>
          <w:caps w:val="0"/>
          <w:color w:val="auto"/>
          <w:spacing w:val="0"/>
          <w:w w:val="100"/>
          <w:sz w:val="24"/>
          <w:highlight w:val="none"/>
        </w:rPr>
        <w:t>办法规定的方式确定一个供应商获得成交人推荐资格；未规定的采取随机抽取方式确定，其他同品牌供应商不作为成交候选人。</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20.5   供应商所投产品如被列入财政部与国家主管部门颁发的节能产品目录或环境标志产品目录或无线局域网产品目录，应提供相关证明，在</w:t>
      </w:r>
      <w:r>
        <w:rPr>
          <w:rFonts w:hint="eastAsia" w:ascii="宋体" w:hAnsi="宋体" w:eastAsia="宋体" w:cs="宋体"/>
          <w:b w:val="0"/>
          <w:i w:val="0"/>
          <w:caps w:val="0"/>
          <w:color w:val="auto"/>
          <w:spacing w:val="0"/>
          <w:w w:val="100"/>
          <w:sz w:val="24"/>
          <w:highlight w:val="none"/>
          <w:lang w:eastAsia="zh-CN"/>
        </w:rPr>
        <w:t>评审</w:t>
      </w:r>
      <w:r>
        <w:rPr>
          <w:rFonts w:hint="eastAsia" w:ascii="宋体" w:hAnsi="宋体" w:eastAsia="宋体" w:cs="宋体"/>
          <w:b w:val="0"/>
          <w:i w:val="0"/>
          <w:caps w:val="0"/>
          <w:color w:val="auto"/>
          <w:spacing w:val="0"/>
          <w:w w:val="100"/>
          <w:sz w:val="24"/>
          <w:highlight w:val="none"/>
        </w:rPr>
        <w:t>时予以优先采购，具体优先采购办法见第六章</w:t>
      </w:r>
      <w:r>
        <w:rPr>
          <w:rFonts w:hint="eastAsia" w:ascii="宋体" w:hAnsi="宋体" w:eastAsia="宋体" w:cs="宋体"/>
          <w:b w:val="0"/>
          <w:i w:val="0"/>
          <w:caps w:val="0"/>
          <w:color w:val="auto"/>
          <w:spacing w:val="0"/>
          <w:w w:val="100"/>
          <w:sz w:val="24"/>
          <w:highlight w:val="none"/>
          <w:lang w:eastAsia="zh-CN"/>
        </w:rPr>
        <w:t>评审方法</w:t>
      </w:r>
      <w:r>
        <w:rPr>
          <w:rFonts w:hint="eastAsia" w:ascii="宋体" w:hAnsi="宋体" w:eastAsia="宋体" w:cs="宋体"/>
          <w:b w:val="0"/>
          <w:i w:val="0"/>
          <w:caps w:val="0"/>
          <w:color w:val="auto"/>
          <w:spacing w:val="0"/>
          <w:w w:val="100"/>
          <w:sz w:val="24"/>
          <w:highlight w:val="none"/>
        </w:rPr>
        <w:t>和标准。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342" w:name="_Toc28934"/>
      <w:bookmarkStart w:id="343" w:name="_Toc4817"/>
      <w:bookmarkStart w:id="344" w:name="_Toc1939"/>
      <w:bookmarkStart w:id="345" w:name="_Toc30430"/>
      <w:bookmarkStart w:id="346" w:name="_Toc6695"/>
      <w:bookmarkStart w:id="347" w:name="_Toc6364"/>
      <w:bookmarkStart w:id="348" w:name="_Toc22254"/>
      <w:bookmarkStart w:id="349" w:name="_Toc27164"/>
      <w:bookmarkStart w:id="350" w:name="_Toc9469"/>
      <w:bookmarkStart w:id="351" w:name="_Toc515647782"/>
      <w:r>
        <w:rPr>
          <w:rFonts w:hint="eastAsia" w:ascii="宋体" w:hAnsi="宋体" w:eastAsia="宋体" w:cs="宋体"/>
          <w:b/>
          <w:i w:val="0"/>
          <w:caps w:val="0"/>
          <w:color w:val="auto"/>
          <w:spacing w:val="0"/>
          <w:w w:val="100"/>
          <w:sz w:val="24"/>
          <w:highlight w:val="none"/>
          <w:u w:val="single" w:color="000000"/>
        </w:rPr>
        <w:t>21.磋商偏离</w:t>
      </w:r>
      <w:bookmarkEnd w:id="342"/>
      <w:bookmarkEnd w:id="343"/>
      <w:bookmarkEnd w:id="344"/>
      <w:bookmarkEnd w:id="345"/>
      <w:bookmarkEnd w:id="346"/>
      <w:bookmarkEnd w:id="347"/>
      <w:bookmarkEnd w:id="348"/>
      <w:bookmarkEnd w:id="349"/>
      <w:bookmarkEnd w:id="350"/>
      <w:bookmarkEnd w:id="351"/>
    </w:p>
    <w:p>
      <w:pPr>
        <w:pageBreakBefore w:val="0"/>
        <w:shd w:val="clear"/>
        <w:kinsoku/>
        <w:wordWrap/>
        <w:overflowPunct/>
        <w:topLinePunct w:val="0"/>
        <w:bidi w:val="0"/>
        <w:snapToGrid w:val="0"/>
        <w:spacing w:before="0" w:beforeAutospacing="0" w:after="0" w:afterAutospacing="0" w:line="360" w:lineRule="exact"/>
        <w:ind w:left="640" w:leftChars="0" w:hangingChars="267"/>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磋商小组可以接受响应文件中不构成实质性偏离的不正规或不一致。</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352" w:name="_Toc515647783"/>
      <w:bookmarkStart w:id="353" w:name="_Toc6092"/>
      <w:bookmarkStart w:id="354" w:name="_Toc14291"/>
      <w:bookmarkStart w:id="355" w:name="_Toc31451"/>
      <w:bookmarkStart w:id="356" w:name="_Toc27546"/>
      <w:bookmarkStart w:id="357" w:name="_Toc4950"/>
      <w:bookmarkStart w:id="358" w:name="_Toc108"/>
      <w:bookmarkStart w:id="359" w:name="_Toc2275"/>
      <w:bookmarkStart w:id="360" w:name="_Toc13775"/>
      <w:bookmarkStart w:id="361" w:name="_Toc31191"/>
      <w:bookmarkStart w:id="362" w:name="_Toc23480"/>
      <w:r>
        <w:rPr>
          <w:rFonts w:hint="eastAsia" w:ascii="宋体" w:hAnsi="宋体" w:eastAsia="宋体" w:cs="宋体"/>
          <w:b/>
          <w:i w:val="0"/>
          <w:caps w:val="0"/>
          <w:color w:val="auto"/>
          <w:spacing w:val="0"/>
          <w:w w:val="100"/>
          <w:sz w:val="24"/>
          <w:highlight w:val="none"/>
          <w:u w:val="single" w:color="000000"/>
        </w:rPr>
        <w:t>22.</w:t>
      </w:r>
      <w:bookmarkEnd w:id="352"/>
      <w:r>
        <w:rPr>
          <w:rFonts w:hint="eastAsia" w:ascii="宋体" w:hAnsi="宋体" w:eastAsia="宋体" w:cs="宋体"/>
          <w:b/>
          <w:i w:val="0"/>
          <w:caps w:val="0"/>
          <w:color w:val="auto"/>
          <w:spacing w:val="0"/>
          <w:w w:val="100"/>
          <w:sz w:val="24"/>
          <w:highlight w:val="none"/>
          <w:u w:val="single" w:color="000000"/>
        </w:rPr>
        <w:t>磋商无效</w:t>
      </w:r>
      <w:bookmarkEnd w:id="353"/>
      <w:bookmarkEnd w:id="354"/>
      <w:bookmarkEnd w:id="355"/>
      <w:bookmarkEnd w:id="356"/>
      <w:bookmarkEnd w:id="357"/>
      <w:bookmarkEnd w:id="358"/>
      <w:bookmarkEnd w:id="359"/>
      <w:bookmarkEnd w:id="360"/>
      <w:bookmarkEnd w:id="361"/>
      <w:bookmarkEnd w:id="362"/>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i w:val="0"/>
          <w:caps w:val="0"/>
          <w:color w:val="auto"/>
          <w:spacing w:val="0"/>
          <w:w w:val="100"/>
          <w:sz w:val="24"/>
          <w:highlight w:val="none"/>
        </w:rPr>
        <w:t>磋商无效</w:t>
      </w:r>
      <w:r>
        <w:rPr>
          <w:rFonts w:hint="eastAsia" w:ascii="宋体" w:hAnsi="宋体" w:eastAsia="宋体" w:cs="宋体"/>
          <w:b w:val="0"/>
          <w:i w:val="0"/>
          <w:caps w:val="0"/>
          <w:color w:val="auto"/>
          <w:spacing w:val="0"/>
          <w:w w:val="100"/>
          <w:sz w:val="24"/>
          <w:highlight w:val="none"/>
        </w:rPr>
        <w:t>。供应商不得通过修正或撤销不符合要求的偏离，从而使其磋商成为实质上响应的磋商。</w:t>
      </w:r>
    </w:p>
    <w:p>
      <w:pPr>
        <w:pageBreakBefore w:val="0"/>
        <w:shd w:val="clear"/>
        <w:kinsoku/>
        <w:wordWrap/>
        <w:overflowPunct/>
        <w:topLinePunct w:val="0"/>
        <w:bidi w:val="0"/>
        <w:snapToGrid w:val="0"/>
        <w:spacing w:before="0" w:beforeAutospacing="0" w:after="0" w:afterAutospacing="0" w:line="360" w:lineRule="exact"/>
        <w:ind w:left="0" w:leftChars="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磋商小组决定磋商的响应性只根据磋商文件要求、响应文件内容及财政主管部门指定相关信息发布媒体。</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22.2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bCs/>
          <w:i w:val="0"/>
          <w:caps w:val="0"/>
          <w:color w:val="auto"/>
          <w:spacing w:val="0"/>
          <w:w w:val="100"/>
          <w:sz w:val="24"/>
          <w:highlight w:val="none"/>
        </w:rPr>
        <w:t>如发现下列情况之一的，其磋商将被认定为磋商无效：（以下情形应当在磋商文件中规定，并以醒目的方式标明）</w:t>
      </w:r>
    </w:p>
    <w:p>
      <w:pPr>
        <w:pageBreakBefore w:val="0"/>
        <w:numPr>
          <w:ilvl w:val="0"/>
          <w:numId w:val="0"/>
        </w:numPr>
        <w:shd w:val="clear"/>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1） </w:t>
      </w:r>
      <w:r>
        <w:rPr>
          <w:rFonts w:hint="eastAsia" w:ascii="宋体" w:hAnsi="宋体" w:eastAsia="宋体" w:cs="宋体"/>
          <w:b/>
          <w:bCs/>
          <w:i w:val="0"/>
          <w:caps w:val="0"/>
          <w:color w:val="auto"/>
          <w:spacing w:val="0"/>
          <w:w w:val="100"/>
          <w:sz w:val="24"/>
          <w:highlight w:val="none"/>
        </w:rPr>
        <w:t>未按磋商文件规定的形式和金额提交磋商保证金的；</w:t>
      </w:r>
    </w:p>
    <w:p>
      <w:pPr>
        <w:pageBreakBefore w:val="0"/>
        <w:numPr>
          <w:ilvl w:val="0"/>
          <w:numId w:val="0"/>
        </w:numPr>
        <w:shd w:val="clear"/>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2） </w:t>
      </w:r>
      <w:r>
        <w:rPr>
          <w:rFonts w:hint="eastAsia" w:ascii="宋体" w:hAnsi="宋体" w:eastAsia="宋体" w:cs="宋体"/>
          <w:b/>
          <w:bCs/>
          <w:i w:val="0"/>
          <w:caps w:val="0"/>
          <w:color w:val="auto"/>
          <w:spacing w:val="0"/>
          <w:w w:val="100"/>
          <w:sz w:val="24"/>
          <w:highlight w:val="none"/>
        </w:rPr>
        <w:t>未按照磋商文件规定要求签署、盖章的；</w:t>
      </w:r>
    </w:p>
    <w:p>
      <w:pPr>
        <w:pageBreakBefore w:val="0"/>
        <w:numPr>
          <w:ilvl w:val="0"/>
          <w:numId w:val="0"/>
        </w:numPr>
        <w:shd w:val="clear"/>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3） </w:t>
      </w:r>
      <w:r>
        <w:rPr>
          <w:rFonts w:hint="eastAsia" w:ascii="宋体" w:hAnsi="宋体" w:eastAsia="宋体" w:cs="宋体"/>
          <w:b/>
          <w:bCs/>
          <w:i w:val="0"/>
          <w:caps w:val="0"/>
          <w:color w:val="auto"/>
          <w:spacing w:val="0"/>
          <w:w w:val="100"/>
          <w:sz w:val="24"/>
          <w:highlight w:val="none"/>
        </w:rPr>
        <w:t>未满足磋商文件中技术条款的实质性要求；</w:t>
      </w:r>
    </w:p>
    <w:p>
      <w:pPr>
        <w:pageBreakBefore w:val="0"/>
        <w:numPr>
          <w:ilvl w:val="0"/>
          <w:numId w:val="0"/>
        </w:numPr>
        <w:shd w:val="clear"/>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4） </w:t>
      </w:r>
      <w:r>
        <w:rPr>
          <w:rFonts w:hint="eastAsia" w:ascii="宋体" w:hAnsi="宋体" w:eastAsia="宋体" w:cs="宋体"/>
          <w:b/>
          <w:bCs/>
          <w:i w:val="0"/>
          <w:caps w:val="0"/>
          <w:color w:val="auto"/>
          <w:spacing w:val="0"/>
          <w:w w:val="100"/>
          <w:sz w:val="24"/>
          <w:highlight w:val="none"/>
        </w:rPr>
        <w:t>与其他供应商串通磋商，或者与招标人串通磋商；</w:t>
      </w:r>
    </w:p>
    <w:p>
      <w:pPr>
        <w:pageBreakBefore w:val="0"/>
        <w:numPr>
          <w:ilvl w:val="0"/>
          <w:numId w:val="0"/>
        </w:numPr>
        <w:shd w:val="clear"/>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5） </w:t>
      </w:r>
      <w:r>
        <w:rPr>
          <w:rFonts w:hint="eastAsia" w:ascii="宋体" w:hAnsi="宋体" w:eastAsia="宋体" w:cs="宋体"/>
          <w:b/>
          <w:bCs/>
          <w:i w:val="0"/>
          <w:caps w:val="0"/>
          <w:color w:val="auto"/>
          <w:spacing w:val="0"/>
          <w:w w:val="100"/>
          <w:sz w:val="24"/>
          <w:highlight w:val="none"/>
        </w:rPr>
        <w:t>属于磋商文件规定的其他磋商无效情形；</w:t>
      </w:r>
    </w:p>
    <w:p>
      <w:pPr>
        <w:pageBreakBefore w:val="0"/>
        <w:numPr>
          <w:ilvl w:val="0"/>
          <w:numId w:val="0"/>
        </w:numPr>
        <w:shd w:val="clear"/>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6） </w:t>
      </w:r>
      <w:r>
        <w:rPr>
          <w:rFonts w:hint="eastAsia" w:ascii="宋体" w:hAnsi="宋体" w:eastAsia="宋体" w:cs="宋体"/>
          <w:b/>
          <w:bCs/>
          <w:i w:val="0"/>
          <w:caps w:val="0"/>
          <w:color w:val="auto"/>
          <w:spacing w:val="0"/>
          <w:w w:val="100"/>
          <w:sz w:val="24"/>
          <w:highlight w:val="none"/>
        </w:rPr>
        <w:t>磋商小组认为供应商的报价明显低于其他通过符合性检查供应商的报价，有可能影响履约的，且供应商未按照规定证明其报价合理性的；</w:t>
      </w:r>
    </w:p>
    <w:p>
      <w:pPr>
        <w:pageBreakBefore w:val="0"/>
        <w:numPr>
          <w:ilvl w:val="0"/>
          <w:numId w:val="0"/>
        </w:numPr>
        <w:shd w:val="clear"/>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7） </w:t>
      </w:r>
      <w:r>
        <w:rPr>
          <w:rFonts w:hint="eastAsia" w:ascii="宋体" w:hAnsi="宋体" w:eastAsia="宋体" w:cs="宋体"/>
          <w:b/>
          <w:bCs/>
          <w:i w:val="0"/>
          <w:caps w:val="0"/>
          <w:color w:val="auto"/>
          <w:spacing w:val="0"/>
          <w:w w:val="100"/>
          <w:sz w:val="24"/>
          <w:highlight w:val="none"/>
        </w:rPr>
        <w:t>响应文件含有采购人不能接受的附加条件的；</w:t>
      </w:r>
    </w:p>
    <w:p>
      <w:pPr>
        <w:pageBreakBefore w:val="0"/>
        <w:numPr>
          <w:ilvl w:val="0"/>
          <w:numId w:val="0"/>
        </w:numPr>
        <w:shd w:val="clear"/>
        <w:tabs>
          <w:tab w:val="left" w:pos="0"/>
        </w:tabs>
        <w:kinsoku/>
        <w:wordWrap/>
        <w:overflowPunct/>
        <w:topLinePunct w:val="0"/>
        <w:bidi w:val="0"/>
        <w:snapToGrid w:val="0"/>
        <w:spacing w:before="0" w:beforeAutospacing="0" w:after="0" w:afterAutospacing="0" w:line="360" w:lineRule="exact"/>
        <w:ind w:left="-180" w:leftChars="0" w:firstLine="482" w:firstLineChars="200"/>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cs="宋体"/>
          <w:b/>
          <w:bCs/>
          <w:i w:val="0"/>
          <w:caps w:val="0"/>
          <w:color w:val="auto"/>
          <w:spacing w:val="0"/>
          <w:w w:val="100"/>
          <w:sz w:val="24"/>
          <w:highlight w:val="none"/>
          <w:lang w:eastAsia="zh-CN"/>
        </w:rPr>
        <w:t>（</w:t>
      </w:r>
      <w:r>
        <w:rPr>
          <w:rFonts w:hint="eastAsia" w:ascii="宋体" w:hAnsi="宋体" w:cs="宋体"/>
          <w:b/>
          <w:bCs/>
          <w:i w:val="0"/>
          <w:caps w:val="0"/>
          <w:color w:val="auto"/>
          <w:spacing w:val="0"/>
          <w:w w:val="100"/>
          <w:sz w:val="24"/>
          <w:highlight w:val="none"/>
          <w:lang w:val="en-US" w:eastAsia="zh-CN"/>
        </w:rPr>
        <w:t xml:space="preserve">8） </w:t>
      </w:r>
      <w:r>
        <w:rPr>
          <w:rFonts w:hint="eastAsia" w:ascii="宋体" w:hAnsi="宋体" w:eastAsia="宋体" w:cs="宋体"/>
          <w:b/>
          <w:bCs/>
          <w:i w:val="0"/>
          <w:caps w:val="0"/>
          <w:color w:val="auto"/>
          <w:spacing w:val="0"/>
          <w:w w:val="100"/>
          <w:sz w:val="24"/>
          <w:highlight w:val="none"/>
        </w:rPr>
        <w:t>不符合法规和磋商文件中规定的其他实质性要求的。</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1</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rPr>
        <w:t>供应商直接或者间接从采购人或者采购代理机构处获得其他供应商的相关情况并修改其</w:t>
      </w:r>
      <w:r>
        <w:rPr>
          <w:rFonts w:hint="eastAsia" w:ascii="宋体" w:hAnsi="宋体" w:eastAsia="宋体" w:cs="宋体"/>
          <w:b w:val="0"/>
          <w:i w:val="0"/>
          <w:caps w:val="0"/>
          <w:color w:val="auto"/>
          <w:spacing w:val="0"/>
          <w:w w:val="100"/>
          <w:sz w:val="24"/>
          <w:highlight w:val="none"/>
          <w:lang w:eastAsia="zh-CN"/>
        </w:rPr>
        <w:t>响应文件</w:t>
      </w:r>
      <w:r>
        <w:rPr>
          <w:rFonts w:hint="eastAsia" w:ascii="宋体" w:hAnsi="宋体" w:eastAsia="宋体" w:cs="宋体"/>
          <w:b w:val="0"/>
          <w:i w:val="0"/>
          <w:caps w:val="0"/>
          <w:color w:val="auto"/>
          <w:spacing w:val="0"/>
          <w:w w:val="100"/>
          <w:sz w:val="24"/>
          <w:highlight w:val="none"/>
        </w:rPr>
        <w:t>或者响应文件；</w:t>
      </w:r>
    </w:p>
    <w:p>
      <w:pPr>
        <w:pageBreakBefore w:val="0"/>
        <w:shd w:val="clear"/>
        <w:kinsoku/>
        <w:wordWrap/>
        <w:overflowPunct/>
        <w:topLinePunct w:val="0"/>
        <w:bidi w:val="0"/>
        <w:snapToGrid w:val="0"/>
        <w:spacing w:before="0" w:beforeAutospacing="0" w:after="0" w:afterAutospacing="0" w:line="360" w:lineRule="exact"/>
        <w:ind w:left="180" w:leftChars="0" w:hanging="180" w:hangingChars="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（2）供应商按照采购人或者采购代理机构的授意撤换、修改</w:t>
      </w:r>
      <w:r>
        <w:rPr>
          <w:rFonts w:hint="eastAsia" w:ascii="宋体" w:hAnsi="宋体" w:eastAsia="宋体" w:cs="宋体"/>
          <w:b w:val="0"/>
          <w:i w:val="0"/>
          <w:caps w:val="0"/>
          <w:color w:val="auto"/>
          <w:spacing w:val="0"/>
          <w:w w:val="100"/>
          <w:sz w:val="24"/>
          <w:highlight w:val="none"/>
          <w:lang w:eastAsia="zh-CN"/>
        </w:rPr>
        <w:t>响应文件</w:t>
      </w:r>
      <w:r>
        <w:rPr>
          <w:rFonts w:hint="eastAsia" w:ascii="宋体" w:hAnsi="宋体" w:eastAsia="宋体" w:cs="宋体"/>
          <w:b w:val="0"/>
          <w:i w:val="0"/>
          <w:caps w:val="0"/>
          <w:color w:val="auto"/>
          <w:spacing w:val="0"/>
          <w:w w:val="100"/>
          <w:sz w:val="24"/>
          <w:highlight w:val="none"/>
        </w:rPr>
        <w:t>或者响应文件；</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（3）供应商之间协商报价、技术方案等</w:t>
      </w:r>
      <w:r>
        <w:rPr>
          <w:rFonts w:hint="eastAsia" w:ascii="宋体" w:hAnsi="宋体" w:eastAsia="宋体" w:cs="宋体"/>
          <w:b w:val="0"/>
          <w:i w:val="0"/>
          <w:caps w:val="0"/>
          <w:color w:val="auto"/>
          <w:spacing w:val="0"/>
          <w:w w:val="100"/>
          <w:sz w:val="24"/>
          <w:highlight w:val="none"/>
          <w:lang w:eastAsia="zh-CN"/>
        </w:rPr>
        <w:t>响应文件</w:t>
      </w:r>
      <w:r>
        <w:rPr>
          <w:rFonts w:hint="eastAsia" w:ascii="宋体" w:hAnsi="宋体" w:eastAsia="宋体" w:cs="宋体"/>
          <w:b w:val="0"/>
          <w:i w:val="0"/>
          <w:caps w:val="0"/>
          <w:color w:val="auto"/>
          <w:spacing w:val="0"/>
          <w:w w:val="100"/>
          <w:sz w:val="24"/>
          <w:highlight w:val="none"/>
        </w:rPr>
        <w:t>或者响应文件的实质性内容；</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（4）属于同一集团、协会、商会等组织成员的供应商按照该组织要求协同参加政府采购活动；</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（5）供应商之间事先约定由某一特定供应商</w:t>
      </w:r>
      <w:r>
        <w:rPr>
          <w:rFonts w:hint="eastAsia" w:ascii="宋体" w:hAnsi="宋体" w:eastAsia="宋体" w:cs="宋体"/>
          <w:b w:val="0"/>
          <w:i w:val="0"/>
          <w:caps w:val="0"/>
          <w:color w:val="auto"/>
          <w:spacing w:val="0"/>
          <w:w w:val="100"/>
          <w:sz w:val="24"/>
          <w:highlight w:val="none"/>
          <w:lang w:eastAsia="zh-CN"/>
        </w:rPr>
        <w:t>成交</w:t>
      </w:r>
      <w:r>
        <w:rPr>
          <w:rFonts w:hint="eastAsia" w:ascii="宋体" w:hAnsi="宋体" w:eastAsia="宋体" w:cs="宋体"/>
          <w:b w:val="0"/>
          <w:i w:val="0"/>
          <w:caps w:val="0"/>
          <w:color w:val="auto"/>
          <w:spacing w:val="0"/>
          <w:w w:val="100"/>
          <w:sz w:val="24"/>
          <w:highlight w:val="none"/>
        </w:rPr>
        <w:t>、成交；</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（6）供应商之间商定部分供应商放弃参加政府采购活动或者放弃</w:t>
      </w:r>
      <w:r>
        <w:rPr>
          <w:rFonts w:hint="eastAsia" w:ascii="宋体" w:hAnsi="宋体" w:eastAsia="宋体" w:cs="宋体"/>
          <w:b w:val="0"/>
          <w:i w:val="0"/>
          <w:caps w:val="0"/>
          <w:color w:val="auto"/>
          <w:spacing w:val="0"/>
          <w:w w:val="100"/>
          <w:sz w:val="24"/>
          <w:highlight w:val="none"/>
          <w:lang w:eastAsia="zh-CN"/>
        </w:rPr>
        <w:t>成交</w:t>
      </w:r>
      <w:r>
        <w:rPr>
          <w:rFonts w:hint="eastAsia" w:ascii="宋体" w:hAnsi="宋体" w:eastAsia="宋体" w:cs="宋体"/>
          <w:b w:val="0"/>
          <w:i w:val="0"/>
          <w:caps w:val="0"/>
          <w:color w:val="auto"/>
          <w:spacing w:val="0"/>
          <w:w w:val="100"/>
          <w:sz w:val="24"/>
          <w:highlight w:val="none"/>
        </w:rPr>
        <w:t>、成交；</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（7）供应商与采购人或者采购代理机构之间、供应商相互之间，为谋求特定供应商</w:t>
      </w:r>
      <w:r>
        <w:rPr>
          <w:rFonts w:hint="eastAsia" w:ascii="宋体" w:hAnsi="宋体" w:eastAsia="宋体" w:cs="宋体"/>
          <w:b w:val="0"/>
          <w:i w:val="0"/>
          <w:caps w:val="0"/>
          <w:color w:val="auto"/>
          <w:spacing w:val="0"/>
          <w:w w:val="100"/>
          <w:sz w:val="24"/>
          <w:highlight w:val="none"/>
          <w:lang w:eastAsia="zh-CN"/>
        </w:rPr>
        <w:t>成交</w:t>
      </w:r>
      <w:r>
        <w:rPr>
          <w:rFonts w:hint="eastAsia" w:ascii="宋体" w:hAnsi="宋体" w:eastAsia="宋体" w:cs="宋体"/>
          <w:b w:val="0"/>
          <w:i w:val="0"/>
          <w:caps w:val="0"/>
          <w:color w:val="auto"/>
          <w:spacing w:val="0"/>
          <w:w w:val="100"/>
          <w:sz w:val="24"/>
          <w:highlight w:val="none"/>
        </w:rPr>
        <w:t>、成交或者排斥其他供应商的其他串通行为。</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363" w:name="_Toc5075"/>
      <w:bookmarkStart w:id="364" w:name="_Toc28827"/>
      <w:bookmarkStart w:id="365" w:name="_Toc13652"/>
      <w:bookmarkStart w:id="366" w:name="_Toc515647784"/>
      <w:bookmarkStart w:id="367" w:name="_Toc21841"/>
      <w:bookmarkStart w:id="368" w:name="_Toc22903"/>
      <w:bookmarkStart w:id="369" w:name="_Toc18636"/>
      <w:bookmarkStart w:id="370" w:name="_Toc30567"/>
      <w:bookmarkStart w:id="371" w:name="_Toc26269"/>
      <w:bookmarkStart w:id="372" w:name="_Toc3834"/>
      <w:bookmarkStart w:id="373" w:name="_Toc22941"/>
      <w:r>
        <w:rPr>
          <w:rFonts w:hint="eastAsia" w:ascii="宋体" w:hAnsi="宋体" w:eastAsia="宋体" w:cs="宋体"/>
          <w:b/>
          <w:i w:val="0"/>
          <w:caps w:val="0"/>
          <w:color w:val="auto"/>
          <w:spacing w:val="0"/>
          <w:w w:val="100"/>
          <w:sz w:val="24"/>
          <w:highlight w:val="none"/>
          <w:u w:val="single" w:color="000000"/>
        </w:rPr>
        <w:t>23.</w:t>
      </w:r>
      <w:bookmarkEnd w:id="335"/>
      <w:r>
        <w:rPr>
          <w:rFonts w:hint="eastAsia" w:ascii="宋体" w:hAnsi="宋体" w:eastAsia="宋体" w:cs="宋体"/>
          <w:b/>
          <w:i w:val="0"/>
          <w:caps w:val="0"/>
          <w:color w:val="auto"/>
          <w:spacing w:val="0"/>
          <w:w w:val="100"/>
          <w:sz w:val="24"/>
          <w:highlight w:val="none"/>
          <w:u w:val="single" w:color="000000"/>
        </w:rPr>
        <w:t>比较与评价</w:t>
      </w:r>
      <w:bookmarkEnd w:id="363"/>
      <w:bookmarkEnd w:id="364"/>
      <w:bookmarkEnd w:id="365"/>
      <w:bookmarkEnd w:id="366"/>
      <w:bookmarkEnd w:id="367"/>
      <w:bookmarkEnd w:id="368"/>
      <w:bookmarkEnd w:id="369"/>
      <w:bookmarkEnd w:id="370"/>
      <w:bookmarkEnd w:id="371"/>
      <w:bookmarkEnd w:id="372"/>
      <w:bookmarkEnd w:id="373"/>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23.1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经符合性审查合格的响应文件，磋商小组将根据磋商文件确定的</w:t>
      </w:r>
      <w:r>
        <w:rPr>
          <w:rFonts w:hint="eastAsia" w:ascii="宋体" w:hAnsi="宋体" w:eastAsia="宋体" w:cs="宋体"/>
          <w:b w:val="0"/>
          <w:i w:val="0"/>
          <w:caps w:val="0"/>
          <w:color w:val="auto"/>
          <w:spacing w:val="0"/>
          <w:w w:val="100"/>
          <w:sz w:val="24"/>
          <w:highlight w:val="none"/>
          <w:lang w:eastAsia="zh-CN"/>
        </w:rPr>
        <w:t>评审方法</w:t>
      </w:r>
      <w:r>
        <w:rPr>
          <w:rFonts w:hint="eastAsia" w:ascii="宋体" w:hAnsi="宋体" w:eastAsia="宋体" w:cs="宋体"/>
          <w:b w:val="0"/>
          <w:i w:val="0"/>
          <w:caps w:val="0"/>
          <w:color w:val="auto"/>
          <w:spacing w:val="0"/>
          <w:w w:val="100"/>
          <w:sz w:val="24"/>
          <w:highlight w:val="none"/>
        </w:rPr>
        <w:t>和标准，对其技术部分和商务部分作进一步的比较和评价。</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23.2  </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lang w:eastAsia="zh-CN"/>
        </w:rPr>
        <w:t>评审</w:t>
      </w:r>
      <w:r>
        <w:rPr>
          <w:rFonts w:hint="eastAsia" w:ascii="宋体" w:hAnsi="宋体" w:eastAsia="宋体" w:cs="宋体"/>
          <w:b w:val="0"/>
          <w:i w:val="0"/>
          <w:caps w:val="0"/>
          <w:color w:val="auto"/>
          <w:spacing w:val="0"/>
          <w:w w:val="100"/>
          <w:sz w:val="24"/>
          <w:highlight w:val="none"/>
        </w:rPr>
        <w:t>严格按照磋商文件的要求和条件进行。根据实际情况，在</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中规定采用下列一种</w:t>
      </w:r>
      <w:r>
        <w:rPr>
          <w:rFonts w:hint="eastAsia" w:ascii="宋体" w:hAnsi="宋体" w:eastAsia="宋体" w:cs="宋体"/>
          <w:b w:val="0"/>
          <w:i w:val="0"/>
          <w:caps w:val="0"/>
          <w:color w:val="auto"/>
          <w:spacing w:val="0"/>
          <w:w w:val="100"/>
          <w:sz w:val="24"/>
          <w:highlight w:val="none"/>
          <w:lang w:eastAsia="zh-CN"/>
        </w:rPr>
        <w:t>评审方法</w:t>
      </w:r>
      <w:r>
        <w:rPr>
          <w:rFonts w:hint="eastAsia" w:ascii="宋体" w:hAnsi="宋体" w:eastAsia="宋体" w:cs="宋体"/>
          <w:b w:val="0"/>
          <w:i w:val="0"/>
          <w:caps w:val="0"/>
          <w:color w:val="auto"/>
          <w:spacing w:val="0"/>
          <w:w w:val="100"/>
          <w:sz w:val="24"/>
          <w:highlight w:val="none"/>
        </w:rPr>
        <w:t>，详细</w:t>
      </w:r>
      <w:r>
        <w:rPr>
          <w:rFonts w:hint="eastAsia" w:ascii="宋体" w:hAnsi="宋体" w:eastAsia="宋体" w:cs="宋体"/>
          <w:b w:val="0"/>
          <w:i w:val="0"/>
          <w:caps w:val="0"/>
          <w:color w:val="auto"/>
          <w:spacing w:val="0"/>
          <w:w w:val="100"/>
          <w:sz w:val="24"/>
          <w:highlight w:val="none"/>
          <w:lang w:eastAsia="zh-CN"/>
        </w:rPr>
        <w:t>评审标准</w:t>
      </w:r>
      <w:r>
        <w:rPr>
          <w:rFonts w:hint="eastAsia" w:ascii="宋体" w:hAnsi="宋体" w:eastAsia="宋体" w:cs="宋体"/>
          <w:b w:val="0"/>
          <w:i w:val="0"/>
          <w:caps w:val="0"/>
          <w:color w:val="auto"/>
          <w:spacing w:val="0"/>
          <w:w w:val="100"/>
          <w:sz w:val="24"/>
          <w:highlight w:val="none"/>
        </w:rPr>
        <w:t>见磋商文件</w:t>
      </w:r>
      <w:r>
        <w:rPr>
          <w:rFonts w:hint="eastAsia" w:ascii="宋体" w:hAnsi="宋体" w:eastAsia="宋体" w:cs="宋体"/>
          <w:b/>
          <w:i w:val="0"/>
          <w:caps w:val="0"/>
          <w:color w:val="auto"/>
          <w:spacing w:val="0"/>
          <w:w w:val="100"/>
          <w:sz w:val="24"/>
          <w:highlight w:val="none"/>
        </w:rPr>
        <w:t>第六章：</w:t>
      </w:r>
    </w:p>
    <w:p>
      <w:pPr>
        <w:pStyle w:val="13"/>
        <w:pageBreakBefore w:val="0"/>
        <w:shd w:val="clear"/>
        <w:kinsoku/>
        <w:wordWrap/>
        <w:overflowPunct/>
        <w:topLinePunct w:val="0"/>
        <w:bidi w:val="0"/>
        <w:spacing w:line="360" w:lineRule="exact"/>
        <w:ind w:left="900" w:leftChars="0" w:hanging="900" w:hangingChars="375"/>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w:t>
      </w:r>
      <w:r>
        <w:rPr>
          <w:rFonts w:hint="eastAsia" w:hAnsi="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综合评分法，是指响应文件满足磋商文件全部实质性要求，且按照评审因素的量化指标评审得分最高的供应商为成交候选人的</w:t>
      </w:r>
      <w:r>
        <w:rPr>
          <w:rFonts w:hint="eastAsia" w:ascii="宋体" w:hAnsi="宋体" w:eastAsia="宋体" w:cs="宋体"/>
          <w:b w:val="0"/>
          <w:i w:val="0"/>
          <w:caps w:val="0"/>
          <w:color w:val="auto"/>
          <w:spacing w:val="0"/>
          <w:w w:val="100"/>
          <w:sz w:val="24"/>
          <w:highlight w:val="none"/>
          <w:lang w:eastAsia="zh-CN"/>
        </w:rPr>
        <w:t>评审方法</w:t>
      </w:r>
      <w:r>
        <w:rPr>
          <w:rFonts w:hint="eastAsia" w:ascii="宋体" w:hAnsi="宋体" w:eastAsia="宋体" w:cs="宋体"/>
          <w:b w:val="0"/>
          <w:i w:val="0"/>
          <w:caps w:val="0"/>
          <w:color w:val="auto"/>
          <w:spacing w:val="0"/>
          <w:w w:val="100"/>
          <w:sz w:val="24"/>
          <w:highlight w:val="none"/>
        </w:rPr>
        <w:t>。</w:t>
      </w:r>
    </w:p>
    <w:p>
      <w:pPr>
        <w:pStyle w:val="13"/>
        <w:tabs>
          <w:tab w:val="left" w:pos="5580"/>
        </w:tabs>
        <w:snapToGrid w:val="0"/>
        <w:spacing w:line="400" w:lineRule="atLeas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23.3   </w:t>
      </w:r>
      <w:r>
        <w:rPr>
          <w:rFonts w:hint="eastAsia" w:ascii="宋体" w:hAnsi="宋体" w:eastAsia="宋体" w:cs="宋体"/>
          <w:b/>
          <w:bCs/>
          <w:color w:val="auto"/>
          <w:kern w:val="2"/>
          <w:sz w:val="24"/>
          <w:szCs w:val="24"/>
          <w:highlight w:val="none"/>
          <w:lang w:val="en-US" w:eastAsia="zh-CN" w:bidi="ar-SA"/>
        </w:rPr>
        <w:t>根据《政府采购促进中小企业发展管理办法》（财库[2020]46号）、《关于落实好政府采购支持中小企业发展的通知》（新财购 〔2022〕22号）、《财政部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响应文件中提交了《中小企业声明函》或省级以上监狱管理局、戒毒管理局（含新疆生产建设兵团）出具的属于监狱企业的证明文件的供应商，其投标报价扣除10%后参与评标。对于同时属于小微企业、监狱企业或残疾人福利性单位的，不重复进行投标报价扣除。</w:t>
      </w:r>
    </w:p>
    <w:p>
      <w:pPr>
        <w:pStyle w:val="13"/>
        <w:pageBreakBefore w:val="0"/>
        <w:shd w:val="clear"/>
        <w:kinsoku/>
        <w:wordWrap/>
        <w:overflowPunct/>
        <w:topLinePunct w:val="0"/>
        <w:bidi w:val="0"/>
        <w:spacing w:line="360" w:lineRule="exact"/>
        <w:ind w:left="904" w:leftChars="0" w:hanging="904" w:hangingChars="375"/>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具体办法详见招标文件第6章。</w:t>
      </w:r>
    </w:p>
    <w:p>
      <w:pPr>
        <w:pStyle w:val="4"/>
        <w:pageBreakBefore w:val="0"/>
        <w:shd w:val="clear"/>
        <w:kinsoku/>
        <w:wordWrap/>
        <w:overflowPunct/>
        <w:topLinePunct w:val="0"/>
        <w:bidi w:val="0"/>
        <w:spacing w:before="0" w:after="0" w:line="360" w:lineRule="exact"/>
        <w:ind w:left="0" w:leftChars="0"/>
        <w:outlineLvl w:val="1"/>
        <w:rPr>
          <w:rFonts w:hint="eastAsia" w:ascii="宋体" w:hAnsi="宋体" w:eastAsia="宋体" w:cs="宋体"/>
          <w:color w:val="auto"/>
          <w:sz w:val="24"/>
          <w:szCs w:val="24"/>
          <w:highlight w:val="none"/>
          <w:u w:val="none"/>
        </w:rPr>
      </w:pPr>
      <w:bookmarkStart w:id="374" w:name="_Toc520356168"/>
      <w:bookmarkStart w:id="375" w:name="_Toc27067"/>
      <w:bookmarkStart w:id="376" w:name="_Toc19218"/>
      <w:bookmarkStart w:id="377" w:name="_Toc31084"/>
      <w:bookmarkStart w:id="378" w:name="_Toc26402"/>
      <w:r>
        <w:rPr>
          <w:rFonts w:hint="eastAsia" w:ascii="宋体" w:hAnsi="宋体" w:eastAsia="宋体" w:cs="宋体"/>
          <w:color w:val="auto"/>
          <w:sz w:val="24"/>
          <w:szCs w:val="24"/>
          <w:highlight w:val="none"/>
          <w:u w:val="none"/>
        </w:rPr>
        <w:t>24</w:t>
      </w:r>
      <w:bookmarkEnd w:id="374"/>
      <w:r>
        <w:rPr>
          <w:rFonts w:hint="eastAsia" w:ascii="宋体" w:hAnsi="宋体" w:eastAsia="宋体" w:cs="宋体"/>
          <w:color w:val="auto"/>
          <w:sz w:val="24"/>
          <w:szCs w:val="24"/>
          <w:highlight w:val="none"/>
          <w:u w:val="none"/>
        </w:rPr>
        <w:t>.废标</w:t>
      </w:r>
      <w:bookmarkEnd w:id="375"/>
      <w:bookmarkEnd w:id="376"/>
      <w:bookmarkEnd w:id="377"/>
      <w:bookmarkEnd w:id="378"/>
    </w:p>
    <w:p>
      <w:pPr>
        <w:pageBreakBefore w:val="0"/>
        <w:shd w:val="clear"/>
        <w:kinsoku/>
        <w:wordWrap/>
        <w:overflowPunct/>
        <w:topLinePunct w:val="0"/>
        <w:bidi w:val="0"/>
        <w:spacing w:line="360" w:lineRule="exact"/>
        <w:ind w:left="60" w:leftChars="0" w:hanging="60" w:hangingChars="2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pPr>
        <w:pageBreakBefore w:val="0"/>
        <w:shd w:val="clear"/>
        <w:kinsoku/>
        <w:wordWrap/>
        <w:overflowPunct/>
        <w:topLinePunct w:val="0"/>
        <w:bidi w:val="0"/>
        <w:spacing w:line="360" w:lineRule="exact"/>
        <w:ind w:left="900" w:leftChars="0" w:hanging="900" w:hangingChars="37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做实质性响应的供应商不足三家；</w:t>
      </w:r>
    </w:p>
    <w:p>
      <w:pPr>
        <w:pageBreakBefore w:val="0"/>
        <w:shd w:val="clear"/>
        <w:kinsoku/>
        <w:wordWrap/>
        <w:overflowPunct/>
        <w:topLinePunct w:val="0"/>
        <w:bidi w:val="0"/>
        <w:spacing w:line="360" w:lineRule="exact"/>
        <w:ind w:left="904" w:leftChars="0" w:hanging="904" w:hangingChars="37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pPr>
        <w:pageBreakBefore w:val="0"/>
        <w:shd w:val="clear"/>
        <w:kinsoku/>
        <w:wordWrap/>
        <w:overflowPunct/>
        <w:topLinePunct w:val="0"/>
        <w:bidi w:val="0"/>
        <w:spacing w:line="360" w:lineRule="exact"/>
        <w:ind w:left="0" w:leftChars="0" w:firstLine="843" w:firstLineChars="3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pPr>
        <w:pageBreakBefore w:val="0"/>
        <w:shd w:val="clear"/>
        <w:kinsoku/>
        <w:wordWrap/>
        <w:overflowPunct/>
        <w:topLinePunct w:val="0"/>
        <w:bidi w:val="0"/>
        <w:spacing w:line="360" w:lineRule="exact"/>
        <w:ind w:left="0" w:leftChars="0" w:firstLine="843" w:firstLineChars="3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pPr>
        <w:pStyle w:val="4"/>
        <w:pageBreakBefore w:val="0"/>
        <w:shd w:val="clear"/>
        <w:kinsoku/>
        <w:wordWrap/>
        <w:overflowPunct/>
        <w:topLinePunct w:val="0"/>
        <w:bidi w:val="0"/>
        <w:spacing w:before="0" w:after="0" w:line="360" w:lineRule="exact"/>
        <w:ind w:left="0" w:leftChars="0"/>
        <w:jc w:val="both"/>
        <w:outlineLvl w:val="1"/>
        <w:rPr>
          <w:rFonts w:hint="eastAsia" w:ascii="宋体" w:hAnsi="宋体" w:eastAsia="宋体" w:cs="宋体"/>
          <w:color w:val="auto"/>
          <w:sz w:val="24"/>
          <w:szCs w:val="24"/>
          <w:highlight w:val="none"/>
          <w:u w:val="none"/>
        </w:rPr>
      </w:pPr>
      <w:bookmarkStart w:id="379" w:name="_Toc23725"/>
      <w:bookmarkStart w:id="380" w:name="_Toc10657"/>
      <w:bookmarkStart w:id="381" w:name="_Toc21697"/>
      <w:r>
        <w:rPr>
          <w:rFonts w:hint="eastAsia" w:ascii="宋体" w:hAnsi="宋体" w:eastAsia="宋体" w:cs="宋体"/>
          <w:color w:val="auto"/>
          <w:sz w:val="24"/>
          <w:szCs w:val="24"/>
          <w:highlight w:val="none"/>
          <w:u w:val="none"/>
        </w:rPr>
        <w:t>25.保密原则</w:t>
      </w:r>
      <w:bookmarkEnd w:id="379"/>
      <w:bookmarkEnd w:id="380"/>
      <w:bookmarkEnd w:id="381"/>
    </w:p>
    <w:p>
      <w:pPr>
        <w:pageBreakBefore w:val="0"/>
        <w:shd w:val="clear"/>
        <w:kinsoku/>
        <w:wordWrap/>
        <w:overflowPunct/>
        <w:topLinePunct w:val="0"/>
        <w:bidi w:val="0"/>
        <w:spacing w:line="360" w:lineRule="exact"/>
        <w:ind w:left="900" w:leftChars="0" w:hanging="900" w:hangingChars="375"/>
        <w:outlineLvl w:val="9"/>
        <w:rPr>
          <w:rFonts w:hint="eastAsia" w:ascii="宋体" w:hAnsi="宋体" w:eastAsia="宋体" w:cs="宋体"/>
          <w:color w:val="auto"/>
          <w:sz w:val="24"/>
          <w:szCs w:val="24"/>
          <w:highlight w:val="none"/>
        </w:rPr>
      </w:pPr>
      <w:bookmarkStart w:id="382" w:name="_Toc19754"/>
      <w:bookmarkStart w:id="383" w:name="_Toc7423"/>
      <w:bookmarkStart w:id="384" w:name="_Toc14916"/>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将在严格保密的情况下进行。</w:t>
      </w:r>
      <w:bookmarkEnd w:id="382"/>
      <w:bookmarkEnd w:id="383"/>
      <w:bookmarkEnd w:id="384"/>
    </w:p>
    <w:p>
      <w:pPr>
        <w:pageBreakBefore w:val="0"/>
        <w:shd w:val="clear"/>
        <w:kinsoku/>
        <w:wordWrap/>
        <w:overflowPunct/>
        <w:topLinePunct w:val="0"/>
        <w:bidi w:val="0"/>
        <w:spacing w:line="360" w:lineRule="exact"/>
        <w:ind w:left="900" w:leftChars="0" w:hanging="900" w:hangingChars="37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pPr>
        <w:pageBreakBefore w:val="0"/>
        <w:shd w:val="clear"/>
        <w:kinsoku/>
        <w:wordWrap/>
        <w:overflowPunct/>
        <w:topLinePunct w:val="0"/>
        <w:bidi w:val="0"/>
        <w:spacing w:line="360" w:lineRule="exact"/>
        <w:ind w:left="0" w:leftChars="0" w:hanging="540"/>
        <w:rPr>
          <w:rFonts w:hint="eastAsia" w:ascii="宋体" w:hAnsi="宋体" w:eastAsia="宋体" w:cs="宋体"/>
          <w:color w:val="auto"/>
          <w:sz w:val="24"/>
          <w:szCs w:val="24"/>
          <w:highlight w:val="none"/>
        </w:rPr>
      </w:pPr>
    </w:p>
    <w:p>
      <w:pPr>
        <w:pStyle w:val="4"/>
        <w:pageBreakBefore w:val="0"/>
        <w:shd w:val="clear"/>
        <w:kinsoku/>
        <w:wordWrap/>
        <w:overflowPunct/>
        <w:topLinePunct w:val="0"/>
        <w:bidi w:val="0"/>
        <w:spacing w:before="0" w:line="360" w:lineRule="exact"/>
        <w:ind w:left="0" w:leftChars="0" w:hanging="540"/>
        <w:outlineLvl w:val="1"/>
        <w:rPr>
          <w:rFonts w:hint="eastAsia" w:ascii="宋体" w:hAnsi="宋体" w:eastAsia="宋体" w:cs="宋体"/>
          <w:color w:val="auto"/>
          <w:sz w:val="24"/>
          <w:szCs w:val="24"/>
          <w:highlight w:val="none"/>
        </w:rPr>
      </w:pPr>
      <w:bookmarkStart w:id="385" w:name="_Toc15411"/>
      <w:bookmarkStart w:id="386" w:name="_Toc23096"/>
      <w:bookmarkStart w:id="387" w:name="_Toc1491"/>
      <w:bookmarkStart w:id="388" w:name="_Toc31410"/>
      <w:bookmarkStart w:id="389" w:name="_Toc166"/>
      <w:r>
        <w:rPr>
          <w:rFonts w:hint="eastAsia" w:ascii="宋体" w:hAnsi="宋体" w:eastAsia="宋体" w:cs="宋体"/>
          <w:color w:val="auto"/>
          <w:sz w:val="24"/>
          <w:szCs w:val="24"/>
          <w:highlight w:val="none"/>
        </w:rPr>
        <w:t>六   确定</w:t>
      </w:r>
      <w:bookmarkEnd w:id="385"/>
      <w:bookmarkEnd w:id="386"/>
      <w:bookmarkEnd w:id="387"/>
      <w:bookmarkEnd w:id="388"/>
      <w:r>
        <w:rPr>
          <w:rFonts w:hint="eastAsia" w:ascii="宋体" w:hAnsi="宋体" w:eastAsia="宋体" w:cs="宋体"/>
          <w:color w:val="auto"/>
          <w:sz w:val="24"/>
          <w:szCs w:val="24"/>
          <w:highlight w:val="none"/>
          <w:lang w:eastAsia="zh-CN"/>
        </w:rPr>
        <w:t>成交</w:t>
      </w:r>
      <w:bookmarkEnd w:id="389"/>
    </w:p>
    <w:p>
      <w:pPr>
        <w:pStyle w:val="4"/>
        <w:pageBreakBefore w:val="0"/>
        <w:widowControl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390" w:name="_Toc7555"/>
      <w:bookmarkStart w:id="391" w:name="_Toc20726"/>
      <w:bookmarkStart w:id="392" w:name="_Ref467307010"/>
      <w:bookmarkStart w:id="393" w:name="_Toc4774"/>
      <w:bookmarkStart w:id="394" w:name="_Toc23762"/>
      <w:bookmarkStart w:id="395" w:name="_Toc10858"/>
      <w:bookmarkStart w:id="396" w:name="_Toc520356170"/>
      <w:bookmarkStart w:id="397" w:name="_Toc23617"/>
      <w:bookmarkStart w:id="398" w:name="_Toc20156"/>
      <w:bookmarkStart w:id="399" w:name="_Toc7632"/>
      <w:bookmarkStart w:id="400" w:name="_Toc8936"/>
      <w:bookmarkStart w:id="401" w:name="_Toc15848"/>
      <w:bookmarkStart w:id="402" w:name="_Toc515647788"/>
      <w:r>
        <w:rPr>
          <w:rFonts w:hint="eastAsia" w:ascii="宋体" w:hAnsi="宋体" w:eastAsia="宋体" w:cs="宋体"/>
          <w:b/>
          <w:i w:val="0"/>
          <w:caps w:val="0"/>
          <w:color w:val="auto"/>
          <w:spacing w:val="0"/>
          <w:w w:val="100"/>
          <w:sz w:val="24"/>
          <w:highlight w:val="none"/>
          <w:u w:val="single" w:color="000000"/>
        </w:rPr>
        <w:t>26.成交候选人的确定原则及标准</w:t>
      </w:r>
      <w:bookmarkEnd w:id="390"/>
      <w:bookmarkEnd w:id="391"/>
      <w:bookmarkEnd w:id="392"/>
      <w:bookmarkEnd w:id="393"/>
      <w:bookmarkEnd w:id="394"/>
      <w:bookmarkEnd w:id="395"/>
      <w:bookmarkEnd w:id="396"/>
      <w:bookmarkEnd w:id="397"/>
      <w:bookmarkEnd w:id="398"/>
      <w:bookmarkEnd w:id="399"/>
      <w:bookmarkEnd w:id="400"/>
      <w:bookmarkEnd w:id="401"/>
      <w:bookmarkEnd w:id="402"/>
    </w:p>
    <w:p>
      <w:pPr>
        <w:pageBreakBefore w:val="0"/>
        <w:widowControl w:val="0"/>
        <w:shd w:val="clear"/>
        <w:kinsoku/>
        <w:wordWrap/>
        <w:overflowPunct/>
        <w:topLinePunct w:val="0"/>
        <w:bidi w:val="0"/>
        <w:snapToGrid w:val="0"/>
        <w:spacing w:before="0" w:beforeAutospacing="0" w:after="0" w:afterAutospacing="0" w:line="360" w:lineRule="exact"/>
        <w:ind w:left="0" w:leftChars="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对实质上响应</w:t>
      </w:r>
      <w:r>
        <w:rPr>
          <w:rFonts w:hint="eastAsia" w:ascii="宋体" w:hAnsi="宋体" w:eastAsia="宋体" w:cs="宋体"/>
          <w:b w:val="0"/>
          <w:i w:val="0"/>
          <w:caps w:val="0"/>
          <w:color w:val="auto"/>
          <w:spacing w:val="0"/>
          <w:w w:val="100"/>
          <w:sz w:val="24"/>
          <w:highlight w:val="none"/>
          <w:lang w:eastAsia="zh-CN"/>
        </w:rPr>
        <w:t>磋商文件</w:t>
      </w:r>
      <w:r>
        <w:rPr>
          <w:rFonts w:hint="eastAsia" w:ascii="宋体" w:hAnsi="宋体" w:eastAsia="宋体" w:cs="宋体"/>
          <w:b w:val="0"/>
          <w:i w:val="0"/>
          <w:caps w:val="0"/>
          <w:color w:val="auto"/>
          <w:spacing w:val="0"/>
          <w:w w:val="100"/>
          <w:sz w:val="24"/>
          <w:highlight w:val="none"/>
        </w:rPr>
        <w:t>的供应商按下列方法进行排序，确定投标候选人：</w:t>
      </w:r>
    </w:p>
    <w:p>
      <w:pPr>
        <w:pageBreakBefore w:val="0"/>
        <w:widowControl w:val="0"/>
        <w:shd w:val="clear"/>
        <w:kinsoku/>
        <w:wordWrap/>
        <w:overflowPunct/>
        <w:topLinePunct w:val="0"/>
        <w:bidi w:val="0"/>
        <w:snapToGrid w:val="0"/>
        <w:spacing w:before="0" w:beforeAutospacing="0" w:after="0" w:afterAutospacing="0" w:line="360" w:lineRule="exact"/>
        <w:ind w:left="0" w:leftChars="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采用综合评分法的，</w:t>
      </w:r>
      <w:r>
        <w:rPr>
          <w:rFonts w:hint="eastAsia" w:ascii="宋体" w:hAnsi="宋体" w:eastAsia="宋体" w:cs="宋体"/>
          <w:b w:val="0"/>
          <w:i w:val="0"/>
          <w:caps w:val="0"/>
          <w:color w:val="auto"/>
          <w:spacing w:val="0"/>
          <w:w w:val="100"/>
          <w:sz w:val="24"/>
          <w:highlight w:val="none"/>
          <w:lang w:eastAsia="zh-CN"/>
        </w:rPr>
        <w:t>是指响应文件满足磋商文件全部实质性要求，且按照评审因素的量化指标评审得分最高的供应商为成交候选人的评审方法。</w:t>
      </w:r>
    </w:p>
    <w:p>
      <w:pPr>
        <w:pageBreakBefore w:val="0"/>
        <w:kinsoku/>
        <w:wordWrap/>
        <w:overflowPunct/>
        <w:topLinePunct w:val="0"/>
        <w:bidi w:val="0"/>
        <w:spacing w:line="360" w:lineRule="exact"/>
        <w:ind w:left="0" w:left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本项目采用综合评分法，</w:t>
      </w:r>
      <w:r>
        <w:rPr>
          <w:rFonts w:hint="eastAsia" w:ascii="宋体" w:hAnsi="宋体" w:eastAsia="宋体" w:cs="宋体"/>
          <w:b/>
          <w:bCs/>
          <w:color w:val="FF0000"/>
          <w:sz w:val="24"/>
          <w:szCs w:val="24"/>
          <w:highlight w:val="none"/>
          <w:lang w:val="en-US" w:eastAsia="zh-CN"/>
        </w:rPr>
        <w:t>其中价格占</w:t>
      </w:r>
      <w:r>
        <w:rPr>
          <w:rFonts w:hint="eastAsia" w:ascii="宋体" w:hAnsi="宋体" w:cs="宋体"/>
          <w:b/>
          <w:bCs/>
          <w:color w:val="FF0000"/>
          <w:sz w:val="24"/>
          <w:szCs w:val="24"/>
          <w:highlight w:val="none"/>
          <w:lang w:val="en-US" w:eastAsia="zh-CN"/>
        </w:rPr>
        <w:t>15</w:t>
      </w:r>
      <w:r>
        <w:rPr>
          <w:rFonts w:hint="eastAsia" w:ascii="宋体" w:hAnsi="宋体" w:eastAsia="宋体" w:cs="宋体"/>
          <w:b/>
          <w:bCs/>
          <w:color w:val="FF0000"/>
          <w:sz w:val="24"/>
          <w:szCs w:val="24"/>
          <w:highlight w:val="none"/>
          <w:lang w:val="en-US" w:eastAsia="zh-CN"/>
        </w:rPr>
        <w:t>%，商务占</w:t>
      </w:r>
      <w:r>
        <w:rPr>
          <w:rFonts w:hint="eastAsia" w:ascii="宋体" w:hAnsi="宋体" w:cs="宋体"/>
          <w:b/>
          <w:bCs/>
          <w:color w:val="FF0000"/>
          <w:sz w:val="24"/>
          <w:szCs w:val="24"/>
          <w:highlight w:val="none"/>
          <w:lang w:val="en-US" w:eastAsia="zh-CN"/>
        </w:rPr>
        <w:t>10</w:t>
      </w:r>
      <w:r>
        <w:rPr>
          <w:rFonts w:hint="eastAsia" w:ascii="宋体" w:hAnsi="宋体" w:eastAsia="宋体" w:cs="宋体"/>
          <w:b/>
          <w:bCs/>
          <w:color w:val="FF0000"/>
          <w:sz w:val="24"/>
          <w:szCs w:val="24"/>
          <w:highlight w:val="none"/>
          <w:lang w:val="en-US" w:eastAsia="zh-CN"/>
        </w:rPr>
        <w:t>%，技术</w:t>
      </w:r>
      <w:r>
        <w:rPr>
          <w:rFonts w:hint="eastAsia" w:ascii="宋体" w:hAnsi="宋体" w:cs="宋体"/>
          <w:b/>
          <w:bCs/>
          <w:color w:val="FF0000"/>
          <w:sz w:val="24"/>
          <w:szCs w:val="24"/>
          <w:highlight w:val="none"/>
          <w:lang w:val="en-US" w:eastAsia="zh-CN"/>
        </w:rPr>
        <w:t>75</w:t>
      </w:r>
      <w:r>
        <w:rPr>
          <w:rFonts w:hint="eastAsia" w:ascii="宋体" w:hAnsi="宋体" w:eastAsia="宋体" w:cs="宋体"/>
          <w:b/>
          <w:bCs/>
          <w:color w:val="FF0000"/>
          <w:sz w:val="24"/>
          <w:szCs w:val="24"/>
          <w:highlight w:val="none"/>
          <w:lang w:val="en-US" w:eastAsia="zh-CN"/>
        </w:rPr>
        <w:t>%。</w:t>
      </w:r>
    </w:p>
    <w:p>
      <w:pPr>
        <w:pStyle w:val="4"/>
        <w:pageBreakBefore w:val="0"/>
        <w:widowControl w:val="0"/>
        <w:shd w:val="clear"/>
        <w:tabs>
          <w:tab w:val="left" w:pos="900"/>
        </w:tabs>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403" w:name="_Toc23951"/>
      <w:bookmarkStart w:id="404" w:name="_Toc9653"/>
      <w:bookmarkStart w:id="405" w:name="_Toc17933"/>
      <w:bookmarkStart w:id="406" w:name="_Toc16846"/>
      <w:bookmarkStart w:id="407" w:name="_Toc1644"/>
      <w:bookmarkStart w:id="408" w:name="_Toc922"/>
      <w:bookmarkStart w:id="409" w:name="_Toc17164"/>
      <w:bookmarkStart w:id="410" w:name="_Toc3720"/>
      <w:bookmarkStart w:id="411" w:name="_Toc14558"/>
      <w:bookmarkStart w:id="412" w:name="_Toc18340"/>
      <w:bookmarkStart w:id="413" w:name="_Toc515647799"/>
      <w:bookmarkStart w:id="414" w:name="_Toc26168"/>
      <w:bookmarkStart w:id="415" w:name="_Toc9538"/>
      <w:bookmarkStart w:id="416" w:name="_Toc350"/>
      <w:bookmarkStart w:id="417" w:name="_Toc21748"/>
      <w:bookmarkStart w:id="418" w:name="_Toc22796"/>
      <w:bookmarkStart w:id="419" w:name="_Toc18045"/>
      <w:bookmarkStart w:id="420" w:name="_Toc16186"/>
      <w:r>
        <w:rPr>
          <w:rFonts w:hint="eastAsia" w:ascii="宋体" w:hAnsi="宋体" w:eastAsia="宋体" w:cs="宋体"/>
          <w:b/>
          <w:i w:val="0"/>
          <w:caps w:val="0"/>
          <w:color w:val="auto"/>
          <w:spacing w:val="0"/>
          <w:w w:val="100"/>
          <w:sz w:val="24"/>
          <w:highlight w:val="none"/>
          <w:u w:val="single" w:color="000000"/>
        </w:rPr>
        <w:t>27.确定成交候选人和</w:t>
      </w:r>
      <w:bookmarkEnd w:id="403"/>
      <w:bookmarkEnd w:id="404"/>
      <w:bookmarkEnd w:id="405"/>
      <w:r>
        <w:rPr>
          <w:rFonts w:hint="eastAsia" w:ascii="宋体" w:hAnsi="宋体" w:eastAsia="宋体" w:cs="宋体"/>
          <w:b/>
          <w:i w:val="0"/>
          <w:caps w:val="0"/>
          <w:color w:val="auto"/>
          <w:spacing w:val="0"/>
          <w:w w:val="100"/>
          <w:sz w:val="24"/>
          <w:highlight w:val="none"/>
          <w:u w:val="single" w:color="000000"/>
        </w:rPr>
        <w:t>成交人</w:t>
      </w:r>
      <w:bookmarkEnd w:id="406"/>
      <w:bookmarkEnd w:id="407"/>
      <w:bookmarkEnd w:id="408"/>
      <w:bookmarkEnd w:id="409"/>
      <w:bookmarkEnd w:id="410"/>
      <w:bookmarkEnd w:id="411"/>
      <w:bookmarkEnd w:id="412"/>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磋商小组将根据</w:t>
      </w:r>
      <w:r>
        <w:rPr>
          <w:rFonts w:hint="eastAsia" w:ascii="宋体" w:hAnsi="宋体" w:eastAsia="宋体" w:cs="宋体"/>
          <w:b w:val="0"/>
          <w:i w:val="0"/>
          <w:caps w:val="0"/>
          <w:color w:val="auto"/>
          <w:spacing w:val="0"/>
          <w:w w:val="100"/>
          <w:sz w:val="24"/>
          <w:highlight w:val="none"/>
          <w:lang w:eastAsia="zh-CN"/>
        </w:rPr>
        <w:t>评审标准</w:t>
      </w:r>
      <w:r>
        <w:rPr>
          <w:rFonts w:hint="eastAsia" w:ascii="宋体" w:hAnsi="宋体" w:eastAsia="宋体" w:cs="宋体"/>
          <w:b w:val="0"/>
          <w:i w:val="0"/>
          <w:caps w:val="0"/>
          <w:color w:val="auto"/>
          <w:spacing w:val="0"/>
          <w:w w:val="100"/>
          <w:sz w:val="24"/>
          <w:highlight w:val="none"/>
        </w:rPr>
        <w:t>，按</w:t>
      </w:r>
      <w:r>
        <w:rPr>
          <w:rFonts w:hint="eastAsia" w:ascii="宋体" w:hAnsi="宋体" w:eastAsia="宋体" w:cs="宋体"/>
          <w:b w:val="0"/>
          <w:i w:val="0"/>
          <w:caps w:val="0"/>
          <w:color w:val="auto"/>
          <w:spacing w:val="0"/>
          <w:w w:val="100"/>
          <w:sz w:val="24"/>
          <w:highlight w:val="none"/>
          <w:u w:val="single" w:color="000000"/>
        </w:rPr>
        <w:t>供应商须知资料表中</w:t>
      </w:r>
      <w:r>
        <w:rPr>
          <w:rFonts w:hint="eastAsia" w:ascii="宋体" w:hAnsi="宋体" w:eastAsia="宋体" w:cs="宋体"/>
          <w:b w:val="0"/>
          <w:i w:val="0"/>
          <w:caps w:val="0"/>
          <w:color w:val="auto"/>
          <w:spacing w:val="0"/>
          <w:w w:val="100"/>
          <w:sz w:val="24"/>
          <w:highlight w:val="none"/>
        </w:rPr>
        <w:t>规定数量推荐成交候选人；或根据采购人的委托，直接确定成交人。</w:t>
      </w:r>
    </w:p>
    <w:p>
      <w:pPr>
        <w:pStyle w:val="4"/>
        <w:pageBreakBefore w:val="0"/>
        <w:widowControl w:val="0"/>
        <w:shd w:val="clear"/>
        <w:tabs>
          <w:tab w:val="left" w:pos="900"/>
        </w:tabs>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421" w:name="_Toc520356173"/>
      <w:bookmarkStart w:id="422" w:name="_Ref467306874"/>
      <w:bookmarkStart w:id="423" w:name="_Toc249"/>
      <w:bookmarkStart w:id="424" w:name="_Toc515647790"/>
      <w:bookmarkStart w:id="425" w:name="_Toc28562"/>
      <w:bookmarkStart w:id="426" w:name="_Toc30689"/>
      <w:bookmarkStart w:id="427" w:name="_Toc2091"/>
      <w:bookmarkStart w:id="428" w:name="_Toc8389"/>
      <w:bookmarkStart w:id="429" w:name="_Toc24602"/>
      <w:bookmarkStart w:id="430" w:name="_Toc23033"/>
      <w:bookmarkStart w:id="431" w:name="_Toc12652"/>
      <w:bookmarkStart w:id="432" w:name="_Toc20633"/>
      <w:bookmarkStart w:id="433" w:name="_Toc7729"/>
      <w:r>
        <w:rPr>
          <w:rFonts w:hint="eastAsia" w:ascii="宋体" w:hAnsi="宋体" w:eastAsia="宋体" w:cs="宋体"/>
          <w:b/>
          <w:i w:val="0"/>
          <w:caps w:val="0"/>
          <w:color w:val="auto"/>
          <w:spacing w:val="0"/>
          <w:w w:val="100"/>
          <w:sz w:val="24"/>
          <w:highlight w:val="none"/>
          <w:u w:val="single" w:color="000000"/>
        </w:rPr>
        <w:t>28.</w:t>
      </w:r>
      <w:bookmarkEnd w:id="421"/>
      <w:bookmarkEnd w:id="422"/>
      <w:r>
        <w:rPr>
          <w:rFonts w:hint="eastAsia" w:ascii="宋体" w:hAnsi="宋体" w:eastAsia="宋体" w:cs="宋体"/>
          <w:b/>
          <w:i w:val="0"/>
          <w:caps w:val="0"/>
          <w:color w:val="auto"/>
          <w:spacing w:val="0"/>
          <w:w w:val="100"/>
          <w:sz w:val="24"/>
          <w:highlight w:val="none"/>
          <w:u w:val="single" w:color="000000"/>
        </w:rPr>
        <w:t>采购任务取消</w:t>
      </w:r>
      <w:bookmarkEnd w:id="423"/>
      <w:bookmarkEnd w:id="424"/>
      <w:bookmarkEnd w:id="425"/>
      <w:bookmarkEnd w:id="426"/>
      <w:bookmarkEnd w:id="427"/>
      <w:bookmarkEnd w:id="428"/>
      <w:bookmarkEnd w:id="429"/>
      <w:bookmarkEnd w:id="430"/>
      <w:bookmarkEnd w:id="431"/>
      <w:bookmarkEnd w:id="432"/>
      <w:bookmarkEnd w:id="433"/>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因重大变故采购任务取消时，采购人有权拒绝任何供应商成交，且对受影响的供应商不承担任何责任。</w:t>
      </w:r>
      <w:bookmarkStart w:id="434" w:name="_Toc520356174"/>
    </w:p>
    <w:p>
      <w:pPr>
        <w:pStyle w:val="4"/>
        <w:pageBreakBefore w:val="0"/>
        <w:widowControl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435" w:name="_Toc25680"/>
      <w:bookmarkStart w:id="436" w:name="_Toc29022"/>
      <w:bookmarkStart w:id="437" w:name="_Toc515647791"/>
      <w:bookmarkStart w:id="438" w:name="_Toc29249"/>
      <w:bookmarkStart w:id="439" w:name="_Toc31099"/>
      <w:bookmarkStart w:id="440" w:name="_Toc7938"/>
      <w:bookmarkStart w:id="441" w:name="_Toc6223"/>
      <w:bookmarkStart w:id="442" w:name="_Toc26091"/>
      <w:bookmarkStart w:id="443" w:name="_Toc30170"/>
      <w:bookmarkStart w:id="444" w:name="_Toc15270"/>
      <w:r>
        <w:rPr>
          <w:rFonts w:hint="eastAsia" w:ascii="宋体" w:hAnsi="宋体" w:eastAsia="宋体" w:cs="宋体"/>
          <w:b/>
          <w:i w:val="0"/>
          <w:caps w:val="0"/>
          <w:color w:val="auto"/>
          <w:spacing w:val="0"/>
          <w:w w:val="100"/>
          <w:sz w:val="24"/>
          <w:highlight w:val="none"/>
          <w:u w:val="single" w:color="000000"/>
        </w:rPr>
        <w:t>29.</w:t>
      </w:r>
      <w:bookmarkEnd w:id="434"/>
      <w:r>
        <w:rPr>
          <w:rFonts w:hint="eastAsia" w:ascii="宋体" w:hAnsi="宋体" w:eastAsia="宋体" w:cs="宋体"/>
          <w:b/>
          <w:i w:val="0"/>
          <w:caps w:val="0"/>
          <w:color w:val="auto"/>
          <w:spacing w:val="0"/>
          <w:w w:val="100"/>
          <w:sz w:val="24"/>
          <w:highlight w:val="none"/>
          <w:u w:val="single" w:color="000000"/>
        </w:rPr>
        <w:t>成交通知书和招标结果通知书</w:t>
      </w:r>
      <w:bookmarkEnd w:id="435"/>
      <w:bookmarkEnd w:id="436"/>
      <w:bookmarkEnd w:id="437"/>
      <w:bookmarkEnd w:id="438"/>
      <w:bookmarkEnd w:id="439"/>
      <w:bookmarkEnd w:id="440"/>
      <w:bookmarkEnd w:id="441"/>
      <w:bookmarkEnd w:id="442"/>
      <w:bookmarkEnd w:id="443"/>
      <w:bookmarkEnd w:id="444"/>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29.1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在磋商有效期内，成交人确定后，采购人或者采购代理机构发布成交公告，同时以书面形式向成交人发出成交通知书。</w:t>
      </w:r>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outlineLvl w:val="1"/>
        <w:rPr>
          <w:rFonts w:hint="eastAsia" w:ascii="宋体" w:hAnsi="宋体" w:eastAsia="宋体" w:cs="宋体"/>
          <w:b w:val="0"/>
          <w:i w:val="0"/>
          <w:caps w:val="0"/>
          <w:color w:val="auto"/>
          <w:spacing w:val="0"/>
          <w:w w:val="100"/>
          <w:sz w:val="24"/>
          <w:highlight w:val="none"/>
        </w:rPr>
      </w:pPr>
      <w:bookmarkStart w:id="445" w:name="_Toc10041"/>
      <w:bookmarkStart w:id="446" w:name="_Toc24410"/>
      <w:bookmarkStart w:id="447" w:name="_Toc16488"/>
      <w:r>
        <w:rPr>
          <w:rFonts w:hint="eastAsia" w:ascii="宋体" w:hAnsi="宋体" w:eastAsia="宋体" w:cs="宋体"/>
          <w:b w:val="0"/>
          <w:i w:val="0"/>
          <w:caps w:val="0"/>
          <w:color w:val="auto"/>
          <w:spacing w:val="0"/>
          <w:w w:val="100"/>
          <w:sz w:val="24"/>
          <w:highlight w:val="none"/>
        </w:rPr>
        <w:t>29.2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成交通知书是合同的组成部分。</w:t>
      </w:r>
      <w:bookmarkEnd w:id="445"/>
      <w:bookmarkEnd w:id="446"/>
      <w:bookmarkEnd w:id="447"/>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29.3    招标结果通知书和成交通知书同时发出。招标结果通知书中将告知未通过资格审查的供应商未通过的原因；采用综合评分法评审的，还将告知未成交人本人的评审得分和排序。</w:t>
      </w:r>
    </w:p>
    <w:p>
      <w:pPr>
        <w:pStyle w:val="4"/>
        <w:pageBreakBefore w:val="0"/>
        <w:widowControl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auto"/>
        </w:rPr>
      </w:pPr>
      <w:bookmarkStart w:id="448" w:name="_Toc515647792"/>
      <w:bookmarkStart w:id="449" w:name="_Ref467307062"/>
      <w:bookmarkStart w:id="450" w:name="_Ref467306978"/>
      <w:bookmarkStart w:id="451" w:name="_Toc19431"/>
      <w:bookmarkStart w:id="452" w:name="_Toc7779"/>
      <w:bookmarkStart w:id="453" w:name="_Toc11296"/>
      <w:bookmarkStart w:id="454" w:name="_Ref467307204"/>
      <w:bookmarkStart w:id="455" w:name="_Toc790"/>
      <w:bookmarkStart w:id="456" w:name="_Toc15063"/>
      <w:bookmarkStart w:id="457" w:name="_Toc25628"/>
      <w:bookmarkStart w:id="458" w:name="_Toc520356175"/>
      <w:bookmarkStart w:id="459" w:name="_Toc307"/>
      <w:bookmarkStart w:id="460" w:name="_Toc1076"/>
      <w:bookmarkStart w:id="461" w:name="_Toc21500"/>
      <w:bookmarkStart w:id="462" w:name="_Toc22868"/>
      <w:bookmarkStart w:id="463" w:name="_Ref467306377"/>
      <w:r>
        <w:rPr>
          <w:rFonts w:hint="eastAsia" w:ascii="宋体" w:hAnsi="宋体" w:eastAsia="宋体" w:cs="宋体"/>
          <w:b/>
          <w:i w:val="0"/>
          <w:caps w:val="0"/>
          <w:color w:val="auto"/>
          <w:spacing w:val="0"/>
          <w:w w:val="100"/>
          <w:sz w:val="24"/>
          <w:highlight w:val="none"/>
          <w:u w:val="single" w:color="auto"/>
        </w:rPr>
        <w:t>30.签订合同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30.1</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成交人应当自发出成交通知书之日起30日内，与采购人签订合同。</w:t>
      </w:r>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30.2</w:t>
      </w:r>
      <w:r>
        <w:rPr>
          <w:rFonts w:hint="eastAsia" w:ascii="宋体" w:hAnsi="宋体" w:eastAsia="宋体" w:cs="宋体"/>
          <w:b w:val="0"/>
          <w:i w:val="0"/>
          <w:caps w:val="0"/>
          <w:color w:val="auto"/>
          <w:spacing w:val="0"/>
          <w:w w:val="100"/>
          <w:sz w:val="24"/>
          <w:highlight w:val="none"/>
        </w:rPr>
        <w:tab/>
      </w:r>
      <w:bookmarkStart w:id="464" w:name="_Toc520356176"/>
      <w:bookmarkStart w:id="465" w:name="_Ref467306425"/>
      <w:bookmarkStart w:id="466" w:name="_Ref467307090"/>
      <w:r>
        <w:rPr>
          <w:rFonts w:hint="eastAsia" w:ascii="宋体" w:hAnsi="宋体" w:eastAsia="宋体" w:cs="宋体"/>
          <w:b w:val="0"/>
          <w:i w:val="0"/>
          <w:caps w:val="0"/>
          <w:color w:val="auto"/>
          <w:spacing w:val="0"/>
          <w:w w:val="100"/>
          <w:sz w:val="24"/>
          <w:highlight w:val="none"/>
        </w:rPr>
        <w:t>磋商文件、成交人的响应文件及其澄清文件等，均为签订合同的依据。</w:t>
      </w:r>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30.3   成交人拒绝与采购人签订合同的，采购人可以按照评审报告推荐的成交</w:t>
      </w:r>
    </w:p>
    <w:p>
      <w:pPr>
        <w:pageBreakBefore w:val="0"/>
        <w:widowControl w:val="0"/>
        <w:shd w:val="clear"/>
        <w:kinsoku/>
        <w:wordWrap/>
        <w:overflowPunct/>
        <w:topLinePunct w:val="0"/>
        <w:bidi w:val="0"/>
        <w:snapToGrid w:val="0"/>
        <w:spacing w:before="0" w:beforeAutospacing="0" w:after="0" w:afterAutospacing="0" w:line="360" w:lineRule="exact"/>
        <w:ind w:left="0" w:leftChars="0" w:firstLine="60" w:firstLineChars="2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候选人名单排序，确定下一成交候选人为成交人，也可以重新开展政府采购活动。</w:t>
      </w:r>
    </w:p>
    <w:p>
      <w:pPr>
        <w:pageBreakBefore w:val="0"/>
        <w:widowControl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u w:val="none" w:color="auto"/>
        </w:rPr>
      </w:pPr>
      <w:r>
        <w:rPr>
          <w:rFonts w:hint="eastAsia" w:ascii="宋体" w:hAnsi="宋体" w:eastAsia="宋体" w:cs="宋体"/>
          <w:b w:val="0"/>
          <w:i w:val="0"/>
          <w:caps w:val="0"/>
          <w:color w:val="auto"/>
          <w:spacing w:val="0"/>
          <w:w w:val="100"/>
          <w:sz w:val="24"/>
          <w:highlight w:val="none"/>
        </w:rPr>
        <w:t>30.4   当出现法规规定的</w:t>
      </w:r>
      <w:r>
        <w:rPr>
          <w:rFonts w:hint="eastAsia" w:ascii="宋体" w:hAnsi="宋体" w:eastAsia="宋体" w:cs="宋体"/>
          <w:b/>
          <w:i w:val="0"/>
          <w:caps w:val="0"/>
          <w:color w:val="auto"/>
          <w:spacing w:val="0"/>
          <w:w w:val="100"/>
          <w:sz w:val="24"/>
          <w:highlight w:val="none"/>
        </w:rPr>
        <w:t>成交无效或成交结果无效</w:t>
      </w:r>
      <w:r>
        <w:rPr>
          <w:rFonts w:hint="eastAsia" w:ascii="宋体" w:hAnsi="宋体" w:eastAsia="宋体" w:cs="宋体"/>
          <w:b w:val="0"/>
          <w:i w:val="0"/>
          <w:caps w:val="0"/>
          <w:color w:val="auto"/>
          <w:spacing w:val="0"/>
          <w:w w:val="100"/>
          <w:sz w:val="24"/>
          <w:highlight w:val="none"/>
        </w:rPr>
        <w:t>情形时，采购人可与排名下</w:t>
      </w:r>
      <w:r>
        <w:rPr>
          <w:rFonts w:hint="eastAsia" w:ascii="宋体" w:hAnsi="宋体" w:eastAsia="宋体" w:cs="宋体"/>
          <w:b w:val="0"/>
          <w:i w:val="0"/>
          <w:caps w:val="0"/>
          <w:color w:val="auto"/>
          <w:spacing w:val="0"/>
          <w:w w:val="100"/>
          <w:sz w:val="24"/>
          <w:highlight w:val="none"/>
          <w:u w:val="none" w:color="auto"/>
        </w:rPr>
        <w:t>一位的成交候选人另行签订合同，或依法重新开展采购活动。</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auto"/>
        </w:rPr>
      </w:pPr>
      <w:bookmarkStart w:id="467" w:name="_Toc24808"/>
      <w:bookmarkStart w:id="468" w:name="_Toc15573"/>
      <w:bookmarkStart w:id="469" w:name="_Toc22555"/>
      <w:bookmarkStart w:id="470" w:name="_Toc32532"/>
      <w:bookmarkStart w:id="471" w:name="_Toc10911"/>
      <w:bookmarkStart w:id="472" w:name="_Toc14080"/>
      <w:bookmarkStart w:id="473" w:name="_Toc14839"/>
      <w:bookmarkStart w:id="474" w:name="_Toc8404"/>
      <w:bookmarkStart w:id="475" w:name="_Toc1963"/>
      <w:bookmarkStart w:id="476" w:name="_Toc6921"/>
      <w:bookmarkStart w:id="477" w:name="_Toc515647793"/>
      <w:r>
        <w:rPr>
          <w:rFonts w:hint="eastAsia" w:ascii="宋体" w:hAnsi="宋体" w:eastAsia="宋体" w:cs="宋体"/>
          <w:b/>
          <w:i w:val="0"/>
          <w:caps w:val="0"/>
          <w:color w:val="auto"/>
          <w:spacing w:val="0"/>
          <w:w w:val="100"/>
          <w:sz w:val="24"/>
          <w:highlight w:val="none"/>
          <w:u w:val="single" w:color="auto"/>
        </w:rPr>
        <w:t>31.履约保证金</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u w:val="none" w:color="auto"/>
        </w:rPr>
        <w:t>31.1</w:t>
      </w:r>
      <w:r>
        <w:rPr>
          <w:rFonts w:hint="eastAsia" w:ascii="宋体" w:hAnsi="宋体" w:eastAsia="宋体" w:cs="宋体"/>
          <w:b w:val="0"/>
          <w:i w:val="0"/>
          <w:caps w:val="0"/>
          <w:color w:val="auto"/>
          <w:spacing w:val="0"/>
          <w:w w:val="100"/>
          <w:sz w:val="24"/>
          <w:highlight w:val="none"/>
          <w:u w:val="none" w:color="auto"/>
        </w:rPr>
        <w:tab/>
      </w:r>
      <w:r>
        <w:rPr>
          <w:rFonts w:hint="eastAsia" w:ascii="宋体" w:hAnsi="宋体" w:eastAsia="宋体" w:cs="宋体"/>
          <w:b w:val="0"/>
          <w:i w:val="0"/>
          <w:caps w:val="0"/>
          <w:color w:val="auto"/>
          <w:spacing w:val="0"/>
          <w:w w:val="100"/>
          <w:sz w:val="24"/>
          <w:highlight w:val="none"/>
          <w:u w:val="none" w:color="auto"/>
        </w:rPr>
        <w:t>成交人应按照供应商须知资料表规</w:t>
      </w:r>
      <w:r>
        <w:rPr>
          <w:rFonts w:hint="eastAsia" w:ascii="宋体" w:hAnsi="宋体" w:eastAsia="宋体" w:cs="宋体"/>
          <w:b w:val="0"/>
          <w:i w:val="0"/>
          <w:caps w:val="0"/>
          <w:color w:val="auto"/>
          <w:spacing w:val="0"/>
          <w:w w:val="100"/>
          <w:sz w:val="24"/>
          <w:highlight w:val="none"/>
        </w:rPr>
        <w:t>定向采购人缴纳履约保证金（如采用保函形式，格式见本章附件1）。</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31.2</w:t>
      </w:r>
      <w:r>
        <w:rPr>
          <w:rFonts w:hint="eastAsia" w:ascii="宋体" w:hAnsi="宋体" w:eastAsia="宋体" w:cs="宋体"/>
          <w:b w:val="0"/>
          <w:i w:val="0"/>
          <w:caps w:val="0"/>
          <w:color w:val="auto"/>
          <w:spacing w:val="0"/>
          <w:w w:val="100"/>
          <w:sz w:val="24"/>
          <w:highlight w:val="none"/>
        </w:rPr>
        <w:tab/>
      </w:r>
      <w:r>
        <w:rPr>
          <w:rFonts w:hint="eastAsia" w:ascii="宋体" w:hAnsi="宋体" w:eastAsia="宋体" w:cs="宋体"/>
          <w:b w:val="0"/>
          <w:i w:val="0"/>
          <w:caps w:val="0"/>
          <w:color w:val="auto"/>
          <w:spacing w:val="0"/>
          <w:w w:val="100"/>
          <w:sz w:val="24"/>
          <w:highlight w:val="none"/>
        </w:rPr>
        <w:t>政府采购利用担保试点范围内的项目，除31.1规定的情形外，成交人也可以按照财政部门的规定，向采购人提供合格的履约担保函（格式见本章附件2）。</w:t>
      </w:r>
    </w:p>
    <w:p>
      <w:pPr>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9"/>
        <w:rPr>
          <w:rFonts w:hint="eastAsia" w:ascii="宋体" w:hAnsi="宋体" w:eastAsia="宋体" w:cs="宋体"/>
          <w:b w:val="0"/>
          <w:bCs/>
          <w:i w:val="0"/>
          <w:caps w:val="0"/>
          <w:color w:val="auto"/>
          <w:spacing w:val="0"/>
          <w:w w:val="100"/>
          <w:sz w:val="24"/>
          <w:highlight w:val="none"/>
          <w:u w:val="single" w:color="000000"/>
        </w:rPr>
      </w:pPr>
      <w:bookmarkStart w:id="478" w:name="_Toc7088"/>
      <w:bookmarkStart w:id="479" w:name="_Toc14350"/>
      <w:bookmarkStart w:id="480" w:name="_Toc5352"/>
      <w:bookmarkStart w:id="481" w:name="_Toc13783"/>
      <w:bookmarkStart w:id="482" w:name="_Toc1888"/>
      <w:bookmarkStart w:id="483" w:name="_Toc32107"/>
      <w:r>
        <w:rPr>
          <w:rFonts w:hint="eastAsia" w:ascii="宋体" w:hAnsi="宋体" w:eastAsia="宋体" w:cs="宋体"/>
          <w:b w:val="0"/>
          <w:i w:val="0"/>
          <w:caps w:val="0"/>
          <w:color w:val="auto"/>
          <w:spacing w:val="0"/>
          <w:w w:val="100"/>
          <w:sz w:val="24"/>
          <w:highlight w:val="none"/>
          <w:u w:val="none"/>
        </w:rPr>
        <w:t xml:space="preserve">31.3   </w:t>
      </w:r>
      <w:r>
        <w:rPr>
          <w:rFonts w:hint="eastAsia" w:ascii="宋体" w:hAnsi="宋体" w:eastAsia="宋体" w:cs="宋体"/>
          <w:b w:val="0"/>
          <w:i w:val="0"/>
          <w:caps w:val="0"/>
          <w:color w:val="auto"/>
          <w:spacing w:val="0"/>
          <w:w w:val="100"/>
          <w:sz w:val="24"/>
          <w:highlight w:val="none"/>
          <w:u w:val="none" w:color="auto"/>
        </w:rPr>
        <w:t>如果成交人没有按照上述履约保证金的规定执行，将视为放弃成交资格，成交人的磋商保证金将不予退还。在此情况下，采购人可确定下一候选</w:t>
      </w:r>
      <w:r>
        <w:rPr>
          <w:rFonts w:hint="eastAsia" w:ascii="宋体" w:hAnsi="宋体" w:eastAsia="宋体" w:cs="宋体"/>
          <w:b w:val="0"/>
          <w:bCs/>
          <w:i w:val="0"/>
          <w:caps w:val="0"/>
          <w:color w:val="auto"/>
          <w:spacing w:val="0"/>
          <w:w w:val="100"/>
          <w:sz w:val="24"/>
          <w:highlight w:val="none"/>
          <w:u w:val="none" w:color="auto"/>
        </w:rPr>
        <w:t>人为成交人，也可以重新开展采购活动。</w:t>
      </w:r>
      <w:bookmarkEnd w:id="478"/>
      <w:bookmarkEnd w:id="479"/>
      <w:bookmarkEnd w:id="480"/>
      <w:bookmarkEnd w:id="481"/>
      <w:bookmarkEnd w:id="482"/>
      <w:bookmarkEnd w:id="483"/>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auto"/>
        </w:rPr>
      </w:pPr>
      <w:bookmarkStart w:id="484" w:name="_Toc29652"/>
      <w:bookmarkStart w:id="485" w:name="_Toc7508"/>
      <w:bookmarkStart w:id="486" w:name="_Toc20197"/>
      <w:bookmarkStart w:id="487" w:name="_Toc27934"/>
      <w:bookmarkStart w:id="488" w:name="_Toc29408"/>
      <w:bookmarkStart w:id="489" w:name="_Toc31215"/>
      <w:bookmarkStart w:id="490" w:name="_Toc23392"/>
      <w:bookmarkStart w:id="491" w:name="_Toc10734"/>
      <w:bookmarkStart w:id="492" w:name="_Toc3090"/>
      <w:bookmarkStart w:id="493" w:name="_Toc515647794"/>
      <w:bookmarkStart w:id="494" w:name="_Toc16384"/>
      <w:r>
        <w:rPr>
          <w:rFonts w:hint="eastAsia" w:ascii="宋体" w:hAnsi="宋体" w:eastAsia="宋体" w:cs="宋体"/>
          <w:b/>
          <w:i w:val="0"/>
          <w:caps w:val="0"/>
          <w:color w:val="auto"/>
          <w:spacing w:val="0"/>
          <w:w w:val="100"/>
          <w:sz w:val="24"/>
          <w:highlight w:val="none"/>
          <w:u w:val="single" w:color="auto"/>
        </w:rPr>
        <w:t>32.成交</w:t>
      </w:r>
      <w:r>
        <w:rPr>
          <w:rFonts w:hint="eastAsia" w:ascii="宋体" w:hAnsi="宋体" w:eastAsia="宋体" w:cs="宋体"/>
          <w:b/>
          <w:i w:val="0"/>
          <w:caps w:val="0"/>
          <w:color w:val="auto"/>
          <w:spacing w:val="0"/>
          <w:w w:val="100"/>
          <w:sz w:val="24"/>
          <w:highlight w:val="none"/>
          <w:u w:val="single" w:color="auto"/>
          <w:lang w:val="en-US" w:eastAsia="zh-CN"/>
        </w:rPr>
        <w:t>服务</w:t>
      </w:r>
      <w:r>
        <w:rPr>
          <w:rFonts w:hint="eastAsia" w:ascii="宋体" w:hAnsi="宋体" w:eastAsia="宋体" w:cs="宋体"/>
          <w:b/>
          <w:i w:val="0"/>
          <w:caps w:val="0"/>
          <w:color w:val="auto"/>
          <w:spacing w:val="0"/>
          <w:w w:val="100"/>
          <w:sz w:val="24"/>
          <w:highlight w:val="none"/>
          <w:u w:val="single" w:color="auto"/>
        </w:rPr>
        <w:t>费</w:t>
      </w:r>
      <w:bookmarkEnd w:id="484"/>
      <w:bookmarkEnd w:id="485"/>
      <w:bookmarkEnd w:id="486"/>
      <w:bookmarkEnd w:id="487"/>
      <w:bookmarkEnd w:id="488"/>
      <w:bookmarkEnd w:id="489"/>
      <w:bookmarkEnd w:id="490"/>
      <w:bookmarkEnd w:id="491"/>
      <w:bookmarkEnd w:id="492"/>
      <w:bookmarkEnd w:id="493"/>
      <w:bookmarkEnd w:id="494"/>
    </w:p>
    <w:p>
      <w:pPr>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9"/>
        <w:rPr>
          <w:rFonts w:hint="eastAsia" w:ascii="宋体" w:hAnsi="宋体" w:eastAsia="宋体" w:cs="宋体"/>
          <w:b w:val="0"/>
          <w:bCs/>
          <w:i w:val="0"/>
          <w:caps w:val="0"/>
          <w:color w:val="auto"/>
          <w:spacing w:val="0"/>
          <w:w w:val="100"/>
          <w:sz w:val="24"/>
          <w:highlight w:val="none"/>
          <w:u w:val="none" w:color="auto"/>
        </w:rPr>
      </w:pPr>
      <w:r>
        <w:rPr>
          <w:rFonts w:hint="eastAsia" w:ascii="宋体" w:hAnsi="宋体" w:eastAsia="宋体" w:cs="宋体"/>
          <w:b w:val="0"/>
          <w:bCs/>
          <w:i w:val="0"/>
          <w:caps w:val="0"/>
          <w:color w:val="auto"/>
          <w:spacing w:val="0"/>
          <w:w w:val="100"/>
          <w:sz w:val="24"/>
          <w:highlight w:val="none"/>
          <w:u w:val="none" w:color="auto"/>
          <w:lang w:val="en-US" w:eastAsia="zh-CN"/>
        </w:rPr>
        <w:t xml:space="preserve">  </w:t>
      </w:r>
      <w:r>
        <w:rPr>
          <w:rFonts w:hint="eastAsia" w:ascii="宋体" w:hAnsi="宋体" w:eastAsia="宋体" w:cs="宋体"/>
          <w:b w:val="0"/>
          <w:bCs/>
          <w:i w:val="0"/>
          <w:caps w:val="0"/>
          <w:color w:val="auto"/>
          <w:spacing w:val="0"/>
          <w:w w:val="100"/>
          <w:sz w:val="24"/>
          <w:highlight w:val="none"/>
          <w:u w:val="none" w:color="auto"/>
        </w:rPr>
        <w:t xml:space="preserve"> </w:t>
      </w:r>
      <w:bookmarkStart w:id="495" w:name="_Toc3808"/>
      <w:bookmarkStart w:id="496" w:name="_Toc30285"/>
      <w:bookmarkStart w:id="497" w:name="_Toc30095"/>
      <w:bookmarkStart w:id="498" w:name="_Toc31147"/>
      <w:bookmarkStart w:id="499" w:name="_Toc23886"/>
      <w:bookmarkStart w:id="500" w:name="_Toc6649"/>
      <w:r>
        <w:rPr>
          <w:rFonts w:hint="eastAsia" w:ascii="宋体" w:hAnsi="宋体" w:eastAsia="宋体" w:cs="宋体"/>
          <w:b w:val="0"/>
          <w:bCs/>
          <w:i w:val="0"/>
          <w:caps w:val="0"/>
          <w:color w:val="auto"/>
          <w:spacing w:val="0"/>
          <w:w w:val="100"/>
          <w:sz w:val="24"/>
          <w:highlight w:val="none"/>
          <w:u w:val="none" w:color="auto"/>
        </w:rPr>
        <w:t>成交人须按照磋商须知资料表规定，向采购代理机构支付成交</w:t>
      </w:r>
      <w:r>
        <w:rPr>
          <w:rFonts w:hint="eastAsia" w:ascii="宋体" w:hAnsi="宋体" w:eastAsia="宋体" w:cs="宋体"/>
          <w:b w:val="0"/>
          <w:bCs/>
          <w:i w:val="0"/>
          <w:caps w:val="0"/>
          <w:color w:val="auto"/>
          <w:spacing w:val="0"/>
          <w:w w:val="100"/>
          <w:sz w:val="24"/>
          <w:highlight w:val="none"/>
          <w:u w:val="none" w:color="auto"/>
          <w:lang w:val="en-US" w:eastAsia="zh-CN"/>
        </w:rPr>
        <w:t>服务</w:t>
      </w:r>
      <w:r>
        <w:rPr>
          <w:rFonts w:hint="eastAsia" w:ascii="宋体" w:hAnsi="宋体" w:eastAsia="宋体" w:cs="宋体"/>
          <w:b w:val="0"/>
          <w:bCs/>
          <w:i w:val="0"/>
          <w:caps w:val="0"/>
          <w:color w:val="auto"/>
          <w:spacing w:val="0"/>
          <w:w w:val="100"/>
          <w:sz w:val="24"/>
          <w:highlight w:val="none"/>
          <w:u w:val="none" w:color="auto"/>
        </w:rPr>
        <w:t>费。</w:t>
      </w:r>
      <w:bookmarkEnd w:id="495"/>
      <w:bookmarkEnd w:id="496"/>
      <w:bookmarkEnd w:id="497"/>
      <w:bookmarkEnd w:id="498"/>
      <w:bookmarkEnd w:id="499"/>
      <w:bookmarkEnd w:id="500"/>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auto"/>
        </w:rPr>
      </w:pPr>
      <w:bookmarkStart w:id="501" w:name="_Toc1343"/>
      <w:bookmarkStart w:id="502" w:name="_Toc6923"/>
      <w:bookmarkStart w:id="503" w:name="_Toc3666"/>
      <w:bookmarkStart w:id="504" w:name="_Toc5403"/>
      <w:bookmarkStart w:id="505" w:name="_Toc32437"/>
      <w:bookmarkStart w:id="506" w:name="_Toc31549"/>
      <w:bookmarkStart w:id="507" w:name="_Toc7049"/>
      <w:bookmarkStart w:id="508" w:name="_Toc515647795"/>
      <w:bookmarkStart w:id="509" w:name="_Toc16461"/>
      <w:bookmarkStart w:id="510" w:name="_Toc28128"/>
      <w:bookmarkStart w:id="511" w:name="_Toc26134"/>
      <w:r>
        <w:rPr>
          <w:rFonts w:hint="eastAsia" w:ascii="宋体" w:hAnsi="宋体" w:eastAsia="宋体" w:cs="宋体"/>
          <w:b/>
          <w:i w:val="0"/>
          <w:caps w:val="0"/>
          <w:color w:val="auto"/>
          <w:spacing w:val="0"/>
          <w:w w:val="100"/>
          <w:sz w:val="24"/>
          <w:highlight w:val="none"/>
          <w:u w:val="single" w:color="auto"/>
        </w:rPr>
        <w:t>33.政府采购信用担保</w:t>
      </w:r>
      <w:bookmarkEnd w:id="501"/>
      <w:bookmarkEnd w:id="502"/>
      <w:bookmarkEnd w:id="503"/>
      <w:bookmarkEnd w:id="504"/>
      <w:bookmarkEnd w:id="505"/>
      <w:bookmarkEnd w:id="506"/>
      <w:bookmarkEnd w:id="507"/>
      <w:bookmarkEnd w:id="508"/>
      <w:bookmarkEnd w:id="509"/>
      <w:bookmarkEnd w:id="510"/>
      <w:bookmarkEnd w:id="511"/>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33.1   本项目是否属于信用担保试点范围见供应商须知资料表。</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33.2   如属于政府采购信用担保试点范围内，中小型企业供应商可以自由按照财政部门的规定，采用磋商担保、履约担保和融资担保。</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33.2.1 供应商递交的磋商担保函和履约担保函应符合本磋商文件的规定。</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33.2.2 成交人可以采取融资担保的形式为政府采购项目履约进行融资。</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33.2.3 合格的政府采购专业信用担保机构名单见供应商须知资料表。</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512" w:name="_Toc15842"/>
      <w:bookmarkStart w:id="513" w:name="_Toc2133"/>
      <w:bookmarkStart w:id="514" w:name="_Toc7616"/>
      <w:bookmarkStart w:id="515" w:name="_Toc26887"/>
      <w:bookmarkStart w:id="516" w:name="_Toc515647796"/>
      <w:bookmarkStart w:id="517" w:name="_Toc23999"/>
      <w:bookmarkStart w:id="518" w:name="_Toc15545"/>
      <w:bookmarkStart w:id="519" w:name="_Toc28874"/>
      <w:bookmarkStart w:id="520" w:name="_Toc7391"/>
      <w:bookmarkStart w:id="521" w:name="_Toc16394"/>
      <w:r>
        <w:rPr>
          <w:rFonts w:hint="eastAsia" w:ascii="宋体" w:hAnsi="宋体" w:eastAsia="宋体" w:cs="宋体"/>
          <w:b/>
          <w:i w:val="0"/>
          <w:caps w:val="0"/>
          <w:color w:val="auto"/>
          <w:spacing w:val="0"/>
          <w:w w:val="100"/>
          <w:sz w:val="24"/>
          <w:highlight w:val="none"/>
          <w:u w:val="single" w:color="000000"/>
        </w:rPr>
        <w:t>34.廉洁自律规定</w:t>
      </w:r>
      <w:bookmarkEnd w:id="512"/>
      <w:bookmarkEnd w:id="513"/>
      <w:bookmarkEnd w:id="514"/>
      <w:bookmarkEnd w:id="515"/>
      <w:bookmarkEnd w:id="516"/>
      <w:bookmarkEnd w:id="517"/>
      <w:bookmarkEnd w:id="518"/>
      <w:bookmarkEnd w:id="519"/>
      <w:bookmarkEnd w:id="520"/>
      <w:bookmarkEnd w:id="521"/>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34.1   采购代理机构工作人员不得以不正当手段获取政府采购代理业务，不得与采购人、供应商恶意串通操纵政府采购活动。</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34.3   为强化采购代理机构内部监督机制，供应商可按</w:t>
      </w:r>
      <w:r>
        <w:rPr>
          <w:rFonts w:hint="eastAsia" w:ascii="宋体" w:hAnsi="宋体" w:eastAsia="宋体" w:cs="宋体"/>
          <w:b w:val="0"/>
          <w:i w:val="0"/>
          <w:caps w:val="0"/>
          <w:color w:val="auto"/>
          <w:spacing w:val="0"/>
          <w:w w:val="100"/>
          <w:sz w:val="24"/>
          <w:highlight w:val="none"/>
          <w:u w:val="single" w:color="000000"/>
        </w:rPr>
        <w:t>供应商须知资料表中的</w:t>
      </w:r>
      <w:r>
        <w:rPr>
          <w:rFonts w:hint="eastAsia" w:ascii="宋体" w:hAnsi="宋体" w:eastAsia="宋体" w:cs="宋体"/>
          <w:b w:val="0"/>
          <w:i w:val="0"/>
          <w:caps w:val="0"/>
          <w:color w:val="auto"/>
          <w:spacing w:val="0"/>
          <w:w w:val="100"/>
          <w:sz w:val="24"/>
          <w:highlight w:val="none"/>
        </w:rPr>
        <w:t>监督电话和邮箱，反映采购代理机构的廉洁自律等问题。</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522" w:name="_Toc24873"/>
      <w:bookmarkStart w:id="523" w:name="_Toc17910"/>
      <w:bookmarkStart w:id="524" w:name="_Toc11586"/>
      <w:bookmarkStart w:id="525" w:name="_Toc9179"/>
      <w:bookmarkStart w:id="526" w:name="_Toc25480"/>
      <w:bookmarkStart w:id="527" w:name="_Toc25440"/>
      <w:bookmarkStart w:id="528" w:name="_Toc515647797"/>
      <w:bookmarkStart w:id="529" w:name="_Toc1011"/>
      <w:bookmarkStart w:id="530" w:name="_Toc3386"/>
      <w:bookmarkStart w:id="531" w:name="_Toc19883"/>
      <w:r>
        <w:rPr>
          <w:rFonts w:hint="eastAsia" w:ascii="宋体" w:hAnsi="宋体" w:eastAsia="宋体" w:cs="宋体"/>
          <w:b/>
          <w:i w:val="0"/>
          <w:caps w:val="0"/>
          <w:color w:val="auto"/>
          <w:spacing w:val="0"/>
          <w:w w:val="100"/>
          <w:sz w:val="24"/>
          <w:highlight w:val="none"/>
          <w:u w:val="single" w:color="000000"/>
        </w:rPr>
        <w:t>35.人员回避</w:t>
      </w:r>
      <w:bookmarkEnd w:id="522"/>
      <w:bookmarkEnd w:id="523"/>
      <w:bookmarkEnd w:id="524"/>
      <w:bookmarkEnd w:id="525"/>
      <w:bookmarkEnd w:id="526"/>
      <w:bookmarkEnd w:id="527"/>
      <w:bookmarkEnd w:id="528"/>
      <w:bookmarkEnd w:id="529"/>
      <w:bookmarkEnd w:id="530"/>
      <w:bookmarkEnd w:id="531"/>
    </w:p>
    <w:p>
      <w:pPr>
        <w:pageBreakBefore w:val="0"/>
        <w:shd w:val="clear"/>
        <w:kinsoku/>
        <w:wordWrap/>
        <w:overflowPunct/>
        <w:topLinePunct w:val="0"/>
        <w:bidi w:val="0"/>
        <w:snapToGrid w:val="0"/>
        <w:spacing w:before="0" w:beforeAutospacing="0" w:after="0" w:afterAutospacing="0" w:line="36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       供应商认为采购人员及其相关人员有法律法规所列与其他供应商有利害关系的，可以向采购人或采购代理机构书面提出回避申请，并说明理由。</w:t>
      </w:r>
    </w:p>
    <w:p>
      <w:pPr>
        <w:pStyle w:val="4"/>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1"/>
        <w:rPr>
          <w:rFonts w:hint="eastAsia" w:ascii="宋体" w:hAnsi="宋体" w:eastAsia="宋体" w:cs="宋体"/>
          <w:b/>
          <w:i w:val="0"/>
          <w:caps w:val="0"/>
          <w:color w:val="auto"/>
          <w:spacing w:val="0"/>
          <w:w w:val="100"/>
          <w:sz w:val="24"/>
          <w:highlight w:val="none"/>
          <w:u w:val="single" w:color="000000"/>
        </w:rPr>
      </w:pPr>
      <w:bookmarkStart w:id="532" w:name="_Toc25393"/>
      <w:bookmarkStart w:id="533" w:name="_Toc30280"/>
      <w:bookmarkStart w:id="534" w:name="_Toc11115"/>
      <w:bookmarkStart w:id="535" w:name="_Toc25962"/>
      <w:bookmarkStart w:id="536" w:name="_Toc23729"/>
      <w:bookmarkStart w:id="537" w:name="_Toc24801"/>
      <w:bookmarkStart w:id="538" w:name="_Toc1148"/>
      <w:bookmarkStart w:id="539" w:name="_Toc15825"/>
      <w:bookmarkStart w:id="540" w:name="_Toc515647798"/>
      <w:bookmarkStart w:id="541" w:name="_Toc24595"/>
      <w:bookmarkStart w:id="542" w:name="_Toc7453"/>
      <w:r>
        <w:rPr>
          <w:rFonts w:hint="eastAsia" w:ascii="宋体" w:hAnsi="宋体" w:eastAsia="宋体" w:cs="宋体"/>
          <w:b/>
          <w:i w:val="0"/>
          <w:caps w:val="0"/>
          <w:color w:val="auto"/>
          <w:spacing w:val="0"/>
          <w:w w:val="100"/>
          <w:sz w:val="24"/>
          <w:highlight w:val="none"/>
          <w:u w:val="single" w:color="000000"/>
        </w:rPr>
        <w:t>36.质疑与接收</w:t>
      </w:r>
      <w:bookmarkEnd w:id="532"/>
      <w:bookmarkEnd w:id="533"/>
      <w:bookmarkEnd w:id="534"/>
      <w:bookmarkEnd w:id="535"/>
      <w:bookmarkEnd w:id="536"/>
      <w:bookmarkEnd w:id="537"/>
      <w:bookmarkEnd w:id="538"/>
      <w:bookmarkEnd w:id="539"/>
      <w:bookmarkEnd w:id="540"/>
      <w:bookmarkEnd w:id="541"/>
      <w:bookmarkEnd w:id="542"/>
    </w:p>
    <w:p>
      <w:pPr>
        <w:pageBreakBefore w:val="0"/>
        <w:shd w:val="clear"/>
        <w:kinsoku/>
        <w:wordWrap/>
        <w:overflowPunct/>
        <w:topLinePunct w:val="0"/>
        <w:bidi w:val="0"/>
        <w:snapToGrid w:val="0"/>
        <w:spacing w:before="0" w:beforeAutospacing="0" w:after="0" w:afterAutospacing="0" w:line="360" w:lineRule="exact"/>
        <w:ind w:left="708" w:leftChars="0" w:hangingChars="29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shd w:val="clear"/>
        <w:kinsoku/>
        <w:wordWrap/>
        <w:overflowPunct/>
        <w:topLinePunct w:val="0"/>
        <w:bidi w:val="0"/>
        <w:snapToGrid w:val="0"/>
        <w:spacing w:before="0" w:beforeAutospacing="0" w:after="0" w:afterAutospacing="0" w:line="360" w:lineRule="exact"/>
        <w:ind w:left="708" w:leftChars="0" w:hangingChars="295"/>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shd w:val="clear"/>
        <w:kinsoku/>
        <w:wordWrap/>
        <w:overflowPunct/>
        <w:topLinePunct w:val="0"/>
        <w:bidi w:val="0"/>
        <w:snapToGrid w:val="0"/>
        <w:spacing w:before="0" w:beforeAutospacing="0" w:after="0" w:afterAutospacing="0" w:line="360" w:lineRule="exact"/>
        <w:ind w:left="0" w:leftChars="0" w:hanging="1"/>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超出法定质疑期的、重复提出的、分次提出的或内容、形式不符合《政府采购质疑和投诉办法》的，质疑供应商将依法承担不利后果。</w:t>
      </w:r>
    </w:p>
    <w:p>
      <w:pPr>
        <w:pageBreakBefore w:val="0"/>
        <w:shd w:val="clear"/>
        <w:kinsoku/>
        <w:wordWrap/>
        <w:overflowPunct/>
        <w:topLinePunct w:val="0"/>
        <w:bidi w:val="0"/>
        <w:snapToGrid w:val="0"/>
        <w:spacing w:before="0" w:beforeAutospacing="0" w:after="0" w:afterAutospacing="0" w:line="360" w:lineRule="exact"/>
        <w:ind w:left="720" w:leftChars="0" w:hanging="720" w:hangingChars="30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36.3  采购代理机构质疑函接收部门、联系电话和通讯地址, 见</w:t>
      </w:r>
      <w:r>
        <w:rPr>
          <w:rFonts w:hint="eastAsia" w:ascii="宋体" w:hAnsi="宋体" w:eastAsia="宋体" w:cs="宋体"/>
          <w:b w:val="0"/>
          <w:i w:val="0"/>
          <w:caps w:val="0"/>
          <w:color w:val="auto"/>
          <w:spacing w:val="0"/>
          <w:w w:val="100"/>
          <w:sz w:val="24"/>
          <w:highlight w:val="none"/>
          <w:u w:val="single" w:color="000000"/>
        </w:rPr>
        <w:t>供应商须知资料表。</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bookmarkStart w:id="543" w:name="_Toc18219"/>
      <w:bookmarkStart w:id="544" w:name="_Toc5941"/>
      <w:bookmarkStart w:id="545" w:name="_Toc32695"/>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.4   质疑的提出</w:t>
      </w:r>
      <w:bookmarkEnd w:id="543"/>
      <w:bookmarkEnd w:id="544"/>
      <w:bookmarkEnd w:id="545"/>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.5   本采购文件中所称质疑及答复，是指参加本次采购活动的供应商对政府采购活动中的采购文件、采购过程和成交结果向采购方提出质疑，采购方答复质疑的行为。</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.6   供应商认为采购文件、采购过程和成交结果使自己的权益受到损害的，可以在知道或者应知其权益受到损害之日起7个工作日内，以书面形式向采购方提出质疑。供应商应知其权益受到损害之日，是指：</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（一）对可以质疑的采购文件提出质疑的，为收到采购文件之日或者采购文件公告期限届满之日；</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（二）对采购过程提出质疑的，为各采购程序环节结束之日；</w:t>
      </w:r>
    </w:p>
    <w:p>
      <w:pPr>
        <w:pageBreakBefore w:val="0"/>
        <w:shd w:val="clear"/>
        <w:kinsoku/>
        <w:wordWrap/>
        <w:overflowPunct/>
        <w:topLinePunct w:val="0"/>
        <w:bidi w:val="0"/>
        <w:snapToGrid w:val="0"/>
        <w:spacing w:before="0" w:beforeAutospacing="0" w:after="0" w:afterAutospacing="0" w:line="360" w:lineRule="exact"/>
        <w:ind w:left="0" w:leftChars="0" w:firstLine="720" w:firstLineChars="30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（三）对成交结果提出质疑的，为成交结果公告期限届满之日。</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bookmarkStart w:id="546" w:name="_Toc9593"/>
      <w:bookmarkStart w:id="547" w:name="_Toc3646"/>
      <w:bookmarkStart w:id="548" w:name="_Toc30070"/>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.9   提出质疑应当符合下列条件：</w:t>
      </w:r>
      <w:bookmarkEnd w:id="546"/>
      <w:bookmarkEnd w:id="547"/>
      <w:bookmarkEnd w:id="548"/>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（一）质疑主体应当符合有关规定；</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（二）在质疑法定期限内提出；</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（三）属于可以提出质疑的政府采购事项受理范围和本项目采购人的管辖权范围；</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（四）政府采购法律、法规、规章规定的其他条件。</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.11  质疑人所提供的证明材料应当具有真实性、合法性以及与质疑事项的关联性和证明力，否则不能作为认定该质疑事项成立的依据。</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.12  质疑人提出质疑时应当提交质疑函。质疑函包括下列内容：</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（一）提出质疑的质疑人的名称、地址、邮编、联系人及联系电话等；</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（二）质疑项目的名称、编号；</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（三）质疑事项；</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（四）事实依据和证明材料；</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（五）法律依据；</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（六）提出质疑的日期。</w:t>
      </w:r>
    </w:p>
    <w:p>
      <w:pPr>
        <w:pageBreakBefore w:val="0"/>
        <w:shd w:val="clear"/>
        <w:kinsoku/>
        <w:wordWrap/>
        <w:overflowPunct/>
        <w:topLinePunct w:val="0"/>
        <w:bidi w:val="0"/>
        <w:snapToGrid w:val="0"/>
        <w:spacing w:before="0" w:beforeAutospacing="0" w:after="0" w:afterAutospacing="0" w:line="360" w:lineRule="exact"/>
        <w:ind w:left="0" w:leftChars="0" w:firstLine="60" w:firstLineChars="2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质疑函采用实名制。质疑人为自然人的应当由本人签字，并附有效身份证明文件；质疑人为</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或者非</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组织的应当由法定代表人或者负责人签字并加盖公章，并附有效身份证明文件。</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.13  质疑人可以委托代理人进行质疑。代理人应当提交授权委托书。授权委托书应当载明委托代理的具体权限、期限和相关事项。</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bookmarkStart w:id="549" w:name="_Toc31153"/>
      <w:bookmarkStart w:id="550" w:name="_Toc6560"/>
      <w:bookmarkStart w:id="551" w:name="_Toc1068"/>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.14  质疑的审查和受理</w:t>
      </w:r>
      <w:bookmarkEnd w:id="549"/>
      <w:bookmarkEnd w:id="550"/>
      <w:bookmarkEnd w:id="551"/>
    </w:p>
    <w:p>
      <w:pPr>
        <w:pageBreakBefore w:val="0"/>
        <w:shd w:val="clear"/>
        <w:kinsoku/>
        <w:wordWrap/>
        <w:overflowPunct/>
        <w:topLinePunct w:val="0"/>
        <w:bidi w:val="0"/>
        <w:snapToGrid w:val="0"/>
        <w:spacing w:before="0" w:beforeAutospacing="0" w:after="0" w:afterAutospacing="0" w:line="360" w:lineRule="exact"/>
        <w:ind w:left="0" w:leftChars="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采购方在收到质疑函后应当及时审查是否符合质疑受理条件，对符合质疑受理条件的，及时予以受理。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.15  对不符合质疑受理条件的，分别按照下列不同情形予以处理：</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（一）质疑函内容不符合规定的，告知质疑人进行修改并重新提出质疑。修改后质疑事项仍不具体、不明确或者最终递交质疑函的时间超过质疑法定期限的，不予受理；</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（二）质疑主体不符合有关规定的，告知质疑人不予受理；</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（三）超过质疑法定期限提出质疑的，告知质疑人不予受理；</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（四）对不属于可以提出质疑的政府采购事项提出质疑的，告知质疑人不予受理；</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（五）质疑不属于本项目采购方管辖的，告知质疑人向有管辖权的采购人提出质疑；</w:t>
      </w:r>
    </w:p>
    <w:p>
      <w:pPr>
        <w:pageBreakBefore w:val="0"/>
        <w:shd w:val="clear"/>
        <w:kinsoku/>
        <w:wordWrap/>
        <w:overflowPunct/>
        <w:topLinePunct w:val="0"/>
        <w:bidi w:val="0"/>
        <w:snapToGrid w:val="0"/>
        <w:spacing w:before="0" w:beforeAutospacing="0" w:after="0" w:afterAutospacing="0" w:line="360" w:lineRule="exact"/>
        <w:ind w:left="180" w:leftChars="0" w:hangingChars="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（六）质疑不符合其他条件的，告知质疑人不予受理。</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bookmarkStart w:id="552" w:name="_Toc29436"/>
      <w:bookmarkStart w:id="553" w:name="_Toc15775"/>
      <w:bookmarkStart w:id="554" w:name="_Toc27338"/>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.16  质疑的处理和答复</w:t>
      </w:r>
      <w:bookmarkEnd w:id="552"/>
      <w:bookmarkEnd w:id="553"/>
      <w:bookmarkEnd w:id="554"/>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.17  采购方受理质疑后，将及时把质疑函发送给被质疑人，并要求其在一定限期内提交书面答复，同时提供有关证据、依据和相关材料。</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.18  对于质疑事项中涉及的问题较多、情况比较复杂的，为了全面查清事实、取得充分的证据，采购方认为有必要时，可以进行调查取证或者组织质证。</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.19  对评审过程、成交结果提出质疑的，采购方可以组织原</w:t>
      </w:r>
      <w:r>
        <w:rPr>
          <w:rFonts w:hint="eastAsia" w:ascii="宋体" w:hAnsi="宋体" w:eastAsia="宋体" w:cs="宋体"/>
          <w:b w:val="0"/>
          <w:i w:val="0"/>
          <w:caps w:val="0"/>
          <w:color w:val="auto"/>
          <w:spacing w:val="0"/>
          <w:w w:val="100"/>
          <w:sz w:val="24"/>
          <w:highlight w:val="none"/>
          <w:lang w:eastAsia="zh-CN"/>
        </w:rPr>
        <w:t>磋商小组</w:t>
      </w:r>
      <w:r>
        <w:rPr>
          <w:rFonts w:hint="eastAsia" w:ascii="宋体" w:hAnsi="宋体" w:eastAsia="宋体" w:cs="宋体"/>
          <w:b w:val="0"/>
          <w:i w:val="0"/>
          <w:caps w:val="0"/>
          <w:color w:val="auto"/>
          <w:spacing w:val="0"/>
          <w:w w:val="100"/>
          <w:sz w:val="24"/>
          <w:highlight w:val="none"/>
        </w:rPr>
        <w:t>协助答复质疑。</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.20  质疑处理过程中，质疑人书面申请撤回质疑的，将终止质疑处理程序。</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.21  质疑人拒绝配合采购方依法对质疑进行调查处理的，采购方将按质疑人自动撤回质疑处理；被质疑人拒绝配合采购方依法对质疑进行调查处理的，采购方将视同其认可质疑事项。</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.22  质疑人拒绝配合采购方依法对质疑进行调查处理的，采购方将按质疑人自动撤回质疑处理；被质疑人拒绝配合采购方依法对质疑进行调查处理的，采购方将视同其认可质疑事项。</w:t>
      </w:r>
    </w:p>
    <w:p>
      <w:pPr>
        <w:pageBreakBefore w:val="0"/>
        <w:shd w:val="clear"/>
        <w:kinsoku/>
        <w:wordWrap/>
        <w:overflowPunct/>
        <w:topLinePunct w:val="0"/>
        <w:bidi w:val="0"/>
        <w:snapToGrid w:val="0"/>
        <w:spacing w:before="0" w:beforeAutospacing="0" w:after="0" w:afterAutospacing="0" w:line="360" w:lineRule="exact"/>
        <w:ind w:left="900" w:leftChars="0" w:hangingChars="375"/>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.23  采购方将在正式受理质疑后7个工作日内作出答复。</w:t>
      </w:r>
    </w:p>
    <w:p>
      <w:pPr>
        <w:pStyle w:val="32"/>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w:t>
      </w:r>
      <w:r>
        <w:rPr>
          <w:rFonts w:hint="eastAsia"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.24  质疑答复应当包括下列内容：</w:t>
      </w:r>
    </w:p>
    <w:p>
      <w:pPr>
        <w:pStyle w:val="32"/>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（一）质疑人的姓名或者名称；</w:t>
      </w:r>
    </w:p>
    <w:p>
      <w:pPr>
        <w:pStyle w:val="32"/>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（二）收到质疑函的日期、质疑项目名称及编号；</w:t>
      </w:r>
    </w:p>
    <w:p>
      <w:pPr>
        <w:pStyle w:val="32"/>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（三）质疑事项、质疑答复的具体内容、事实依据和法律依据；</w:t>
      </w:r>
    </w:p>
    <w:p>
      <w:pPr>
        <w:pStyle w:val="32"/>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（四）告知质疑供应商依法投诉的权利；</w:t>
      </w:r>
    </w:p>
    <w:p>
      <w:pPr>
        <w:pStyle w:val="32"/>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（五）质疑答复人名称；</w:t>
      </w:r>
    </w:p>
    <w:p>
      <w:pPr>
        <w:pStyle w:val="32"/>
        <w:pageBreakBefore w:val="0"/>
        <w:shd w:val="clear"/>
        <w:kinsoku/>
        <w:wordWrap/>
        <w:overflowPunct/>
        <w:topLinePunct w:val="0"/>
        <w:bidi w:val="0"/>
        <w:snapToGrid w:val="0"/>
        <w:spacing w:before="0" w:beforeAutospacing="0" w:after="0" w:afterAutospacing="0" w:line="360" w:lineRule="exact"/>
        <w:ind w:left="0" w:leftChars="0"/>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（六）答复质疑的日期。</w:t>
      </w: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bookmarkStart w:id="555" w:name="_Toc24577"/>
      <w:bookmarkStart w:id="556" w:name="_Toc14949"/>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p>
    <w:p>
      <w:pPr>
        <w:shd w:val="clear"/>
        <w:snapToGrid w:val="0"/>
        <w:spacing w:before="0" w:beforeAutospacing="0" w:after="0" w:afterAutospacing="0" w:line="400" w:lineRule="exact"/>
        <w:jc w:val="center"/>
        <w:textAlignment w:val="baseline"/>
        <w:outlineLvl w:val="9"/>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质疑函范本</w:t>
      </w:r>
      <w:bookmarkEnd w:id="555"/>
      <w:bookmarkEnd w:id="556"/>
    </w:p>
    <w:p>
      <w:pPr>
        <w:shd w:val="clear"/>
        <w:snapToGrid w:val="0"/>
        <w:spacing w:before="312" w:beforeAutospacing="0" w:after="0" w:afterAutospacing="0" w:line="400" w:lineRule="exact"/>
        <w:jc w:val="both"/>
        <w:textAlignment w:val="baseline"/>
        <w:outlineLvl w:val="9"/>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一、质疑供应商基本信息</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质疑供应商：</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地址：</w:t>
      </w:r>
      <w:r>
        <w:rPr>
          <w:rFonts w:hint="eastAsia" w:ascii="宋体" w:hAnsi="宋体" w:eastAsia="宋体" w:cs="宋体"/>
          <w:b w:val="0"/>
          <w:i w:val="0"/>
          <w:caps w:val="0"/>
          <w:color w:val="auto"/>
          <w:spacing w:val="0"/>
          <w:w w:val="100"/>
          <w:sz w:val="24"/>
          <w:highlight w:val="none"/>
          <w:u w:val="dotted" w:color="000000"/>
        </w:rPr>
        <w:t xml:space="preserve">                          </w:t>
      </w:r>
      <w:r>
        <w:rPr>
          <w:rFonts w:hint="eastAsia" w:ascii="宋体" w:hAnsi="宋体" w:eastAsia="宋体" w:cs="宋体"/>
          <w:b w:val="0"/>
          <w:i w:val="0"/>
          <w:caps w:val="0"/>
          <w:color w:val="auto"/>
          <w:spacing w:val="0"/>
          <w:w w:val="100"/>
          <w:sz w:val="24"/>
          <w:highlight w:val="none"/>
        </w:rPr>
        <w:t>邮编：</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联系人：</w:t>
      </w:r>
      <w:r>
        <w:rPr>
          <w:rFonts w:hint="eastAsia" w:ascii="宋体" w:hAnsi="宋体" w:eastAsia="宋体" w:cs="宋体"/>
          <w:b w:val="0"/>
          <w:i w:val="0"/>
          <w:caps w:val="0"/>
          <w:color w:val="auto"/>
          <w:spacing w:val="0"/>
          <w:w w:val="100"/>
          <w:sz w:val="24"/>
          <w:highlight w:val="none"/>
          <w:u w:val="dotted" w:color="000000"/>
        </w:rPr>
        <w:t xml:space="preserve">                      </w:t>
      </w:r>
      <w:r>
        <w:rPr>
          <w:rFonts w:hint="eastAsia" w:ascii="宋体" w:hAnsi="宋体" w:eastAsia="宋体" w:cs="宋体"/>
          <w:b w:val="0"/>
          <w:i w:val="0"/>
          <w:caps w:val="0"/>
          <w:color w:val="auto"/>
          <w:spacing w:val="0"/>
          <w:w w:val="100"/>
          <w:sz w:val="24"/>
          <w:highlight w:val="none"/>
        </w:rPr>
        <w:t>联系电话：</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授权代表：</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联系电话：</w:t>
      </w:r>
      <w:r>
        <w:rPr>
          <w:rFonts w:hint="eastAsia" w:ascii="宋体" w:hAnsi="宋体" w:eastAsia="宋体" w:cs="宋体"/>
          <w:b w:val="0"/>
          <w:i w:val="0"/>
          <w:caps w:val="0"/>
          <w:color w:val="auto"/>
          <w:spacing w:val="0"/>
          <w:w w:val="100"/>
          <w:sz w:val="24"/>
          <w:highlight w:val="none"/>
          <w:u w:val="dotted" w:color="000000"/>
        </w:rPr>
        <w:t xml:space="preserve">                                           </w:t>
      </w:r>
      <w:r>
        <w:rPr>
          <w:rFonts w:hint="eastAsia" w:ascii="宋体" w:hAnsi="宋体" w:eastAsia="宋体" w:cs="宋体"/>
          <w:b w:val="0"/>
          <w:i w:val="0"/>
          <w:caps w:val="0"/>
          <w:color w:val="auto"/>
          <w:spacing w:val="0"/>
          <w:w w:val="100"/>
          <w:sz w:val="24"/>
          <w:highlight w:val="none"/>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地址： </w:t>
      </w:r>
      <w:r>
        <w:rPr>
          <w:rFonts w:hint="eastAsia" w:ascii="宋体" w:hAnsi="宋体" w:eastAsia="宋体" w:cs="宋体"/>
          <w:b w:val="0"/>
          <w:i w:val="0"/>
          <w:caps w:val="0"/>
          <w:color w:val="auto"/>
          <w:spacing w:val="0"/>
          <w:w w:val="100"/>
          <w:sz w:val="24"/>
          <w:highlight w:val="none"/>
          <w:u w:val="dotted" w:color="000000"/>
        </w:rPr>
        <w:t xml:space="preserve">                        </w:t>
      </w:r>
      <w:r>
        <w:rPr>
          <w:rFonts w:hint="eastAsia" w:ascii="宋体" w:hAnsi="宋体" w:eastAsia="宋体" w:cs="宋体"/>
          <w:b w:val="0"/>
          <w:i w:val="0"/>
          <w:caps w:val="0"/>
          <w:color w:val="auto"/>
          <w:spacing w:val="0"/>
          <w:w w:val="100"/>
          <w:sz w:val="24"/>
          <w:highlight w:val="none"/>
        </w:rPr>
        <w:t>邮编：</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312" w:beforeAutospacing="0" w:after="0" w:afterAutospacing="0" w:line="400" w:lineRule="exact"/>
        <w:jc w:val="both"/>
        <w:textAlignment w:val="baseline"/>
        <w:outlineLvl w:val="9"/>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二、质疑项目基本情况</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质疑项目的名称：</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质疑项目的编号：</w:t>
      </w:r>
      <w:r>
        <w:rPr>
          <w:rFonts w:hint="eastAsia" w:ascii="宋体" w:hAnsi="宋体" w:eastAsia="宋体" w:cs="宋体"/>
          <w:b w:val="0"/>
          <w:i w:val="0"/>
          <w:caps w:val="0"/>
          <w:color w:val="auto"/>
          <w:spacing w:val="0"/>
          <w:w w:val="100"/>
          <w:sz w:val="24"/>
          <w:highlight w:val="none"/>
          <w:u w:val="dotted" w:color="000000"/>
        </w:rPr>
        <w:t xml:space="preserve">               </w:t>
      </w:r>
      <w:r>
        <w:rPr>
          <w:rFonts w:hint="eastAsia" w:ascii="宋体" w:hAnsi="宋体" w:eastAsia="宋体" w:cs="宋体"/>
          <w:b w:val="0"/>
          <w:i w:val="0"/>
          <w:caps w:val="0"/>
          <w:color w:val="auto"/>
          <w:spacing w:val="0"/>
          <w:w w:val="100"/>
          <w:sz w:val="24"/>
          <w:highlight w:val="none"/>
        </w:rPr>
        <w:t>包号：</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采购人名称：</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采购文件获取日期：</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312" w:beforeAutospacing="0" w:after="0" w:afterAutospacing="0" w:line="400" w:lineRule="exact"/>
        <w:jc w:val="both"/>
        <w:textAlignment w:val="baseline"/>
        <w:outlineLvl w:val="9"/>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三、质疑事项具体内容</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质疑事项1：</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事实依据：</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法律依据：</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质疑事项2</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p>
    <w:p>
      <w:pPr>
        <w:shd w:val="clear"/>
        <w:snapToGrid w:val="0"/>
        <w:spacing w:before="312" w:beforeAutospacing="0" w:after="0" w:afterAutospacing="0" w:line="400" w:lineRule="exact"/>
        <w:jc w:val="both"/>
        <w:textAlignment w:val="baseline"/>
        <w:outlineLvl w:val="9"/>
        <w:rPr>
          <w:rFonts w:hint="eastAsia" w:ascii="宋体" w:hAnsi="宋体" w:eastAsia="宋体" w:cs="宋体"/>
          <w:b w:val="0"/>
          <w:bCs/>
          <w:i w:val="0"/>
          <w:caps w:val="0"/>
          <w:color w:val="auto"/>
          <w:spacing w:val="0"/>
          <w:w w:val="100"/>
          <w:sz w:val="24"/>
          <w:highlight w:val="none"/>
        </w:rPr>
      </w:pPr>
      <w:r>
        <w:rPr>
          <w:rFonts w:hint="eastAsia" w:ascii="宋体" w:hAnsi="宋体" w:eastAsia="宋体" w:cs="宋体"/>
          <w:b w:val="0"/>
          <w:bCs/>
          <w:i w:val="0"/>
          <w:caps w:val="0"/>
          <w:color w:val="auto"/>
          <w:spacing w:val="0"/>
          <w:w w:val="100"/>
          <w:sz w:val="24"/>
          <w:highlight w:val="none"/>
        </w:rPr>
        <w:t>四、与质疑事项相关的质疑请求</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u w:val="dotted" w:color="000000"/>
        </w:rPr>
      </w:pPr>
      <w:r>
        <w:rPr>
          <w:rFonts w:hint="eastAsia" w:ascii="宋体" w:hAnsi="宋体" w:eastAsia="宋体" w:cs="宋体"/>
          <w:b w:val="0"/>
          <w:i w:val="0"/>
          <w:caps w:val="0"/>
          <w:color w:val="auto"/>
          <w:spacing w:val="0"/>
          <w:w w:val="100"/>
          <w:sz w:val="24"/>
          <w:highlight w:val="none"/>
        </w:rPr>
        <w:t>请求：</w:t>
      </w:r>
      <w:r>
        <w:rPr>
          <w:rFonts w:hint="eastAsia" w:ascii="宋体" w:hAnsi="宋体" w:eastAsia="宋体" w:cs="宋体"/>
          <w:b w:val="0"/>
          <w:i w:val="0"/>
          <w:caps w:val="0"/>
          <w:color w:val="auto"/>
          <w:spacing w:val="0"/>
          <w:w w:val="100"/>
          <w:sz w:val="24"/>
          <w:highlight w:val="none"/>
          <w:u w:val="dotted" w:color="000000"/>
        </w:rPr>
        <w:t xml:space="preserve">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签字(签章)：                   公章：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 xml:space="preserve">日期：    </w:t>
      </w:r>
    </w:p>
    <w:p>
      <w:pPr>
        <w:shd w:val="clear"/>
        <w:snapToGrid w:val="0"/>
        <w:spacing w:before="0" w:beforeAutospacing="0" w:after="0" w:afterAutospacing="0" w:line="400" w:lineRule="exact"/>
        <w:jc w:val="both"/>
        <w:textAlignment w:val="baseline"/>
        <w:outlineLvl w:val="9"/>
        <w:rPr>
          <w:rFonts w:hint="eastAsia" w:ascii="宋体" w:hAnsi="宋体" w:eastAsia="宋体" w:cs="宋体"/>
          <w:b/>
          <w:i w:val="0"/>
          <w:caps w:val="0"/>
          <w:color w:val="auto"/>
          <w:spacing w:val="0"/>
          <w:w w:val="100"/>
          <w:sz w:val="24"/>
          <w:highlight w:val="none"/>
        </w:rPr>
      </w:pPr>
    </w:p>
    <w:p>
      <w:pPr>
        <w:shd w:val="clear"/>
        <w:snapToGrid w:val="0"/>
        <w:spacing w:before="0" w:beforeAutospacing="0" w:after="0" w:afterAutospacing="0" w:line="400" w:lineRule="exact"/>
        <w:jc w:val="both"/>
        <w:textAlignment w:val="baseline"/>
        <w:outlineLvl w:val="9"/>
        <w:rPr>
          <w:rFonts w:hint="eastAsia" w:ascii="宋体" w:hAnsi="宋体" w:eastAsia="宋体" w:cs="宋体"/>
          <w:b/>
          <w:i w:val="0"/>
          <w:caps w:val="0"/>
          <w:color w:val="auto"/>
          <w:spacing w:val="0"/>
          <w:w w:val="100"/>
          <w:sz w:val="24"/>
          <w:highlight w:val="none"/>
        </w:rPr>
      </w:pPr>
      <w:r>
        <w:rPr>
          <w:rFonts w:hint="eastAsia" w:ascii="宋体" w:hAnsi="宋体" w:eastAsia="宋体" w:cs="宋体"/>
          <w:b/>
          <w:i w:val="0"/>
          <w:caps w:val="0"/>
          <w:color w:val="auto"/>
          <w:spacing w:val="0"/>
          <w:w w:val="100"/>
          <w:sz w:val="24"/>
          <w:highlight w:val="none"/>
        </w:rPr>
        <w:t>质疑函制作说明：</w:t>
      </w:r>
    </w:p>
    <w:p>
      <w:pPr>
        <w:widowControl/>
        <w:shd w:val="clear"/>
        <w:snapToGrid w:val="0"/>
        <w:spacing w:before="0" w:beforeAutospacing="0" w:after="0" w:afterAutospacing="0" w:line="400" w:lineRule="exact"/>
        <w:ind w:firstLine="480" w:firstLineChars="20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1.供应商提出质疑时，应提交质疑函和必要的证明材料。</w:t>
      </w:r>
    </w:p>
    <w:p>
      <w:pPr>
        <w:widowControl/>
        <w:shd w:val="clear"/>
        <w:snapToGrid w:val="0"/>
        <w:spacing w:before="0" w:beforeAutospacing="0" w:after="0" w:afterAutospacing="0" w:line="400" w:lineRule="exact"/>
        <w:ind w:firstLine="480" w:firstLineChars="20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2.质疑供应商若委托代理人进行质疑的，质疑函应按要求列明“授权代表”的有关内容，并在附件中提交由质疑</w:t>
      </w:r>
      <w:r>
        <w:rPr>
          <w:rFonts w:hint="eastAsia" w:ascii="宋体" w:hAnsi="宋体" w:eastAsia="宋体" w:cs="宋体"/>
          <w:b w:val="0"/>
          <w:i w:val="0"/>
          <w:caps w:val="0"/>
          <w:color w:val="auto"/>
          <w:spacing w:val="0"/>
          <w:w w:val="100"/>
          <w:kern w:val="0"/>
          <w:sz w:val="24"/>
          <w:highlight w:val="none"/>
        </w:rPr>
        <w:t>供应商签署的授权委托书。授权委托书应载明代理人的姓名或者名称、代理事项、具体权限、期限和相关事项。</w:t>
      </w:r>
    </w:p>
    <w:p>
      <w:pPr>
        <w:widowControl/>
        <w:shd w:val="clear"/>
        <w:snapToGrid w:val="0"/>
        <w:spacing w:before="0" w:beforeAutospacing="0" w:after="0" w:afterAutospacing="0" w:line="400" w:lineRule="exact"/>
        <w:ind w:firstLine="480" w:firstLineChars="20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3.质疑供应商若对项目的某一分包进行质疑，质疑函中应列明具体分包号。</w:t>
      </w:r>
    </w:p>
    <w:p>
      <w:pPr>
        <w:widowControl/>
        <w:shd w:val="clear"/>
        <w:snapToGrid w:val="0"/>
        <w:spacing w:before="0" w:beforeAutospacing="0" w:after="0" w:afterAutospacing="0" w:line="400" w:lineRule="exact"/>
        <w:ind w:firstLine="480" w:firstLineChars="20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4.质疑函的质疑事项应具体、明确，并有必要的事实依据和法律依据。</w:t>
      </w:r>
    </w:p>
    <w:p>
      <w:pPr>
        <w:widowControl/>
        <w:shd w:val="clear"/>
        <w:snapToGrid w:val="0"/>
        <w:spacing w:before="0" w:beforeAutospacing="0" w:after="0" w:afterAutospacing="0" w:line="400" w:lineRule="exact"/>
        <w:ind w:firstLine="480" w:firstLineChars="200"/>
        <w:jc w:val="left"/>
        <w:textAlignment w:val="baseline"/>
        <w:outlineLvl w:val="9"/>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5.质疑函的质疑请求应与质疑事项相关。</w:t>
      </w:r>
    </w:p>
    <w:p>
      <w:pPr>
        <w:widowControl/>
        <w:shd w:val="clear"/>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6.质疑供应商为自然人的，质疑函应由本人签字；质疑供应商为</w:t>
      </w:r>
      <w:r>
        <w:rPr>
          <w:rFonts w:hint="eastAsia" w:ascii="宋体" w:hAnsi="宋体" w:eastAsia="宋体" w:cs="宋体"/>
          <w:b w:val="0"/>
          <w:i w:val="0"/>
          <w:caps w:val="0"/>
          <w:color w:val="auto"/>
          <w:spacing w:val="0"/>
          <w:w w:val="100"/>
          <w:sz w:val="24"/>
          <w:highlight w:val="none"/>
          <w:lang w:eastAsia="zh-CN"/>
        </w:rPr>
        <w:t>法定代表人</w:t>
      </w:r>
      <w:r>
        <w:rPr>
          <w:rFonts w:hint="eastAsia" w:ascii="宋体" w:hAnsi="宋体" w:eastAsia="宋体" w:cs="宋体"/>
          <w:b w:val="0"/>
          <w:i w:val="0"/>
          <w:caps w:val="0"/>
          <w:color w:val="auto"/>
          <w:spacing w:val="0"/>
          <w:w w:val="100"/>
          <w:sz w:val="24"/>
          <w:highlight w:val="none"/>
        </w:rPr>
        <w:t>或者其他组织的，质疑函应由法定代表人、主要负责人，或者其授权代表签字或者盖章，并加盖公章。</w:t>
      </w:r>
    </w:p>
    <w:p>
      <w:pPr>
        <w:spacing w:before="0" w:line="240" w:lineRule="atLeast"/>
        <w:jc w:val="both"/>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bookmarkEnd w:id="413"/>
    <w:bookmarkEnd w:id="414"/>
    <w:bookmarkEnd w:id="415"/>
    <w:bookmarkEnd w:id="416"/>
    <w:bookmarkEnd w:id="417"/>
    <w:bookmarkEnd w:id="418"/>
    <w:bookmarkEnd w:id="419"/>
    <w:bookmarkEnd w:id="420"/>
    <w:p>
      <w:pPr>
        <w:tabs>
          <w:tab w:val="left" w:pos="0"/>
        </w:tabs>
        <w:spacing w:before="0" w:after="0" w:line="240" w:lineRule="atLeast"/>
        <w:jc w:val="center"/>
        <w:outlineLvl w:val="9"/>
        <w:rPr>
          <w:rFonts w:hint="eastAsia" w:ascii="宋体" w:hAnsi="宋体" w:eastAsia="宋体" w:cs="宋体"/>
          <w:color w:val="auto"/>
          <w:highlight w:val="none"/>
        </w:rPr>
      </w:pPr>
      <w:bookmarkStart w:id="557" w:name="_Toc515647802"/>
      <w:bookmarkStart w:id="558" w:name="_Toc728"/>
      <w:bookmarkStart w:id="559" w:name="_Toc29770"/>
      <w:bookmarkStart w:id="560" w:name="_Toc216582812"/>
      <w:bookmarkStart w:id="561" w:name="_Toc702"/>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57"/>
    <w:bookmarkEnd w:id="558"/>
    <w:bookmarkEnd w:id="559"/>
    <w:bookmarkEnd w:id="560"/>
    <w:bookmarkEnd w:id="561"/>
    <w:p>
      <w:pPr>
        <w:pStyle w:val="3"/>
        <w:tabs>
          <w:tab w:val="left" w:pos="0"/>
        </w:tabs>
        <w:spacing w:before="0" w:after="0" w:line="240" w:lineRule="atLeast"/>
        <w:jc w:val="center"/>
        <w:rPr>
          <w:rFonts w:hint="eastAsia" w:ascii="宋体" w:hAnsi="宋体" w:eastAsia="宋体" w:cs="宋体"/>
          <w:color w:val="auto"/>
          <w:sz w:val="36"/>
          <w:szCs w:val="21"/>
          <w:highlight w:val="none"/>
        </w:rPr>
      </w:pPr>
      <w:bookmarkStart w:id="562" w:name="_Toc4379"/>
      <w:r>
        <w:rPr>
          <w:rFonts w:hint="eastAsia" w:ascii="宋体" w:hAnsi="宋体" w:eastAsia="宋体" w:cs="宋体"/>
          <w:color w:val="auto"/>
          <w:sz w:val="36"/>
          <w:szCs w:val="21"/>
          <w:highlight w:val="none"/>
        </w:rPr>
        <w:t>第2章 响应文件格式</w:t>
      </w:r>
      <w:bookmarkEnd w:id="562"/>
    </w:p>
    <w:p>
      <w:pPr>
        <w:pStyle w:val="4"/>
        <w:shd w:val="clear"/>
        <w:snapToGrid w:val="0"/>
        <w:spacing w:before="0" w:beforeAutospacing="0" w:after="0" w:afterAutospacing="0" w:line="240" w:lineRule="atLeast"/>
        <w:ind w:left="1080" w:leftChars="257" w:hanging="540"/>
        <w:jc w:val="center"/>
        <w:textAlignment w:val="baseline"/>
        <w:rPr>
          <w:rFonts w:hint="eastAsia" w:ascii="宋体" w:hAnsi="宋体" w:eastAsia="宋体" w:cs="宋体"/>
          <w:b/>
          <w:i w:val="0"/>
          <w:caps w:val="0"/>
          <w:color w:val="auto"/>
          <w:spacing w:val="0"/>
          <w:w w:val="100"/>
          <w:sz w:val="28"/>
          <w:szCs w:val="28"/>
          <w:highlight w:val="none"/>
        </w:rPr>
      </w:pPr>
      <w:bookmarkStart w:id="563" w:name="_Toc6233"/>
      <w:bookmarkStart w:id="564" w:name="_Toc3315"/>
      <w:bookmarkStart w:id="565" w:name="_Toc18974"/>
      <w:bookmarkStart w:id="566" w:name="_Toc515647803"/>
      <w:bookmarkStart w:id="567" w:name="_Toc19961"/>
      <w:bookmarkStart w:id="568" w:name="_Toc21920"/>
      <w:bookmarkStart w:id="569" w:name="_Toc26489"/>
      <w:bookmarkStart w:id="570" w:name="_Toc18694"/>
      <w:r>
        <w:rPr>
          <w:rFonts w:hint="eastAsia" w:ascii="宋体" w:hAnsi="宋体" w:eastAsia="宋体" w:cs="宋体"/>
          <w:b/>
          <w:i w:val="0"/>
          <w:caps w:val="0"/>
          <w:color w:val="auto"/>
          <w:spacing w:val="0"/>
          <w:w w:val="100"/>
          <w:sz w:val="28"/>
          <w:szCs w:val="28"/>
          <w:highlight w:val="none"/>
        </w:rPr>
        <w:t>第一部分 磋商开启一览表及资格证明文件</w:t>
      </w:r>
      <w:bookmarkEnd w:id="563"/>
      <w:bookmarkEnd w:id="564"/>
      <w:bookmarkEnd w:id="565"/>
      <w:bookmarkEnd w:id="566"/>
      <w:bookmarkEnd w:id="567"/>
      <w:bookmarkEnd w:id="568"/>
      <w:bookmarkEnd w:id="569"/>
      <w:bookmarkEnd w:id="570"/>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一览表；</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2.具有有效的营业执照；</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提供法定代表人身份证明及身份证或法定代表人授权委托书和委托代理人身份证；</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提供近两年内任意一年的财务审计报告或健全的财务会计制度；</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FF0000"/>
          <w:sz w:val="24"/>
          <w:szCs w:val="24"/>
          <w:highlight w:val="none"/>
          <w:lang w:val="en-US" w:eastAsia="zh-CN"/>
        </w:rPr>
      </w:pPr>
      <w:r>
        <w:rPr>
          <w:rFonts w:hint="eastAsia" w:hAnsi="宋体" w:cs="宋体"/>
          <w:color w:val="FF0000"/>
          <w:sz w:val="24"/>
          <w:szCs w:val="24"/>
          <w:highlight w:val="none"/>
          <w:lang w:val="en-US" w:eastAsia="zh-CN"/>
        </w:rPr>
        <w:t>5.提供依法缴纳近六个月任意一个月的社会保险证明（新成立公司未满六个月，无须提供社会保险证明）</w:t>
      </w:r>
      <w:r>
        <w:rPr>
          <w:rFonts w:hint="eastAsia" w:ascii="宋体" w:hAnsi="宋体" w:eastAsia="宋体" w:cs="宋体"/>
          <w:color w:val="FF0000"/>
          <w:sz w:val="24"/>
          <w:szCs w:val="24"/>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6.提供依法缴纳近六个月任意一个月的税收证明（新成立公司未满六个月，无须提供税收证明）</w:t>
      </w:r>
      <w:r>
        <w:rPr>
          <w:rFonts w:hint="eastAsia" w:ascii="宋体" w:hAnsi="宋体" w:eastAsia="宋体" w:cs="宋体"/>
          <w:color w:val="auto"/>
          <w:sz w:val="24"/>
          <w:szCs w:val="24"/>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提供参加政府采购活动前3年内在经营活动中没有重大违法违规记录的书面声明；</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提供针对本次项目《反商业贿赂承诺书》。</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缴纳磋商保证金有效凭证。</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.缴纳磋商保证金有效凭证；</w:t>
      </w:r>
    </w:p>
    <w:p>
      <w:pPr>
        <w:pStyle w:val="13"/>
        <w:keepNext w:val="0"/>
        <w:keepLines w:val="0"/>
        <w:pageBreakBefore w:val="0"/>
        <w:widowControl w:val="0"/>
        <w:kinsoku/>
        <w:wordWrap/>
        <w:overflowPunct/>
        <w:topLinePunct w:val="0"/>
        <w:autoSpaceDE/>
        <w:autoSpaceDN/>
        <w:bidi w:val="0"/>
        <w:adjustRightInd/>
        <w:snapToGrid/>
        <w:spacing w:line="360" w:lineRule="exact"/>
        <w:ind w:left="374" w:leftChars="0" w:hanging="374" w:hangingChars="156"/>
        <w:jc w:val="left"/>
        <w:textAlignment w:val="auto"/>
        <w:rPr>
          <w:rFonts w:hint="eastAsia" w:ascii="宋体" w:hAnsi="宋体" w:eastAsia="宋体" w:cs="宋体"/>
          <w:b/>
          <w:bCs/>
          <w:color w:val="auto"/>
          <w:sz w:val="24"/>
          <w:szCs w:val="24"/>
          <w:highlight w:val="none"/>
        </w:rPr>
      </w:pP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可提供有利于</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的其他资格证明材料。</w:t>
      </w:r>
      <w:bookmarkStart w:id="571" w:name="_Toc15286"/>
      <w:bookmarkStart w:id="572" w:name="_Toc515647804"/>
      <w:bookmarkStart w:id="573" w:name="_Toc9285"/>
      <w:bookmarkStart w:id="574" w:name="_Toc2679"/>
      <w:bookmarkStart w:id="575" w:name="_Toc30524"/>
      <w:bookmarkStart w:id="576" w:name="_Toc17125"/>
      <w:bookmarkStart w:id="577" w:name="_Toc8165"/>
      <w:bookmarkStart w:id="578" w:name="_Toc10957"/>
      <w:bookmarkStart w:id="579" w:name="_Toc5230"/>
      <w:bookmarkStart w:id="580" w:name="_Toc16568"/>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提供依法缴纳近</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eastAsia="zh-CN"/>
        </w:rPr>
        <w:t>个月任意一个月的税收证明</w:t>
      </w:r>
      <w:r>
        <w:rPr>
          <w:rFonts w:hint="eastAsia" w:ascii="宋体" w:hAnsi="宋体" w:eastAsia="宋体" w:cs="宋体"/>
          <w:b/>
          <w:bCs/>
          <w:color w:val="auto"/>
          <w:sz w:val="24"/>
          <w:szCs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bookmarkEnd w:id="571"/>
    <w:bookmarkEnd w:id="572"/>
    <w:bookmarkEnd w:id="573"/>
    <w:bookmarkEnd w:id="574"/>
    <w:bookmarkEnd w:id="575"/>
    <w:bookmarkEnd w:id="576"/>
    <w:bookmarkEnd w:id="577"/>
    <w:bookmarkEnd w:id="578"/>
    <w:bookmarkEnd w:id="579"/>
    <w:bookmarkEnd w:id="580"/>
    <w:p>
      <w:pPr>
        <w:numPr>
          <w:ilvl w:val="0"/>
          <w:numId w:val="3"/>
        </w:numPr>
        <w:spacing w:before="0" w:line="240" w:lineRule="atLeast"/>
        <w:jc w:val="left"/>
        <w:outlineLvl w:val="1"/>
        <w:rPr>
          <w:rFonts w:hint="eastAsia" w:ascii="宋体" w:hAnsi="宋体" w:eastAsia="宋体" w:cs="宋体"/>
          <w:b/>
          <w:color w:val="auto"/>
          <w:sz w:val="28"/>
          <w:szCs w:val="28"/>
          <w:highlight w:val="none"/>
        </w:rPr>
      </w:pPr>
      <w:bookmarkStart w:id="581" w:name="_Hlt520356241"/>
      <w:bookmarkEnd w:id="581"/>
      <w:bookmarkStart w:id="582" w:name="_Toc14845"/>
      <w:bookmarkStart w:id="583" w:name="_Toc494296984"/>
      <w:bookmarkStart w:id="584" w:name="_Ref467988698"/>
      <w:bookmarkStart w:id="585" w:name="_Toc216582813"/>
      <w:bookmarkStart w:id="586" w:name="_Toc520356217"/>
      <w:bookmarkStart w:id="587" w:name="_Toc480942349"/>
      <w:r>
        <w:rPr>
          <w:rFonts w:hint="eastAsia" w:ascii="宋体" w:hAnsi="宋体" w:eastAsia="宋体" w:cs="宋体"/>
          <w:b/>
          <w:color w:val="auto"/>
          <w:sz w:val="28"/>
          <w:szCs w:val="28"/>
          <w:highlight w:val="none"/>
          <w:lang w:eastAsia="zh-CN"/>
        </w:rPr>
        <w:t>磋商</w:t>
      </w:r>
      <w:r>
        <w:rPr>
          <w:rFonts w:hint="eastAsia" w:ascii="宋体" w:hAnsi="宋体" w:cs="宋体"/>
          <w:b/>
          <w:color w:val="auto"/>
          <w:sz w:val="28"/>
          <w:szCs w:val="28"/>
          <w:highlight w:val="none"/>
          <w:lang w:val="en-US" w:eastAsia="zh-CN"/>
        </w:rPr>
        <w:t>报价</w:t>
      </w:r>
      <w:r>
        <w:rPr>
          <w:rFonts w:hint="eastAsia" w:ascii="宋体" w:hAnsi="宋体" w:eastAsia="宋体" w:cs="宋体"/>
          <w:b/>
          <w:color w:val="auto"/>
          <w:sz w:val="28"/>
          <w:szCs w:val="28"/>
          <w:highlight w:val="none"/>
          <w:lang w:eastAsia="zh-CN"/>
        </w:rPr>
        <w:t>一览表</w:t>
      </w:r>
      <w:bookmarkEnd w:id="582"/>
    </w:p>
    <w:p>
      <w:pPr>
        <w:bidi w:val="0"/>
        <w:jc w:val="center"/>
        <w:rPr>
          <w:rFonts w:hint="eastAsia" w:ascii="宋体" w:hAnsi="宋体" w:eastAsia="宋体" w:cs="宋体"/>
          <w:b/>
          <w:bCs/>
          <w:color w:val="auto"/>
          <w:sz w:val="24"/>
          <w:szCs w:val="32"/>
          <w:highlight w:val="none"/>
          <w:lang w:val="en-US" w:eastAsia="zh-CN"/>
        </w:rPr>
      </w:pPr>
    </w:p>
    <w:p>
      <w:pPr>
        <w:bidi w:val="0"/>
        <w:jc w:val="center"/>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磋商报价一览表（第一轮报价）</w:t>
      </w:r>
    </w:p>
    <w:p>
      <w:pPr>
        <w:pStyle w:val="7"/>
        <w:tabs>
          <w:tab w:val="left" w:pos="5580"/>
        </w:tabs>
        <w:spacing w:line="240" w:lineRule="atLeast"/>
        <w:ind w:left="1080" w:leftChars="257" w:hanging="540"/>
        <w:outlineLvl w:val="9"/>
        <w:rPr>
          <w:rFonts w:hint="eastAsia" w:ascii="宋体" w:hAnsi="宋体" w:eastAsia="宋体" w:cs="宋体"/>
          <w:color w:val="auto"/>
          <w:sz w:val="24"/>
          <w:szCs w:val="24"/>
          <w:highlight w:val="none"/>
        </w:rPr>
      </w:pPr>
    </w:p>
    <w:p>
      <w:pPr>
        <w:tabs>
          <w:tab w:val="left" w:pos="1800"/>
          <w:tab w:val="left" w:pos="5580"/>
        </w:tabs>
        <w:spacing w:line="240" w:lineRule="atLeast"/>
        <w:ind w:right="-867" w:rightChars="-4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pPr>
        <w:tabs>
          <w:tab w:val="left" w:pos="1800"/>
          <w:tab w:val="left" w:pos="5580"/>
        </w:tabs>
        <w:spacing w:line="240" w:lineRule="atLeast"/>
        <w:ind w:right="-867" w:rightChars="-413"/>
        <w:rPr>
          <w:rFonts w:hint="eastAsia" w:ascii="宋体" w:hAnsi="宋体" w:eastAsia="宋体" w:cs="宋体"/>
          <w:color w:val="auto"/>
          <w:sz w:val="24"/>
          <w:szCs w:val="24"/>
          <w:highlight w:val="none"/>
        </w:rPr>
      </w:pPr>
    </w:p>
    <w:p>
      <w:pPr>
        <w:tabs>
          <w:tab w:val="left" w:pos="1800"/>
          <w:tab w:val="left" w:pos="5580"/>
        </w:tabs>
        <w:spacing w:line="240" w:lineRule="atLeast"/>
        <w:ind w:right="-867" w:rightChars="-4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单位：人民币  </w:t>
      </w:r>
      <w:r>
        <w:rPr>
          <w:rFonts w:hint="eastAsia" w:ascii="宋体" w:hAnsi="宋体" w:eastAsia="宋体" w:cs="宋体"/>
          <w:b/>
          <w:color w:val="auto"/>
          <w:sz w:val="24"/>
          <w:szCs w:val="24"/>
          <w:highlight w:val="none"/>
        </w:rPr>
        <w:t xml:space="preserve">元                 </w:t>
      </w:r>
      <w:r>
        <w:rPr>
          <w:rFonts w:hint="eastAsia" w:ascii="宋体" w:hAnsi="宋体" w:eastAsia="宋体" w:cs="宋体"/>
          <w:color w:val="auto"/>
          <w:sz w:val="24"/>
          <w:szCs w:val="24"/>
          <w:highlight w:val="none"/>
        </w:rPr>
        <w:t xml:space="preserve">      </w:t>
      </w:r>
    </w:p>
    <w:tbl>
      <w:tblPr>
        <w:tblStyle w:val="2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637"/>
        <w:gridCol w:w="2273"/>
        <w:gridCol w:w="193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59" w:type="dxa"/>
            <w:noWrap w:val="0"/>
            <w:vAlign w:val="center"/>
          </w:tcPr>
          <w:p>
            <w:pPr>
              <w:spacing w:line="440" w:lineRule="exact"/>
              <w:jc w:val="center"/>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序号</w:t>
            </w:r>
          </w:p>
        </w:tc>
        <w:tc>
          <w:tcPr>
            <w:tcW w:w="2637" w:type="dxa"/>
            <w:noWrap w:val="0"/>
            <w:vAlign w:val="center"/>
          </w:tcPr>
          <w:p>
            <w:pPr>
              <w:spacing w:line="440" w:lineRule="exact"/>
              <w:jc w:val="center"/>
              <w:rPr>
                <w:rFonts w:hint="default" w:ascii="宋体" w:hAnsi="宋体" w:eastAsia="宋体" w:cs="宋体"/>
                <w:b w:val="0"/>
                <w:bCs w:val="0"/>
                <w:color w:val="auto"/>
                <w:sz w:val="24"/>
                <w:szCs w:val="28"/>
                <w:highlight w:val="none"/>
                <w:lang w:val="en-US" w:eastAsia="zh-CN"/>
              </w:rPr>
            </w:pPr>
            <w:r>
              <w:rPr>
                <w:rFonts w:hint="eastAsia" w:ascii="宋体" w:hAnsi="宋体" w:cs="宋体"/>
                <w:b w:val="0"/>
                <w:bCs w:val="0"/>
                <w:color w:val="auto"/>
                <w:sz w:val="24"/>
                <w:szCs w:val="28"/>
                <w:highlight w:val="none"/>
                <w:lang w:val="en-US" w:eastAsia="zh-CN"/>
              </w:rPr>
              <w:t>项目名称</w:t>
            </w:r>
          </w:p>
        </w:tc>
        <w:tc>
          <w:tcPr>
            <w:tcW w:w="2273" w:type="dxa"/>
            <w:noWrap w:val="0"/>
            <w:vAlign w:val="center"/>
          </w:tcPr>
          <w:p>
            <w:pPr>
              <w:spacing w:line="440" w:lineRule="exact"/>
              <w:jc w:val="center"/>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lang w:val="en-US" w:eastAsia="zh-CN"/>
              </w:rPr>
              <w:t>总报</w:t>
            </w:r>
            <w:r>
              <w:rPr>
                <w:rFonts w:hint="eastAsia" w:ascii="宋体" w:hAnsi="宋体" w:eastAsia="宋体" w:cs="宋体"/>
                <w:b w:val="0"/>
                <w:bCs w:val="0"/>
                <w:color w:val="auto"/>
                <w:sz w:val="24"/>
                <w:szCs w:val="28"/>
                <w:highlight w:val="none"/>
              </w:rPr>
              <w:t>价（元）</w:t>
            </w:r>
          </w:p>
        </w:tc>
        <w:tc>
          <w:tcPr>
            <w:tcW w:w="1935" w:type="dxa"/>
            <w:noWrap w:val="0"/>
            <w:vAlign w:val="center"/>
          </w:tcPr>
          <w:p>
            <w:pPr>
              <w:spacing w:line="440" w:lineRule="exact"/>
              <w:jc w:val="center"/>
              <w:rPr>
                <w:rFonts w:hint="default" w:ascii="宋体" w:hAnsi="宋体" w:eastAsia="宋体" w:cs="宋体"/>
                <w:b w:val="0"/>
                <w:bCs w:val="0"/>
                <w:color w:val="auto"/>
                <w:sz w:val="24"/>
                <w:szCs w:val="28"/>
                <w:highlight w:val="none"/>
                <w:lang w:val="en-US" w:eastAsia="zh-CN"/>
              </w:rPr>
            </w:pPr>
            <w:r>
              <w:rPr>
                <w:rFonts w:hint="eastAsia" w:ascii="宋体" w:hAnsi="宋体" w:cs="宋体"/>
                <w:b w:val="0"/>
                <w:bCs w:val="0"/>
                <w:color w:val="auto"/>
                <w:sz w:val="24"/>
                <w:szCs w:val="28"/>
                <w:highlight w:val="none"/>
                <w:lang w:val="en-US" w:eastAsia="zh-CN"/>
              </w:rPr>
              <w:t>磋商</w:t>
            </w:r>
            <w:r>
              <w:rPr>
                <w:rFonts w:hint="eastAsia" w:ascii="宋体" w:hAnsi="宋体" w:eastAsia="宋体" w:cs="宋体"/>
                <w:b w:val="0"/>
                <w:bCs w:val="0"/>
                <w:color w:val="auto"/>
                <w:sz w:val="24"/>
                <w:szCs w:val="28"/>
                <w:highlight w:val="none"/>
                <w:lang w:val="en-US" w:eastAsia="zh-CN"/>
              </w:rPr>
              <w:t>保证金</w:t>
            </w:r>
            <w:r>
              <w:rPr>
                <w:rFonts w:hint="eastAsia" w:ascii="宋体" w:hAnsi="宋体" w:cs="宋体"/>
                <w:b w:val="0"/>
                <w:bCs w:val="0"/>
                <w:color w:val="auto"/>
                <w:sz w:val="24"/>
                <w:szCs w:val="28"/>
                <w:highlight w:val="none"/>
                <w:lang w:val="en-US" w:eastAsia="zh-CN"/>
              </w:rPr>
              <w:t>（元）</w:t>
            </w:r>
          </w:p>
        </w:tc>
        <w:tc>
          <w:tcPr>
            <w:tcW w:w="1675" w:type="dxa"/>
            <w:noWrap w:val="0"/>
            <w:vAlign w:val="center"/>
          </w:tcPr>
          <w:p>
            <w:pPr>
              <w:spacing w:line="440" w:lineRule="exact"/>
              <w:jc w:val="center"/>
              <w:rPr>
                <w:rFonts w:hint="default" w:ascii="宋体" w:hAnsi="宋体" w:eastAsia="宋体" w:cs="宋体"/>
                <w:b w:val="0"/>
                <w:bCs w:val="0"/>
                <w:color w:val="auto"/>
                <w:sz w:val="24"/>
                <w:szCs w:val="28"/>
                <w:highlight w:val="none"/>
                <w:lang w:val="en-US"/>
              </w:rPr>
            </w:pPr>
            <w:r>
              <w:rPr>
                <w:rFonts w:hint="eastAsia" w:ascii="宋体" w:hAnsi="宋体" w:cs="宋体"/>
                <w:b w:val="0"/>
                <w:bCs w:val="0"/>
                <w:color w:val="auto"/>
                <w:sz w:val="24"/>
                <w:szCs w:val="28"/>
                <w:highlight w:val="none"/>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59" w:type="dxa"/>
            <w:noWrap w:val="0"/>
            <w:vAlign w:val="center"/>
          </w:tcPr>
          <w:p>
            <w:pPr>
              <w:spacing w:line="440" w:lineRule="exact"/>
              <w:jc w:val="center"/>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1</w:t>
            </w:r>
          </w:p>
        </w:tc>
        <w:tc>
          <w:tcPr>
            <w:tcW w:w="2637" w:type="dxa"/>
            <w:noWrap w:val="0"/>
            <w:vAlign w:val="center"/>
          </w:tcPr>
          <w:p>
            <w:pPr>
              <w:spacing w:line="440" w:lineRule="exact"/>
              <w:jc w:val="center"/>
              <w:rPr>
                <w:rFonts w:hint="eastAsia" w:ascii="宋体" w:hAnsi="宋体" w:eastAsia="宋体" w:cs="宋体"/>
                <w:b w:val="0"/>
                <w:bCs w:val="0"/>
                <w:color w:val="auto"/>
                <w:sz w:val="24"/>
                <w:szCs w:val="28"/>
                <w:highlight w:val="none"/>
              </w:rPr>
            </w:pPr>
          </w:p>
        </w:tc>
        <w:tc>
          <w:tcPr>
            <w:tcW w:w="2273" w:type="dxa"/>
            <w:noWrap w:val="0"/>
            <w:vAlign w:val="center"/>
          </w:tcPr>
          <w:p>
            <w:pPr>
              <w:spacing w:line="440" w:lineRule="exact"/>
              <w:jc w:val="center"/>
              <w:rPr>
                <w:rFonts w:hint="eastAsia" w:ascii="宋体" w:hAnsi="宋体" w:eastAsia="宋体" w:cs="宋体"/>
                <w:b w:val="0"/>
                <w:bCs w:val="0"/>
                <w:color w:val="auto"/>
                <w:sz w:val="24"/>
                <w:szCs w:val="28"/>
                <w:highlight w:val="none"/>
              </w:rPr>
            </w:pPr>
          </w:p>
        </w:tc>
        <w:tc>
          <w:tcPr>
            <w:tcW w:w="1935" w:type="dxa"/>
            <w:noWrap w:val="0"/>
            <w:vAlign w:val="center"/>
          </w:tcPr>
          <w:p>
            <w:pPr>
              <w:spacing w:line="440" w:lineRule="exact"/>
              <w:jc w:val="center"/>
              <w:rPr>
                <w:rFonts w:hint="eastAsia" w:ascii="宋体" w:hAnsi="宋体" w:eastAsia="宋体" w:cs="宋体"/>
                <w:b w:val="0"/>
                <w:bCs w:val="0"/>
                <w:color w:val="auto"/>
                <w:sz w:val="24"/>
                <w:szCs w:val="28"/>
                <w:highlight w:val="none"/>
              </w:rPr>
            </w:pPr>
          </w:p>
        </w:tc>
        <w:tc>
          <w:tcPr>
            <w:tcW w:w="1675" w:type="dxa"/>
            <w:noWrap w:val="0"/>
            <w:vAlign w:val="center"/>
          </w:tcPr>
          <w:p>
            <w:pPr>
              <w:spacing w:line="440" w:lineRule="exact"/>
              <w:jc w:val="center"/>
              <w:rPr>
                <w:rFonts w:hint="eastAsia" w:ascii="宋体" w:hAnsi="宋体" w:eastAsia="宋体" w:cs="宋体"/>
                <w:b w:val="0"/>
                <w:bCs w:val="0"/>
                <w:color w:val="auto"/>
                <w:sz w:val="24"/>
                <w:szCs w:val="28"/>
                <w:highlight w:val="none"/>
              </w:rPr>
            </w:pPr>
            <w:r>
              <w:rPr>
                <w:rFonts w:hint="eastAsia" w:ascii="微软雅黑" w:hAnsi="微软雅黑" w:eastAsia="微软雅黑" w:cs="微软雅黑"/>
                <w:sz w:val="24"/>
                <w:szCs w:val="24"/>
                <w:lang w:val="en-US" w:eastAsia="zh-CN"/>
              </w:rPr>
              <w:t>2023年7月—11月（分三批）完成</w:t>
            </w:r>
          </w:p>
        </w:tc>
      </w:tr>
    </w:tbl>
    <w:p>
      <w:pPr>
        <w:pStyle w:val="13"/>
        <w:tabs>
          <w:tab w:val="left" w:pos="5580"/>
        </w:tabs>
        <w:spacing w:line="240" w:lineRule="atLeast"/>
        <w:ind w:left="1080" w:leftChars="257" w:hanging="540"/>
        <w:rPr>
          <w:rFonts w:hint="eastAsia" w:ascii="宋体" w:hAnsi="宋体" w:eastAsia="宋体" w:cs="宋体"/>
          <w:color w:val="auto"/>
          <w:sz w:val="24"/>
          <w:szCs w:val="24"/>
          <w:highlight w:val="none"/>
        </w:rPr>
      </w:pPr>
    </w:p>
    <w:p>
      <w:pPr>
        <w:pStyle w:val="13"/>
        <w:tabs>
          <w:tab w:val="left" w:pos="5580"/>
        </w:tabs>
        <w:spacing w:line="240" w:lineRule="atLeast"/>
        <w:ind w:left="1080" w:leftChars="257" w:hanging="540"/>
        <w:rPr>
          <w:rFonts w:hint="eastAsia" w:ascii="宋体" w:hAnsi="宋体" w:eastAsia="宋体" w:cs="宋体"/>
          <w:color w:val="auto"/>
          <w:sz w:val="24"/>
          <w:szCs w:val="24"/>
          <w:highlight w:val="none"/>
          <w:u w:val="single"/>
        </w:rPr>
      </w:pPr>
    </w:p>
    <w:bookmarkEnd w:id="583"/>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宋体" w:hAnsi="宋体" w:eastAsia="宋体" w:cs="宋体"/>
          <w:b/>
          <w:color w:val="auto"/>
          <w:sz w:val="24"/>
          <w:highlight w:val="none"/>
        </w:rPr>
      </w:pPr>
      <w:bookmarkStart w:id="588" w:name="_Toc8331"/>
      <w:bookmarkStart w:id="589" w:name="_Toc26792"/>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此表作为唱标的依据。</w:t>
      </w:r>
    </w:p>
    <w:p>
      <w:pPr>
        <w:pStyle w:val="11"/>
        <w:ind w:left="0" w:leftChars="0"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sz w:val="24"/>
          <w:highlight w:val="none"/>
          <w:lang w:val="en-US" w:eastAsia="zh-CN"/>
        </w:rPr>
        <w:t>2.供应商自拟报价明细表，并添加在响应文件中，在内容包括投标产品名称、规格型号、制造商名称（产地）、是否为中小微企业、数量（单位）、投标总报价、投标报价组成（产品单价、特殊工具费、备品备件费、保管安装调试费、技术服务及培训费、运输保险费、其他费用）、交货日期、交货地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供应商全称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pPr>
        <w:pStyle w:val="11"/>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80" w:firstLineChars="6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w:t>
      </w:r>
      <w:r>
        <w:rPr>
          <w:rFonts w:hint="eastAsia" w:ascii="宋体" w:hAnsi="宋体" w:eastAsia="宋体" w:cs="宋体"/>
          <w:color w:val="auto"/>
          <w:sz w:val="28"/>
          <w:szCs w:val="28"/>
          <w:highlight w:val="none"/>
          <w:lang w:val="en-US" w:eastAsia="zh-CN"/>
        </w:rPr>
        <w:t>委托</w:t>
      </w:r>
      <w:r>
        <w:rPr>
          <w:rFonts w:hint="eastAsia" w:ascii="宋体" w:hAnsi="宋体" w:eastAsia="宋体" w:cs="宋体"/>
          <w:color w:val="auto"/>
          <w:sz w:val="28"/>
          <w:szCs w:val="28"/>
          <w:highlight w:val="none"/>
          <w:lang w:eastAsia="zh-CN"/>
        </w:rPr>
        <w:t>全权</w:t>
      </w:r>
      <w:r>
        <w:rPr>
          <w:rFonts w:hint="eastAsia" w:ascii="宋体" w:hAnsi="宋体" w:eastAsia="宋体" w:cs="宋体"/>
          <w:color w:val="auto"/>
          <w:sz w:val="28"/>
          <w:szCs w:val="28"/>
          <w:highlight w:val="none"/>
        </w:rPr>
        <w:t>代理人：（签字或盖章）</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righ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pStyle w:val="7"/>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numPr>
          <w:ilvl w:val="0"/>
          <w:numId w:val="0"/>
        </w:numPr>
        <w:spacing w:before="0" w:line="240" w:lineRule="atLeast"/>
        <w:jc w:val="left"/>
        <w:outlineLvl w:val="9"/>
        <w:rPr>
          <w:rFonts w:hint="eastAsia" w:ascii="宋体" w:hAnsi="宋体" w:eastAsia="宋体" w:cs="宋体"/>
          <w:b/>
          <w:color w:val="auto"/>
          <w:sz w:val="28"/>
          <w:szCs w:val="28"/>
          <w:highlight w:val="none"/>
          <w:lang w:val="en-US" w:eastAsia="zh-CN"/>
        </w:rPr>
      </w:pPr>
    </w:p>
    <w:p>
      <w:pPr>
        <w:outlineLvl w:val="9"/>
        <w:rPr>
          <w:rFonts w:hint="eastAsia" w:ascii="宋体" w:hAnsi="宋体" w:eastAsia="宋体" w:cs="宋体"/>
          <w:b/>
          <w:color w:val="auto"/>
          <w:sz w:val="28"/>
          <w:szCs w:val="28"/>
          <w:highlight w:val="none"/>
          <w:lang w:val="en-US" w:eastAsia="zh-CN"/>
        </w:rPr>
      </w:pPr>
    </w:p>
    <w:p>
      <w:pPr>
        <w:outlineLvl w:val="9"/>
        <w:rPr>
          <w:rFonts w:hint="eastAsia" w:ascii="宋体" w:hAnsi="宋体" w:eastAsia="宋体" w:cs="宋体"/>
          <w:b/>
          <w:color w:val="auto"/>
          <w:sz w:val="28"/>
          <w:szCs w:val="28"/>
          <w:highlight w:val="none"/>
          <w:lang w:val="en-US" w:eastAsia="zh-CN"/>
        </w:rPr>
      </w:pPr>
    </w:p>
    <w:p>
      <w:pPr>
        <w:outlineLvl w:val="9"/>
        <w:rPr>
          <w:rFonts w:hint="eastAsia" w:ascii="宋体" w:hAnsi="宋体" w:eastAsia="宋体" w:cs="宋体"/>
          <w:b/>
          <w:color w:val="auto"/>
          <w:sz w:val="28"/>
          <w:szCs w:val="28"/>
          <w:highlight w:val="none"/>
          <w:lang w:val="en-US" w:eastAsia="zh-CN"/>
        </w:rPr>
      </w:pPr>
    </w:p>
    <w:p>
      <w:pPr>
        <w:rPr>
          <w:rFonts w:hint="eastAsia"/>
          <w:lang w:val="en-US" w:eastAsia="zh-CN"/>
        </w:rPr>
      </w:pPr>
    </w:p>
    <w:p>
      <w:pPr>
        <w:rPr>
          <w:rFonts w:hint="eastAsia" w:ascii="宋体" w:hAnsi="宋体" w:eastAsia="宋体" w:cs="宋体"/>
          <w:b/>
          <w:color w:val="auto"/>
          <w:sz w:val="28"/>
          <w:szCs w:val="28"/>
          <w:highlight w:val="none"/>
          <w:lang w:val="en-US" w:eastAsia="zh-CN"/>
        </w:rPr>
      </w:pPr>
      <w:bookmarkStart w:id="590" w:name="_Toc32039"/>
      <w:r>
        <w:rPr>
          <w:rFonts w:hint="eastAsia" w:ascii="宋体" w:hAnsi="宋体" w:eastAsia="宋体" w:cs="宋体"/>
          <w:b/>
          <w:color w:val="auto"/>
          <w:sz w:val="28"/>
          <w:szCs w:val="28"/>
          <w:highlight w:val="none"/>
          <w:lang w:val="en-US" w:eastAsia="zh-CN"/>
        </w:rPr>
        <w:br w:type="page"/>
      </w:r>
    </w:p>
    <w:p>
      <w:pPr>
        <w:numPr>
          <w:ilvl w:val="0"/>
          <w:numId w:val="0"/>
        </w:numPr>
        <w:spacing w:before="0" w:line="240" w:lineRule="atLeast"/>
        <w:jc w:val="lef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2.</w:t>
      </w:r>
      <w:bookmarkEnd w:id="588"/>
      <w:bookmarkEnd w:id="589"/>
      <w:r>
        <w:rPr>
          <w:rFonts w:hint="eastAsia" w:ascii="宋体" w:hAnsi="宋体" w:eastAsia="宋体" w:cs="宋体"/>
          <w:b/>
          <w:color w:val="auto"/>
          <w:sz w:val="28"/>
          <w:szCs w:val="28"/>
          <w:highlight w:val="none"/>
          <w:lang w:val="en-US" w:eastAsia="zh-CN"/>
        </w:rPr>
        <w:t>具有有效的营业执照；</w:t>
      </w:r>
      <w:bookmarkEnd w:id="590"/>
    </w:p>
    <w:p>
      <w:pPr>
        <w:pStyle w:val="11"/>
        <w:spacing w:line="400" w:lineRule="exact"/>
        <w:rPr>
          <w:rFonts w:hint="eastAsia" w:ascii="宋体" w:hAnsi="宋体" w:eastAsia="宋体" w:cs="宋体"/>
          <w:b/>
          <w:color w:val="auto"/>
          <w:kern w:val="0"/>
          <w:sz w:val="24"/>
          <w:szCs w:val="24"/>
          <w:highlight w:val="none"/>
          <w:lang w:val="en-US" w:eastAsia="zh-CN" w:bidi="ar-SA"/>
        </w:rPr>
      </w:pPr>
    </w:p>
    <w:p>
      <w:pPr>
        <w:bidi w:val="0"/>
        <w:rPr>
          <w:rFonts w:hint="eastAsia" w:ascii="宋体" w:hAnsi="宋体" w:eastAsia="宋体" w:cs="宋体"/>
          <w:color w:val="auto"/>
          <w:sz w:val="24"/>
          <w:szCs w:val="24"/>
          <w:highlight w:val="none"/>
          <w:lang w:val="en-US" w:eastAsia="zh-CN"/>
        </w:rPr>
      </w:pPr>
    </w:p>
    <w:p>
      <w:pPr>
        <w:outlineLvl w:val="9"/>
        <w:rPr>
          <w:rFonts w:hint="eastAsia"/>
          <w:lang w:val="en-US" w:eastAsia="zh-CN"/>
        </w:rPr>
      </w:pPr>
    </w:p>
    <w:p>
      <w:pPr>
        <w:pStyle w:val="11"/>
        <w:rPr>
          <w:rFonts w:hint="eastAsia" w:ascii="宋体" w:hAnsi="宋体" w:eastAsia="宋体" w:cs="宋体"/>
          <w:color w:val="auto"/>
          <w:sz w:val="24"/>
          <w:szCs w:val="24"/>
          <w:highlight w:val="none"/>
          <w:lang w:val="en-US" w:eastAsia="zh-CN"/>
        </w:rPr>
      </w:pPr>
    </w:p>
    <w:p>
      <w:pPr>
        <w:pStyle w:val="7"/>
        <w:rPr>
          <w:rFonts w:hint="eastAsia"/>
          <w:lang w:val="en-US" w:eastAsia="zh-CN"/>
        </w:rPr>
      </w:pPr>
    </w:p>
    <w:p>
      <w:pPr>
        <w:numPr>
          <w:ilvl w:val="0"/>
          <w:numId w:val="0"/>
        </w:numPr>
        <w:spacing w:before="0" w:line="240" w:lineRule="atLeast"/>
        <w:jc w:val="both"/>
        <w:outlineLvl w:val="1"/>
        <w:rPr>
          <w:rFonts w:hint="eastAsia" w:ascii="宋体" w:hAnsi="宋体" w:eastAsia="宋体" w:cs="宋体"/>
          <w:b/>
          <w:color w:val="auto"/>
          <w:sz w:val="28"/>
          <w:szCs w:val="28"/>
          <w:highlight w:val="none"/>
          <w:lang w:val="en-US" w:eastAsia="zh-CN"/>
        </w:rPr>
      </w:pPr>
      <w:bookmarkStart w:id="591" w:name="_Toc17228"/>
      <w:bookmarkStart w:id="592" w:name="_Toc10025"/>
      <w:bookmarkStart w:id="593" w:name="_Toc4311"/>
      <w:r>
        <w:rPr>
          <w:rFonts w:hint="eastAsia" w:ascii="宋体" w:hAnsi="宋体" w:eastAsia="宋体" w:cs="宋体"/>
          <w:b/>
          <w:color w:val="auto"/>
          <w:sz w:val="28"/>
          <w:szCs w:val="28"/>
          <w:highlight w:val="none"/>
          <w:lang w:val="en-US" w:eastAsia="zh-CN"/>
        </w:rPr>
        <w:t>3.</w:t>
      </w:r>
      <w:bookmarkEnd w:id="591"/>
      <w:bookmarkEnd w:id="592"/>
      <w:r>
        <w:rPr>
          <w:rFonts w:hint="eastAsia" w:ascii="宋体" w:hAnsi="宋体" w:eastAsia="宋体" w:cs="宋体"/>
          <w:b/>
          <w:color w:val="auto"/>
          <w:sz w:val="28"/>
          <w:szCs w:val="28"/>
          <w:highlight w:val="none"/>
          <w:lang w:val="en-US" w:eastAsia="zh-CN"/>
        </w:rPr>
        <w:t>提供法定代表人身份证明及身份证或法定代表人授权委托书和委托代理人身份证；</w:t>
      </w:r>
      <w:bookmarkEnd w:id="593"/>
    </w:p>
    <w:p>
      <w:pPr>
        <w:adjustRightInd w:val="0"/>
        <w:snapToGrid w:val="0"/>
        <w:spacing w:before="240" w:beforeLines="100" w:after="240" w:afterLines="100"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（一）法定代表人身份证明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签发日期：                  单位：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附：性别：            年龄：           身份证号码：</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提供身份证正反面。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内容必须填写真实、清楚、涂改无效，不得转让。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7"/>
                            </w:pPr>
                          </w:p>
                          <w:p>
                            <w:pPr>
                              <w:pStyle w:val="7"/>
                            </w:pPr>
                          </w:p>
                          <w:p>
                            <w:pPr>
                              <w:pStyle w:val="7"/>
                            </w:pPr>
                          </w:p>
                          <w:p>
                            <w:pPr>
                              <w:pStyle w:val="7"/>
                            </w:pPr>
                          </w:p>
                        </w:txbxContent>
                      </wps:txbx>
                      <wps:bodyPr wrap="square" upright="1"/>
                    </wps:wsp>
                  </a:graphicData>
                </a:graphic>
              </wp:anchor>
            </w:drawing>
          </mc:Choice>
          <mc:Fallback>
            <w:pict>
              <v:roundrect id="_x0000_s1026"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7"/>
                      </w:pPr>
                    </w:p>
                    <w:p>
                      <w:pPr>
                        <w:pStyle w:val="7"/>
                      </w:pPr>
                    </w:p>
                    <w:p>
                      <w:pPr>
                        <w:pStyle w:val="7"/>
                      </w:pPr>
                    </w:p>
                    <w:p>
                      <w:pPr>
                        <w:pStyle w:val="7"/>
                      </w:pPr>
                    </w:p>
                  </w:txbxContent>
                </v:textbox>
              </v:roundrect>
            </w:pict>
          </mc:Fallback>
        </mc:AlternateContent>
      </w:r>
    </w:p>
    <w:p>
      <w:pPr>
        <w:spacing w:line="360" w:lineRule="auto"/>
        <w:rPr>
          <w:rFonts w:hint="eastAsia" w:ascii="宋体" w:hAnsi="宋体" w:eastAsia="宋体" w:cs="宋体"/>
          <w:color w:val="auto"/>
          <w:sz w:val="24"/>
          <w:szCs w:val="24"/>
          <w:highlight w:val="none"/>
          <w:lang w:eastAsia="zh-CN"/>
        </w:rPr>
      </w:pPr>
    </w:p>
    <w:p>
      <w:pPr>
        <w:outlineLvl w:val="9"/>
        <w:rPr>
          <w:rFonts w:hint="eastAsia"/>
          <w:lang w:eastAsia="zh-CN"/>
        </w:rPr>
      </w:pPr>
    </w:p>
    <w:p>
      <w:pPr>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firstLine="784" w:firstLineChars="327"/>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784" w:firstLineChars="32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594" w:name="_Toc1083"/>
      <w:bookmarkStart w:id="595" w:name="_Toc22472"/>
      <w:bookmarkStart w:id="596" w:name="_Toc515647807"/>
    </w:p>
    <w:p>
      <w:pPr>
        <w:outlineLvl w:val="9"/>
        <w:rPr>
          <w:rFonts w:hint="eastAsia" w:ascii="宋体" w:hAnsi="宋体" w:eastAsia="宋体" w:cs="宋体"/>
          <w:color w:val="auto"/>
          <w:sz w:val="24"/>
          <w:szCs w:val="24"/>
          <w:highlight w:val="none"/>
          <w:u w:val="single"/>
        </w:rPr>
      </w:pPr>
    </w:p>
    <w:p>
      <w:pPr>
        <w:outlineLvl w:val="9"/>
        <w:rPr>
          <w:rFonts w:hint="eastAsia"/>
        </w:rPr>
      </w:pPr>
    </w:p>
    <w:p>
      <w:pPr>
        <w:rPr>
          <w:rFonts w:hint="eastAsia" w:ascii="宋体" w:hAnsi="宋体" w:eastAsia="宋体" w:cs="宋体"/>
          <w:color w:val="auto"/>
          <w:sz w:val="24"/>
          <w:szCs w:val="24"/>
          <w:highlight w:val="none"/>
          <w:u w:val="single"/>
        </w:rPr>
      </w:pPr>
    </w:p>
    <w:p>
      <w:pPr>
        <w:spacing w:line="360" w:lineRule="auto"/>
        <w:jc w:val="center"/>
        <w:outlineLvl w:val="9"/>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jc w:val="center"/>
        <w:outlineLvl w:val="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（二）法定代表人授权委托书</w:t>
      </w:r>
      <w:bookmarkEnd w:id="594"/>
      <w:bookmarkEnd w:id="595"/>
      <w:bookmarkEnd w:id="596"/>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w:t>
      </w:r>
      <w:r>
        <w:rPr>
          <w:rFonts w:hint="eastAsia" w:ascii="宋体" w:hAnsi="宋体" w:eastAsia="宋体" w:cs="宋体"/>
          <w:i w:val="0"/>
          <w:iCs w:val="0"/>
          <w:color w:val="auto"/>
          <w:sz w:val="24"/>
          <w:szCs w:val="24"/>
          <w:highlight w:val="none"/>
        </w:rPr>
        <w:t>授权书声明：注册于</w:t>
      </w:r>
      <w:r>
        <w:rPr>
          <w:rFonts w:hint="eastAsia" w:ascii="宋体" w:hAnsi="宋体" w:eastAsia="宋体" w:cs="宋体"/>
          <w:i w:val="0"/>
          <w:iCs w:val="0"/>
          <w:color w:val="auto"/>
          <w:sz w:val="24"/>
          <w:szCs w:val="24"/>
          <w:highlight w:val="none"/>
          <w:u w:val="single"/>
        </w:rPr>
        <w:t>（国家或地区的名称）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eastAsia="zh-CN"/>
        </w:rPr>
        <w:t>供应商</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lang w:eastAsia="zh-CN"/>
        </w:rPr>
        <w:t>法定代表人</w:t>
      </w:r>
      <w:r>
        <w:rPr>
          <w:rFonts w:hint="eastAsia" w:ascii="宋体" w:hAnsi="宋体" w:eastAsia="宋体" w:cs="宋体"/>
          <w:i w:val="0"/>
          <w:iCs w:val="0"/>
          <w:color w:val="auto"/>
          <w:sz w:val="24"/>
          <w:szCs w:val="24"/>
          <w:highlight w:val="none"/>
          <w:u w:val="single"/>
        </w:rPr>
        <w:t>姓名、职务</w:t>
      </w:r>
      <w:r>
        <w:rPr>
          <w:rFonts w:hint="eastAsia" w:ascii="宋体" w:hAnsi="宋体" w:eastAsia="宋体" w:cs="宋体"/>
          <w:i w:val="0"/>
          <w:iCs w:val="0"/>
          <w:color w:val="auto"/>
          <w:sz w:val="24"/>
          <w:szCs w:val="24"/>
          <w:highlight w:val="none"/>
        </w:rPr>
        <w:t>）代表我单位授权（</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被授权人的姓名、职务</w:t>
      </w:r>
      <w:r>
        <w:rPr>
          <w:rFonts w:hint="eastAsia" w:ascii="宋体" w:hAnsi="宋体" w:eastAsia="宋体" w:cs="宋体"/>
          <w:i w:val="0"/>
          <w:iCs w:val="0"/>
          <w:color w:val="auto"/>
          <w:sz w:val="24"/>
          <w:szCs w:val="24"/>
          <w:highlight w:val="none"/>
        </w:rPr>
        <w:t>）为我单位的合法代理人，就（</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）的投标，以我单位名义处理一切与之有关的事</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pPr>
        <w:pStyle w:val="13"/>
        <w:tabs>
          <w:tab w:val="left" w:pos="5580"/>
        </w:tabs>
        <w:spacing w:line="360" w:lineRule="exac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pPr>
        <w:pStyle w:val="13"/>
        <w:tabs>
          <w:tab w:val="left" w:pos="5580"/>
        </w:tabs>
        <w:spacing w:line="240" w:lineRule="atLeas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2"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wps:txbx>
                      <wps:bodyPr wrap="square" upright="1"/>
                    </wps:wsp>
                  </a:graphicData>
                </a:graphic>
              </wp:anchor>
            </w:drawing>
          </mc:Choice>
          <mc:Fallback>
            <w:pict>
              <v:roundrect id="自选图形 5" o:spid="_x0000_s1026" o:spt="2" style="position:absolute;left:0pt;margin-left:239.3pt;margin-top:13.2pt;height:76.3pt;width:195.15pt;z-index:251664384;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b5G58S0CAABlBAAADgAAAGRycy9lMm9Eb2MueG1s&#10;rVRLjhMxEN0jcQfLe9KdaJLJtNKZBSFsEIwYOIDjT7eRf9hOurNjhzgDO5ZzB7jNSHALyk6T+cAi&#10;CxKpU25XPdd7z5X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BZ+42wAAAAoBAAAPAAAAAAAAAAEAIAAAACIAAABkcnMvZG93bnJldi54bWxQ&#10;SwECFAAUAAAACACHTuJAb5G58S0CAABlBAAADgAAAAAAAAABACAAAAAqAQAAZHJzL2Uyb0RvYy54&#10;bWxQSwUGAAAAAAYABgBZAQAAyQ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3360;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v&#10;NoQO1gAAAAgBAAAPAAAAAAAAAAEAIAAAACIAAABkcnMvZG93bnJldi54bWxQSwECFAAUAAAACACH&#10;TuJA35fIIiYCAABSBAAADgAAAAAAAAABACAAAAAlAQAAZHJzL2Uyb0RvYy54bWxQSwUGAAAAAAYA&#10;BgBZAQAAv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line="360" w:lineRule="auto"/>
        <w:ind w:firstLine="240" w:firstLineChars="1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4"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7" o:spid="_x0000_s1026" o:spt="2" style="position:absolute;left:0pt;margin-left:237.65pt;margin-top:7.6pt;height:73.65pt;width:199.65pt;z-index:251666432;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A0VntsAAAAKAQAADwAAAAAAAAABACAAAAAiAAAAZHJzL2Rvd25yZXYueG1sUEsB&#10;AhQAFAAAAAgAh07iQPj3/7krAgAAZQQAAA4AAAAAAAAAAQAgAAAAKgEAAGRycy9lMm9Eb2MueG1s&#10;UEsFBgAAAAAGAAYAWQEAAMcFA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自选图形 8"/>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8"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O+C3vYAAAACAEAAA8AAAAAAAAAAQAgAAAAIgAAAGRycy9kb3ducmV2LnhtbFBL&#10;AQIUABQAAAAIAIdO4kBLrs6YLwIAAGYEAAAOAAAAAAAAAAEAIAAAACcBAABkcnMvZTJvRG9jLnht&#10;bFBLBQYAAAAABgAGAFkBAADI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pStyle w:val="19"/>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1"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注：提供身份证正反面。</w:t>
      </w:r>
    </w:p>
    <w:p>
      <w:pPr>
        <w:pStyle w:val="13"/>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3"/>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身份证号码：__________________________________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jc w:val="right"/>
        <w:rPr>
          <w:rFonts w:hint="eastAsia" w:ascii="宋体" w:hAnsi="宋体" w:eastAsia="宋体" w:cs="宋体"/>
          <w:color w:val="auto"/>
          <w:sz w:val="24"/>
          <w:szCs w:val="24"/>
          <w:highlight w:val="none"/>
        </w:rPr>
      </w:pPr>
    </w:p>
    <w:p>
      <w:pPr>
        <w:pStyle w:val="13"/>
        <w:tabs>
          <w:tab w:val="left" w:pos="5580"/>
        </w:tabs>
        <w:spacing w:line="360" w:lineRule="exact"/>
        <w:jc w:val="right"/>
        <w:rPr>
          <w:rFonts w:hint="eastAsia" w:ascii="宋体" w:hAnsi="宋体" w:eastAsia="宋体" w:cs="宋体"/>
          <w:color w:val="auto"/>
          <w:sz w:val="24"/>
          <w:szCs w:val="24"/>
          <w:highlight w:val="none"/>
        </w:rPr>
      </w:pPr>
    </w:p>
    <w:p>
      <w:pPr>
        <w:pStyle w:val="13"/>
        <w:tabs>
          <w:tab w:val="left" w:pos="5580"/>
        </w:tabs>
        <w:spacing w:line="36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b/>
          <w:color w:val="auto"/>
          <w:kern w:val="0"/>
          <w:sz w:val="24"/>
          <w:szCs w:val="24"/>
          <w:highlight w:val="none"/>
          <w:lang w:val="en-US" w:eastAsia="zh-CN" w:bidi="ar-SA"/>
        </w:rPr>
      </w:pPr>
      <w:bookmarkStart w:id="597" w:name="_Toc24456"/>
      <w:bookmarkStart w:id="598" w:name="_Toc7550"/>
      <w:bookmarkStart w:id="599" w:name="_Toc32670"/>
      <w:bookmarkStart w:id="600" w:name="_Toc515647811"/>
      <w:bookmarkStart w:id="601" w:name="_Toc24428"/>
      <w:r>
        <w:rPr>
          <w:rFonts w:hint="eastAsia" w:ascii="宋体" w:hAnsi="宋体" w:eastAsia="宋体" w:cs="宋体"/>
          <w:b/>
          <w:color w:val="auto"/>
          <w:kern w:val="0"/>
          <w:sz w:val="24"/>
          <w:szCs w:val="24"/>
          <w:highlight w:val="none"/>
          <w:lang w:val="en-US" w:eastAsia="zh-CN" w:bidi="ar-SA"/>
        </w:rPr>
        <w:br w:type="page"/>
      </w:r>
    </w:p>
    <w:p>
      <w:pPr>
        <w:bidi w:val="0"/>
        <w:outlineLvl w:val="1"/>
        <w:rPr>
          <w:rFonts w:hint="eastAsia" w:ascii="宋体" w:hAnsi="宋体" w:eastAsia="宋体" w:cs="宋体"/>
          <w:color w:val="auto"/>
          <w:sz w:val="28"/>
          <w:szCs w:val="28"/>
          <w:highlight w:val="none"/>
          <w:lang w:val="en-US" w:eastAsia="zh-CN"/>
        </w:rPr>
      </w:pPr>
      <w:bookmarkStart w:id="602" w:name="_Toc32241"/>
      <w:r>
        <w:rPr>
          <w:rFonts w:hint="eastAsia" w:ascii="宋体" w:hAnsi="宋体" w:eastAsia="宋体" w:cs="宋体"/>
          <w:b/>
          <w:color w:val="auto"/>
          <w:kern w:val="0"/>
          <w:sz w:val="28"/>
          <w:szCs w:val="28"/>
          <w:highlight w:val="none"/>
          <w:lang w:val="en-US" w:eastAsia="zh-CN" w:bidi="ar-SA"/>
        </w:rPr>
        <w:t>4.</w:t>
      </w:r>
      <w:bookmarkEnd w:id="597"/>
      <w:bookmarkEnd w:id="598"/>
      <w:r>
        <w:rPr>
          <w:rFonts w:hint="eastAsia" w:ascii="宋体" w:hAnsi="宋体" w:eastAsia="宋体" w:cs="宋体"/>
          <w:b/>
          <w:bCs/>
          <w:color w:val="auto"/>
          <w:kern w:val="2"/>
          <w:sz w:val="28"/>
          <w:szCs w:val="28"/>
          <w:highlight w:val="none"/>
          <w:lang w:val="en-US" w:eastAsia="zh-CN" w:bidi="ar-SA"/>
        </w:rPr>
        <w:t>提供近两年内任意一年的财务审计报告或健全的财务会计制度</w:t>
      </w:r>
      <w:r>
        <w:rPr>
          <w:rFonts w:hint="eastAsia" w:ascii="宋体" w:hAnsi="宋体" w:eastAsia="宋体" w:cs="宋体"/>
          <w:b/>
          <w:color w:val="auto"/>
          <w:kern w:val="0"/>
          <w:sz w:val="28"/>
          <w:szCs w:val="28"/>
          <w:highlight w:val="none"/>
          <w:lang w:val="en-US" w:eastAsia="zh-CN" w:bidi="ar-SA"/>
        </w:rPr>
        <w:t>；</w:t>
      </w:r>
      <w:bookmarkEnd w:id="602"/>
    </w:p>
    <w:p>
      <w:pPr>
        <w:pStyle w:val="7"/>
        <w:rPr>
          <w:rFonts w:hint="eastAsia" w:ascii="宋体" w:hAnsi="宋体" w:eastAsia="宋体" w:cs="宋体"/>
          <w:color w:val="auto"/>
          <w:sz w:val="24"/>
          <w:szCs w:val="24"/>
          <w:highlight w:val="none"/>
        </w:rPr>
      </w:pPr>
    </w:p>
    <w:p>
      <w:pPr>
        <w:pStyle w:val="7"/>
        <w:ind w:left="0" w:leftChars="0" w:firstLine="0" w:firstLineChars="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numPr>
          <w:ilvl w:val="0"/>
          <w:numId w:val="4"/>
        </w:numPr>
        <w:bidi w:val="0"/>
        <w:outlineLvl w:val="1"/>
        <w:rPr>
          <w:rFonts w:hint="eastAsia" w:ascii="宋体" w:hAnsi="宋体" w:eastAsia="宋体" w:cs="宋体"/>
          <w:b/>
          <w:bCs/>
          <w:color w:val="FF0000"/>
          <w:kern w:val="2"/>
          <w:sz w:val="28"/>
          <w:szCs w:val="28"/>
          <w:highlight w:val="none"/>
          <w:lang w:val="en-US" w:eastAsia="zh-CN" w:bidi="ar-SA"/>
        </w:rPr>
      </w:pPr>
      <w:bookmarkStart w:id="603" w:name="_Toc16146"/>
      <w:r>
        <w:rPr>
          <w:rFonts w:hint="eastAsia" w:ascii="宋体" w:hAnsi="宋体" w:cs="宋体"/>
          <w:b/>
          <w:bCs/>
          <w:color w:val="FF0000"/>
          <w:kern w:val="2"/>
          <w:sz w:val="28"/>
          <w:szCs w:val="28"/>
          <w:highlight w:val="none"/>
          <w:lang w:val="en-US" w:eastAsia="zh-CN" w:bidi="ar-SA"/>
        </w:rPr>
        <w:t>提供依法缴纳近六个月任意一个月的社会保险证明（新成立公司未满六个月，无须提供社会保险证明）</w:t>
      </w:r>
      <w:r>
        <w:rPr>
          <w:rFonts w:hint="eastAsia" w:ascii="宋体" w:hAnsi="宋体" w:eastAsia="宋体" w:cs="宋体"/>
          <w:b/>
          <w:bCs/>
          <w:color w:val="FF0000"/>
          <w:kern w:val="2"/>
          <w:sz w:val="28"/>
          <w:szCs w:val="28"/>
          <w:highlight w:val="none"/>
          <w:lang w:val="en-US" w:eastAsia="zh-CN" w:bidi="ar-SA"/>
        </w:rPr>
        <w:t>；</w:t>
      </w:r>
      <w:bookmarkEnd w:id="603"/>
    </w:p>
    <w:p>
      <w:pPr>
        <w:pStyle w:val="21"/>
        <w:rPr>
          <w:rFonts w:hint="eastAsia" w:ascii="宋体" w:hAnsi="宋体" w:eastAsia="宋体" w:cs="宋体"/>
          <w:color w:val="auto"/>
          <w:highlight w:val="none"/>
          <w:lang w:val="en-US" w:eastAsia="zh-CN"/>
        </w:rPr>
      </w:pPr>
    </w:p>
    <w:p>
      <w:pPr>
        <w:numPr>
          <w:ilvl w:val="0"/>
          <w:numId w:val="4"/>
        </w:numPr>
        <w:bidi w:val="0"/>
        <w:outlineLvl w:val="1"/>
        <w:rPr>
          <w:rFonts w:hint="eastAsia" w:ascii="宋体" w:hAnsi="宋体" w:eastAsia="宋体" w:cs="宋体"/>
          <w:b/>
          <w:bCs/>
          <w:color w:val="auto"/>
          <w:kern w:val="2"/>
          <w:sz w:val="28"/>
          <w:szCs w:val="28"/>
          <w:highlight w:val="none"/>
          <w:lang w:val="en-US" w:eastAsia="zh-CN" w:bidi="ar-SA"/>
        </w:rPr>
      </w:pPr>
      <w:bookmarkStart w:id="604" w:name="_Toc8084"/>
      <w:r>
        <w:rPr>
          <w:rFonts w:hint="eastAsia" w:ascii="宋体" w:hAnsi="宋体" w:cs="宋体"/>
          <w:b/>
          <w:bCs/>
          <w:color w:val="auto"/>
          <w:kern w:val="2"/>
          <w:sz w:val="28"/>
          <w:szCs w:val="28"/>
          <w:highlight w:val="none"/>
          <w:lang w:val="en-US" w:eastAsia="zh-CN" w:bidi="ar-SA"/>
        </w:rPr>
        <w:t>提供依法缴纳近六个月任意一个月的税收证明（新成立公司未满六个月，无须提供税收证明）</w:t>
      </w:r>
      <w:r>
        <w:rPr>
          <w:rFonts w:hint="eastAsia" w:ascii="宋体" w:hAnsi="宋体" w:eastAsia="宋体" w:cs="宋体"/>
          <w:b/>
          <w:bCs/>
          <w:color w:val="auto"/>
          <w:kern w:val="2"/>
          <w:sz w:val="28"/>
          <w:szCs w:val="28"/>
          <w:highlight w:val="none"/>
          <w:lang w:val="en-US" w:eastAsia="zh-CN" w:bidi="ar-SA"/>
        </w:rPr>
        <w:t>；</w:t>
      </w:r>
      <w:bookmarkEnd w:id="604"/>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7"/>
        <w:ind w:left="0" w:leftChars="0" w:firstLine="0" w:firstLineChars="0"/>
        <w:outlineLvl w:val="1"/>
        <w:rPr>
          <w:rFonts w:hint="eastAsia" w:ascii="宋体" w:hAnsi="宋体" w:eastAsia="宋体" w:cs="宋体"/>
          <w:color w:val="auto"/>
          <w:sz w:val="28"/>
          <w:szCs w:val="28"/>
          <w:highlight w:val="none"/>
        </w:rPr>
      </w:pPr>
      <w:bookmarkStart w:id="605" w:name="_Toc5698"/>
      <w:bookmarkStart w:id="606" w:name="_Toc13272"/>
      <w:bookmarkStart w:id="607" w:name="_Toc6856"/>
      <w:r>
        <w:rPr>
          <w:rFonts w:hint="eastAsia" w:ascii="宋体" w:hAnsi="宋体" w:eastAsia="宋体" w:cs="宋体"/>
          <w:b/>
          <w:color w:val="auto"/>
          <w:kern w:val="0"/>
          <w:sz w:val="28"/>
          <w:szCs w:val="28"/>
          <w:highlight w:val="none"/>
          <w:lang w:val="en-US" w:eastAsia="zh-CN" w:bidi="ar-SA"/>
        </w:rPr>
        <w:t>7.</w:t>
      </w:r>
      <w:bookmarkEnd w:id="605"/>
      <w:bookmarkEnd w:id="606"/>
      <w:r>
        <w:rPr>
          <w:rFonts w:hint="eastAsia" w:ascii="宋体" w:hAnsi="宋体" w:eastAsia="宋体" w:cs="宋体"/>
          <w:b/>
          <w:bCs/>
          <w:color w:val="auto"/>
          <w:kern w:val="2"/>
          <w:sz w:val="28"/>
          <w:szCs w:val="28"/>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w:t>
      </w:r>
      <w:r>
        <w:rPr>
          <w:rFonts w:hint="eastAsia" w:ascii="宋体" w:hAnsi="宋体" w:eastAsia="宋体" w:cs="宋体"/>
          <w:b/>
          <w:color w:val="auto"/>
          <w:kern w:val="0"/>
          <w:sz w:val="28"/>
          <w:szCs w:val="28"/>
          <w:highlight w:val="none"/>
          <w:lang w:val="en-US" w:eastAsia="zh-CN" w:bidi="ar-SA"/>
        </w:rPr>
        <w:t>；</w:t>
      </w:r>
      <w:bookmarkEnd w:id="607"/>
    </w:p>
    <w:p>
      <w:pPr>
        <w:bidi w:val="0"/>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outlineLvl w:val="9"/>
        <w:rPr>
          <w:rFonts w:hint="eastAsia"/>
        </w:rPr>
      </w:pPr>
    </w:p>
    <w:p>
      <w:pPr>
        <w:bidi w:val="0"/>
        <w:rPr>
          <w:rFonts w:hint="eastAsia" w:ascii="宋体" w:hAnsi="宋体" w:eastAsia="宋体" w:cs="宋体"/>
          <w:color w:val="auto"/>
          <w:sz w:val="24"/>
          <w:szCs w:val="24"/>
          <w:highlight w:val="none"/>
        </w:rPr>
      </w:pPr>
    </w:p>
    <w:p>
      <w:pPr>
        <w:pStyle w:val="7"/>
        <w:ind w:left="0" w:leftChars="0" w:firstLine="0" w:firstLineChars="0"/>
        <w:outlineLvl w:val="1"/>
        <w:rPr>
          <w:rFonts w:hint="eastAsia" w:ascii="宋体" w:hAnsi="宋体" w:eastAsia="宋体" w:cs="宋体"/>
          <w:b/>
          <w:color w:val="auto"/>
          <w:kern w:val="0"/>
          <w:sz w:val="28"/>
          <w:szCs w:val="28"/>
          <w:highlight w:val="none"/>
          <w:lang w:val="en-US" w:eastAsia="zh-CN" w:bidi="ar-SA"/>
        </w:rPr>
      </w:pPr>
      <w:bookmarkStart w:id="608" w:name="_Toc18144"/>
      <w:bookmarkStart w:id="609" w:name="_Toc31152"/>
      <w:r>
        <w:rPr>
          <w:rFonts w:hint="eastAsia" w:ascii="宋体" w:hAnsi="宋体" w:eastAsia="宋体" w:cs="宋体"/>
          <w:b/>
          <w:color w:val="auto"/>
          <w:kern w:val="0"/>
          <w:sz w:val="28"/>
          <w:szCs w:val="28"/>
          <w:highlight w:val="none"/>
          <w:lang w:val="en-US" w:eastAsia="zh-CN" w:bidi="ar-SA"/>
        </w:rPr>
        <w:t>8.</w:t>
      </w:r>
      <w:bookmarkEnd w:id="608"/>
      <w:r>
        <w:rPr>
          <w:rFonts w:hint="eastAsia" w:ascii="宋体" w:hAnsi="宋体" w:eastAsia="宋体" w:cs="宋体"/>
          <w:b/>
          <w:bCs/>
          <w:color w:val="auto"/>
          <w:kern w:val="2"/>
          <w:sz w:val="28"/>
          <w:szCs w:val="28"/>
          <w:highlight w:val="none"/>
          <w:lang w:val="en-US" w:eastAsia="zh-CN" w:bidi="ar-SA"/>
        </w:rPr>
        <w:t>提供参加政府采购活动前3年内在经营活动中没有重大违法违规记录的书面声明</w:t>
      </w:r>
      <w:r>
        <w:rPr>
          <w:rFonts w:hint="eastAsia" w:ascii="宋体" w:hAnsi="宋体" w:eastAsia="宋体" w:cs="宋体"/>
          <w:b/>
          <w:color w:val="auto"/>
          <w:kern w:val="0"/>
          <w:sz w:val="28"/>
          <w:szCs w:val="28"/>
          <w:highlight w:val="none"/>
          <w:lang w:val="en-US" w:eastAsia="zh-CN" w:bidi="ar-SA"/>
        </w:rPr>
        <w:t>；</w:t>
      </w:r>
      <w:bookmarkEnd w:id="609"/>
    </w:p>
    <w:p>
      <w:pPr>
        <w:rPr>
          <w:rFonts w:hint="eastAsia" w:ascii="宋体" w:hAnsi="宋体" w:eastAsia="宋体" w:cs="宋体"/>
          <w:b/>
          <w:color w:val="auto"/>
          <w:kern w:val="0"/>
          <w:sz w:val="24"/>
          <w:szCs w:val="24"/>
          <w:highlight w:val="none"/>
          <w:lang w:val="en-US" w:eastAsia="zh-CN" w:bidi="ar-SA"/>
        </w:rPr>
      </w:pPr>
    </w:p>
    <w:p>
      <w:pPr>
        <w:outlineLvl w:val="9"/>
        <w:rPr>
          <w:rFonts w:hint="eastAsia" w:ascii="宋体" w:hAnsi="宋体" w:eastAsia="宋体" w:cs="宋体"/>
          <w:b/>
          <w:color w:val="auto"/>
          <w:kern w:val="0"/>
          <w:sz w:val="24"/>
          <w:szCs w:val="24"/>
          <w:highlight w:val="none"/>
          <w:lang w:val="en-US" w:eastAsia="zh-CN" w:bidi="ar-SA"/>
        </w:rPr>
      </w:pPr>
    </w:p>
    <w:p>
      <w:pPr>
        <w:rPr>
          <w:rFonts w:hint="eastAsia"/>
          <w:lang w:val="en-US" w:eastAsia="zh-CN"/>
        </w:rPr>
      </w:pPr>
    </w:p>
    <w:p>
      <w:pPr>
        <w:pStyle w:val="11"/>
        <w:rPr>
          <w:rFonts w:hint="eastAsia" w:ascii="宋体" w:hAnsi="宋体" w:eastAsia="宋体" w:cs="宋体"/>
          <w:color w:val="auto"/>
          <w:sz w:val="24"/>
          <w:szCs w:val="24"/>
          <w:highlight w:val="none"/>
          <w:lang w:val="en-US" w:eastAsia="zh-CN"/>
        </w:rPr>
      </w:pPr>
    </w:p>
    <w:p>
      <w:pPr>
        <w:numPr>
          <w:ilvl w:val="0"/>
          <w:numId w:val="0"/>
        </w:numPr>
        <w:outlineLvl w:val="1"/>
        <w:rPr>
          <w:rFonts w:hint="eastAsia" w:ascii="宋体" w:hAnsi="宋体" w:eastAsia="宋体" w:cs="宋体"/>
          <w:b/>
          <w:color w:val="auto"/>
          <w:kern w:val="0"/>
          <w:sz w:val="28"/>
          <w:szCs w:val="28"/>
          <w:highlight w:val="none"/>
          <w:lang w:val="en-US" w:eastAsia="zh-CN" w:bidi="ar-SA"/>
        </w:rPr>
      </w:pPr>
      <w:bookmarkStart w:id="610" w:name="_Toc14177"/>
      <w:r>
        <w:rPr>
          <w:rFonts w:hint="eastAsia" w:ascii="宋体" w:hAnsi="宋体" w:eastAsia="宋体" w:cs="宋体"/>
          <w:b/>
          <w:bCs/>
          <w:color w:val="auto"/>
          <w:kern w:val="2"/>
          <w:sz w:val="28"/>
          <w:szCs w:val="28"/>
          <w:highlight w:val="none"/>
          <w:lang w:val="en-US" w:eastAsia="zh-CN" w:bidi="ar-SA"/>
        </w:rPr>
        <w:t>9.提供针对本次项目《反商业贿赂承诺书》</w:t>
      </w:r>
      <w:r>
        <w:rPr>
          <w:rFonts w:hint="eastAsia" w:ascii="宋体" w:hAnsi="宋体" w:cs="宋体"/>
          <w:b/>
          <w:bCs/>
          <w:color w:val="auto"/>
          <w:kern w:val="2"/>
          <w:sz w:val="28"/>
          <w:szCs w:val="28"/>
          <w:highlight w:val="none"/>
          <w:lang w:val="en-US" w:eastAsia="zh-CN" w:bidi="ar-SA"/>
        </w:rPr>
        <w:t>；</w:t>
      </w:r>
      <w:bookmarkEnd w:id="610"/>
    </w:p>
    <w:p>
      <w:pPr>
        <w:pStyle w:val="11"/>
        <w:ind w:left="0" w:leftChars="0" w:firstLine="0" w:firstLineChars="0"/>
        <w:outlineLvl w:val="9"/>
        <w:rPr>
          <w:rFonts w:hint="eastAsia" w:ascii="宋体" w:hAnsi="宋体" w:eastAsia="宋体" w:cs="宋体"/>
          <w:b/>
          <w:color w:val="auto"/>
          <w:kern w:val="0"/>
          <w:sz w:val="28"/>
          <w:szCs w:val="28"/>
          <w:highlight w:val="none"/>
          <w:lang w:val="en-US" w:eastAsia="zh-CN" w:bidi="ar-SA"/>
        </w:rPr>
      </w:pPr>
    </w:p>
    <w:p>
      <w:pPr>
        <w:pStyle w:val="7"/>
        <w:rPr>
          <w:rFonts w:hint="eastAsia" w:ascii="宋体" w:hAnsi="宋体" w:eastAsia="宋体" w:cs="宋体"/>
          <w:b/>
          <w:color w:val="auto"/>
          <w:kern w:val="0"/>
          <w:sz w:val="28"/>
          <w:szCs w:val="28"/>
          <w:highlight w:val="none"/>
          <w:lang w:val="en-US" w:eastAsia="zh-CN" w:bidi="ar-SA"/>
        </w:rPr>
      </w:pPr>
    </w:p>
    <w:p>
      <w:pPr>
        <w:pStyle w:val="8"/>
        <w:rPr>
          <w:rFonts w:hint="eastAsia" w:ascii="宋体" w:hAnsi="宋体" w:eastAsia="宋体" w:cs="宋体"/>
          <w:b/>
          <w:color w:val="auto"/>
          <w:kern w:val="0"/>
          <w:sz w:val="28"/>
          <w:szCs w:val="28"/>
          <w:highlight w:val="none"/>
          <w:lang w:val="en-US" w:eastAsia="zh-CN" w:bidi="ar-SA"/>
        </w:rPr>
      </w:pPr>
    </w:p>
    <w:p>
      <w:pPr>
        <w:rPr>
          <w:rFonts w:hint="eastAsia" w:ascii="宋体" w:hAnsi="宋体" w:eastAsia="宋体" w:cs="宋体"/>
          <w:b/>
          <w:color w:val="auto"/>
          <w:kern w:val="0"/>
          <w:sz w:val="28"/>
          <w:szCs w:val="28"/>
          <w:highlight w:val="none"/>
          <w:lang w:val="en-US" w:eastAsia="zh-CN" w:bidi="ar-SA"/>
        </w:rPr>
      </w:pPr>
    </w:p>
    <w:p>
      <w:pPr>
        <w:rPr>
          <w:rFonts w:hint="eastAsia" w:ascii="宋体" w:hAnsi="宋体" w:cs="宋体"/>
          <w:b/>
          <w:bCs/>
          <w:color w:val="auto"/>
          <w:kern w:val="2"/>
          <w:sz w:val="28"/>
          <w:szCs w:val="28"/>
          <w:highlight w:val="none"/>
          <w:lang w:val="en-US" w:eastAsia="zh-CN" w:bidi="ar-SA"/>
        </w:rPr>
      </w:pPr>
      <w:bookmarkStart w:id="611" w:name="_Toc19266"/>
      <w:r>
        <w:rPr>
          <w:rFonts w:hint="eastAsia" w:ascii="宋体" w:hAnsi="宋体" w:cs="宋体"/>
          <w:b/>
          <w:bCs/>
          <w:color w:val="auto"/>
          <w:kern w:val="2"/>
          <w:sz w:val="28"/>
          <w:szCs w:val="28"/>
          <w:highlight w:val="none"/>
          <w:lang w:val="en-US" w:eastAsia="zh-CN" w:bidi="ar-SA"/>
        </w:rPr>
        <w:br w:type="page"/>
      </w:r>
    </w:p>
    <w:p>
      <w:pPr>
        <w:numPr>
          <w:ilvl w:val="0"/>
          <w:numId w:val="0"/>
        </w:numPr>
        <w:outlineLvl w:val="1"/>
        <w:rPr>
          <w:rFonts w:hint="eastAsia" w:ascii="宋体" w:hAnsi="宋体" w:eastAsia="宋体" w:cs="宋体"/>
          <w:color w:val="auto"/>
          <w:sz w:val="24"/>
          <w:szCs w:val="24"/>
          <w:highlight w:val="none"/>
        </w:rPr>
      </w:pPr>
      <w:r>
        <w:rPr>
          <w:rFonts w:hint="eastAsia" w:ascii="宋体" w:hAnsi="宋体" w:cs="宋体"/>
          <w:b/>
          <w:bCs/>
          <w:color w:val="auto"/>
          <w:kern w:val="2"/>
          <w:sz w:val="28"/>
          <w:szCs w:val="28"/>
          <w:highlight w:val="none"/>
          <w:lang w:val="en-US" w:eastAsia="zh-CN" w:bidi="ar-SA"/>
        </w:rPr>
        <w:t>10.</w:t>
      </w:r>
      <w:r>
        <w:rPr>
          <w:rFonts w:hint="eastAsia" w:ascii="宋体" w:hAnsi="宋体" w:eastAsia="宋体" w:cs="宋体"/>
          <w:b/>
          <w:bCs/>
          <w:color w:val="auto"/>
          <w:kern w:val="2"/>
          <w:sz w:val="28"/>
          <w:szCs w:val="28"/>
          <w:highlight w:val="none"/>
          <w:lang w:val="en-US" w:eastAsia="zh-CN" w:bidi="ar-SA"/>
        </w:rPr>
        <w:t>缴纳磋商保证金有效凭证</w:t>
      </w:r>
      <w:r>
        <w:rPr>
          <w:rFonts w:hint="eastAsia" w:ascii="宋体" w:hAnsi="宋体" w:eastAsia="宋体" w:cs="宋体"/>
          <w:b/>
          <w:color w:val="auto"/>
          <w:kern w:val="0"/>
          <w:sz w:val="28"/>
          <w:szCs w:val="28"/>
          <w:highlight w:val="none"/>
          <w:lang w:val="en-US" w:eastAsia="zh-CN" w:bidi="ar-SA"/>
        </w:rPr>
        <w:t>。</w:t>
      </w:r>
      <w:bookmarkEnd w:id="611"/>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8528" w:type="dxa"/>
            <w:vAlign w:val="center"/>
          </w:tcPr>
          <w:p>
            <w:pPr>
              <w:pStyle w:val="7"/>
              <w:jc w:val="center"/>
              <w:outlineLvl w:val="9"/>
              <w:rPr>
                <w:rFonts w:hint="eastAsia" w:ascii="宋体" w:hAnsi="宋体" w:eastAsia="宋体" w:cs="宋体"/>
                <w:b/>
                <w:color w:val="auto"/>
                <w:kern w:val="0"/>
                <w:sz w:val="24"/>
                <w:szCs w:val="24"/>
                <w:highlight w:val="none"/>
                <w:vertAlign w:val="baseline"/>
                <w:lang w:val="en-US" w:eastAsia="zh-CN" w:bidi="ar-SA"/>
              </w:rPr>
            </w:pPr>
            <w:r>
              <w:rPr>
                <w:rFonts w:hint="eastAsia" w:ascii="宋体" w:hAnsi="宋体" w:eastAsia="宋体" w:cs="宋体"/>
                <w:b/>
                <w:color w:val="auto"/>
                <w:kern w:val="0"/>
                <w:sz w:val="24"/>
                <w:szCs w:val="24"/>
                <w:highlight w:val="none"/>
                <w:lang w:val="en-US" w:eastAsia="zh-CN" w:bidi="ar-SA"/>
              </w:rPr>
              <w:t>缴纳磋商保证金有效凭证（银行</w:t>
            </w:r>
            <w:r>
              <w:rPr>
                <w:rFonts w:hint="eastAsia" w:hAnsi="宋体" w:cs="宋体"/>
                <w:b/>
                <w:color w:val="auto"/>
                <w:kern w:val="0"/>
                <w:sz w:val="24"/>
                <w:szCs w:val="24"/>
                <w:highlight w:val="none"/>
                <w:lang w:val="en-US" w:eastAsia="zh-CN" w:bidi="ar-SA"/>
              </w:rPr>
              <w:t>转账</w:t>
            </w:r>
            <w:r>
              <w:rPr>
                <w:rFonts w:hint="eastAsia" w:ascii="宋体" w:hAnsi="宋体" w:eastAsia="宋体" w:cs="宋体"/>
                <w:b/>
                <w:color w:val="auto"/>
                <w:kern w:val="0"/>
                <w:sz w:val="24"/>
                <w:szCs w:val="24"/>
                <w:highlight w:val="none"/>
                <w:lang w:val="en-US" w:eastAsia="zh-CN" w:bidi="ar-SA"/>
              </w:rPr>
              <w:t>回执单或保函和收据）</w:t>
            </w:r>
          </w:p>
        </w:tc>
      </w:tr>
    </w:tbl>
    <w:p>
      <w:pPr>
        <w:pStyle w:val="7"/>
        <w:outlineLvl w:val="9"/>
        <w:rPr>
          <w:rFonts w:hint="eastAsia" w:ascii="宋体" w:hAnsi="宋体" w:eastAsia="宋体" w:cs="宋体"/>
          <w:b/>
          <w:color w:val="auto"/>
          <w:kern w:val="0"/>
          <w:sz w:val="24"/>
          <w:szCs w:val="24"/>
          <w:highlight w:val="none"/>
          <w:lang w:val="en-US" w:eastAsia="zh-CN" w:bidi="ar-SA"/>
        </w:rPr>
      </w:pPr>
    </w:p>
    <w:p>
      <w:pPr>
        <w:shd w:val="clear"/>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注：本项目以</w:t>
      </w:r>
      <w:r>
        <w:rPr>
          <w:rFonts w:hint="eastAsia" w:ascii="宋体" w:hAnsi="宋体" w:eastAsia="宋体" w:cs="宋体"/>
          <w:b/>
          <w:bCs/>
          <w:i w:val="0"/>
          <w:caps w:val="0"/>
          <w:color w:val="auto"/>
          <w:spacing w:val="0"/>
          <w:w w:val="100"/>
          <w:sz w:val="24"/>
          <w:highlight w:val="none"/>
          <w:lang w:eastAsia="zh-CN"/>
        </w:rPr>
        <w:t>缴纳磋商保证金的有效凭证</w:t>
      </w:r>
      <w:r>
        <w:rPr>
          <w:rFonts w:hint="eastAsia" w:ascii="宋体" w:hAnsi="宋体" w:eastAsia="宋体" w:cs="宋体"/>
          <w:b/>
          <w:bCs/>
          <w:i w:val="0"/>
          <w:caps w:val="0"/>
          <w:color w:val="auto"/>
          <w:spacing w:val="0"/>
          <w:w w:val="100"/>
          <w:sz w:val="24"/>
          <w:highlight w:val="none"/>
        </w:rPr>
        <w:t>复印件盖公章为准。</w:t>
      </w:r>
    </w:p>
    <w:p>
      <w:pPr>
        <w:bidi w:val="0"/>
        <w:rPr>
          <w:rFonts w:hint="eastAsia" w:ascii="宋体" w:hAnsi="宋体" w:eastAsia="宋体" w:cs="宋体"/>
          <w:color w:val="auto"/>
          <w:sz w:val="24"/>
          <w:szCs w:val="24"/>
          <w:highlight w:val="none"/>
          <w:lang w:val="en-US" w:eastAsia="zh-CN"/>
        </w:rPr>
      </w:pPr>
    </w:p>
    <w:p>
      <w:pPr>
        <w:pStyle w:val="7"/>
        <w:rPr>
          <w:rFonts w:hint="eastAsia" w:ascii="宋体" w:hAnsi="宋体" w:eastAsia="宋体" w:cs="宋体"/>
          <w:b/>
          <w:color w:val="auto"/>
          <w:kern w:val="0"/>
          <w:sz w:val="24"/>
          <w:szCs w:val="24"/>
          <w:highlight w:val="none"/>
          <w:lang w:val="en-US" w:eastAsia="zh-CN" w:bidi="ar-SA"/>
        </w:rPr>
      </w:pPr>
      <w:bookmarkStart w:id="612" w:name="_Toc3829"/>
      <w:bookmarkStart w:id="613" w:name="_Toc26152"/>
      <w:bookmarkStart w:id="614" w:name="_Toc28906"/>
    </w:p>
    <w:p>
      <w:pPr>
        <w:pStyle w:val="11"/>
        <w:ind w:left="0" w:leftChars="0" w:firstLine="0" w:firstLineChars="0"/>
        <w:outlineLvl w:val="9"/>
        <w:rPr>
          <w:rFonts w:hint="eastAsia" w:ascii="宋体" w:hAnsi="宋体" w:eastAsia="宋体" w:cs="宋体"/>
          <w:b/>
          <w:color w:val="auto"/>
          <w:kern w:val="0"/>
          <w:sz w:val="24"/>
          <w:szCs w:val="24"/>
          <w:highlight w:val="none"/>
          <w:lang w:val="en-US" w:eastAsia="zh-CN" w:bidi="ar-SA"/>
        </w:rPr>
      </w:pPr>
    </w:p>
    <w:p>
      <w:pPr>
        <w:pStyle w:val="11"/>
        <w:numPr>
          <w:ilvl w:val="0"/>
          <w:numId w:val="0"/>
        </w:numPr>
        <w:ind w:leftChars="0"/>
        <w:outlineLvl w:val="1"/>
        <w:rPr>
          <w:rFonts w:hint="eastAsia" w:ascii="宋体" w:hAnsi="宋体" w:eastAsia="宋体" w:cs="宋体"/>
          <w:b/>
          <w:color w:val="auto"/>
          <w:kern w:val="0"/>
          <w:sz w:val="28"/>
          <w:szCs w:val="28"/>
          <w:highlight w:val="none"/>
          <w:lang w:val="en-US" w:eastAsia="zh-CN" w:bidi="ar-SA"/>
        </w:rPr>
      </w:pPr>
      <w:bookmarkStart w:id="615" w:name="_Toc21555"/>
      <w:r>
        <w:rPr>
          <w:rFonts w:hint="eastAsia" w:ascii="宋体" w:hAnsi="宋体" w:cs="宋体"/>
          <w:b/>
          <w:color w:val="auto"/>
          <w:kern w:val="0"/>
          <w:sz w:val="28"/>
          <w:szCs w:val="28"/>
          <w:highlight w:val="none"/>
          <w:lang w:val="en-US" w:eastAsia="zh-CN" w:bidi="ar-SA"/>
        </w:rPr>
        <w:t>11.</w:t>
      </w:r>
      <w:r>
        <w:rPr>
          <w:rFonts w:hint="eastAsia" w:ascii="宋体" w:hAnsi="宋体" w:eastAsia="宋体" w:cs="宋体"/>
          <w:b/>
          <w:color w:val="auto"/>
          <w:kern w:val="0"/>
          <w:sz w:val="28"/>
          <w:szCs w:val="28"/>
          <w:highlight w:val="none"/>
          <w:lang w:val="en-US" w:eastAsia="zh-CN" w:bidi="ar-SA"/>
        </w:rPr>
        <w:t>银行开户许可证复印件或银行基本账户信息(包含：银行账号及开户行名称）；</w:t>
      </w:r>
      <w:bookmarkEnd w:id="615"/>
    </w:p>
    <w:p>
      <w:pPr>
        <w:rPr>
          <w:rFonts w:hint="eastAsia" w:ascii="宋体" w:hAnsi="宋体" w:eastAsia="宋体" w:cs="宋体"/>
          <w:color w:val="auto"/>
          <w:sz w:val="24"/>
          <w:szCs w:val="24"/>
          <w:highlight w:val="none"/>
          <w:lang w:val="en-US" w:eastAsia="zh-CN"/>
        </w:rPr>
      </w:pPr>
    </w:p>
    <w:p>
      <w:pPr>
        <w:pStyle w:val="7"/>
        <w:rPr>
          <w:rFonts w:hint="eastAsia" w:ascii="宋体" w:hAnsi="宋体" w:eastAsia="宋体" w:cs="宋体"/>
          <w:color w:val="auto"/>
          <w:sz w:val="24"/>
          <w:szCs w:val="24"/>
          <w:highlight w:val="none"/>
          <w:lang w:val="en-US" w:eastAsia="zh-CN"/>
        </w:rPr>
      </w:pPr>
    </w:p>
    <w:p>
      <w:pPr>
        <w:tabs>
          <w:tab w:val="left" w:pos="5580"/>
        </w:tabs>
        <w:spacing w:line="400" w:lineRule="atLeast"/>
        <w:outlineLvl w:val="1"/>
        <w:rPr>
          <w:rFonts w:hint="eastAsia" w:ascii="宋体" w:hAnsi="宋体" w:eastAsia="宋体" w:cs="宋体"/>
          <w:b/>
          <w:color w:val="auto"/>
          <w:kern w:val="0"/>
          <w:sz w:val="28"/>
          <w:szCs w:val="28"/>
          <w:highlight w:val="none"/>
          <w:lang w:val="en-US" w:eastAsia="zh-CN" w:bidi="ar-SA"/>
        </w:rPr>
      </w:pPr>
      <w:bookmarkStart w:id="616" w:name="_Toc10581"/>
      <w:bookmarkStart w:id="617" w:name="_Toc15105"/>
      <w:bookmarkStart w:id="618" w:name="_Toc23170"/>
      <w:r>
        <w:rPr>
          <w:rFonts w:hint="eastAsia" w:ascii="宋体" w:hAnsi="宋体" w:cs="宋体"/>
          <w:b/>
          <w:color w:val="auto"/>
          <w:kern w:val="0"/>
          <w:sz w:val="28"/>
          <w:szCs w:val="28"/>
          <w:highlight w:val="none"/>
          <w:lang w:val="en-US" w:eastAsia="zh-CN" w:bidi="ar-SA"/>
        </w:rPr>
        <w:t>12.</w:t>
      </w:r>
      <w:r>
        <w:rPr>
          <w:rFonts w:hint="eastAsia" w:ascii="宋体" w:hAnsi="宋体" w:eastAsia="宋体" w:cs="宋体"/>
          <w:b/>
          <w:color w:val="auto"/>
          <w:kern w:val="0"/>
          <w:sz w:val="28"/>
          <w:szCs w:val="28"/>
          <w:highlight w:val="none"/>
          <w:lang w:val="en-US" w:eastAsia="zh-CN" w:bidi="ar-SA"/>
        </w:rPr>
        <w:t>供应商可提供有利于投标的其他资格证明材料。</w:t>
      </w:r>
      <w:bookmarkEnd w:id="612"/>
      <w:bookmarkEnd w:id="613"/>
      <w:bookmarkEnd w:id="614"/>
      <w:bookmarkEnd w:id="616"/>
      <w:bookmarkEnd w:id="617"/>
      <w:bookmarkEnd w:id="618"/>
    </w:p>
    <w:p>
      <w:pPr>
        <w:pStyle w:val="8"/>
        <w:rPr>
          <w:rFonts w:hint="eastAsia" w:ascii="宋体" w:hAnsi="宋体" w:eastAsia="宋体" w:cs="宋体"/>
          <w:b/>
          <w:color w:val="auto"/>
          <w:kern w:val="0"/>
          <w:szCs w:val="21"/>
          <w:highlight w:val="none"/>
        </w:rPr>
      </w:pPr>
    </w:p>
    <w:p>
      <w:pPr>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p>
      <w:pPr>
        <w:pStyle w:val="21"/>
        <w:rPr>
          <w:rFonts w:hint="eastAsia" w:ascii="宋体" w:hAnsi="宋体" w:eastAsia="宋体" w:cs="宋体"/>
          <w:b/>
          <w:color w:val="auto"/>
          <w:kern w:val="0"/>
          <w:szCs w:val="21"/>
          <w:highlight w:val="none"/>
        </w:rPr>
      </w:pPr>
    </w:p>
    <w:bookmarkEnd w:id="599"/>
    <w:bookmarkEnd w:id="600"/>
    <w:bookmarkEnd w:id="601"/>
    <w:p>
      <w:pPr>
        <w:pStyle w:val="4"/>
        <w:shd w:val="clear"/>
        <w:snapToGrid w:val="0"/>
        <w:spacing w:before="0" w:beforeAutospacing="0" w:after="0" w:afterAutospacing="0" w:line="240" w:lineRule="atLeast"/>
        <w:ind w:left="1080" w:leftChars="257" w:hanging="540"/>
        <w:jc w:val="center"/>
        <w:textAlignment w:val="baseline"/>
        <w:rPr>
          <w:rFonts w:hint="eastAsia" w:ascii="宋体" w:hAnsi="宋体" w:eastAsia="宋体" w:cs="宋体"/>
          <w:b/>
          <w:i w:val="0"/>
          <w:caps w:val="0"/>
          <w:color w:val="auto"/>
          <w:spacing w:val="0"/>
          <w:w w:val="100"/>
          <w:sz w:val="32"/>
          <w:szCs w:val="32"/>
          <w:highlight w:val="none"/>
        </w:rPr>
      </w:pPr>
      <w:bookmarkStart w:id="619" w:name="_Toc8486"/>
      <w:bookmarkStart w:id="620" w:name="_Toc11956"/>
      <w:bookmarkStart w:id="621" w:name="_Toc12440"/>
      <w:bookmarkStart w:id="622" w:name="_Toc24833"/>
      <w:bookmarkStart w:id="623" w:name="_Toc3552"/>
      <w:bookmarkStart w:id="624" w:name="_Toc25827"/>
      <w:bookmarkStart w:id="625" w:name="_Toc515647817"/>
      <w:bookmarkStart w:id="626" w:name="_Toc2041"/>
      <w:bookmarkStart w:id="627" w:name="_Toc14915"/>
      <w:r>
        <w:rPr>
          <w:rFonts w:hint="eastAsia" w:ascii="宋体" w:hAnsi="宋体" w:eastAsia="宋体" w:cs="宋体"/>
          <w:b/>
          <w:i w:val="0"/>
          <w:caps w:val="0"/>
          <w:color w:val="auto"/>
          <w:spacing w:val="0"/>
          <w:w w:val="100"/>
          <w:sz w:val="32"/>
          <w:szCs w:val="32"/>
          <w:highlight w:val="none"/>
        </w:rPr>
        <w:t>第二部分  商务及技术文件</w:t>
      </w:r>
      <w:bookmarkEnd w:id="619"/>
      <w:bookmarkEnd w:id="620"/>
      <w:bookmarkEnd w:id="621"/>
      <w:bookmarkEnd w:id="622"/>
      <w:bookmarkEnd w:id="623"/>
      <w:bookmarkEnd w:id="624"/>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1.投标书</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2.投标分项报价表</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3.货物说明一览表</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4.技术规格偏离表</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5.商务条款偏离表</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6-1中小企业声明函</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6-2 残疾人福利性单位声明函</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7.供应商关联单位的说明</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8.供应商可提供有利于投标的其他证明材料</w:t>
      </w:r>
    </w:p>
    <w:p>
      <w:pPr>
        <w:pStyle w:val="7"/>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9.投标文件格式范本</w:t>
      </w: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7"/>
        <w:rPr>
          <w:rFonts w:hint="eastAsia" w:ascii="宋体" w:hAnsi="宋体" w:eastAsia="宋体" w:cs="宋体"/>
          <w:color w:val="auto"/>
          <w:szCs w:val="21"/>
          <w:highlight w:val="none"/>
        </w:rPr>
      </w:pPr>
    </w:p>
    <w:p>
      <w:pPr>
        <w:pStyle w:val="8"/>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rPr>
      </w:pPr>
    </w:p>
    <w:p>
      <w:pPr>
        <w:rPr>
          <w:rFonts w:hint="eastAsia"/>
        </w:rPr>
      </w:pPr>
    </w:p>
    <w:p>
      <w:pPr>
        <w:pStyle w:val="7"/>
        <w:rPr>
          <w:rFonts w:hint="eastAsia" w:ascii="宋体" w:hAnsi="宋体" w:eastAsia="宋体" w:cs="宋体"/>
          <w:color w:val="auto"/>
          <w:szCs w:val="21"/>
          <w:highlight w:val="none"/>
        </w:rPr>
      </w:pPr>
    </w:p>
    <w:p>
      <w:pPr>
        <w:pStyle w:val="8"/>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outlineLvl w:val="9"/>
        <w:rPr>
          <w:rFonts w:hint="eastAsia"/>
        </w:rPr>
      </w:pPr>
    </w:p>
    <w:p>
      <w:pPr>
        <w:outlineLvl w:val="9"/>
        <w:rPr>
          <w:rFonts w:hint="eastAsia"/>
        </w:rPr>
      </w:pPr>
    </w:p>
    <w:p>
      <w:pPr>
        <w:pStyle w:val="8"/>
        <w:rPr>
          <w:rFonts w:hint="eastAsia" w:ascii="宋体" w:hAnsi="宋体" w:eastAsia="宋体" w:cs="宋体"/>
          <w:color w:val="auto"/>
          <w:highlight w:val="none"/>
        </w:rPr>
      </w:pPr>
    </w:p>
    <w:p>
      <w:pPr>
        <w:pStyle w:val="13"/>
        <w:tabs>
          <w:tab w:val="left" w:pos="5580"/>
        </w:tabs>
        <w:spacing w:line="240" w:lineRule="atLeast"/>
        <w:rPr>
          <w:rFonts w:hint="eastAsia" w:ascii="宋体" w:hAnsi="宋体" w:eastAsia="宋体" w:cs="宋体"/>
          <w:color w:val="auto"/>
          <w:szCs w:val="21"/>
          <w:highlight w:val="none"/>
        </w:rPr>
      </w:pPr>
    </w:p>
    <w:bookmarkEnd w:id="584"/>
    <w:bookmarkEnd w:id="585"/>
    <w:bookmarkEnd w:id="586"/>
    <w:bookmarkEnd w:id="587"/>
    <w:bookmarkEnd w:id="625"/>
    <w:bookmarkEnd w:id="626"/>
    <w:bookmarkEnd w:id="627"/>
    <w:p>
      <w:pPr>
        <w:pStyle w:val="4"/>
        <w:shd w:val="clear"/>
        <w:snapToGrid w:val="0"/>
        <w:spacing w:before="0" w:beforeAutospacing="0" w:after="0" w:afterAutospacing="0" w:line="240" w:lineRule="atLeast"/>
        <w:ind w:left="1080" w:leftChars="257" w:hanging="540"/>
        <w:jc w:val="center"/>
        <w:textAlignment w:val="baseline"/>
        <w:outlineLvl w:val="1"/>
        <w:rPr>
          <w:rFonts w:hint="eastAsia" w:ascii="宋体" w:hAnsi="宋体" w:eastAsia="宋体" w:cs="宋体"/>
          <w:b/>
          <w:i w:val="0"/>
          <w:caps w:val="0"/>
          <w:color w:val="auto"/>
          <w:spacing w:val="0"/>
          <w:w w:val="100"/>
          <w:sz w:val="28"/>
          <w:szCs w:val="21"/>
          <w:highlight w:val="none"/>
        </w:rPr>
      </w:pPr>
      <w:bookmarkStart w:id="628" w:name="_Hlt520274911"/>
      <w:bookmarkEnd w:id="628"/>
      <w:bookmarkStart w:id="629" w:name="_Hlt520350957"/>
      <w:bookmarkEnd w:id="629"/>
      <w:bookmarkStart w:id="630" w:name="_Hlt520350918"/>
      <w:bookmarkEnd w:id="630"/>
      <w:bookmarkStart w:id="631" w:name="_Hlt520343000"/>
      <w:bookmarkEnd w:id="631"/>
      <w:bookmarkStart w:id="632" w:name="_Hlt520343392"/>
      <w:bookmarkEnd w:id="632"/>
      <w:bookmarkStart w:id="633" w:name="_Hlt520273711"/>
      <w:bookmarkEnd w:id="633"/>
      <w:bookmarkStart w:id="634" w:name="_Hlt520274407"/>
      <w:bookmarkEnd w:id="634"/>
      <w:bookmarkStart w:id="635" w:name="_Hlt520271212"/>
      <w:bookmarkEnd w:id="635"/>
      <w:bookmarkStart w:id="636" w:name="_Hlt520274065"/>
      <w:bookmarkEnd w:id="636"/>
      <w:bookmarkStart w:id="637" w:name="_Hlt520273973"/>
      <w:bookmarkEnd w:id="637"/>
      <w:bookmarkStart w:id="638" w:name="_Hlt520274393"/>
      <w:bookmarkEnd w:id="638"/>
      <w:bookmarkStart w:id="639" w:name="_Toc14858"/>
      <w:bookmarkStart w:id="640" w:name="_Toc22432"/>
      <w:bookmarkStart w:id="641" w:name="_Toc16377"/>
      <w:bookmarkStart w:id="642" w:name="_Toc8940"/>
      <w:bookmarkStart w:id="643" w:name="_Toc12852"/>
      <w:bookmarkStart w:id="644" w:name="_Toc11475"/>
      <w:bookmarkStart w:id="645" w:name="_Toc18614"/>
      <w:bookmarkStart w:id="646" w:name="_Toc18506"/>
      <w:r>
        <w:rPr>
          <w:rFonts w:hint="eastAsia" w:ascii="宋体" w:hAnsi="宋体" w:eastAsia="宋体" w:cs="宋体"/>
          <w:b/>
          <w:i w:val="0"/>
          <w:caps w:val="0"/>
          <w:color w:val="auto"/>
          <w:spacing w:val="0"/>
          <w:w w:val="100"/>
          <w:sz w:val="28"/>
          <w:szCs w:val="28"/>
          <w:highlight w:val="none"/>
        </w:rPr>
        <w:t>1</w:t>
      </w:r>
      <w:bookmarkStart w:id="647" w:name="_Hlt520355504"/>
      <w:bookmarkEnd w:id="647"/>
      <w:r>
        <w:rPr>
          <w:rFonts w:hint="eastAsia" w:ascii="宋体" w:hAnsi="宋体" w:eastAsia="宋体" w:cs="宋体"/>
          <w:b/>
          <w:i w:val="0"/>
          <w:caps w:val="0"/>
          <w:color w:val="auto"/>
          <w:spacing w:val="0"/>
          <w:w w:val="100"/>
          <w:sz w:val="28"/>
          <w:szCs w:val="28"/>
          <w:highlight w:val="none"/>
          <w:lang w:eastAsia="zh-CN"/>
        </w:rPr>
        <w:t>.</w:t>
      </w:r>
      <w:r>
        <w:rPr>
          <w:rFonts w:hint="eastAsia" w:ascii="宋体" w:hAnsi="宋体" w:eastAsia="宋体" w:cs="宋体"/>
          <w:b/>
          <w:i w:val="0"/>
          <w:caps w:val="0"/>
          <w:color w:val="auto"/>
          <w:spacing w:val="0"/>
          <w:w w:val="100"/>
          <w:sz w:val="28"/>
          <w:szCs w:val="28"/>
          <w:highlight w:val="none"/>
        </w:rPr>
        <w:t>磋商书</w:t>
      </w:r>
      <w:bookmarkEnd w:id="639"/>
      <w:bookmarkEnd w:id="640"/>
      <w:bookmarkEnd w:id="641"/>
      <w:bookmarkEnd w:id="642"/>
      <w:bookmarkEnd w:id="643"/>
      <w:bookmarkEnd w:id="644"/>
      <w:bookmarkEnd w:id="645"/>
      <w:bookmarkEnd w:id="646"/>
    </w:p>
    <w:p>
      <w:pPr>
        <w:shd w:val="clear"/>
        <w:tabs>
          <w:tab w:val="left" w:pos="5580"/>
        </w:tabs>
        <w:snapToGrid w:val="0"/>
        <w:spacing w:before="0" w:beforeAutospacing="0" w:after="0" w:afterAutospacing="0" w:line="240" w:lineRule="atLeast"/>
        <w:ind w:left="1080" w:hanging="1080"/>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致：</w:t>
      </w:r>
    </w:p>
    <w:p>
      <w:pPr>
        <w:pStyle w:val="13"/>
        <w:shd w:val="clear"/>
        <w:tabs>
          <w:tab w:val="left" w:pos="5580"/>
        </w:tabs>
        <w:snapToGrid w:val="0"/>
        <w:spacing w:before="0" w:beforeAutospacing="0" w:after="0" w:afterAutospacing="0" w:line="240" w:lineRule="atLeast"/>
        <w:ind w:left="2" w:leftChars="1"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根据贵方(</w:t>
      </w:r>
      <w:r>
        <w:rPr>
          <w:rFonts w:hint="eastAsia" w:ascii="宋体" w:hAnsi="宋体" w:eastAsia="宋体" w:cs="宋体"/>
          <w:b w:val="0"/>
          <w:i/>
          <w:caps w:val="0"/>
          <w:color w:val="auto"/>
          <w:spacing w:val="0"/>
          <w:w w:val="100"/>
          <w:sz w:val="24"/>
          <w:szCs w:val="24"/>
          <w:highlight w:val="none"/>
          <w:u w:val="single" w:color="000000"/>
        </w:rPr>
        <w:t>项目名称</w:t>
      </w:r>
      <w:r>
        <w:rPr>
          <w:rFonts w:hint="eastAsia" w:ascii="宋体" w:hAnsi="宋体" w:eastAsia="宋体" w:cs="宋体"/>
          <w:b w:val="0"/>
          <w:i w:val="0"/>
          <w:caps w:val="0"/>
          <w:color w:val="auto"/>
          <w:spacing w:val="0"/>
          <w:w w:val="100"/>
          <w:sz w:val="24"/>
          <w:szCs w:val="24"/>
          <w:highlight w:val="none"/>
        </w:rPr>
        <w:t>)项目的磋商邀请(</w:t>
      </w:r>
      <w:r>
        <w:rPr>
          <w:rFonts w:hint="eastAsia" w:ascii="宋体" w:hAnsi="宋体" w:eastAsia="宋体" w:cs="宋体"/>
          <w:b w:val="0"/>
          <w:i/>
          <w:caps w:val="0"/>
          <w:color w:val="auto"/>
          <w:spacing w:val="0"/>
          <w:w w:val="100"/>
          <w:sz w:val="24"/>
          <w:szCs w:val="24"/>
          <w:highlight w:val="none"/>
          <w:u w:val="single" w:color="000000"/>
          <w:lang w:eastAsia="zh-CN"/>
        </w:rPr>
        <w:t>项目编号</w:t>
      </w:r>
      <w:r>
        <w:rPr>
          <w:rFonts w:hint="eastAsia" w:ascii="宋体" w:hAnsi="宋体" w:eastAsia="宋体" w:cs="宋体"/>
          <w:b w:val="0"/>
          <w:i w:val="0"/>
          <w:caps w:val="0"/>
          <w:color w:val="auto"/>
          <w:spacing w:val="0"/>
          <w:w w:val="100"/>
          <w:sz w:val="24"/>
          <w:szCs w:val="24"/>
          <w:highlight w:val="none"/>
        </w:rPr>
        <w:t>),签字代表(</w:t>
      </w:r>
      <w:r>
        <w:rPr>
          <w:rFonts w:hint="eastAsia" w:ascii="宋体" w:hAnsi="宋体" w:eastAsia="宋体" w:cs="宋体"/>
          <w:b w:val="0"/>
          <w:i/>
          <w:caps w:val="0"/>
          <w:color w:val="auto"/>
          <w:spacing w:val="0"/>
          <w:w w:val="100"/>
          <w:sz w:val="24"/>
          <w:szCs w:val="24"/>
          <w:highlight w:val="none"/>
          <w:u w:val="single" w:color="000000"/>
        </w:rPr>
        <w:t>姓名、职务</w:t>
      </w:r>
      <w:r>
        <w:rPr>
          <w:rFonts w:hint="eastAsia" w:ascii="宋体" w:hAnsi="宋体" w:eastAsia="宋体" w:cs="宋体"/>
          <w:b w:val="0"/>
          <w:i w:val="0"/>
          <w:caps w:val="0"/>
          <w:color w:val="auto"/>
          <w:spacing w:val="0"/>
          <w:w w:val="100"/>
          <w:sz w:val="24"/>
          <w:szCs w:val="24"/>
          <w:highlight w:val="none"/>
        </w:rPr>
        <w:t>)经正式授权并代表供应商（</w:t>
      </w:r>
      <w:r>
        <w:rPr>
          <w:rFonts w:hint="eastAsia" w:ascii="宋体" w:hAnsi="宋体" w:eastAsia="宋体" w:cs="宋体"/>
          <w:b w:val="0"/>
          <w:i/>
          <w:caps w:val="0"/>
          <w:color w:val="auto"/>
          <w:spacing w:val="0"/>
          <w:w w:val="100"/>
          <w:sz w:val="24"/>
          <w:szCs w:val="24"/>
          <w:highlight w:val="none"/>
          <w:u w:val="single" w:color="000000"/>
        </w:rPr>
        <w:t>名称、地址</w:t>
      </w:r>
      <w:r>
        <w:rPr>
          <w:rFonts w:hint="eastAsia" w:ascii="宋体" w:hAnsi="宋体" w:eastAsia="宋体" w:cs="宋体"/>
          <w:b w:val="0"/>
          <w:i w:val="0"/>
          <w:caps w:val="0"/>
          <w:color w:val="auto"/>
          <w:spacing w:val="0"/>
          <w:w w:val="100"/>
          <w:sz w:val="24"/>
          <w:szCs w:val="24"/>
          <w:highlight w:val="none"/>
        </w:rPr>
        <w:t>）</w:t>
      </w:r>
      <w:r>
        <w:rPr>
          <w:rFonts w:hint="eastAsia" w:ascii="宋体" w:hAnsi="宋体" w:eastAsia="宋体" w:cs="宋体"/>
          <w:b w:val="0"/>
          <w:i w:val="0"/>
          <w:caps w:val="0"/>
          <w:color w:val="auto"/>
          <w:spacing w:val="0"/>
          <w:w w:val="100"/>
          <w:sz w:val="24"/>
          <w:szCs w:val="24"/>
          <w:highlight w:val="none"/>
          <w:lang w:val="en-US" w:eastAsia="zh-CN"/>
        </w:rPr>
        <w:t>上传响应文件</w:t>
      </w:r>
      <w:r>
        <w:rPr>
          <w:rFonts w:hint="eastAsia" w:ascii="宋体" w:hAnsi="宋体" w:eastAsia="宋体" w:cs="宋体"/>
          <w:b w:val="0"/>
          <w:i w:val="0"/>
          <w:caps w:val="0"/>
          <w:color w:val="auto"/>
          <w:spacing w:val="0"/>
          <w:w w:val="100"/>
          <w:sz w:val="24"/>
          <w:szCs w:val="24"/>
          <w:highlight w:val="none"/>
        </w:rPr>
        <w:t>，并以</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形式出具的金额为人民币</w:t>
      </w:r>
      <w:r>
        <w:rPr>
          <w:rFonts w:hint="eastAsia" w:ascii="宋体" w:hAnsi="宋体" w:eastAsia="宋体" w:cs="宋体"/>
          <w:b w:val="0"/>
          <w:i w:val="0"/>
          <w:caps w:val="0"/>
          <w:color w:val="auto"/>
          <w:spacing w:val="0"/>
          <w:w w:val="100"/>
          <w:sz w:val="24"/>
          <w:szCs w:val="24"/>
          <w:highlight w:val="none"/>
          <w:u w:val="single" w:color="000000"/>
        </w:rPr>
        <w:t>　　　　</w:t>
      </w:r>
      <w:r>
        <w:rPr>
          <w:rFonts w:hint="eastAsia" w:ascii="宋体" w:hAnsi="宋体" w:eastAsia="宋体" w:cs="宋体"/>
          <w:b w:val="0"/>
          <w:i w:val="0"/>
          <w:caps w:val="0"/>
          <w:color w:val="auto"/>
          <w:spacing w:val="0"/>
          <w:w w:val="100"/>
          <w:sz w:val="24"/>
          <w:szCs w:val="24"/>
          <w:highlight w:val="none"/>
        </w:rPr>
        <w:t>元的磋商保证金。</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据此，签字代表宣布同意如下：</w:t>
      </w:r>
    </w:p>
    <w:p>
      <w:pPr>
        <w:pStyle w:val="13"/>
        <w:shd w:val="clear"/>
        <w:tabs>
          <w:tab w:val="left" w:pos="720"/>
          <w:tab w:val="left" w:pos="900"/>
        </w:tabs>
        <w:snapToGrid w:val="0"/>
        <w:spacing w:before="0" w:beforeAutospacing="0" w:after="0" w:afterAutospacing="0" w:line="240" w:lineRule="atLeast"/>
        <w:ind w:left="769" w:leftChars="257" w:hanging="229"/>
        <w:jc w:val="both"/>
        <w:textAlignment w:val="baseline"/>
        <w:rPr>
          <w:rFonts w:hint="eastAsia" w:ascii="宋体" w:hAnsi="宋体" w:eastAsia="宋体" w:cs="宋体"/>
          <w:b w:val="0"/>
          <w:i w:val="0"/>
          <w:caps w:val="0"/>
          <w:color w:val="auto"/>
          <w:spacing w:val="0"/>
          <w:w w:val="100"/>
          <w:sz w:val="24"/>
          <w:szCs w:val="24"/>
          <w:highlight w:val="none"/>
          <w:u w:val="single" w:color="000000"/>
        </w:rPr>
      </w:pPr>
      <w:r>
        <w:rPr>
          <w:rFonts w:hint="eastAsia" w:ascii="宋体" w:hAnsi="宋体" w:eastAsia="宋体" w:cs="宋体"/>
          <w:b w:val="0"/>
          <w:i w:val="0"/>
          <w:caps w:val="0"/>
          <w:color w:val="auto"/>
          <w:spacing w:val="0"/>
          <w:w w:val="100"/>
          <w:sz w:val="24"/>
          <w:szCs w:val="24"/>
          <w:highlight w:val="none"/>
        </w:rPr>
        <w:t>（1）附磋商价格表中规定的应提供</w:t>
      </w:r>
      <w:r>
        <w:rPr>
          <w:rFonts w:hint="eastAsia" w:ascii="宋体" w:hAnsi="宋体" w:eastAsia="宋体" w:cs="宋体"/>
          <w:b w:val="0"/>
          <w:i w:val="0"/>
          <w:caps w:val="0"/>
          <w:color w:val="auto"/>
          <w:spacing w:val="0"/>
          <w:w w:val="100"/>
          <w:sz w:val="24"/>
          <w:szCs w:val="24"/>
          <w:highlight w:val="none"/>
          <w:lang w:val="en-US" w:eastAsia="zh-CN"/>
        </w:rPr>
        <w:t>服务</w:t>
      </w:r>
      <w:r>
        <w:rPr>
          <w:rFonts w:hint="eastAsia" w:ascii="宋体" w:hAnsi="宋体" w:eastAsia="宋体" w:cs="宋体"/>
          <w:b w:val="0"/>
          <w:i w:val="0"/>
          <w:caps w:val="0"/>
          <w:color w:val="auto"/>
          <w:spacing w:val="0"/>
          <w:w w:val="100"/>
          <w:sz w:val="24"/>
          <w:szCs w:val="24"/>
          <w:highlight w:val="none"/>
        </w:rPr>
        <w:t>的磋商总价详见磋商开启一览表，</w:t>
      </w:r>
      <w:r>
        <w:rPr>
          <w:rFonts w:hint="eastAsia" w:ascii="宋体" w:hAnsi="宋体" w:eastAsia="宋体" w:cs="宋体"/>
          <w:b w:val="0"/>
          <w:i w:val="0"/>
          <w:caps w:val="0"/>
          <w:color w:val="auto"/>
          <w:spacing w:val="0"/>
          <w:w w:val="100"/>
          <w:sz w:val="24"/>
          <w:szCs w:val="24"/>
          <w:highlight w:val="none"/>
          <w:u w:val="single" w:color="000000"/>
        </w:rPr>
        <w:t>其中由小型和</w:t>
      </w:r>
      <w:r>
        <w:rPr>
          <w:rFonts w:hint="eastAsia" w:ascii="宋体" w:hAnsi="宋体" w:eastAsia="宋体" w:cs="宋体"/>
          <w:b w:val="0"/>
          <w:i w:val="0"/>
          <w:caps w:val="0"/>
          <w:color w:val="auto"/>
          <w:spacing w:val="0"/>
          <w:w w:val="100"/>
          <w:sz w:val="24"/>
          <w:szCs w:val="24"/>
          <w:highlight w:val="none"/>
        </w:rPr>
        <w:t>微型企业制造产品的价格为</w:t>
      </w:r>
      <w:r>
        <w:rPr>
          <w:rFonts w:hint="eastAsia" w:ascii="宋体" w:hAnsi="宋体" w:eastAsia="宋体" w:cs="宋体"/>
          <w:b w:val="0"/>
          <w:i w:val="0"/>
          <w:caps w:val="0"/>
          <w:color w:val="auto"/>
          <w:spacing w:val="0"/>
          <w:w w:val="100"/>
          <w:sz w:val="24"/>
          <w:szCs w:val="24"/>
          <w:highlight w:val="none"/>
          <w:u w:val="single" w:color="000000"/>
        </w:rPr>
        <w:t>　　  （用文字和数字表示），占磋商总价   %</w:t>
      </w:r>
      <w:r>
        <w:rPr>
          <w:rFonts w:hint="eastAsia" w:ascii="宋体" w:hAnsi="宋体" w:eastAsia="宋体" w:cs="宋体"/>
          <w:b w:val="0"/>
          <w:i w:val="0"/>
          <w:caps w:val="0"/>
          <w:color w:val="auto"/>
          <w:spacing w:val="0"/>
          <w:w w:val="100"/>
          <w:sz w:val="24"/>
          <w:szCs w:val="24"/>
          <w:highlight w:val="none"/>
        </w:rPr>
        <w:t>。</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（2）本磋商有效期为自磋商截止之日起</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个日历日。</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（3）联合体中的大中型企业和其他自然人、</w:t>
      </w:r>
      <w:r>
        <w:rPr>
          <w:rFonts w:hint="eastAsia" w:ascii="宋体" w:hAnsi="宋体" w:eastAsia="宋体" w:cs="宋体"/>
          <w:b w:val="0"/>
          <w:i w:val="0"/>
          <w:caps w:val="0"/>
          <w:color w:val="auto"/>
          <w:spacing w:val="0"/>
          <w:w w:val="100"/>
          <w:sz w:val="24"/>
          <w:szCs w:val="24"/>
          <w:highlight w:val="none"/>
          <w:lang w:eastAsia="zh-CN"/>
        </w:rPr>
        <w:t>法定代表人</w:t>
      </w:r>
      <w:r>
        <w:rPr>
          <w:rFonts w:hint="eastAsia" w:ascii="宋体" w:hAnsi="宋体" w:eastAsia="宋体" w:cs="宋体"/>
          <w:b w:val="0"/>
          <w:i w:val="0"/>
          <w:caps w:val="0"/>
          <w:color w:val="auto"/>
          <w:spacing w:val="0"/>
          <w:w w:val="100"/>
          <w:sz w:val="24"/>
          <w:szCs w:val="24"/>
          <w:highlight w:val="none"/>
        </w:rPr>
        <w:t>或者非</w:t>
      </w:r>
      <w:r>
        <w:rPr>
          <w:rFonts w:hint="eastAsia" w:ascii="宋体" w:hAnsi="宋体" w:eastAsia="宋体" w:cs="宋体"/>
          <w:b w:val="0"/>
          <w:i w:val="0"/>
          <w:caps w:val="0"/>
          <w:color w:val="auto"/>
          <w:spacing w:val="0"/>
          <w:w w:val="100"/>
          <w:sz w:val="24"/>
          <w:szCs w:val="24"/>
          <w:highlight w:val="none"/>
          <w:lang w:eastAsia="zh-CN"/>
        </w:rPr>
        <w:t>法定代表人</w:t>
      </w:r>
      <w:r>
        <w:rPr>
          <w:rFonts w:hint="eastAsia" w:ascii="宋体" w:hAnsi="宋体" w:eastAsia="宋体" w:cs="宋体"/>
          <w:b w:val="0"/>
          <w:i w:val="0"/>
          <w:caps w:val="0"/>
          <w:color w:val="auto"/>
          <w:spacing w:val="0"/>
          <w:w w:val="100"/>
          <w:sz w:val="24"/>
          <w:szCs w:val="24"/>
          <w:highlight w:val="none"/>
        </w:rPr>
        <w:t>组织，与联合体中的小型、微型企业之间</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存在、不存在）投资关系（如果是联合体的话）。</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（4）已详细审查全部磋商文件，包括所有补充通知（如果有的话），完全理解并同意放弃对这方面有不明、误解和质疑的权力。</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（5）在规定的磋商开启时间后，遵守磋商文件中有关保证金的规定。</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（6）我方不是为本项目提供整体设计、规范编制或者项目管理、监理、检测等</w:t>
      </w:r>
      <w:r>
        <w:rPr>
          <w:rFonts w:hint="eastAsia" w:ascii="宋体" w:hAnsi="宋体" w:eastAsia="宋体" w:cs="宋体"/>
          <w:b w:val="0"/>
          <w:i w:val="0"/>
          <w:caps w:val="0"/>
          <w:color w:val="auto"/>
          <w:spacing w:val="0"/>
          <w:w w:val="100"/>
          <w:sz w:val="24"/>
          <w:szCs w:val="24"/>
          <w:highlight w:val="none"/>
          <w:lang w:val="en-US" w:eastAsia="zh-CN"/>
        </w:rPr>
        <w:t>服务</w:t>
      </w:r>
      <w:r>
        <w:rPr>
          <w:rFonts w:hint="eastAsia" w:ascii="宋体" w:hAnsi="宋体" w:eastAsia="宋体" w:cs="宋体"/>
          <w:b w:val="0"/>
          <w:i w:val="0"/>
          <w:caps w:val="0"/>
          <w:color w:val="auto"/>
          <w:spacing w:val="0"/>
          <w:w w:val="100"/>
          <w:sz w:val="24"/>
          <w:szCs w:val="24"/>
          <w:highlight w:val="none"/>
        </w:rPr>
        <w:t>的供应商，我方不是采购代理机构的附属机构。</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（7）在领取成交通知书的同时按磋商文件规定的形式，向贵方一次性支付成交</w:t>
      </w:r>
      <w:r>
        <w:rPr>
          <w:rFonts w:hint="eastAsia" w:ascii="宋体" w:hAnsi="宋体" w:eastAsia="宋体" w:cs="宋体"/>
          <w:b w:val="0"/>
          <w:i w:val="0"/>
          <w:caps w:val="0"/>
          <w:color w:val="auto"/>
          <w:spacing w:val="0"/>
          <w:w w:val="100"/>
          <w:sz w:val="24"/>
          <w:szCs w:val="24"/>
          <w:highlight w:val="none"/>
          <w:lang w:val="en-US" w:eastAsia="zh-CN"/>
        </w:rPr>
        <w:t>服务</w:t>
      </w:r>
      <w:r>
        <w:rPr>
          <w:rFonts w:hint="eastAsia" w:ascii="宋体" w:hAnsi="宋体" w:eastAsia="宋体" w:cs="宋体"/>
          <w:b w:val="0"/>
          <w:i w:val="0"/>
          <w:caps w:val="0"/>
          <w:color w:val="auto"/>
          <w:spacing w:val="0"/>
          <w:w w:val="100"/>
          <w:sz w:val="24"/>
          <w:szCs w:val="24"/>
          <w:highlight w:val="none"/>
        </w:rPr>
        <w:t>费。</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（8）按照贵方可能要求，提供与其磋商有关的一切数据或资料，完全理解贵方不一定接受最低价的磋商或收到的任何磋商。</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（9）按照磋商文件的规定履行合同责任和义务。</w:t>
      </w:r>
    </w:p>
    <w:p>
      <w:pPr>
        <w:pStyle w:val="13"/>
        <w:shd w:val="clear"/>
        <w:tabs>
          <w:tab w:val="left" w:pos="5580"/>
        </w:tabs>
        <w:snapToGrid w:val="0"/>
        <w:spacing w:before="0" w:beforeAutospacing="0" w:after="0" w:afterAutospacing="0" w:line="240" w:lineRule="atLeast"/>
        <w:ind w:left="359" w:leftChars="68" w:hangingChars="9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与本磋商有关的一切正式往来信函请寄：</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地址</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 xml:space="preserve">     传真</w:t>
      </w:r>
      <w:r>
        <w:rPr>
          <w:rFonts w:hint="eastAsia" w:ascii="宋体" w:hAnsi="宋体" w:eastAsia="宋体" w:cs="宋体"/>
          <w:b w:val="0"/>
          <w:i w:val="0"/>
          <w:caps w:val="0"/>
          <w:color w:val="auto"/>
          <w:spacing w:val="0"/>
          <w:w w:val="100"/>
          <w:sz w:val="24"/>
          <w:szCs w:val="24"/>
          <w:highlight w:val="none"/>
          <w:u w:val="single" w:color="000000"/>
        </w:rPr>
        <w:t xml:space="preserve">                             </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电话</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 xml:space="preserve">     电子函件</w:t>
      </w:r>
      <w:r>
        <w:rPr>
          <w:rFonts w:hint="eastAsia" w:ascii="宋体" w:hAnsi="宋体" w:eastAsia="宋体" w:cs="宋体"/>
          <w:b w:val="0"/>
          <w:i w:val="0"/>
          <w:caps w:val="0"/>
          <w:color w:val="auto"/>
          <w:spacing w:val="0"/>
          <w:w w:val="100"/>
          <w:sz w:val="24"/>
          <w:szCs w:val="24"/>
          <w:highlight w:val="none"/>
          <w:u w:val="single" w:color="000000"/>
        </w:rPr>
        <w:t xml:space="preserve">                         </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u w:val="single" w:color="000000"/>
        </w:rPr>
      </w:pPr>
      <w:r>
        <w:rPr>
          <w:rFonts w:hint="eastAsia" w:ascii="宋体" w:hAnsi="宋体" w:eastAsia="宋体" w:cs="宋体"/>
          <w:b w:val="0"/>
          <w:i w:val="0"/>
          <w:caps w:val="0"/>
          <w:color w:val="auto"/>
          <w:spacing w:val="0"/>
          <w:w w:val="100"/>
          <w:sz w:val="24"/>
          <w:szCs w:val="24"/>
          <w:highlight w:val="none"/>
        </w:rPr>
        <w:t>法定代表人或其委托代理人（签/章）</w:t>
      </w:r>
      <w:r>
        <w:rPr>
          <w:rFonts w:hint="eastAsia" w:ascii="宋体" w:hAnsi="宋体" w:eastAsia="宋体" w:cs="宋体"/>
          <w:b w:val="0"/>
          <w:i w:val="0"/>
          <w:caps w:val="0"/>
          <w:color w:val="auto"/>
          <w:spacing w:val="0"/>
          <w:w w:val="100"/>
          <w:sz w:val="24"/>
          <w:szCs w:val="24"/>
          <w:highlight w:val="none"/>
          <w:u w:val="single" w:color="000000"/>
        </w:rPr>
        <w:t xml:space="preserve">　　　　　　 </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供应商名称（全称）</w:t>
      </w:r>
      <w:r>
        <w:rPr>
          <w:rFonts w:hint="eastAsia" w:ascii="宋体" w:hAnsi="宋体" w:eastAsia="宋体" w:cs="宋体"/>
          <w:b w:val="0"/>
          <w:i w:val="0"/>
          <w:caps w:val="0"/>
          <w:color w:val="auto"/>
          <w:spacing w:val="0"/>
          <w:w w:val="100"/>
          <w:sz w:val="24"/>
          <w:szCs w:val="24"/>
          <w:highlight w:val="none"/>
          <w:u w:val="single" w:color="000000"/>
        </w:rPr>
        <w:t xml:space="preserve">　　　　　　 </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供应商开户银行（全称）</w:t>
      </w:r>
      <w:r>
        <w:rPr>
          <w:rFonts w:hint="eastAsia" w:ascii="宋体" w:hAnsi="宋体" w:eastAsia="宋体" w:cs="宋体"/>
          <w:b w:val="0"/>
          <w:i w:val="0"/>
          <w:caps w:val="0"/>
          <w:color w:val="auto"/>
          <w:spacing w:val="0"/>
          <w:w w:val="100"/>
          <w:sz w:val="24"/>
          <w:szCs w:val="24"/>
          <w:highlight w:val="none"/>
          <w:u w:val="single" w:color="000000"/>
        </w:rPr>
        <w:t xml:space="preserve">　　　　　　 </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供应商银行帐号</w:t>
      </w:r>
      <w:r>
        <w:rPr>
          <w:rFonts w:hint="eastAsia" w:ascii="宋体" w:hAnsi="宋体" w:eastAsia="宋体" w:cs="宋体"/>
          <w:b w:val="0"/>
          <w:i w:val="0"/>
          <w:caps w:val="0"/>
          <w:color w:val="auto"/>
          <w:spacing w:val="0"/>
          <w:w w:val="100"/>
          <w:sz w:val="24"/>
          <w:szCs w:val="24"/>
          <w:highlight w:val="none"/>
          <w:u w:val="single" w:color="000000"/>
        </w:rPr>
        <w:t>　　　　　　　　 　　</w:t>
      </w:r>
    </w:p>
    <w:p>
      <w:pPr>
        <w:pStyle w:val="13"/>
        <w:shd w:val="clear"/>
        <w:tabs>
          <w:tab w:val="left" w:pos="558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u w:val="single" w:color="000000"/>
        </w:rPr>
      </w:pPr>
      <w:r>
        <w:rPr>
          <w:rFonts w:hint="eastAsia" w:ascii="宋体" w:hAnsi="宋体" w:eastAsia="宋体" w:cs="宋体"/>
          <w:b w:val="0"/>
          <w:i w:val="0"/>
          <w:caps w:val="0"/>
          <w:color w:val="auto"/>
          <w:spacing w:val="0"/>
          <w:w w:val="100"/>
          <w:sz w:val="24"/>
          <w:szCs w:val="24"/>
          <w:highlight w:val="none"/>
        </w:rPr>
        <w:t>供应商</w:t>
      </w:r>
      <w:r>
        <w:rPr>
          <w:rFonts w:hint="eastAsia" w:ascii="宋体" w:hAnsi="宋体" w:eastAsia="宋体" w:cs="宋体"/>
          <w:b w:val="0"/>
          <w:i w:val="0"/>
          <w:caps w:val="0"/>
          <w:color w:val="auto"/>
          <w:spacing w:val="0"/>
          <w:w w:val="100"/>
          <w:sz w:val="24"/>
          <w:szCs w:val="24"/>
          <w:highlight w:val="none"/>
          <w:lang w:val="en-US" w:eastAsia="zh-CN"/>
        </w:rPr>
        <w:t>名称</w:t>
      </w:r>
      <w:r>
        <w:rPr>
          <w:rFonts w:hint="eastAsia" w:ascii="宋体" w:hAnsi="宋体" w:eastAsia="宋体" w:cs="宋体"/>
          <w:b w:val="0"/>
          <w:i w:val="0"/>
          <w:caps w:val="0"/>
          <w:color w:val="auto"/>
          <w:spacing w:val="0"/>
          <w:w w:val="100"/>
          <w:sz w:val="24"/>
          <w:szCs w:val="24"/>
          <w:highlight w:val="none"/>
        </w:rPr>
        <w:t>（公章）</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rPr>
        <w:t>日期</w:t>
      </w:r>
      <w:r>
        <w:rPr>
          <w:rFonts w:hint="eastAsia" w:ascii="宋体" w:hAnsi="宋体" w:eastAsia="宋体" w:cs="宋体"/>
          <w:b w:val="0"/>
          <w:i w:val="0"/>
          <w:caps w:val="0"/>
          <w:color w:val="auto"/>
          <w:spacing w:val="0"/>
          <w:w w:val="100"/>
          <w:sz w:val="24"/>
          <w:szCs w:val="24"/>
          <w:highlight w:val="none"/>
          <w:u w:val="single" w:color="000000"/>
        </w:rPr>
        <w:t>　　　　　　</w:t>
      </w:r>
      <w:bookmarkStart w:id="648" w:name="_Toc1881"/>
      <w:bookmarkStart w:id="649" w:name="_Toc515647818"/>
      <w:bookmarkStart w:id="650" w:name="_Toc20897"/>
      <w:bookmarkStart w:id="651" w:name="_Toc216582815"/>
    </w:p>
    <w:p>
      <w:pPr>
        <w:rPr>
          <w:rFonts w:hint="eastAsia" w:ascii="宋体" w:hAnsi="宋体" w:eastAsia="宋体" w:cs="宋体"/>
          <w:b/>
          <w:i w:val="0"/>
          <w:caps w:val="0"/>
          <w:color w:val="auto"/>
          <w:spacing w:val="0"/>
          <w:w w:val="100"/>
          <w:sz w:val="24"/>
          <w:szCs w:val="24"/>
          <w:highlight w:val="none"/>
        </w:rPr>
      </w:pPr>
      <w:bookmarkStart w:id="652" w:name="_Toc23248"/>
      <w:bookmarkStart w:id="653" w:name="_Toc23321"/>
      <w:bookmarkStart w:id="654" w:name="_Toc32493"/>
      <w:bookmarkStart w:id="655" w:name="_Toc29155"/>
      <w:bookmarkStart w:id="656" w:name="_Toc16705"/>
      <w:bookmarkStart w:id="657" w:name="_Toc18221"/>
      <w:bookmarkStart w:id="658" w:name="_Toc12874"/>
      <w:r>
        <w:rPr>
          <w:rFonts w:hint="eastAsia" w:ascii="宋体" w:hAnsi="宋体" w:eastAsia="宋体" w:cs="宋体"/>
          <w:b/>
          <w:i w:val="0"/>
          <w:caps w:val="0"/>
          <w:color w:val="auto"/>
          <w:spacing w:val="0"/>
          <w:w w:val="100"/>
          <w:sz w:val="24"/>
          <w:szCs w:val="24"/>
          <w:highlight w:val="none"/>
        </w:rPr>
        <w:br w:type="page"/>
      </w:r>
    </w:p>
    <w:bookmarkEnd w:id="648"/>
    <w:bookmarkEnd w:id="649"/>
    <w:bookmarkEnd w:id="650"/>
    <w:bookmarkEnd w:id="651"/>
    <w:bookmarkEnd w:id="652"/>
    <w:bookmarkEnd w:id="653"/>
    <w:bookmarkEnd w:id="654"/>
    <w:bookmarkEnd w:id="655"/>
    <w:bookmarkEnd w:id="656"/>
    <w:bookmarkEnd w:id="657"/>
    <w:bookmarkEnd w:id="658"/>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b/>
          <w:bCs w:val="0"/>
          <w:color w:val="auto"/>
          <w:sz w:val="28"/>
          <w:szCs w:val="28"/>
          <w:highlight w:val="none"/>
          <w:lang w:val="en-US" w:eastAsia="zh-CN"/>
        </w:rPr>
      </w:pPr>
      <w:bookmarkStart w:id="659" w:name="_Toc20362"/>
      <w:bookmarkStart w:id="660" w:name="_Toc216582818"/>
      <w:bookmarkStart w:id="661" w:name="_Toc1980"/>
      <w:bookmarkStart w:id="662" w:name="_Toc515647821"/>
      <w:bookmarkStart w:id="663" w:name="_Toc13810"/>
      <w:bookmarkStart w:id="664" w:name="_Toc13576"/>
      <w:bookmarkStart w:id="665" w:name="_Toc23"/>
      <w:bookmarkStart w:id="666" w:name="_Toc3060"/>
      <w:bookmarkStart w:id="667" w:name="_Toc15724"/>
      <w:bookmarkStart w:id="668" w:name="_Toc24350"/>
      <w:bookmarkStart w:id="669" w:name="_Toc3332"/>
      <w:bookmarkStart w:id="670" w:name="_Toc4467"/>
      <w:r>
        <w:rPr>
          <w:rFonts w:hint="eastAsia" w:ascii="宋体" w:hAnsi="宋体" w:eastAsia="宋体" w:cs="宋体"/>
          <w:b/>
          <w:bCs w:val="0"/>
          <w:i w:val="0"/>
          <w:caps w:val="0"/>
          <w:color w:val="auto"/>
          <w:spacing w:val="0"/>
          <w:w w:val="100"/>
          <w:sz w:val="28"/>
          <w:szCs w:val="28"/>
          <w:highlight w:val="none"/>
          <w:lang w:val="en-US" w:eastAsia="zh-CN"/>
        </w:rPr>
        <w:t>2</w:t>
      </w:r>
      <w:r>
        <w:rPr>
          <w:rFonts w:hint="eastAsia" w:ascii="宋体" w:hAnsi="宋体" w:eastAsia="宋体" w:cs="宋体"/>
          <w:b/>
          <w:bCs w:val="0"/>
          <w:i w:val="0"/>
          <w:caps w:val="0"/>
          <w:color w:val="auto"/>
          <w:spacing w:val="0"/>
          <w:w w:val="100"/>
          <w:sz w:val="28"/>
          <w:szCs w:val="28"/>
          <w:highlight w:val="none"/>
          <w:lang w:eastAsia="zh-CN"/>
        </w:rPr>
        <w:t>.</w:t>
      </w:r>
      <w:bookmarkStart w:id="671" w:name="_Toc19536"/>
      <w:bookmarkStart w:id="672" w:name="_Toc24430"/>
      <w:bookmarkStart w:id="673" w:name="_Toc13402"/>
      <w:r>
        <w:rPr>
          <w:rFonts w:hint="eastAsia" w:ascii="宋体" w:hAnsi="宋体" w:eastAsia="宋体" w:cs="宋体"/>
          <w:b/>
          <w:bCs w:val="0"/>
          <w:i w:val="0"/>
          <w:caps w:val="0"/>
          <w:color w:val="auto"/>
          <w:spacing w:val="0"/>
          <w:w w:val="100"/>
          <w:sz w:val="28"/>
          <w:szCs w:val="28"/>
          <w:highlight w:val="none"/>
          <w:lang w:val="en-US" w:eastAsia="zh-CN"/>
        </w:rPr>
        <w:t>磋商</w:t>
      </w:r>
      <w:r>
        <w:rPr>
          <w:rFonts w:hint="eastAsia" w:ascii="宋体" w:hAnsi="宋体" w:eastAsia="宋体" w:cs="宋体"/>
          <w:b/>
          <w:bCs w:val="0"/>
          <w:color w:val="auto"/>
          <w:sz w:val="28"/>
          <w:szCs w:val="28"/>
          <w:highlight w:val="none"/>
          <w:lang w:val="en-US" w:eastAsia="zh-CN"/>
        </w:rPr>
        <w:t>分项报价表</w:t>
      </w:r>
      <w:bookmarkEnd w:id="659"/>
      <w:bookmarkEnd w:id="671"/>
      <w:bookmarkEnd w:id="672"/>
      <w:bookmarkEnd w:id="673"/>
    </w:p>
    <w:p>
      <w:pPr>
        <w:pStyle w:val="13"/>
        <w:spacing w:line="400" w:lineRule="exact"/>
        <w:ind w:left="540" w:lef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报价单位：人民币 </w:t>
      </w:r>
      <w:r>
        <w:rPr>
          <w:rFonts w:hint="eastAsia" w:hAnsi="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元          </w:t>
      </w:r>
      <w:r>
        <w:rPr>
          <w:rFonts w:hint="eastAsia" w:ascii="宋体" w:hAnsi="宋体" w:eastAsia="宋体" w:cs="宋体"/>
          <w:color w:val="auto"/>
          <w:sz w:val="24"/>
          <w:szCs w:val="24"/>
          <w:highlight w:val="none"/>
        </w:rPr>
        <w:t xml:space="preserve"> 包号：</w:t>
      </w:r>
    </w:p>
    <w:tbl>
      <w:tblPr>
        <w:tblStyle w:val="24"/>
        <w:tblW w:w="969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965"/>
        <w:gridCol w:w="1750"/>
        <w:gridCol w:w="1220"/>
        <w:gridCol w:w="1195"/>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1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2965" w:type="dxa"/>
            <w:vAlign w:val="center"/>
          </w:tcPr>
          <w:p>
            <w:pPr>
              <w:spacing w:line="360" w:lineRule="auto"/>
              <w:jc w:val="center"/>
              <w:rPr>
                <w:rFonts w:hint="default" w:ascii="宋体" w:hAnsi="宋体" w:eastAsia="宋体" w:cs="宋体"/>
                <w:color w:val="auto"/>
                <w:sz w:val="24"/>
                <w:highlight w:val="none"/>
                <w:lang w:val="en-US"/>
              </w:rPr>
            </w:pPr>
            <w:r>
              <w:rPr>
                <w:rFonts w:hint="eastAsia" w:ascii="宋体" w:hAnsi="宋体" w:cs="宋体"/>
                <w:color w:val="auto"/>
                <w:sz w:val="24"/>
                <w:szCs w:val="24"/>
                <w:highlight w:val="none"/>
                <w:lang w:val="en-US" w:eastAsia="zh-CN"/>
              </w:rPr>
              <w:t>服务名称</w:t>
            </w:r>
          </w:p>
        </w:tc>
        <w:tc>
          <w:tcPr>
            <w:tcW w:w="1750" w:type="dxa"/>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服务内容</w:t>
            </w:r>
          </w:p>
        </w:tc>
        <w:tc>
          <w:tcPr>
            <w:tcW w:w="122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195" w:type="dxa"/>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总价</w:t>
            </w:r>
          </w:p>
        </w:tc>
        <w:tc>
          <w:tcPr>
            <w:tcW w:w="175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96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c>
          <w:tcPr>
            <w:tcW w:w="1220" w:type="dxa"/>
            <w:vAlign w:val="center"/>
          </w:tcPr>
          <w:p>
            <w:pPr>
              <w:spacing w:line="360" w:lineRule="auto"/>
              <w:jc w:val="center"/>
              <w:rPr>
                <w:rFonts w:hint="eastAsia" w:ascii="宋体" w:hAnsi="宋体" w:eastAsia="宋体" w:cs="宋体"/>
                <w:color w:val="auto"/>
                <w:sz w:val="24"/>
                <w:highlight w:val="none"/>
              </w:rPr>
            </w:pPr>
          </w:p>
        </w:tc>
        <w:tc>
          <w:tcPr>
            <w:tcW w:w="119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6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c>
          <w:tcPr>
            <w:tcW w:w="1220" w:type="dxa"/>
            <w:vAlign w:val="center"/>
          </w:tcPr>
          <w:p>
            <w:pPr>
              <w:spacing w:line="360" w:lineRule="auto"/>
              <w:jc w:val="center"/>
              <w:rPr>
                <w:rFonts w:hint="eastAsia" w:ascii="宋体" w:hAnsi="宋体" w:eastAsia="宋体" w:cs="宋体"/>
                <w:color w:val="auto"/>
                <w:sz w:val="24"/>
                <w:highlight w:val="none"/>
              </w:rPr>
            </w:pPr>
          </w:p>
        </w:tc>
        <w:tc>
          <w:tcPr>
            <w:tcW w:w="119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96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c>
          <w:tcPr>
            <w:tcW w:w="1220" w:type="dxa"/>
            <w:vAlign w:val="center"/>
          </w:tcPr>
          <w:p>
            <w:pPr>
              <w:spacing w:line="360" w:lineRule="auto"/>
              <w:jc w:val="center"/>
              <w:rPr>
                <w:rFonts w:hint="eastAsia" w:ascii="宋体" w:hAnsi="宋体" w:eastAsia="宋体" w:cs="宋体"/>
                <w:color w:val="auto"/>
                <w:sz w:val="24"/>
                <w:highlight w:val="none"/>
              </w:rPr>
            </w:pPr>
          </w:p>
        </w:tc>
        <w:tc>
          <w:tcPr>
            <w:tcW w:w="119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96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c>
          <w:tcPr>
            <w:tcW w:w="1220" w:type="dxa"/>
            <w:vAlign w:val="center"/>
          </w:tcPr>
          <w:p>
            <w:pPr>
              <w:spacing w:line="360" w:lineRule="auto"/>
              <w:jc w:val="center"/>
              <w:rPr>
                <w:rFonts w:hint="eastAsia" w:ascii="宋体" w:hAnsi="宋体" w:eastAsia="宋体" w:cs="宋体"/>
                <w:color w:val="auto"/>
                <w:sz w:val="24"/>
                <w:highlight w:val="none"/>
              </w:rPr>
            </w:pPr>
          </w:p>
        </w:tc>
        <w:tc>
          <w:tcPr>
            <w:tcW w:w="119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96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c>
          <w:tcPr>
            <w:tcW w:w="1220" w:type="dxa"/>
            <w:vAlign w:val="center"/>
          </w:tcPr>
          <w:p>
            <w:pPr>
              <w:spacing w:line="360" w:lineRule="auto"/>
              <w:jc w:val="center"/>
              <w:rPr>
                <w:rFonts w:hint="eastAsia" w:ascii="宋体" w:hAnsi="宋体" w:eastAsia="宋体" w:cs="宋体"/>
                <w:color w:val="auto"/>
                <w:sz w:val="24"/>
                <w:highlight w:val="none"/>
              </w:rPr>
            </w:pPr>
          </w:p>
        </w:tc>
        <w:tc>
          <w:tcPr>
            <w:tcW w:w="119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8"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96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c>
          <w:tcPr>
            <w:tcW w:w="1220" w:type="dxa"/>
            <w:vAlign w:val="center"/>
          </w:tcPr>
          <w:p>
            <w:pPr>
              <w:spacing w:line="360" w:lineRule="auto"/>
              <w:jc w:val="center"/>
              <w:rPr>
                <w:rFonts w:hint="eastAsia" w:ascii="宋体" w:hAnsi="宋体" w:eastAsia="宋体" w:cs="宋体"/>
                <w:color w:val="auto"/>
                <w:sz w:val="24"/>
                <w:highlight w:val="none"/>
              </w:rPr>
            </w:pPr>
          </w:p>
        </w:tc>
        <w:tc>
          <w:tcPr>
            <w:tcW w:w="1195" w:type="dxa"/>
            <w:vAlign w:val="center"/>
          </w:tcPr>
          <w:p>
            <w:pPr>
              <w:spacing w:line="360" w:lineRule="auto"/>
              <w:jc w:val="center"/>
              <w:rPr>
                <w:rFonts w:hint="eastAsia" w:ascii="宋体" w:hAnsi="宋体" w:eastAsia="宋体" w:cs="宋体"/>
                <w:color w:val="auto"/>
                <w:sz w:val="24"/>
                <w:highlight w:val="none"/>
              </w:rPr>
            </w:pPr>
          </w:p>
        </w:tc>
        <w:tc>
          <w:tcPr>
            <w:tcW w:w="1750"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9698" w:type="dxa"/>
            <w:gridSpan w:val="6"/>
            <w:vAlign w:val="center"/>
          </w:tcPr>
          <w:p>
            <w:pPr>
              <w:spacing w:line="360" w:lineRule="auto"/>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总价：</w:t>
            </w:r>
          </w:p>
        </w:tc>
      </w:tr>
    </w:tbl>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3"/>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ab/>
      </w:r>
    </w:p>
    <w:p>
      <w:pPr>
        <w:pStyle w:val="13"/>
        <w:spacing w:line="400" w:lineRule="exact"/>
        <w:ind w:left="1080" w:leftChars="257" w:hanging="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注:1.供应商</w:t>
      </w:r>
      <w:r>
        <w:rPr>
          <w:rFonts w:hint="eastAsia" w:hAnsi="宋体" w:cs="宋体"/>
          <w:color w:val="auto"/>
          <w:sz w:val="24"/>
          <w:szCs w:val="24"/>
          <w:highlight w:val="none"/>
          <w:lang w:eastAsia="zh-CN"/>
        </w:rPr>
        <w:t>需按照货物需求清单为标准进行填写报价。</w:t>
      </w:r>
      <w:r>
        <w:rPr>
          <w:rFonts w:hint="eastAsia" w:hAnsi="宋体" w:cs="宋体"/>
          <w:color w:val="auto"/>
          <w:sz w:val="24"/>
          <w:szCs w:val="24"/>
          <w:highlight w:val="none"/>
          <w:lang w:val="en-US" w:eastAsia="zh-CN"/>
        </w:rPr>
        <w:t xml:space="preserve"> </w:t>
      </w:r>
    </w:p>
    <w:p>
      <w:pPr>
        <w:pStyle w:val="13"/>
        <w:spacing w:line="400" w:lineRule="exact"/>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color w:val="auto"/>
          <w:sz w:val="24"/>
          <w:szCs w:val="24"/>
          <w:highlight w:val="none"/>
          <w:lang w:eastAsia="zh-CN"/>
        </w:rPr>
        <w:t>如果按单价计算的结果与总价不一致,以单价为准修正总价。</w:t>
      </w:r>
    </w:p>
    <w:p>
      <w:pPr>
        <w:pStyle w:val="13"/>
        <w:spacing w:line="400" w:lineRule="exact"/>
        <w:ind w:left="1080" w:leftChars="257" w:hanging="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.如果不提供详细分项报价将视为没有实质性响应</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lang w:eastAsia="zh-CN"/>
        </w:rPr>
        <w:t>。</w:t>
      </w:r>
    </w:p>
    <w:p>
      <w:pPr>
        <w:pStyle w:val="13"/>
        <w:spacing w:line="400" w:lineRule="exact"/>
        <w:ind w:left="1080" w:leftChars="257" w:hanging="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hAnsi="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lang w:eastAsia="zh-CN"/>
        </w:rPr>
        <w:t>上述各项的详细分项报价，应另页描述。</w:t>
      </w:r>
    </w:p>
    <w:p>
      <w:pPr>
        <w:pStyle w:val="13"/>
        <w:spacing w:line="400" w:lineRule="exact"/>
        <w:ind w:left="1080" w:leftChars="257" w:hanging="5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.如果开标一览表（报价表）内容与投标文件中明细表内容不一致的，以开标一览表（报价表）内容为准。</w:t>
      </w:r>
    </w:p>
    <w:p>
      <w:pPr>
        <w:pStyle w:val="7"/>
        <w:rPr>
          <w:rFonts w:hint="eastAsia" w:ascii="宋体" w:hAnsi="宋体" w:eastAsia="宋体" w:cs="宋体"/>
          <w:color w:val="auto"/>
          <w:sz w:val="24"/>
          <w:szCs w:val="24"/>
          <w:highlight w:val="none"/>
          <w:lang w:eastAsia="zh-CN"/>
        </w:rPr>
      </w:pPr>
    </w:p>
    <w:p>
      <w:pPr>
        <w:pStyle w:val="8"/>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outlineLvl w:val="9"/>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outlineLvl w:val="9"/>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outlineLvl w:val="9"/>
        <w:rPr>
          <w:rFonts w:hint="eastAsia"/>
          <w:lang w:eastAsia="zh-CN"/>
        </w:rPr>
      </w:pPr>
    </w:p>
    <w:p>
      <w:pPr>
        <w:outlineLvl w:val="9"/>
        <w:rPr>
          <w:rFonts w:hint="eastAsia" w:ascii="宋体" w:hAnsi="宋体" w:eastAsia="宋体" w:cs="宋体"/>
          <w:color w:val="auto"/>
          <w:sz w:val="24"/>
          <w:szCs w:val="24"/>
          <w:highlight w:val="none"/>
          <w:lang w:eastAsia="zh-CN"/>
        </w:rPr>
      </w:pPr>
    </w:p>
    <w:p>
      <w:pPr>
        <w:rPr>
          <w:rFonts w:hint="eastAsia" w:ascii="宋体" w:hAnsi="宋体" w:eastAsia="宋体" w:cs="宋体"/>
          <w:color w:val="auto"/>
          <w:sz w:val="24"/>
          <w:szCs w:val="24"/>
          <w:highlight w:val="none"/>
          <w:lang w:eastAsia="zh-CN"/>
        </w:rPr>
      </w:pPr>
    </w:p>
    <w:p>
      <w:pPr>
        <w:outlineLvl w:val="9"/>
        <w:rPr>
          <w:rFonts w:hint="eastAsia"/>
          <w:lang w:eastAsia="zh-CN"/>
        </w:rPr>
      </w:pPr>
    </w:p>
    <w:p>
      <w:pPr>
        <w:outlineLvl w:val="9"/>
        <w:rPr>
          <w:rFonts w:hint="eastAsia"/>
          <w:lang w:eastAsia="zh-CN"/>
        </w:rPr>
      </w:pPr>
    </w:p>
    <w:p>
      <w:pPr>
        <w:outlineLvl w:val="9"/>
        <w:rPr>
          <w:rFonts w:hint="eastAsia"/>
          <w:lang w:eastAsia="zh-CN"/>
        </w:rPr>
      </w:pPr>
    </w:p>
    <w:p>
      <w:pPr>
        <w:outlineLvl w:val="9"/>
        <w:rPr>
          <w:rFonts w:hint="eastAsia"/>
          <w:lang w:eastAsia="zh-CN"/>
        </w:rPr>
      </w:pPr>
    </w:p>
    <w:p>
      <w:pPr>
        <w:rPr>
          <w:rFonts w:hint="eastAsia" w:ascii="宋体" w:hAnsi="宋体" w:eastAsia="宋体" w:cs="宋体"/>
          <w:b/>
          <w:bCs/>
          <w:color w:val="auto"/>
          <w:kern w:val="2"/>
          <w:sz w:val="28"/>
          <w:szCs w:val="28"/>
          <w:highlight w:val="none"/>
          <w:lang w:val="en-US" w:eastAsia="zh-CN" w:bidi="ar-SA"/>
        </w:rPr>
      </w:pPr>
      <w:bookmarkStart w:id="674" w:name="_Toc8218"/>
      <w:r>
        <w:rPr>
          <w:rFonts w:hint="eastAsia" w:ascii="宋体" w:hAnsi="宋体" w:eastAsia="宋体" w:cs="宋体"/>
          <w:b/>
          <w:bCs/>
          <w:color w:val="auto"/>
          <w:kern w:val="2"/>
          <w:sz w:val="28"/>
          <w:szCs w:val="28"/>
          <w:highlight w:val="none"/>
          <w:lang w:val="en-US" w:eastAsia="zh-CN" w:bidi="ar-SA"/>
        </w:rPr>
        <w:br w:type="page"/>
      </w:r>
    </w:p>
    <w:p>
      <w:pPr>
        <w:pStyle w:val="13"/>
        <w:tabs>
          <w:tab w:val="left" w:pos="5580"/>
        </w:tabs>
        <w:spacing w:line="400" w:lineRule="exact"/>
        <w:ind w:left="1080" w:leftChars="257" w:hanging="540"/>
        <w:jc w:val="center"/>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3.</w:t>
      </w:r>
      <w:bookmarkStart w:id="675" w:name="_Toc18727"/>
      <w:bookmarkStart w:id="676" w:name="_Toc31485"/>
      <w:bookmarkStart w:id="677" w:name="_Toc16062"/>
      <w:r>
        <w:rPr>
          <w:rFonts w:hint="eastAsia"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val="en-US" w:eastAsia="zh-CN"/>
        </w:rPr>
        <w:t>说明一览表</w:t>
      </w:r>
      <w:bookmarkEnd w:id="674"/>
      <w:bookmarkEnd w:id="675"/>
      <w:bookmarkEnd w:id="676"/>
      <w:bookmarkEnd w:id="677"/>
    </w:p>
    <w:p>
      <w:pPr>
        <w:pStyle w:val="13"/>
        <w:spacing w:line="360" w:lineRule="exact"/>
        <w:rPr>
          <w:rFonts w:hint="eastAsia" w:ascii="宋体" w:hAnsi="宋体" w:eastAsia="宋体" w:cs="宋体"/>
          <w:color w:val="auto"/>
          <w:sz w:val="24"/>
          <w:highlight w:val="none"/>
        </w:rPr>
      </w:pPr>
    </w:p>
    <w:p>
      <w:pPr>
        <w:pStyle w:val="13"/>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p>
    <w:p>
      <w:pPr>
        <w:pStyle w:val="13"/>
        <w:spacing w:line="360" w:lineRule="exact"/>
        <w:ind w:left="1080" w:leftChars="257" w:hanging="540"/>
        <w:rPr>
          <w:rFonts w:hint="eastAsia" w:ascii="宋体" w:hAnsi="宋体" w:eastAsia="宋体" w:cs="宋体"/>
          <w:color w:val="auto"/>
          <w:sz w:val="24"/>
          <w:highlight w:val="none"/>
        </w:rPr>
      </w:pPr>
    </w:p>
    <w:tbl>
      <w:tblPr>
        <w:tblStyle w:val="24"/>
        <w:tblW w:w="8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84"/>
        <w:gridCol w:w="1360"/>
        <w:gridCol w:w="1445"/>
        <w:gridCol w:w="136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pPr>
              <w:pStyle w:val="13"/>
              <w:spacing w:line="240" w:lineRule="atLeast"/>
              <w:jc w:val="center"/>
              <w:rPr>
                <w:rFonts w:hint="eastAsia" w:ascii="宋体" w:hAnsi="宋体" w:eastAsia="宋体" w:cs="宋体"/>
                <w:color w:val="auto"/>
                <w:sz w:val="24"/>
                <w:szCs w:val="24"/>
                <w:highlight w:val="none"/>
              </w:rPr>
            </w:pPr>
            <w:r>
              <w:rPr>
                <w:rFonts w:hint="eastAsia" w:ascii="微软雅黑" w:hAnsi="微软雅黑" w:eastAsia="微软雅黑" w:cs="微软雅黑"/>
                <w:sz w:val="24"/>
              </w:rPr>
              <w:t>序号</w:t>
            </w:r>
          </w:p>
        </w:tc>
        <w:tc>
          <w:tcPr>
            <w:tcW w:w="1784" w:type="dxa"/>
            <w:noWrap w:val="0"/>
            <w:vAlign w:val="center"/>
          </w:tcPr>
          <w:p>
            <w:pPr>
              <w:pStyle w:val="13"/>
              <w:spacing w:line="240" w:lineRule="atLeast"/>
              <w:jc w:val="center"/>
              <w:rPr>
                <w:rFonts w:hint="eastAsia" w:ascii="宋体" w:hAnsi="宋体" w:eastAsia="宋体" w:cs="宋体"/>
                <w:color w:val="auto"/>
                <w:sz w:val="24"/>
                <w:szCs w:val="24"/>
                <w:highlight w:val="none"/>
              </w:rPr>
            </w:pPr>
            <w:r>
              <w:rPr>
                <w:rFonts w:hint="eastAsia" w:ascii="微软雅黑" w:hAnsi="微软雅黑" w:eastAsia="微软雅黑" w:cs="微软雅黑"/>
                <w:sz w:val="24"/>
              </w:rPr>
              <w:t>服务名称</w:t>
            </w:r>
          </w:p>
        </w:tc>
        <w:tc>
          <w:tcPr>
            <w:tcW w:w="1360" w:type="dxa"/>
            <w:noWrap w:val="0"/>
            <w:vAlign w:val="center"/>
          </w:tcPr>
          <w:p>
            <w:pPr>
              <w:pStyle w:val="13"/>
              <w:spacing w:line="240" w:lineRule="atLeast"/>
              <w:jc w:val="center"/>
              <w:rPr>
                <w:rFonts w:hint="eastAsia" w:ascii="宋体" w:hAnsi="宋体" w:eastAsia="宋体" w:cs="宋体"/>
                <w:color w:val="auto"/>
                <w:sz w:val="24"/>
                <w:szCs w:val="24"/>
                <w:highlight w:val="none"/>
              </w:rPr>
            </w:pPr>
            <w:r>
              <w:rPr>
                <w:rFonts w:hint="eastAsia" w:ascii="微软雅黑" w:hAnsi="微软雅黑" w:eastAsia="微软雅黑" w:cs="微软雅黑"/>
                <w:sz w:val="24"/>
              </w:rPr>
              <w:t>服务内容</w:t>
            </w:r>
          </w:p>
        </w:tc>
        <w:tc>
          <w:tcPr>
            <w:tcW w:w="1445" w:type="dxa"/>
            <w:noWrap w:val="0"/>
            <w:vAlign w:val="center"/>
          </w:tcPr>
          <w:p>
            <w:pPr>
              <w:pStyle w:val="13"/>
              <w:spacing w:line="240" w:lineRule="atLeast"/>
              <w:jc w:val="center"/>
              <w:rPr>
                <w:rFonts w:hint="eastAsia" w:ascii="宋体" w:hAnsi="宋体" w:eastAsia="宋体" w:cs="宋体"/>
                <w:color w:val="auto"/>
                <w:sz w:val="24"/>
                <w:szCs w:val="24"/>
                <w:highlight w:val="none"/>
              </w:rPr>
            </w:pPr>
            <w:r>
              <w:rPr>
                <w:rFonts w:hint="eastAsia" w:ascii="微软雅黑" w:hAnsi="微软雅黑" w:eastAsia="微软雅黑" w:cs="微软雅黑"/>
                <w:sz w:val="24"/>
              </w:rPr>
              <w:t>服务期</w:t>
            </w:r>
          </w:p>
        </w:tc>
        <w:tc>
          <w:tcPr>
            <w:tcW w:w="1360" w:type="dxa"/>
            <w:noWrap w:val="0"/>
            <w:vAlign w:val="center"/>
          </w:tcPr>
          <w:p>
            <w:pPr>
              <w:pStyle w:val="13"/>
              <w:spacing w:line="240" w:lineRule="atLeast"/>
              <w:jc w:val="center"/>
              <w:rPr>
                <w:rFonts w:hint="eastAsia" w:ascii="宋体" w:hAnsi="宋体" w:eastAsia="宋体" w:cs="宋体"/>
                <w:color w:val="auto"/>
                <w:sz w:val="24"/>
                <w:szCs w:val="24"/>
                <w:highlight w:val="none"/>
                <w:lang w:eastAsia="zh-CN"/>
              </w:rPr>
            </w:pPr>
            <w:r>
              <w:rPr>
                <w:rFonts w:hint="eastAsia" w:ascii="微软雅黑" w:hAnsi="微软雅黑" w:eastAsia="微软雅黑" w:cs="微软雅黑"/>
                <w:sz w:val="24"/>
              </w:rPr>
              <w:t>服务地点</w:t>
            </w:r>
          </w:p>
        </w:tc>
        <w:tc>
          <w:tcPr>
            <w:tcW w:w="1155" w:type="dxa"/>
            <w:noWrap w:val="0"/>
            <w:vAlign w:val="center"/>
          </w:tcPr>
          <w:p>
            <w:pPr>
              <w:pStyle w:val="13"/>
              <w:spacing w:line="240" w:lineRule="atLeast"/>
              <w:jc w:val="center"/>
              <w:rPr>
                <w:rFonts w:hint="eastAsia" w:ascii="宋体" w:hAnsi="宋体" w:eastAsia="宋体" w:cs="宋体"/>
                <w:color w:val="auto"/>
                <w:sz w:val="24"/>
                <w:szCs w:val="24"/>
                <w:highlight w:val="none"/>
              </w:rPr>
            </w:pPr>
            <w:r>
              <w:rPr>
                <w:rFonts w:hint="eastAsia" w:ascii="微软雅黑" w:hAnsi="微软雅黑" w:eastAsia="微软雅黑" w:cs="微软雅黑"/>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784"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44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360"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c>
          <w:tcPr>
            <w:tcW w:w="1155" w:type="dxa"/>
            <w:noWrap w:val="0"/>
            <w:vAlign w:val="top"/>
          </w:tcPr>
          <w:p>
            <w:pPr>
              <w:pStyle w:val="13"/>
              <w:spacing w:line="240" w:lineRule="atLeast"/>
              <w:ind w:left="1080" w:leftChars="257" w:hanging="540"/>
              <w:rPr>
                <w:rFonts w:hint="eastAsia" w:ascii="宋体" w:hAnsi="宋体" w:eastAsia="宋体" w:cs="宋体"/>
                <w:color w:val="auto"/>
                <w:sz w:val="24"/>
                <w:szCs w:val="24"/>
                <w:highlight w:val="none"/>
              </w:rPr>
            </w:pPr>
          </w:p>
        </w:tc>
      </w:tr>
    </w:tbl>
    <w:p>
      <w:pPr>
        <w:pStyle w:val="13"/>
        <w:spacing w:line="360" w:lineRule="exact"/>
        <w:ind w:left="1080" w:leftChars="257" w:hanging="540"/>
        <w:rPr>
          <w:rFonts w:hint="eastAsia" w:ascii="宋体" w:hAnsi="宋体" w:eastAsia="宋体" w:cs="宋体"/>
          <w:color w:val="auto"/>
          <w:sz w:val="24"/>
          <w:highlight w:val="none"/>
        </w:rPr>
      </w:pPr>
    </w:p>
    <w:p>
      <w:pPr>
        <w:pStyle w:val="13"/>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kern w:val="2"/>
          <w:sz w:val="24"/>
          <w:szCs w:val="20"/>
          <w:highlight w:val="none"/>
          <w:lang w:val="en-US" w:eastAsia="zh-CN" w:bidi="ar-SA"/>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3"/>
        <w:tabs>
          <w:tab w:val="left" w:pos="5370"/>
        </w:tabs>
        <w:spacing w:line="36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kern w:val="2"/>
          <w:sz w:val="24"/>
          <w:szCs w:val="20"/>
          <w:highlight w:val="none"/>
          <w:lang w:val="en-US" w:eastAsia="zh-CN" w:bidi="ar-SA"/>
        </w:rPr>
        <w:t xml:space="preserve">（公章）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pPr>
        <w:pStyle w:val="13"/>
        <w:spacing w:line="360" w:lineRule="exact"/>
        <w:ind w:left="1080" w:leftChars="257" w:hanging="540"/>
        <w:rPr>
          <w:rFonts w:hint="eastAsia" w:ascii="宋体" w:hAnsi="宋体" w:eastAsia="宋体" w:cs="宋体"/>
          <w:color w:val="auto"/>
          <w:sz w:val="24"/>
          <w:highlight w:val="none"/>
        </w:rPr>
      </w:pPr>
    </w:p>
    <w:p>
      <w:pPr>
        <w:pStyle w:val="13"/>
        <w:spacing w:line="360" w:lineRule="exact"/>
        <w:ind w:left="1080" w:leftChars="257" w:hanging="5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各项服务详细技术性能应另页描述。</w:t>
      </w:r>
    </w:p>
    <w:p>
      <w:pPr>
        <w:pStyle w:val="7"/>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outlineLvl w:val="9"/>
        <w:rPr>
          <w:rFonts w:hint="eastAsia" w:ascii="宋体" w:hAnsi="宋体" w:eastAsia="宋体" w:cs="宋体"/>
          <w:color w:val="auto"/>
          <w:sz w:val="24"/>
          <w:highlight w:val="none"/>
        </w:rPr>
      </w:pPr>
    </w:p>
    <w:p>
      <w:pPr>
        <w:outlineLvl w:val="9"/>
        <w:rPr>
          <w:rFonts w:hint="eastAsia" w:ascii="宋体" w:hAnsi="宋体" w:eastAsia="宋体" w:cs="宋体"/>
          <w:color w:val="auto"/>
          <w:sz w:val="24"/>
          <w:highlight w:val="none"/>
        </w:rPr>
      </w:pPr>
    </w:p>
    <w:p>
      <w:pPr>
        <w:outlineLvl w:val="9"/>
        <w:rPr>
          <w:rFonts w:hint="eastAsia" w:ascii="宋体" w:hAnsi="宋体" w:eastAsia="宋体" w:cs="宋体"/>
          <w:color w:val="auto"/>
          <w:sz w:val="24"/>
          <w:highlight w:val="none"/>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pStyle w:val="2"/>
        <w:rPr>
          <w:rFonts w:hint="eastAsia"/>
        </w:rPr>
      </w:pPr>
    </w:p>
    <w:p>
      <w:pPr>
        <w:outlineLvl w:val="9"/>
        <w:rPr>
          <w:rFonts w:hint="eastAsia" w:ascii="宋体" w:hAnsi="宋体" w:eastAsia="宋体" w:cs="宋体"/>
          <w:color w:val="auto"/>
          <w:sz w:val="24"/>
          <w:highlight w:val="none"/>
        </w:rPr>
      </w:pPr>
    </w:p>
    <w:p>
      <w:pPr>
        <w:outlineLvl w:val="9"/>
        <w:rPr>
          <w:rFonts w:hint="eastAsia" w:ascii="宋体" w:hAnsi="宋体" w:eastAsia="宋体" w:cs="宋体"/>
          <w:color w:val="auto"/>
          <w:sz w:val="24"/>
          <w:highlight w:val="none"/>
        </w:rPr>
      </w:pPr>
    </w:p>
    <w:p>
      <w:pPr>
        <w:pStyle w:val="4"/>
        <w:shd w:val="clear"/>
        <w:snapToGrid w:val="0"/>
        <w:spacing w:before="0" w:beforeAutospacing="0" w:after="0" w:afterAutospacing="0" w:line="240" w:lineRule="atLeast"/>
        <w:ind w:left="1080" w:leftChars="257" w:hanging="540"/>
        <w:jc w:val="center"/>
        <w:textAlignment w:val="baseline"/>
        <w:outlineLvl w:val="1"/>
        <w:rPr>
          <w:rFonts w:hint="eastAsia" w:ascii="宋体" w:hAnsi="宋体" w:eastAsia="宋体" w:cs="宋体"/>
          <w:b/>
          <w:i w:val="0"/>
          <w:caps w:val="0"/>
          <w:color w:val="auto"/>
          <w:spacing w:val="0"/>
          <w:w w:val="100"/>
          <w:sz w:val="28"/>
          <w:szCs w:val="28"/>
          <w:highlight w:val="none"/>
        </w:rPr>
      </w:pPr>
      <w:bookmarkStart w:id="678" w:name="_Toc10484"/>
      <w:r>
        <w:rPr>
          <w:rFonts w:hint="eastAsia" w:ascii="宋体" w:hAnsi="宋体" w:eastAsia="宋体" w:cs="宋体"/>
          <w:b/>
          <w:i w:val="0"/>
          <w:caps w:val="0"/>
          <w:color w:val="auto"/>
          <w:spacing w:val="0"/>
          <w:w w:val="100"/>
          <w:sz w:val="28"/>
          <w:szCs w:val="28"/>
          <w:highlight w:val="none"/>
          <w:lang w:val="en-US" w:eastAsia="zh-CN"/>
        </w:rPr>
        <w:t>4.</w:t>
      </w:r>
      <w:r>
        <w:rPr>
          <w:rFonts w:hint="eastAsia" w:ascii="宋体" w:hAnsi="宋体" w:eastAsia="宋体" w:cs="宋体"/>
          <w:b/>
          <w:i w:val="0"/>
          <w:caps w:val="0"/>
          <w:color w:val="auto"/>
          <w:spacing w:val="0"/>
          <w:w w:val="100"/>
          <w:sz w:val="28"/>
          <w:szCs w:val="28"/>
          <w:highlight w:val="none"/>
        </w:rPr>
        <w:t>商务条款偏离表</w:t>
      </w:r>
      <w:bookmarkEnd w:id="660"/>
      <w:bookmarkEnd w:id="661"/>
      <w:bookmarkEnd w:id="662"/>
      <w:bookmarkEnd w:id="663"/>
      <w:bookmarkEnd w:id="664"/>
      <w:bookmarkEnd w:id="665"/>
      <w:bookmarkEnd w:id="666"/>
      <w:bookmarkEnd w:id="667"/>
      <w:bookmarkEnd w:id="668"/>
      <w:bookmarkEnd w:id="669"/>
      <w:bookmarkEnd w:id="670"/>
      <w:bookmarkEnd w:id="678"/>
    </w:p>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项目名称:                      </w:t>
      </w:r>
    </w:p>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lang w:eastAsia="zh-CN"/>
        </w:rPr>
        <w:t>项目编号</w:t>
      </w:r>
      <w:r>
        <w:rPr>
          <w:rFonts w:hint="eastAsia" w:ascii="宋体" w:hAnsi="宋体" w:eastAsia="宋体" w:cs="宋体"/>
          <w:b w:val="0"/>
          <w:i w:val="0"/>
          <w:caps w:val="0"/>
          <w:color w:val="auto"/>
          <w:spacing w:val="0"/>
          <w:w w:val="100"/>
          <w:sz w:val="24"/>
          <w:szCs w:val="24"/>
          <w:highlight w:val="none"/>
        </w:rPr>
        <w:t xml:space="preserve">:                                </w:t>
      </w:r>
    </w:p>
    <w:tbl>
      <w:tblPr>
        <w:tblStyle w:val="2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序号</w:t>
            </w:r>
          </w:p>
        </w:tc>
        <w:tc>
          <w:tcPr>
            <w:tcW w:w="2040" w:type="dxa"/>
          </w:tcPr>
          <w:p>
            <w:pPr>
              <w:pStyle w:val="13"/>
              <w:shd w:val="clear"/>
              <w:snapToGrid w:val="0"/>
              <w:spacing w:before="0" w:beforeAutospacing="0" w:after="0" w:afterAutospacing="0" w:line="240" w:lineRule="atLeas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磋商文件条款号</w:t>
            </w:r>
          </w:p>
        </w:tc>
        <w:tc>
          <w:tcPr>
            <w:tcW w:w="2520" w:type="dxa"/>
          </w:tcPr>
          <w:p>
            <w:pPr>
              <w:pStyle w:val="13"/>
              <w:shd w:val="clear"/>
              <w:snapToGrid w:val="0"/>
              <w:spacing w:before="0" w:beforeAutospacing="0" w:after="0" w:afterAutospacing="0" w:line="240" w:lineRule="atLeas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磋商文件的商务条款</w:t>
            </w:r>
          </w:p>
        </w:tc>
        <w:tc>
          <w:tcPr>
            <w:tcW w:w="2520" w:type="dxa"/>
          </w:tcPr>
          <w:p>
            <w:pPr>
              <w:pStyle w:val="13"/>
              <w:shd w:val="clear"/>
              <w:snapToGrid w:val="0"/>
              <w:spacing w:before="0" w:beforeAutospacing="0" w:after="0" w:afterAutospacing="0" w:line="240" w:lineRule="atLeas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hAnsi="宋体" w:cs="宋体"/>
                <w:b w:val="0"/>
                <w:i w:val="0"/>
                <w:caps w:val="0"/>
                <w:color w:val="auto"/>
                <w:spacing w:val="0"/>
                <w:w w:val="100"/>
                <w:sz w:val="24"/>
                <w:szCs w:val="24"/>
                <w:highlight w:val="none"/>
                <w:lang w:val="en-US" w:eastAsia="zh-CN"/>
              </w:rPr>
              <w:t>响应</w:t>
            </w:r>
            <w:r>
              <w:rPr>
                <w:rFonts w:hint="eastAsia" w:ascii="宋体" w:hAnsi="宋体" w:eastAsia="宋体" w:cs="宋体"/>
                <w:b w:val="0"/>
                <w:i w:val="0"/>
                <w:caps w:val="0"/>
                <w:color w:val="auto"/>
                <w:spacing w:val="0"/>
                <w:w w:val="100"/>
                <w:sz w:val="24"/>
                <w:szCs w:val="24"/>
                <w:highlight w:val="none"/>
              </w:rPr>
              <w:t>文件的商务条款</w:t>
            </w:r>
          </w:p>
        </w:tc>
        <w:tc>
          <w:tcPr>
            <w:tcW w:w="900" w:type="dxa"/>
          </w:tcPr>
          <w:p>
            <w:pPr>
              <w:pStyle w:val="13"/>
              <w:shd w:val="clear"/>
              <w:snapToGrid w:val="0"/>
              <w:spacing w:before="0" w:beforeAutospacing="0" w:after="0" w:afterAutospacing="0" w:line="240" w:lineRule="atLeas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color w:val="auto"/>
                <w:kern w:val="2"/>
                <w:sz w:val="24"/>
                <w:szCs w:val="24"/>
                <w:highlight w:val="none"/>
                <w:lang w:val="en-US" w:eastAsia="zh-CN" w:bidi="ar-SA"/>
              </w:rPr>
              <w:t>偏离</w:t>
            </w:r>
          </w:p>
        </w:tc>
        <w:tc>
          <w:tcPr>
            <w:tcW w:w="900" w:type="dxa"/>
          </w:tcPr>
          <w:p>
            <w:pPr>
              <w:pStyle w:val="13"/>
              <w:shd w:val="clear"/>
              <w:snapToGrid w:val="0"/>
              <w:spacing w:before="0" w:beforeAutospacing="0" w:after="0" w:afterAutospacing="0" w:line="240" w:lineRule="atLeast"/>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center"/>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center"/>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04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252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c>
          <w:tcPr>
            <w:tcW w:w="900" w:type="dxa"/>
          </w:tcPr>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tc>
      </w:tr>
    </w:tbl>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p>
    <w:p>
      <w:pPr>
        <w:pStyle w:val="13"/>
        <w:shd w:val="clear"/>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法定代表人或其委托代理（签/章）:</w:t>
      </w:r>
      <w:r>
        <w:rPr>
          <w:rFonts w:hint="eastAsia" w:ascii="宋体" w:hAnsi="宋体" w:eastAsia="宋体" w:cs="宋体"/>
          <w:b w:val="0"/>
          <w:i w:val="0"/>
          <w:caps w:val="0"/>
          <w:color w:val="auto"/>
          <w:spacing w:val="0"/>
          <w:w w:val="100"/>
          <w:sz w:val="24"/>
          <w:szCs w:val="24"/>
          <w:highlight w:val="none"/>
          <w:u w:val="single" w:color="000000"/>
        </w:rPr>
        <w:t xml:space="preserve"> </w:t>
      </w:r>
      <w:r>
        <w:rPr>
          <w:rFonts w:hint="eastAsia" w:ascii="宋体" w:hAnsi="宋体" w:eastAsia="宋体" w:cs="宋体"/>
          <w:b w:val="0"/>
          <w:i w:val="0"/>
          <w:caps w:val="0"/>
          <w:color w:val="auto"/>
          <w:spacing w:val="0"/>
          <w:w w:val="100"/>
          <w:sz w:val="24"/>
          <w:szCs w:val="24"/>
          <w:highlight w:val="none"/>
          <w:u w:val="single" w:color="000000"/>
        </w:rPr>
        <w:tab/>
      </w:r>
      <w:r>
        <w:rPr>
          <w:rFonts w:hint="eastAsia" w:ascii="宋体" w:hAnsi="宋体" w:eastAsia="宋体" w:cs="宋体"/>
          <w:b w:val="0"/>
          <w:i w:val="0"/>
          <w:caps w:val="0"/>
          <w:color w:val="auto"/>
          <w:spacing w:val="0"/>
          <w:w w:val="100"/>
          <w:sz w:val="24"/>
          <w:szCs w:val="24"/>
          <w:highlight w:val="none"/>
          <w:u w:val="single" w:color="000000"/>
        </w:rPr>
        <w:t xml:space="preserve">                 </w:t>
      </w:r>
    </w:p>
    <w:p>
      <w:pPr>
        <w:pStyle w:val="13"/>
        <w:shd w:val="clear"/>
        <w:tabs>
          <w:tab w:val="left" w:pos="5370"/>
        </w:tabs>
        <w:snapToGrid w:val="0"/>
        <w:spacing w:before="0" w:beforeAutospacing="0" w:after="0" w:afterAutospacing="0" w:line="240" w:lineRule="atLeast"/>
        <w:ind w:left="1080" w:leftChars="257" w:hanging="540"/>
        <w:jc w:val="both"/>
        <w:textAlignment w:val="baseline"/>
        <w:rPr>
          <w:rFonts w:hint="eastAsia" w:ascii="宋体" w:hAnsi="宋体" w:eastAsia="宋体" w:cs="宋体"/>
          <w:b w:val="0"/>
          <w:i w:val="0"/>
          <w:caps w:val="0"/>
          <w:color w:val="auto"/>
          <w:spacing w:val="0"/>
          <w:w w:val="100"/>
          <w:sz w:val="24"/>
          <w:szCs w:val="24"/>
          <w:highlight w:val="none"/>
          <w:u w:val="single" w:color="000000"/>
        </w:rPr>
      </w:pPr>
      <w:r>
        <w:rPr>
          <w:rFonts w:hint="eastAsia" w:ascii="宋体" w:hAnsi="宋体" w:eastAsia="宋体" w:cs="宋体"/>
          <w:b w:val="0"/>
          <w:i w:val="0"/>
          <w:caps w:val="0"/>
          <w:color w:val="auto"/>
          <w:spacing w:val="0"/>
          <w:w w:val="100"/>
          <w:sz w:val="24"/>
          <w:szCs w:val="24"/>
          <w:highlight w:val="none"/>
        </w:rPr>
        <w:t>供应商</w:t>
      </w:r>
      <w:r>
        <w:rPr>
          <w:rFonts w:hint="eastAsia" w:ascii="宋体" w:hAnsi="宋体" w:eastAsia="宋体" w:cs="宋体"/>
          <w:b w:val="0"/>
          <w:i w:val="0"/>
          <w:caps w:val="0"/>
          <w:color w:val="auto"/>
          <w:spacing w:val="0"/>
          <w:w w:val="100"/>
          <w:sz w:val="24"/>
          <w:szCs w:val="24"/>
          <w:highlight w:val="none"/>
          <w:lang w:val="en-US" w:eastAsia="zh-CN"/>
        </w:rPr>
        <w:t>名称</w:t>
      </w:r>
      <w:r>
        <w:rPr>
          <w:rFonts w:hint="eastAsia" w:ascii="宋体" w:hAnsi="宋体" w:eastAsia="宋体" w:cs="宋体"/>
          <w:b w:val="0"/>
          <w:i w:val="0"/>
          <w:caps w:val="0"/>
          <w:color w:val="auto"/>
          <w:spacing w:val="0"/>
          <w:w w:val="100"/>
          <w:sz w:val="24"/>
          <w:szCs w:val="24"/>
          <w:highlight w:val="none"/>
        </w:rPr>
        <w:t>(公章):</w:t>
      </w:r>
      <w:r>
        <w:rPr>
          <w:rFonts w:hint="eastAsia" w:ascii="宋体" w:hAnsi="宋体" w:eastAsia="宋体" w:cs="宋体"/>
          <w:b w:val="0"/>
          <w:i w:val="0"/>
          <w:caps w:val="0"/>
          <w:color w:val="auto"/>
          <w:spacing w:val="0"/>
          <w:w w:val="100"/>
          <w:sz w:val="24"/>
          <w:szCs w:val="24"/>
          <w:highlight w:val="none"/>
          <w:u w:val="single" w:color="000000"/>
        </w:rPr>
        <w:tab/>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4"/>
        <w:shd w:val="clear"/>
        <w:snapToGrid w:val="0"/>
        <w:spacing w:before="0" w:beforeAutospacing="0" w:after="0" w:afterAutospacing="0" w:line="240" w:lineRule="atLeast"/>
        <w:ind w:left="1080" w:leftChars="257" w:hanging="540"/>
        <w:jc w:val="left"/>
        <w:textAlignment w:val="baseline"/>
        <w:outlineLvl w:val="1"/>
        <w:rPr>
          <w:rFonts w:hint="eastAsia" w:ascii="宋体" w:hAnsi="宋体" w:eastAsia="宋体" w:cs="宋体"/>
          <w:b/>
          <w:i w:val="0"/>
          <w:caps w:val="0"/>
          <w:color w:val="auto"/>
          <w:spacing w:val="0"/>
          <w:w w:val="100"/>
          <w:sz w:val="28"/>
          <w:szCs w:val="28"/>
          <w:highlight w:val="none"/>
        </w:rPr>
      </w:pPr>
      <w:bookmarkStart w:id="679" w:name="_Toc15213"/>
      <w:bookmarkStart w:id="680" w:name="_Toc10079"/>
      <w:bookmarkStart w:id="681" w:name="_Toc16929"/>
      <w:bookmarkStart w:id="682" w:name="_Toc21312"/>
      <w:bookmarkStart w:id="683" w:name="_Toc13462"/>
      <w:bookmarkStart w:id="684" w:name="_Toc3844"/>
      <w:bookmarkStart w:id="685" w:name="_Toc6881"/>
      <w:bookmarkStart w:id="686" w:name="_Toc4073"/>
      <w:bookmarkStart w:id="687" w:name="_Toc18923"/>
      <w:bookmarkStart w:id="688" w:name="_Toc8638"/>
      <w:bookmarkStart w:id="689" w:name="_Toc21482"/>
      <w:bookmarkStart w:id="690" w:name="_Toc515647823"/>
      <w:bookmarkStart w:id="691" w:name="_Toc17820"/>
      <w:bookmarkStart w:id="692" w:name="_Toc10725"/>
      <w:bookmarkStart w:id="693" w:name="_Toc10860"/>
      <w:bookmarkStart w:id="694" w:name="_Toc28142"/>
      <w:r>
        <w:rPr>
          <w:rFonts w:hint="eastAsia" w:ascii="宋体" w:hAnsi="宋体" w:eastAsia="宋体" w:cs="宋体"/>
          <w:b/>
          <w:i w:val="0"/>
          <w:caps w:val="0"/>
          <w:color w:val="auto"/>
          <w:spacing w:val="0"/>
          <w:w w:val="100"/>
          <w:sz w:val="28"/>
          <w:szCs w:val="28"/>
          <w:highlight w:val="none"/>
          <w:lang w:val="en-US" w:eastAsia="zh-CN"/>
        </w:rPr>
        <w:t>5</w:t>
      </w:r>
      <w:r>
        <w:rPr>
          <w:rFonts w:hint="eastAsia" w:ascii="宋体" w:hAnsi="宋体" w:eastAsia="宋体" w:cs="宋体"/>
          <w:b/>
          <w:i w:val="0"/>
          <w:caps w:val="0"/>
          <w:color w:val="auto"/>
          <w:spacing w:val="0"/>
          <w:w w:val="100"/>
          <w:sz w:val="28"/>
          <w:szCs w:val="28"/>
          <w:highlight w:val="none"/>
        </w:rPr>
        <w:t xml:space="preserve">-1  </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rFonts w:hint="eastAsia" w:ascii="宋体" w:hAnsi="宋体" w:eastAsia="宋体" w:cs="宋体"/>
          <w:b/>
          <w:i w:val="0"/>
          <w:caps w:val="0"/>
          <w:color w:val="auto"/>
          <w:spacing w:val="0"/>
          <w:w w:val="100"/>
          <w:sz w:val="28"/>
          <w:szCs w:val="28"/>
          <w:highlight w:val="none"/>
        </w:rPr>
        <w:t>中小企业声明函</w:t>
      </w:r>
      <w:bookmarkEnd w:id="693"/>
      <w:bookmarkEnd w:id="694"/>
    </w:p>
    <w:p>
      <w:pPr>
        <w:keepNext w:val="0"/>
        <w:keepLines w:val="0"/>
        <w:widowControl/>
        <w:suppressLineNumbers w:val="0"/>
        <w:shd w:val="clear"/>
        <w:spacing w:before="0" w:beforeAutospacing="1" w:after="0" w:afterAutospacing="1" w:line="348" w:lineRule="atLeast"/>
        <w:ind w:left="0" w:right="0" w:firstLine="0"/>
        <w:jc w:val="center"/>
        <w:rPr>
          <w:rFonts w:hint="eastAsia" w:ascii="宋体" w:hAnsi="宋体" w:eastAsia="宋体" w:cs="宋体"/>
          <w:i w:val="0"/>
          <w:iCs w:val="0"/>
          <w:caps w:val="0"/>
          <w:color w:val="auto"/>
          <w:spacing w:val="0"/>
          <w:sz w:val="18"/>
          <w:szCs w:val="18"/>
          <w:highlight w:val="none"/>
        </w:rPr>
      </w:pPr>
      <w:r>
        <w:rPr>
          <w:rStyle w:val="27"/>
          <w:rFonts w:hint="eastAsia" w:ascii="宋体" w:hAnsi="宋体" w:eastAsia="宋体" w:cs="宋体"/>
          <w:i w:val="0"/>
          <w:iCs w:val="0"/>
          <w:caps w:val="0"/>
          <w:color w:val="auto"/>
          <w:spacing w:val="0"/>
          <w:kern w:val="0"/>
          <w:sz w:val="24"/>
          <w:szCs w:val="24"/>
          <w:highlight w:val="none"/>
          <w:shd w:val="clear" w:fill="FFFFFF"/>
          <w:lang w:val="en-US" w:eastAsia="zh-CN" w:bidi="ar"/>
        </w:rPr>
        <w:t>中小企业声明函（</w:t>
      </w:r>
      <w:r>
        <w:rPr>
          <w:rStyle w:val="27"/>
          <w:rFonts w:hint="eastAsia" w:ascii="宋体" w:hAnsi="宋体" w:cs="宋体"/>
          <w:i w:val="0"/>
          <w:iCs w:val="0"/>
          <w:caps w:val="0"/>
          <w:color w:val="auto"/>
          <w:spacing w:val="0"/>
          <w:kern w:val="0"/>
          <w:sz w:val="24"/>
          <w:szCs w:val="24"/>
          <w:highlight w:val="none"/>
          <w:shd w:val="clear" w:fill="FFFFFF"/>
          <w:lang w:val="en-US" w:eastAsia="zh-CN" w:bidi="ar"/>
        </w:rPr>
        <w:t>服务</w:t>
      </w:r>
      <w:r>
        <w:rPr>
          <w:rStyle w:val="27"/>
          <w:rFonts w:hint="eastAsia" w:ascii="宋体" w:hAnsi="宋体" w:eastAsia="宋体" w:cs="宋体"/>
          <w:i w:val="0"/>
          <w:iCs w:val="0"/>
          <w:caps w:val="0"/>
          <w:color w:val="auto"/>
          <w:spacing w:val="0"/>
          <w:kern w:val="0"/>
          <w:sz w:val="24"/>
          <w:szCs w:val="24"/>
          <w:highlight w:val="none"/>
          <w:shd w:val="clear" w:fill="FFFFFF"/>
          <w:lang w:val="en-US" w:eastAsia="zh-CN" w:bidi="ar"/>
        </w:rPr>
        <w:t>）</w:t>
      </w:r>
    </w:p>
    <w:p>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kern w:val="2"/>
          <w:sz w:val="24"/>
          <w:szCs w:val="24"/>
          <w:highlight w:val="none"/>
          <w:u w:val="none"/>
          <w:lang w:val="en-US" w:eastAsia="zh-CN" w:bidi="zh-CN"/>
        </w:rPr>
      </w:pPr>
      <w:r>
        <w:rPr>
          <w:rFonts w:hint="eastAsia" w:ascii="宋体" w:hAnsi="宋体" w:eastAsia="宋体" w:cs="宋体"/>
          <w:color w:val="auto"/>
          <w:spacing w:val="5"/>
          <w:w w:val="95"/>
          <w:kern w:val="2"/>
          <w:sz w:val="24"/>
          <w:szCs w:val="24"/>
          <w:highlight w:val="none"/>
          <w:u w:val="none"/>
          <w:lang w:val="en-US" w:eastAsia="zh-CN" w:bidi="zh-CN"/>
        </w:rPr>
        <w:t>本公司（联合体）郑重声明，根据《政府采购促进中小企业发展管理办法》（财库﹝2020﹞46号）的规定，本公司（联合体）参加</w:t>
      </w:r>
      <w:r>
        <w:rPr>
          <w:rFonts w:hint="eastAsia" w:ascii="宋体" w:hAnsi="宋体" w:eastAsia="宋体" w:cs="宋体"/>
          <w:color w:val="auto"/>
          <w:spacing w:val="5"/>
          <w:w w:val="95"/>
          <w:kern w:val="2"/>
          <w:sz w:val="24"/>
          <w:szCs w:val="24"/>
          <w:highlight w:val="none"/>
          <w:u w:val="single"/>
          <w:lang w:val="zh-CN" w:eastAsia="zh-CN" w:bidi="zh-CN"/>
        </w:rPr>
        <w:t>（单位名称）</w:t>
      </w:r>
      <w:r>
        <w:rPr>
          <w:rFonts w:hint="eastAsia" w:ascii="宋体" w:hAnsi="宋体" w:eastAsia="宋体" w:cs="宋体"/>
          <w:color w:val="auto"/>
          <w:spacing w:val="5"/>
          <w:w w:val="95"/>
          <w:kern w:val="2"/>
          <w:sz w:val="24"/>
          <w:szCs w:val="24"/>
          <w:highlight w:val="none"/>
          <w:u w:val="none"/>
          <w:lang w:val="en-US" w:eastAsia="zh-CN" w:bidi="zh-CN"/>
        </w:rPr>
        <w:t>的</w:t>
      </w:r>
      <w:r>
        <w:rPr>
          <w:rFonts w:hint="eastAsia" w:ascii="宋体" w:hAnsi="宋体" w:eastAsia="宋体" w:cs="宋体"/>
          <w:color w:val="auto"/>
          <w:spacing w:val="5"/>
          <w:w w:val="95"/>
          <w:kern w:val="2"/>
          <w:sz w:val="24"/>
          <w:szCs w:val="24"/>
          <w:highlight w:val="none"/>
          <w:u w:val="single"/>
          <w:lang w:val="zh-CN" w:eastAsia="zh-CN" w:bidi="zh-CN"/>
        </w:rPr>
        <w:t>（项目名称）</w:t>
      </w:r>
      <w:r>
        <w:rPr>
          <w:rFonts w:hint="eastAsia" w:ascii="宋体" w:hAnsi="宋体" w:eastAsia="宋体" w:cs="宋体"/>
          <w:color w:val="auto"/>
          <w:spacing w:val="5"/>
          <w:w w:val="95"/>
          <w:kern w:val="2"/>
          <w:sz w:val="24"/>
          <w:szCs w:val="24"/>
          <w:highlight w:val="none"/>
          <w:u w:val="none"/>
          <w:lang w:val="en-US" w:eastAsia="zh-CN" w:bidi="zh-CN"/>
        </w:rPr>
        <w:t>采购活动，工程的施工单位全部为符合政策要求的中小企业。相关企业（含联合体中的中小企业、签订分包意向协议的中小企业）的具体情况如下：</w:t>
      </w:r>
    </w:p>
    <w:p>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0"/>
          <w:kern w:val="2"/>
          <w:sz w:val="24"/>
          <w:szCs w:val="24"/>
          <w:highlight w:val="none"/>
          <w:u w:val="none"/>
          <w:lang w:val="en-US" w:eastAsia="zh-CN" w:bidi="ar-SA"/>
        </w:rPr>
      </w:pPr>
      <w:r>
        <w:rPr>
          <w:rFonts w:hint="eastAsia" w:ascii="宋体" w:hAnsi="宋体" w:eastAsia="宋体" w:cs="宋体"/>
          <w:color w:val="auto"/>
          <w:spacing w:val="5"/>
          <w:w w:val="95"/>
          <w:kern w:val="2"/>
          <w:sz w:val="24"/>
          <w:szCs w:val="24"/>
          <w:highlight w:val="none"/>
          <w:u w:val="none"/>
          <w:lang w:val="en-US" w:eastAsia="zh-CN" w:bidi="zh-CN"/>
        </w:rPr>
        <w:t>1.</w:t>
      </w:r>
      <w:r>
        <w:rPr>
          <w:rFonts w:hint="eastAsia" w:ascii="宋体" w:hAnsi="宋体" w:eastAsia="宋体" w:cs="宋体"/>
          <w:color w:val="auto"/>
          <w:spacing w:val="5"/>
          <w:w w:val="95"/>
          <w:kern w:val="2"/>
          <w:sz w:val="24"/>
          <w:szCs w:val="24"/>
          <w:highlight w:val="none"/>
          <w:u w:val="single"/>
          <w:lang w:val="zh-CN" w:eastAsia="zh-CN" w:bidi="zh-CN"/>
        </w:rPr>
        <w:t>（标的名称）</w:t>
      </w:r>
      <w:r>
        <w:rPr>
          <w:rFonts w:hint="eastAsia" w:ascii="宋体" w:hAnsi="宋体" w:eastAsia="宋体" w:cs="宋体"/>
          <w:i/>
          <w:color w:val="auto"/>
          <w:spacing w:val="0"/>
          <w:kern w:val="2"/>
          <w:sz w:val="24"/>
          <w:szCs w:val="24"/>
          <w:highlight w:val="none"/>
          <w:u w:val="none"/>
          <w:lang w:val="en-US" w:eastAsia="zh-CN" w:bidi="ar-SA"/>
        </w:rPr>
        <w:t xml:space="preserve"> </w:t>
      </w:r>
      <w:r>
        <w:rPr>
          <w:rFonts w:hint="eastAsia" w:ascii="宋体" w:hAnsi="宋体" w:eastAsia="宋体" w:cs="宋体"/>
          <w:color w:val="auto"/>
          <w:spacing w:val="-43"/>
          <w:kern w:val="2"/>
          <w:sz w:val="24"/>
          <w:szCs w:val="24"/>
          <w:highlight w:val="none"/>
          <w:u w:val="none"/>
          <w:lang w:val="en-US" w:eastAsia="zh-CN" w:bidi="ar-SA"/>
        </w:rPr>
        <w:t xml:space="preserve">， </w:t>
      </w:r>
      <w:r>
        <w:rPr>
          <w:rFonts w:hint="eastAsia" w:ascii="宋体" w:hAnsi="宋体" w:eastAsia="宋体" w:cs="宋体"/>
          <w:color w:val="auto"/>
          <w:spacing w:val="7"/>
          <w:w w:val="99"/>
          <w:kern w:val="2"/>
          <w:sz w:val="24"/>
          <w:szCs w:val="24"/>
          <w:highlight w:val="none"/>
          <w:u w:val="none"/>
          <w:lang w:val="zh-CN" w:eastAsia="zh-CN" w:bidi="ar-SA"/>
        </w:rPr>
        <w:t>属于</w:t>
      </w:r>
      <w:r>
        <w:rPr>
          <w:rFonts w:hint="eastAsia" w:ascii="宋体" w:hAnsi="宋体" w:eastAsia="宋体" w:cs="宋体"/>
          <w:color w:val="auto"/>
          <w:spacing w:val="5"/>
          <w:w w:val="95"/>
          <w:kern w:val="2"/>
          <w:sz w:val="24"/>
          <w:szCs w:val="24"/>
          <w:highlight w:val="none"/>
          <w:u w:val="single"/>
          <w:lang w:val="zh-CN" w:eastAsia="zh-CN" w:bidi="zh-CN"/>
        </w:rPr>
        <w:t>（采购文件中明确的所属行业）行业</w:t>
      </w:r>
      <w:r>
        <w:rPr>
          <w:rFonts w:hint="eastAsia" w:ascii="宋体" w:hAnsi="宋体" w:eastAsia="宋体" w:cs="宋体"/>
          <w:color w:val="auto"/>
          <w:spacing w:val="7"/>
          <w:w w:val="99"/>
          <w:kern w:val="2"/>
          <w:sz w:val="24"/>
          <w:szCs w:val="24"/>
          <w:highlight w:val="none"/>
          <w:u w:val="none"/>
          <w:lang w:val="en-US" w:eastAsia="zh-CN" w:bidi="ar-SA"/>
        </w:rPr>
        <w:t>；</w:t>
      </w:r>
      <w:r>
        <w:rPr>
          <w:rFonts w:hint="eastAsia" w:ascii="宋体" w:hAnsi="宋体" w:eastAsia="宋体" w:cs="宋体"/>
          <w:color w:val="auto"/>
          <w:spacing w:val="5"/>
          <w:w w:val="99"/>
          <w:kern w:val="2"/>
          <w:sz w:val="24"/>
          <w:szCs w:val="24"/>
          <w:highlight w:val="none"/>
          <w:u w:val="none"/>
          <w:lang w:val="en-US" w:eastAsia="zh-CN" w:bidi="ar-SA"/>
        </w:rPr>
        <w:t>承建企业</w:t>
      </w:r>
      <w:r>
        <w:rPr>
          <w:rFonts w:hint="eastAsia" w:ascii="宋体" w:hAnsi="宋体" w:eastAsia="宋体" w:cs="宋体"/>
          <w:color w:val="auto"/>
          <w:spacing w:val="-10"/>
          <w:w w:val="99"/>
          <w:kern w:val="2"/>
          <w:sz w:val="24"/>
          <w:szCs w:val="24"/>
          <w:highlight w:val="none"/>
          <w:u w:val="none"/>
          <w:lang w:val="en-US" w:eastAsia="zh-CN" w:bidi="ar-SA"/>
        </w:rPr>
        <w:t>为</w:t>
      </w:r>
      <w:r>
        <w:rPr>
          <w:rFonts w:hint="eastAsia" w:ascii="宋体" w:hAnsi="宋体" w:eastAsia="宋体" w:cs="宋体"/>
          <w:color w:val="auto"/>
          <w:spacing w:val="5"/>
          <w:w w:val="95"/>
          <w:kern w:val="2"/>
          <w:sz w:val="24"/>
          <w:szCs w:val="24"/>
          <w:highlight w:val="none"/>
          <w:u w:val="single"/>
          <w:lang w:val="zh-CN" w:eastAsia="zh-CN" w:bidi="zh-CN"/>
        </w:rPr>
        <w:t>（企业名称）</w:t>
      </w:r>
      <w:r>
        <w:rPr>
          <w:rFonts w:hint="eastAsia" w:ascii="宋体" w:hAnsi="宋体" w:eastAsia="宋体" w:cs="宋体"/>
          <w:color w:val="auto"/>
          <w:spacing w:val="5"/>
          <w:w w:val="95"/>
          <w:kern w:val="2"/>
          <w:sz w:val="24"/>
          <w:szCs w:val="24"/>
          <w:highlight w:val="none"/>
          <w:u w:val="none" w:color="auto"/>
          <w:lang w:val="zh-CN" w:eastAsia="zh-CN" w:bidi="zh-CN"/>
        </w:rPr>
        <w:t>，</w:t>
      </w:r>
      <w:r>
        <w:rPr>
          <w:rFonts w:hint="eastAsia" w:ascii="宋体" w:hAnsi="宋体" w:eastAsia="宋体" w:cs="宋体"/>
          <w:color w:val="auto"/>
          <w:spacing w:val="5"/>
          <w:w w:val="99"/>
          <w:kern w:val="2"/>
          <w:sz w:val="24"/>
          <w:szCs w:val="24"/>
          <w:highlight w:val="none"/>
          <w:u w:val="none"/>
          <w:lang w:val="en-US" w:eastAsia="zh-CN" w:bidi="ar-SA"/>
        </w:rPr>
        <w:t>从</w:t>
      </w:r>
      <w:r>
        <w:rPr>
          <w:rFonts w:hint="eastAsia" w:ascii="宋体" w:hAnsi="宋体" w:eastAsia="宋体" w:cs="宋体"/>
          <w:color w:val="auto"/>
          <w:spacing w:val="7"/>
          <w:w w:val="99"/>
          <w:kern w:val="2"/>
          <w:sz w:val="24"/>
          <w:szCs w:val="24"/>
          <w:highlight w:val="none"/>
          <w:u w:val="none"/>
          <w:lang w:val="en-US" w:eastAsia="zh-CN" w:bidi="ar-SA"/>
        </w:rPr>
        <w:t>业</w:t>
      </w:r>
      <w:r>
        <w:rPr>
          <w:rFonts w:hint="eastAsia" w:ascii="宋体" w:hAnsi="宋体" w:eastAsia="宋体" w:cs="宋体"/>
          <w:color w:val="auto"/>
          <w:spacing w:val="5"/>
          <w:w w:val="99"/>
          <w:kern w:val="2"/>
          <w:sz w:val="24"/>
          <w:szCs w:val="24"/>
          <w:highlight w:val="none"/>
          <w:u w:val="none"/>
          <w:lang w:val="en-US" w:eastAsia="zh-CN" w:bidi="ar-SA"/>
        </w:rPr>
        <w:t>人</w:t>
      </w:r>
      <w:r>
        <w:rPr>
          <w:rFonts w:hint="eastAsia" w:ascii="宋体" w:hAnsi="宋体" w:eastAsia="宋体" w:cs="宋体"/>
          <w:color w:val="auto"/>
          <w:spacing w:val="4"/>
          <w:w w:val="99"/>
          <w:kern w:val="2"/>
          <w:sz w:val="24"/>
          <w:szCs w:val="24"/>
          <w:highlight w:val="none"/>
          <w:u w:val="none"/>
          <w:lang w:val="en-US" w:eastAsia="zh-CN" w:bidi="ar-SA"/>
        </w:rPr>
        <w:t>员</w:t>
      </w:r>
      <w:r>
        <w:rPr>
          <w:rFonts w:hint="eastAsia" w:ascii="宋体" w:hAnsi="宋体" w:eastAsia="宋体" w:cs="宋体"/>
          <w:color w:val="auto"/>
          <w:spacing w:val="4"/>
          <w:w w:val="99"/>
          <w:kern w:val="2"/>
          <w:sz w:val="24"/>
          <w:szCs w:val="24"/>
          <w:highlight w:val="none"/>
          <w:u w:val="single"/>
          <w:lang w:val="en-US" w:eastAsia="zh-CN" w:bidi="ar-SA"/>
        </w:rPr>
        <w:t xml:space="preserve">      </w:t>
      </w:r>
      <w:r>
        <w:rPr>
          <w:rFonts w:hint="eastAsia" w:ascii="宋体" w:hAnsi="宋体" w:eastAsia="宋体" w:cs="宋体"/>
          <w:color w:val="auto"/>
          <w:spacing w:val="7"/>
          <w:w w:val="99"/>
          <w:kern w:val="2"/>
          <w:sz w:val="24"/>
          <w:szCs w:val="24"/>
          <w:highlight w:val="none"/>
          <w:u w:val="none"/>
          <w:lang w:val="en-US" w:eastAsia="zh-CN" w:bidi="ar-SA"/>
        </w:rPr>
        <w:t>人</w:t>
      </w:r>
      <w:r>
        <w:rPr>
          <w:rFonts w:hint="eastAsia" w:ascii="宋体" w:hAnsi="宋体" w:eastAsia="宋体" w:cs="宋体"/>
          <w:color w:val="auto"/>
          <w:spacing w:val="5"/>
          <w:w w:val="99"/>
          <w:kern w:val="2"/>
          <w:sz w:val="24"/>
          <w:szCs w:val="24"/>
          <w:highlight w:val="none"/>
          <w:u w:val="none"/>
          <w:lang w:val="en-US" w:eastAsia="zh-CN" w:bidi="ar-SA"/>
        </w:rPr>
        <w:t>，</w:t>
      </w:r>
      <w:r>
        <w:rPr>
          <w:rFonts w:hint="eastAsia" w:ascii="宋体" w:hAnsi="宋体" w:eastAsia="宋体" w:cs="宋体"/>
          <w:color w:val="auto"/>
          <w:spacing w:val="7"/>
          <w:w w:val="99"/>
          <w:kern w:val="2"/>
          <w:sz w:val="24"/>
          <w:szCs w:val="24"/>
          <w:highlight w:val="none"/>
          <w:u w:val="none"/>
          <w:lang w:val="en-US" w:eastAsia="zh-CN" w:bidi="ar-SA"/>
        </w:rPr>
        <w:t>营</w:t>
      </w:r>
      <w:r>
        <w:rPr>
          <w:rFonts w:hint="eastAsia" w:ascii="宋体" w:hAnsi="宋体" w:eastAsia="宋体" w:cs="宋体"/>
          <w:color w:val="auto"/>
          <w:spacing w:val="5"/>
          <w:w w:val="99"/>
          <w:kern w:val="2"/>
          <w:sz w:val="24"/>
          <w:szCs w:val="24"/>
          <w:highlight w:val="none"/>
          <w:u w:val="none"/>
          <w:lang w:val="en-US" w:eastAsia="zh-CN" w:bidi="ar-SA"/>
        </w:rPr>
        <w:t>业</w:t>
      </w:r>
      <w:r>
        <w:rPr>
          <w:rFonts w:hint="eastAsia" w:ascii="宋体" w:hAnsi="宋体" w:eastAsia="宋体" w:cs="宋体"/>
          <w:color w:val="auto"/>
          <w:spacing w:val="7"/>
          <w:w w:val="99"/>
          <w:kern w:val="2"/>
          <w:sz w:val="24"/>
          <w:szCs w:val="24"/>
          <w:highlight w:val="none"/>
          <w:u w:val="none"/>
          <w:lang w:val="en-US" w:eastAsia="zh-CN" w:bidi="ar-SA"/>
        </w:rPr>
        <w:t>收入为</w:t>
      </w:r>
      <w:r>
        <w:rPr>
          <w:rFonts w:hint="eastAsia" w:ascii="宋体" w:hAnsi="宋体" w:eastAsia="宋体" w:cs="宋体"/>
          <w:color w:val="auto"/>
          <w:spacing w:val="4"/>
          <w:w w:val="99"/>
          <w:kern w:val="2"/>
          <w:sz w:val="24"/>
          <w:szCs w:val="24"/>
          <w:highlight w:val="none"/>
          <w:u w:val="single"/>
          <w:lang w:val="en-US" w:eastAsia="zh-CN" w:bidi="ar-SA"/>
        </w:rPr>
        <w:t xml:space="preserve">      </w:t>
      </w:r>
      <w:r>
        <w:rPr>
          <w:rFonts w:hint="eastAsia" w:ascii="宋体" w:hAnsi="宋体" w:eastAsia="宋体" w:cs="宋体"/>
          <w:color w:val="auto"/>
          <w:spacing w:val="0"/>
          <w:kern w:val="2"/>
          <w:sz w:val="24"/>
          <w:szCs w:val="24"/>
          <w:highlight w:val="none"/>
          <w:u w:val="none"/>
          <w:lang w:val="en-US" w:eastAsia="zh-CN" w:bidi="ar-SA"/>
        </w:rPr>
        <w:t>万元</w:t>
      </w:r>
      <w:r>
        <w:rPr>
          <w:rFonts w:hint="eastAsia" w:ascii="宋体" w:hAnsi="宋体" w:eastAsia="宋体" w:cs="宋体"/>
          <w:color w:val="auto"/>
          <w:spacing w:val="-22"/>
          <w:kern w:val="2"/>
          <w:sz w:val="24"/>
          <w:szCs w:val="24"/>
          <w:highlight w:val="none"/>
          <w:u w:val="none"/>
          <w:lang w:val="en-US" w:eastAsia="zh-CN" w:bidi="ar-SA"/>
        </w:rPr>
        <w:t>，</w:t>
      </w:r>
      <w:r>
        <w:rPr>
          <w:rFonts w:hint="eastAsia" w:ascii="宋体" w:hAnsi="宋体" w:eastAsia="宋体" w:cs="宋体"/>
          <w:color w:val="auto"/>
          <w:spacing w:val="0"/>
          <w:kern w:val="2"/>
          <w:sz w:val="24"/>
          <w:szCs w:val="24"/>
          <w:highlight w:val="none"/>
          <w:u w:val="none"/>
          <w:lang w:val="en-US" w:eastAsia="zh-CN" w:bidi="ar-SA"/>
        </w:rPr>
        <w:t>资产总额为</w:t>
      </w:r>
      <w:r>
        <w:rPr>
          <w:rFonts w:hint="eastAsia" w:ascii="宋体" w:hAnsi="宋体" w:eastAsia="宋体" w:cs="宋体"/>
          <w:color w:val="auto"/>
          <w:spacing w:val="4"/>
          <w:w w:val="99"/>
          <w:kern w:val="2"/>
          <w:sz w:val="24"/>
          <w:szCs w:val="24"/>
          <w:highlight w:val="none"/>
          <w:u w:val="single"/>
          <w:lang w:val="en-US" w:eastAsia="zh-CN" w:bidi="ar-SA"/>
        </w:rPr>
        <w:t xml:space="preserve">      </w:t>
      </w:r>
      <w:r>
        <w:rPr>
          <w:rFonts w:hint="eastAsia" w:ascii="宋体" w:hAnsi="宋体" w:eastAsia="宋体" w:cs="宋体"/>
          <w:color w:val="auto"/>
          <w:spacing w:val="0"/>
          <w:w w:val="95"/>
          <w:kern w:val="2"/>
          <w:sz w:val="24"/>
          <w:szCs w:val="24"/>
          <w:highlight w:val="none"/>
          <w:u w:val="none"/>
          <w:lang w:val="en-US" w:eastAsia="zh-CN" w:bidi="ar-SA"/>
        </w:rPr>
        <w:t>万元</w:t>
      </w:r>
      <w:r>
        <w:rPr>
          <w:rFonts w:hint="eastAsia" w:ascii="宋体" w:hAnsi="宋体" w:eastAsia="宋体" w:cs="宋体"/>
          <w:color w:val="auto"/>
          <w:spacing w:val="-12"/>
          <w:w w:val="95"/>
          <w:kern w:val="2"/>
          <w:sz w:val="24"/>
          <w:szCs w:val="24"/>
          <w:highlight w:val="none"/>
          <w:u w:val="none"/>
          <w:lang w:val="en-US" w:eastAsia="zh-CN" w:bidi="ar-SA"/>
        </w:rPr>
        <w:t>，</w:t>
      </w:r>
      <w:r>
        <w:rPr>
          <w:rFonts w:hint="eastAsia" w:ascii="宋体" w:hAnsi="宋体" w:eastAsia="宋体" w:cs="宋体"/>
          <w:color w:val="auto"/>
          <w:spacing w:val="5"/>
          <w:w w:val="95"/>
          <w:kern w:val="2"/>
          <w:sz w:val="24"/>
          <w:szCs w:val="24"/>
          <w:highlight w:val="none"/>
          <w:u w:val="none"/>
          <w:lang w:val="zh-CN" w:eastAsia="zh-CN" w:bidi="zh-CN"/>
        </w:rPr>
        <w:t>属于</w:t>
      </w:r>
      <w:r>
        <w:rPr>
          <w:rFonts w:hint="eastAsia" w:ascii="宋体" w:hAnsi="宋体" w:eastAsia="宋体" w:cs="宋体"/>
          <w:color w:val="auto"/>
          <w:spacing w:val="5"/>
          <w:w w:val="95"/>
          <w:kern w:val="2"/>
          <w:sz w:val="24"/>
          <w:szCs w:val="24"/>
          <w:highlight w:val="none"/>
          <w:u w:val="single"/>
          <w:lang w:val="zh-CN" w:eastAsia="zh-CN" w:bidi="zh-CN"/>
        </w:rPr>
        <w:t>（中型企业、小型企业、微型企业）</w:t>
      </w:r>
      <w:r>
        <w:rPr>
          <w:rFonts w:hint="eastAsia" w:ascii="宋体" w:hAnsi="宋体" w:eastAsia="宋体" w:cs="宋体"/>
          <w:color w:val="auto"/>
          <w:spacing w:val="5"/>
          <w:w w:val="95"/>
          <w:kern w:val="2"/>
          <w:sz w:val="24"/>
          <w:szCs w:val="24"/>
          <w:highlight w:val="none"/>
          <w:u w:val="none" w:color="auto"/>
          <w:lang w:val="zh-CN" w:eastAsia="zh-CN" w:bidi="zh-CN"/>
        </w:rPr>
        <w:t>；</w:t>
      </w:r>
    </w:p>
    <w:p>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kern w:val="2"/>
          <w:sz w:val="24"/>
          <w:szCs w:val="24"/>
          <w:highlight w:val="none"/>
          <w:u w:val="none"/>
          <w:lang w:val="en-US" w:eastAsia="zh-CN" w:bidi="zh-CN"/>
        </w:rPr>
      </w:pPr>
      <w:r>
        <w:rPr>
          <w:rFonts w:hint="eastAsia" w:ascii="宋体" w:hAnsi="宋体" w:eastAsia="宋体" w:cs="宋体"/>
          <w:color w:val="auto"/>
          <w:spacing w:val="5"/>
          <w:w w:val="95"/>
          <w:kern w:val="2"/>
          <w:sz w:val="24"/>
          <w:szCs w:val="24"/>
          <w:highlight w:val="none"/>
          <w:u w:val="none"/>
          <w:lang w:val="en-US" w:eastAsia="zh-CN" w:bidi="zh-CN"/>
        </w:rPr>
        <w:t>2.</w:t>
      </w:r>
      <w:r>
        <w:rPr>
          <w:rFonts w:hint="eastAsia" w:ascii="宋体" w:hAnsi="宋体" w:eastAsia="宋体" w:cs="宋体"/>
          <w:color w:val="auto"/>
          <w:spacing w:val="5"/>
          <w:w w:val="95"/>
          <w:kern w:val="2"/>
          <w:sz w:val="24"/>
          <w:szCs w:val="24"/>
          <w:highlight w:val="none"/>
          <w:u w:val="none"/>
          <w:lang w:val="zh-CN" w:eastAsia="zh-CN" w:bidi="zh-CN"/>
        </w:rPr>
        <w:t xml:space="preserve"> </w:t>
      </w:r>
      <w:r>
        <w:rPr>
          <w:rFonts w:hint="eastAsia" w:ascii="宋体" w:hAnsi="宋体" w:eastAsia="宋体" w:cs="宋体"/>
          <w:color w:val="auto"/>
          <w:spacing w:val="5"/>
          <w:w w:val="95"/>
          <w:kern w:val="2"/>
          <w:sz w:val="24"/>
          <w:szCs w:val="24"/>
          <w:highlight w:val="none"/>
          <w:u w:val="single"/>
          <w:lang w:val="zh-CN" w:eastAsia="zh-CN" w:bidi="zh-CN"/>
        </w:rPr>
        <w:t>（标的名称）</w:t>
      </w:r>
      <w:r>
        <w:rPr>
          <w:rFonts w:hint="eastAsia" w:ascii="宋体" w:hAnsi="宋体" w:eastAsia="宋体" w:cs="宋体"/>
          <w:i/>
          <w:color w:val="auto"/>
          <w:spacing w:val="0"/>
          <w:kern w:val="2"/>
          <w:sz w:val="24"/>
          <w:szCs w:val="24"/>
          <w:highlight w:val="none"/>
          <w:u w:val="none"/>
          <w:lang w:val="en-US" w:eastAsia="zh-CN" w:bidi="ar-SA"/>
        </w:rPr>
        <w:t xml:space="preserve"> </w:t>
      </w:r>
      <w:r>
        <w:rPr>
          <w:rFonts w:hint="eastAsia" w:ascii="宋体" w:hAnsi="宋体" w:eastAsia="宋体" w:cs="宋体"/>
          <w:color w:val="auto"/>
          <w:spacing w:val="-43"/>
          <w:kern w:val="2"/>
          <w:sz w:val="24"/>
          <w:szCs w:val="24"/>
          <w:highlight w:val="none"/>
          <w:u w:val="none"/>
          <w:lang w:val="en-US" w:eastAsia="zh-CN" w:bidi="ar-SA"/>
        </w:rPr>
        <w:t xml:space="preserve">， </w:t>
      </w:r>
      <w:r>
        <w:rPr>
          <w:rFonts w:hint="eastAsia" w:ascii="宋体" w:hAnsi="宋体" w:eastAsia="宋体" w:cs="宋体"/>
          <w:color w:val="auto"/>
          <w:spacing w:val="7"/>
          <w:w w:val="99"/>
          <w:kern w:val="2"/>
          <w:sz w:val="24"/>
          <w:szCs w:val="24"/>
          <w:highlight w:val="none"/>
          <w:u w:val="none"/>
          <w:lang w:val="zh-CN" w:eastAsia="zh-CN" w:bidi="ar-SA"/>
        </w:rPr>
        <w:t>属于</w:t>
      </w:r>
      <w:r>
        <w:rPr>
          <w:rFonts w:hint="eastAsia" w:ascii="宋体" w:hAnsi="宋体" w:eastAsia="宋体" w:cs="宋体"/>
          <w:color w:val="auto"/>
          <w:spacing w:val="5"/>
          <w:w w:val="95"/>
          <w:kern w:val="2"/>
          <w:sz w:val="24"/>
          <w:szCs w:val="24"/>
          <w:highlight w:val="none"/>
          <w:u w:val="single"/>
          <w:lang w:val="zh-CN" w:eastAsia="zh-CN" w:bidi="zh-CN"/>
        </w:rPr>
        <w:t>（采购文件中明确的所属行业）行业</w:t>
      </w:r>
      <w:r>
        <w:rPr>
          <w:rFonts w:hint="eastAsia" w:ascii="宋体" w:hAnsi="宋体" w:eastAsia="宋体" w:cs="宋体"/>
          <w:color w:val="auto"/>
          <w:spacing w:val="7"/>
          <w:w w:val="99"/>
          <w:kern w:val="2"/>
          <w:sz w:val="24"/>
          <w:szCs w:val="24"/>
          <w:highlight w:val="none"/>
          <w:u w:val="none"/>
          <w:lang w:val="en-US" w:eastAsia="zh-CN" w:bidi="ar-SA"/>
        </w:rPr>
        <w:t>；</w:t>
      </w:r>
      <w:r>
        <w:rPr>
          <w:rFonts w:hint="eastAsia" w:ascii="宋体" w:hAnsi="宋体" w:eastAsia="宋体" w:cs="宋体"/>
          <w:color w:val="auto"/>
          <w:spacing w:val="5"/>
          <w:w w:val="99"/>
          <w:kern w:val="2"/>
          <w:sz w:val="24"/>
          <w:szCs w:val="24"/>
          <w:highlight w:val="none"/>
          <w:u w:val="none"/>
          <w:lang w:val="en-US" w:eastAsia="zh-CN" w:bidi="ar-SA"/>
        </w:rPr>
        <w:t>承建企业</w:t>
      </w:r>
      <w:r>
        <w:rPr>
          <w:rFonts w:hint="eastAsia" w:ascii="宋体" w:hAnsi="宋体" w:eastAsia="宋体" w:cs="宋体"/>
          <w:color w:val="auto"/>
          <w:spacing w:val="-10"/>
          <w:w w:val="99"/>
          <w:kern w:val="2"/>
          <w:sz w:val="24"/>
          <w:szCs w:val="24"/>
          <w:highlight w:val="none"/>
          <w:u w:val="none"/>
          <w:lang w:val="en-US" w:eastAsia="zh-CN" w:bidi="ar-SA"/>
        </w:rPr>
        <w:t>为</w:t>
      </w:r>
      <w:r>
        <w:rPr>
          <w:rFonts w:hint="eastAsia" w:ascii="宋体" w:hAnsi="宋体" w:eastAsia="宋体" w:cs="宋体"/>
          <w:color w:val="auto"/>
          <w:spacing w:val="5"/>
          <w:w w:val="95"/>
          <w:kern w:val="2"/>
          <w:sz w:val="24"/>
          <w:szCs w:val="24"/>
          <w:highlight w:val="none"/>
          <w:u w:val="single"/>
          <w:lang w:val="zh-CN" w:eastAsia="zh-CN" w:bidi="zh-CN"/>
        </w:rPr>
        <w:t>（企业名称）</w:t>
      </w:r>
      <w:r>
        <w:rPr>
          <w:rFonts w:hint="eastAsia" w:ascii="宋体" w:hAnsi="宋体" w:eastAsia="宋体" w:cs="宋体"/>
          <w:color w:val="auto"/>
          <w:spacing w:val="5"/>
          <w:w w:val="95"/>
          <w:kern w:val="2"/>
          <w:sz w:val="24"/>
          <w:szCs w:val="24"/>
          <w:highlight w:val="none"/>
          <w:u w:val="none" w:color="auto"/>
          <w:lang w:val="zh-CN" w:eastAsia="zh-CN" w:bidi="zh-CN"/>
        </w:rPr>
        <w:t>，</w:t>
      </w:r>
      <w:r>
        <w:rPr>
          <w:rFonts w:hint="eastAsia" w:ascii="宋体" w:hAnsi="宋体" w:eastAsia="宋体" w:cs="宋体"/>
          <w:color w:val="auto"/>
          <w:spacing w:val="5"/>
          <w:w w:val="99"/>
          <w:kern w:val="2"/>
          <w:sz w:val="24"/>
          <w:szCs w:val="24"/>
          <w:highlight w:val="none"/>
          <w:u w:val="none"/>
          <w:lang w:val="en-US" w:eastAsia="zh-CN" w:bidi="ar-SA"/>
        </w:rPr>
        <w:t>从</w:t>
      </w:r>
      <w:r>
        <w:rPr>
          <w:rFonts w:hint="eastAsia" w:ascii="宋体" w:hAnsi="宋体" w:eastAsia="宋体" w:cs="宋体"/>
          <w:color w:val="auto"/>
          <w:spacing w:val="7"/>
          <w:w w:val="99"/>
          <w:kern w:val="2"/>
          <w:sz w:val="24"/>
          <w:szCs w:val="24"/>
          <w:highlight w:val="none"/>
          <w:u w:val="none"/>
          <w:lang w:val="en-US" w:eastAsia="zh-CN" w:bidi="ar-SA"/>
        </w:rPr>
        <w:t>业</w:t>
      </w:r>
      <w:r>
        <w:rPr>
          <w:rFonts w:hint="eastAsia" w:ascii="宋体" w:hAnsi="宋体" w:eastAsia="宋体" w:cs="宋体"/>
          <w:color w:val="auto"/>
          <w:spacing w:val="5"/>
          <w:w w:val="99"/>
          <w:kern w:val="2"/>
          <w:sz w:val="24"/>
          <w:szCs w:val="24"/>
          <w:highlight w:val="none"/>
          <w:u w:val="none"/>
          <w:lang w:val="en-US" w:eastAsia="zh-CN" w:bidi="ar-SA"/>
        </w:rPr>
        <w:t>人</w:t>
      </w:r>
      <w:r>
        <w:rPr>
          <w:rFonts w:hint="eastAsia" w:ascii="宋体" w:hAnsi="宋体" w:eastAsia="宋体" w:cs="宋体"/>
          <w:color w:val="auto"/>
          <w:spacing w:val="4"/>
          <w:w w:val="99"/>
          <w:kern w:val="2"/>
          <w:sz w:val="24"/>
          <w:szCs w:val="24"/>
          <w:highlight w:val="none"/>
          <w:u w:val="none"/>
          <w:lang w:val="en-US" w:eastAsia="zh-CN" w:bidi="ar-SA"/>
        </w:rPr>
        <w:t>员</w:t>
      </w:r>
      <w:r>
        <w:rPr>
          <w:rFonts w:hint="eastAsia" w:ascii="宋体" w:hAnsi="宋体" w:eastAsia="宋体" w:cs="宋体"/>
          <w:color w:val="auto"/>
          <w:spacing w:val="4"/>
          <w:w w:val="99"/>
          <w:kern w:val="2"/>
          <w:sz w:val="24"/>
          <w:szCs w:val="24"/>
          <w:highlight w:val="none"/>
          <w:u w:val="single"/>
          <w:lang w:val="en-US" w:eastAsia="zh-CN" w:bidi="ar-SA"/>
        </w:rPr>
        <w:t xml:space="preserve">      </w:t>
      </w:r>
      <w:r>
        <w:rPr>
          <w:rFonts w:hint="eastAsia" w:ascii="宋体" w:hAnsi="宋体" w:eastAsia="宋体" w:cs="宋体"/>
          <w:color w:val="auto"/>
          <w:spacing w:val="7"/>
          <w:w w:val="99"/>
          <w:kern w:val="2"/>
          <w:sz w:val="24"/>
          <w:szCs w:val="24"/>
          <w:highlight w:val="none"/>
          <w:u w:val="none"/>
          <w:lang w:val="en-US" w:eastAsia="zh-CN" w:bidi="ar-SA"/>
        </w:rPr>
        <w:t>人</w:t>
      </w:r>
      <w:r>
        <w:rPr>
          <w:rFonts w:hint="eastAsia" w:ascii="宋体" w:hAnsi="宋体" w:eastAsia="宋体" w:cs="宋体"/>
          <w:color w:val="auto"/>
          <w:spacing w:val="5"/>
          <w:w w:val="99"/>
          <w:kern w:val="2"/>
          <w:sz w:val="24"/>
          <w:szCs w:val="24"/>
          <w:highlight w:val="none"/>
          <w:u w:val="none"/>
          <w:lang w:val="en-US" w:eastAsia="zh-CN" w:bidi="ar-SA"/>
        </w:rPr>
        <w:t>，</w:t>
      </w:r>
      <w:r>
        <w:rPr>
          <w:rFonts w:hint="eastAsia" w:ascii="宋体" w:hAnsi="宋体" w:eastAsia="宋体" w:cs="宋体"/>
          <w:color w:val="auto"/>
          <w:spacing w:val="7"/>
          <w:w w:val="99"/>
          <w:kern w:val="2"/>
          <w:sz w:val="24"/>
          <w:szCs w:val="24"/>
          <w:highlight w:val="none"/>
          <w:u w:val="none"/>
          <w:lang w:val="en-US" w:eastAsia="zh-CN" w:bidi="ar-SA"/>
        </w:rPr>
        <w:t>营</w:t>
      </w:r>
      <w:r>
        <w:rPr>
          <w:rFonts w:hint="eastAsia" w:ascii="宋体" w:hAnsi="宋体" w:eastAsia="宋体" w:cs="宋体"/>
          <w:color w:val="auto"/>
          <w:spacing w:val="5"/>
          <w:w w:val="99"/>
          <w:kern w:val="2"/>
          <w:sz w:val="24"/>
          <w:szCs w:val="24"/>
          <w:highlight w:val="none"/>
          <w:u w:val="none"/>
          <w:lang w:val="en-US" w:eastAsia="zh-CN" w:bidi="ar-SA"/>
        </w:rPr>
        <w:t>业</w:t>
      </w:r>
      <w:r>
        <w:rPr>
          <w:rFonts w:hint="eastAsia" w:ascii="宋体" w:hAnsi="宋体" w:eastAsia="宋体" w:cs="宋体"/>
          <w:color w:val="auto"/>
          <w:spacing w:val="7"/>
          <w:w w:val="99"/>
          <w:kern w:val="2"/>
          <w:sz w:val="24"/>
          <w:szCs w:val="24"/>
          <w:highlight w:val="none"/>
          <w:u w:val="none"/>
          <w:lang w:val="en-US" w:eastAsia="zh-CN" w:bidi="ar-SA"/>
        </w:rPr>
        <w:t>收入为</w:t>
      </w:r>
      <w:r>
        <w:rPr>
          <w:rFonts w:hint="eastAsia" w:ascii="宋体" w:hAnsi="宋体" w:eastAsia="宋体" w:cs="宋体"/>
          <w:color w:val="auto"/>
          <w:spacing w:val="4"/>
          <w:w w:val="99"/>
          <w:kern w:val="2"/>
          <w:sz w:val="24"/>
          <w:szCs w:val="24"/>
          <w:highlight w:val="none"/>
          <w:u w:val="single"/>
          <w:lang w:val="en-US" w:eastAsia="zh-CN" w:bidi="ar-SA"/>
        </w:rPr>
        <w:t xml:space="preserve">      </w:t>
      </w:r>
      <w:r>
        <w:rPr>
          <w:rFonts w:hint="eastAsia" w:ascii="宋体" w:hAnsi="宋体" w:eastAsia="宋体" w:cs="宋体"/>
          <w:color w:val="auto"/>
          <w:spacing w:val="0"/>
          <w:kern w:val="2"/>
          <w:sz w:val="24"/>
          <w:szCs w:val="24"/>
          <w:highlight w:val="none"/>
          <w:u w:val="none"/>
          <w:lang w:val="en-US" w:eastAsia="zh-CN" w:bidi="ar-SA"/>
        </w:rPr>
        <w:t>万元</w:t>
      </w:r>
      <w:r>
        <w:rPr>
          <w:rFonts w:hint="eastAsia" w:ascii="宋体" w:hAnsi="宋体" w:eastAsia="宋体" w:cs="宋体"/>
          <w:color w:val="auto"/>
          <w:spacing w:val="-22"/>
          <w:kern w:val="2"/>
          <w:sz w:val="24"/>
          <w:szCs w:val="24"/>
          <w:highlight w:val="none"/>
          <w:u w:val="none"/>
          <w:lang w:val="en-US" w:eastAsia="zh-CN" w:bidi="ar-SA"/>
        </w:rPr>
        <w:t>，</w:t>
      </w:r>
      <w:r>
        <w:rPr>
          <w:rFonts w:hint="eastAsia" w:ascii="宋体" w:hAnsi="宋体" w:eastAsia="宋体" w:cs="宋体"/>
          <w:color w:val="auto"/>
          <w:spacing w:val="0"/>
          <w:kern w:val="2"/>
          <w:sz w:val="24"/>
          <w:szCs w:val="24"/>
          <w:highlight w:val="none"/>
          <w:u w:val="none"/>
          <w:lang w:val="en-US" w:eastAsia="zh-CN" w:bidi="ar-SA"/>
        </w:rPr>
        <w:t>资产总额为</w:t>
      </w:r>
      <w:r>
        <w:rPr>
          <w:rFonts w:hint="eastAsia" w:ascii="宋体" w:hAnsi="宋体" w:eastAsia="宋体" w:cs="宋体"/>
          <w:color w:val="auto"/>
          <w:spacing w:val="4"/>
          <w:w w:val="99"/>
          <w:kern w:val="2"/>
          <w:sz w:val="24"/>
          <w:szCs w:val="24"/>
          <w:highlight w:val="none"/>
          <w:u w:val="single"/>
          <w:lang w:val="en-US" w:eastAsia="zh-CN" w:bidi="ar-SA"/>
        </w:rPr>
        <w:t xml:space="preserve">      </w:t>
      </w:r>
      <w:r>
        <w:rPr>
          <w:rFonts w:hint="eastAsia" w:ascii="宋体" w:hAnsi="宋体" w:eastAsia="宋体" w:cs="宋体"/>
          <w:color w:val="auto"/>
          <w:spacing w:val="0"/>
          <w:w w:val="95"/>
          <w:kern w:val="2"/>
          <w:sz w:val="24"/>
          <w:szCs w:val="24"/>
          <w:highlight w:val="none"/>
          <w:u w:val="none"/>
          <w:lang w:val="en-US" w:eastAsia="zh-CN" w:bidi="ar-SA"/>
        </w:rPr>
        <w:t>万元</w:t>
      </w:r>
      <w:r>
        <w:rPr>
          <w:rFonts w:hint="eastAsia" w:ascii="宋体" w:hAnsi="宋体" w:eastAsia="宋体" w:cs="宋体"/>
          <w:color w:val="auto"/>
          <w:spacing w:val="-12"/>
          <w:w w:val="95"/>
          <w:kern w:val="2"/>
          <w:sz w:val="24"/>
          <w:szCs w:val="24"/>
          <w:highlight w:val="none"/>
          <w:u w:val="none"/>
          <w:lang w:val="en-US" w:eastAsia="zh-CN" w:bidi="ar-SA"/>
        </w:rPr>
        <w:t>，</w:t>
      </w:r>
      <w:r>
        <w:rPr>
          <w:rFonts w:hint="eastAsia" w:ascii="宋体" w:hAnsi="宋体" w:eastAsia="宋体" w:cs="宋体"/>
          <w:color w:val="auto"/>
          <w:spacing w:val="5"/>
          <w:w w:val="95"/>
          <w:kern w:val="2"/>
          <w:sz w:val="24"/>
          <w:szCs w:val="24"/>
          <w:highlight w:val="none"/>
          <w:u w:val="none"/>
          <w:lang w:val="zh-CN" w:eastAsia="zh-CN" w:bidi="zh-CN"/>
        </w:rPr>
        <w:t>属于</w:t>
      </w:r>
      <w:r>
        <w:rPr>
          <w:rFonts w:hint="eastAsia" w:ascii="宋体" w:hAnsi="宋体" w:eastAsia="宋体" w:cs="宋体"/>
          <w:color w:val="auto"/>
          <w:spacing w:val="5"/>
          <w:w w:val="95"/>
          <w:kern w:val="2"/>
          <w:sz w:val="24"/>
          <w:szCs w:val="24"/>
          <w:highlight w:val="none"/>
          <w:u w:val="single"/>
          <w:lang w:val="zh-CN" w:eastAsia="zh-CN" w:bidi="zh-CN"/>
        </w:rPr>
        <w:t>（中型企业、小型企业、微型企业）</w:t>
      </w:r>
      <w:r>
        <w:rPr>
          <w:rFonts w:hint="eastAsia" w:ascii="宋体" w:hAnsi="宋体" w:eastAsia="宋体" w:cs="宋体"/>
          <w:color w:val="auto"/>
          <w:spacing w:val="5"/>
          <w:w w:val="95"/>
          <w:kern w:val="2"/>
          <w:sz w:val="24"/>
          <w:szCs w:val="24"/>
          <w:highlight w:val="none"/>
          <w:u w:val="none"/>
          <w:lang w:val="zh-CN" w:eastAsia="zh-CN" w:bidi="zh-CN"/>
        </w:rPr>
        <w:t>；</w:t>
      </w:r>
    </w:p>
    <w:p>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kern w:val="2"/>
          <w:sz w:val="24"/>
          <w:szCs w:val="24"/>
          <w:highlight w:val="none"/>
          <w:u w:val="none"/>
          <w:lang w:val="en-US" w:eastAsia="zh-CN" w:bidi="zh-CN"/>
        </w:rPr>
      </w:pPr>
      <w:r>
        <w:rPr>
          <w:rFonts w:hint="eastAsia" w:ascii="宋体" w:hAnsi="宋体" w:eastAsia="宋体" w:cs="宋体"/>
          <w:color w:val="auto"/>
          <w:spacing w:val="5"/>
          <w:w w:val="95"/>
          <w:kern w:val="2"/>
          <w:sz w:val="24"/>
          <w:szCs w:val="24"/>
          <w:highlight w:val="none"/>
          <w:u w:val="none"/>
          <w:lang w:val="en-US" w:eastAsia="zh-CN" w:bidi="zh-CN"/>
        </w:rPr>
        <w:t>……</w:t>
      </w:r>
    </w:p>
    <w:p>
      <w:pPr>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宋体" w:hAnsi="宋体" w:eastAsia="宋体" w:cs="宋体"/>
          <w:color w:val="auto"/>
          <w:spacing w:val="5"/>
          <w:w w:val="95"/>
          <w:kern w:val="2"/>
          <w:sz w:val="24"/>
          <w:szCs w:val="24"/>
          <w:highlight w:val="none"/>
          <w:u w:val="none"/>
          <w:lang w:val="en-US" w:eastAsia="zh-CN" w:bidi="zh-CN"/>
        </w:rPr>
      </w:pPr>
      <w:r>
        <w:rPr>
          <w:rFonts w:hint="eastAsia" w:ascii="宋体" w:hAnsi="宋体" w:eastAsia="宋体" w:cs="宋体"/>
          <w:color w:val="auto"/>
          <w:spacing w:val="5"/>
          <w:w w:val="95"/>
          <w:kern w:val="2"/>
          <w:sz w:val="24"/>
          <w:szCs w:val="24"/>
          <w:highlight w:val="none"/>
          <w:u w:val="none"/>
          <w:lang w:val="en-US" w:eastAsia="zh-CN" w:bidi="zh-CN"/>
        </w:rPr>
        <w:t>以上企业，不属于大企业的分支机构，不存在控股股东为大企业的情形，也不存在与大企业的负责人为同一人的情形。</w:t>
      </w:r>
    </w:p>
    <w:p>
      <w:pPr>
        <w:keepNext w:val="0"/>
        <w:keepLines w:val="0"/>
        <w:widowControl/>
        <w:suppressLineNumbers w:val="0"/>
        <w:shd w:val="clear"/>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pacing w:val="5"/>
          <w:w w:val="95"/>
          <w:kern w:val="2"/>
          <w:sz w:val="24"/>
          <w:szCs w:val="24"/>
          <w:highlight w:val="none"/>
          <w:u w:val="none"/>
          <w:lang w:val="en-US" w:eastAsia="zh-CN" w:bidi="zh-CN"/>
        </w:rPr>
        <w:t>本企业对上述声明内容的真实性负责。如有虚假，将依法承担相应责任</w:t>
      </w:r>
      <w:r>
        <w:rPr>
          <w:rFonts w:hint="eastAsia" w:ascii="宋体" w:hAnsi="宋体" w:eastAsia="宋体" w:cs="宋体"/>
          <w:i w:val="0"/>
          <w:iCs w:val="0"/>
          <w:caps w:val="0"/>
          <w:color w:val="auto"/>
          <w:spacing w:val="0"/>
          <w:kern w:val="0"/>
          <w:sz w:val="24"/>
          <w:szCs w:val="24"/>
          <w:highlight w:val="none"/>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exact"/>
        <w:ind w:right="372" w:firstLine="3000" w:firstLineChars="1200"/>
        <w:textAlignment w:val="auto"/>
        <w:rPr>
          <w:rFonts w:hint="eastAsia" w:ascii="宋体" w:hAnsi="宋体" w:eastAsia="宋体" w:cs="宋体"/>
          <w:color w:val="auto"/>
          <w:spacing w:val="11"/>
          <w:w w:val="95"/>
          <w:kern w:val="2"/>
          <w:sz w:val="24"/>
          <w:szCs w:val="24"/>
          <w:highlight w:val="none"/>
          <w:lang w:val="en-US" w:eastAsia="zh-CN" w:bidi="ar-SA"/>
        </w:rPr>
      </w:pPr>
      <w:r>
        <w:rPr>
          <w:rFonts w:hint="eastAsia" w:ascii="宋体" w:hAnsi="宋体" w:eastAsia="宋体" w:cs="宋体"/>
          <w:color w:val="auto"/>
          <w:spacing w:val="11"/>
          <w:w w:val="95"/>
          <w:kern w:val="2"/>
          <w:sz w:val="24"/>
          <w:szCs w:val="24"/>
          <w:highlight w:val="none"/>
          <w:lang w:val="en-US" w:eastAsia="zh-CN" w:bidi="ar-SA"/>
        </w:rPr>
        <w:t>企业名称（盖章）：</w:t>
      </w:r>
      <w:r>
        <w:rPr>
          <w:rFonts w:hint="eastAsia" w:ascii="宋体" w:hAnsi="宋体" w:eastAsia="宋体" w:cs="宋体"/>
          <w:color w:val="auto"/>
          <w:spacing w:val="11"/>
          <w:w w:val="95"/>
          <w:kern w:val="2"/>
          <w:sz w:val="24"/>
          <w:szCs w:val="24"/>
          <w:highlight w:val="none"/>
          <w:u w:val="single"/>
          <w:lang w:val="en-US" w:eastAsia="zh-CN" w:bidi="ar-SA"/>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exact"/>
        <w:ind w:right="372" w:firstLine="3000" w:firstLineChars="1200"/>
        <w:textAlignment w:val="auto"/>
        <w:rPr>
          <w:rFonts w:hint="eastAsia" w:ascii="宋体" w:hAnsi="宋体" w:eastAsia="宋体" w:cs="宋体"/>
          <w:color w:val="auto"/>
          <w:spacing w:val="11"/>
          <w:w w:val="95"/>
          <w:kern w:val="2"/>
          <w:sz w:val="24"/>
          <w:szCs w:val="24"/>
          <w:highlight w:val="none"/>
          <w:lang w:val="en-US" w:eastAsia="zh-CN" w:bidi="ar-SA"/>
        </w:rPr>
      </w:pPr>
      <w:r>
        <w:rPr>
          <w:rFonts w:hint="eastAsia" w:ascii="宋体" w:hAnsi="宋体" w:eastAsia="宋体" w:cs="宋体"/>
          <w:color w:val="auto"/>
          <w:spacing w:val="11"/>
          <w:w w:val="95"/>
          <w:kern w:val="2"/>
          <w:sz w:val="24"/>
          <w:szCs w:val="24"/>
          <w:highlight w:val="none"/>
          <w:lang w:val="en-US" w:eastAsia="zh-CN" w:bidi="ar-SA"/>
        </w:rPr>
        <w:t>日期：</w:t>
      </w:r>
      <w:r>
        <w:rPr>
          <w:rFonts w:hint="eastAsia" w:ascii="宋体" w:hAnsi="宋体" w:eastAsia="宋体" w:cs="宋体"/>
          <w:color w:val="auto"/>
          <w:spacing w:val="11"/>
          <w:w w:val="95"/>
          <w:kern w:val="2"/>
          <w:sz w:val="24"/>
          <w:szCs w:val="24"/>
          <w:highlight w:val="none"/>
          <w:u w:val="single"/>
          <w:lang w:val="en-US" w:eastAsia="zh-CN" w:bidi="ar-SA"/>
        </w:rPr>
        <w:t xml:space="preserve">                     </w:t>
      </w:r>
    </w:p>
    <w:p>
      <w:pPr>
        <w:rPr>
          <w:rFonts w:hint="eastAsia" w:ascii="宋体" w:hAnsi="宋体" w:eastAsia="宋体" w:cs="宋体"/>
          <w:color w:val="auto"/>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520" w:lineRule="exact"/>
        <w:ind w:right="372"/>
        <w:textAlignment w:val="auto"/>
        <w:rPr>
          <w:rFonts w:hint="eastAsia" w:ascii="宋体" w:hAnsi="宋体" w:eastAsia="宋体" w:cs="宋体"/>
          <w:color w:val="auto"/>
          <w:spacing w:val="11"/>
          <w:w w:val="95"/>
          <w:kern w:val="2"/>
          <w:sz w:val="21"/>
          <w:szCs w:val="21"/>
          <w:highlight w:val="none"/>
          <w:lang w:val="en-US" w:eastAsia="zh-CN" w:bidi="ar-SA"/>
        </w:rPr>
      </w:pPr>
    </w:p>
    <w:p>
      <w:pPr>
        <w:widowControl/>
        <w:spacing w:before="100" w:beforeAutospacing="1" w:after="100" w:afterAutospacing="1" w:line="400" w:lineRule="exact"/>
        <w:ind w:left="420" w:hanging="420" w:hangingChars="200"/>
        <w:jc w:val="both"/>
        <w:rPr>
          <w:rFonts w:ascii="微软雅黑" w:hAnsi="微软雅黑" w:eastAsia="微软雅黑" w:cs="微软雅黑"/>
          <w:szCs w:val="21"/>
        </w:rPr>
      </w:pPr>
      <w:r>
        <w:rPr>
          <w:rFonts w:hint="eastAsia" w:ascii="微软雅黑" w:hAnsi="微软雅黑" w:eastAsia="微软雅黑" w:cs="微软雅黑"/>
          <w:b/>
          <w:bCs/>
          <w:szCs w:val="21"/>
        </w:rPr>
        <w:t>注：</w:t>
      </w:r>
      <w:r>
        <w:rPr>
          <w:rFonts w:hint="eastAsia" w:ascii="微软雅黑" w:hAnsi="微软雅黑" w:eastAsia="微软雅黑" w:cs="微软雅黑"/>
          <w:b/>
          <w:bCs/>
          <w:szCs w:val="21"/>
          <w:lang w:val="en-US" w:eastAsia="zh-CN"/>
        </w:rPr>
        <w:t xml:space="preserve">1、潜在投标企业属于中小微企业的，应在响应文件中提供‘’中小企业声明函”如果未提供或提供“中小企业声明函”内容不实的，供应商将承担由此造成的一切不利后果。  </w:t>
      </w:r>
      <w:r>
        <w:rPr>
          <w:rFonts w:hint="eastAsia" w:ascii="微软雅黑" w:hAnsi="微软雅黑" w:eastAsia="微软雅黑" w:cs="微软雅黑"/>
          <w:szCs w:val="21"/>
          <w:lang w:val="en-US" w:eastAsia="zh-CN"/>
        </w:rPr>
        <w:t xml:space="preserve">    </w:t>
      </w:r>
    </w:p>
    <w:p>
      <w:pPr>
        <w:widowControl/>
        <w:spacing w:before="100" w:beforeAutospacing="1" w:after="100" w:afterAutospacing="1" w:line="400" w:lineRule="exact"/>
        <w:ind w:left="420" w:leftChars="200" w:firstLine="0" w:firstLineChars="0"/>
        <w:jc w:val="both"/>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2、本项目所属行业：租赁和商务服务业或其他未列明行业。</w:t>
      </w:r>
    </w:p>
    <w:p>
      <w:pPr>
        <w:widowControl/>
        <w:spacing w:before="100" w:beforeAutospacing="1" w:after="100" w:afterAutospacing="1" w:line="400" w:lineRule="exact"/>
        <w:ind w:left="420" w:leftChars="200" w:firstLine="0" w:firstLineChars="0"/>
        <w:jc w:val="both"/>
        <w:rPr>
          <w:rFonts w:hint="eastAsia" w:ascii="微软雅黑" w:hAnsi="微软雅黑" w:eastAsia="微软雅黑" w:cs="微软雅黑"/>
          <w:b/>
          <w:bCs/>
          <w:szCs w:val="21"/>
          <w:lang w:val="en-US" w:eastAsia="zh-CN"/>
        </w:rPr>
      </w:pPr>
    </w:p>
    <w:p>
      <w:pPr>
        <w:rPr>
          <w:rFonts w:hint="eastAsia"/>
          <w:lang w:val="en-US" w:eastAsia="zh-CN"/>
        </w:rPr>
      </w:pPr>
    </w:p>
    <w:p>
      <w:pPr>
        <w:rPr>
          <w:rFonts w:hint="eastAsia" w:ascii="宋体" w:hAnsi="宋体" w:eastAsia="宋体" w:cs="宋体"/>
          <w:color w:val="auto"/>
          <w:sz w:val="22"/>
          <w:szCs w:val="22"/>
          <w:highlight w:val="none"/>
        </w:rPr>
      </w:pPr>
    </w:p>
    <w:p>
      <w:pPr>
        <w:rPr>
          <w:rFonts w:hint="eastAsia" w:ascii="宋体" w:hAnsi="宋体" w:eastAsia="宋体" w:cs="宋体"/>
          <w:b/>
          <w:bCs/>
          <w:color w:val="auto"/>
          <w:kern w:val="2"/>
          <w:sz w:val="22"/>
          <w:szCs w:val="22"/>
          <w:highlight w:val="none"/>
        </w:rPr>
      </w:pPr>
      <w:bookmarkStart w:id="695" w:name="_Toc7018"/>
      <w:bookmarkStart w:id="696" w:name="_Toc2709"/>
      <w:bookmarkStart w:id="697" w:name="_Toc4543"/>
      <w:bookmarkStart w:id="698" w:name="_Toc26643"/>
      <w:bookmarkStart w:id="699" w:name="_Toc12692"/>
      <w:bookmarkStart w:id="700" w:name="_Toc752"/>
      <w:bookmarkStart w:id="701" w:name="_Toc11803"/>
      <w:bookmarkStart w:id="702" w:name="_Toc28055"/>
      <w:bookmarkStart w:id="703" w:name="_Toc29115"/>
      <w:bookmarkStart w:id="704" w:name="_Toc515647824"/>
      <w:bookmarkStart w:id="705" w:name="_Toc12060"/>
      <w:bookmarkStart w:id="706" w:name="_Toc10977"/>
      <w:bookmarkStart w:id="707" w:name="_Toc18860"/>
      <w:bookmarkStart w:id="708" w:name="_Toc5609"/>
      <w:bookmarkStart w:id="709" w:name="_Toc22307"/>
      <w:r>
        <w:rPr>
          <w:rFonts w:hint="eastAsia" w:ascii="宋体" w:hAnsi="宋体" w:eastAsia="宋体" w:cs="宋体"/>
          <w:b/>
          <w:bCs/>
          <w:color w:val="auto"/>
          <w:kern w:val="2"/>
          <w:sz w:val="22"/>
          <w:szCs w:val="22"/>
          <w:highlight w:val="none"/>
        </w:rPr>
        <w:br w:type="page"/>
      </w:r>
    </w:p>
    <w:p>
      <w:pPr>
        <w:jc w:val="left"/>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附：</w:t>
      </w:r>
    </w:p>
    <w:p>
      <w:pPr>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中小微企业划型标准</w:t>
      </w:r>
    </w:p>
    <w:tbl>
      <w:tblPr>
        <w:tblStyle w:val="24"/>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X＜100</w:t>
            </w:r>
          </w:p>
        </w:tc>
      </w:tr>
      <w:tr>
        <w:tblPrEx>
          <w:tblCellMar>
            <w:top w:w="0" w:type="dxa"/>
            <w:left w:w="108" w:type="dxa"/>
            <w:bottom w:w="0" w:type="dxa"/>
            <w:right w:w="108" w:type="dxa"/>
          </w:tblCellMar>
        </w:tblPrEx>
        <w:trPr>
          <w:trHeight w:val="51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color w:val="auto"/>
                <w:kern w:val="0"/>
                <w:sz w:val="24"/>
                <w:szCs w:val="24"/>
                <w:highlight w:val="none"/>
                <w:u w:val="none"/>
                <w:lang w:val="en-US" w:eastAsia="zh-CN" w:bidi="ar-SA"/>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X＜10</w:t>
            </w:r>
          </w:p>
        </w:tc>
      </w:tr>
    </w:tbl>
    <w:p>
      <w:pPr>
        <w:snapToGrid w:val="0"/>
        <w:spacing w:line="336" w:lineRule="auto"/>
        <w:contextualSpacing/>
        <w:jc w:val="left"/>
        <w:rPr>
          <w:rFonts w:hint="eastAsia" w:ascii="宋体" w:hAnsi="宋体" w:eastAsia="宋体" w:cs="宋体"/>
          <w:color w:val="auto"/>
          <w:kern w:val="0"/>
          <w:sz w:val="24"/>
          <w:szCs w:val="24"/>
          <w:highlight w:val="none"/>
          <w:u w:val="none"/>
          <w:lang w:val="en-US" w:eastAsia="zh-CN" w:bidi="ar-SA"/>
        </w:rPr>
      </w:pPr>
    </w:p>
    <w:p>
      <w:pPr>
        <w:snapToGrid w:val="0"/>
        <w:spacing w:line="336" w:lineRule="auto"/>
        <w:contextualSpacing/>
        <w:jc w:val="left"/>
        <w:rPr>
          <w:rFonts w:hint="eastAsia" w:ascii="宋体" w:hAnsi="宋体" w:eastAsia="宋体" w:cs="宋体"/>
          <w:color w:val="auto"/>
          <w:kern w:val="0"/>
          <w:sz w:val="24"/>
          <w:szCs w:val="24"/>
          <w:highlight w:val="none"/>
          <w:u w:val="none"/>
          <w:lang w:val="en-US" w:eastAsia="zh-CN" w:bidi="ar-SA"/>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说明</w:t>
      </w:r>
      <w:r>
        <w:rPr>
          <w:rFonts w:hint="eastAsia" w:ascii="宋体" w:hAnsi="宋体" w:eastAsia="宋体" w:cs="宋体"/>
          <w:color w:val="auto"/>
          <w:kern w:val="0"/>
          <w:sz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w:t>
      </w:r>
      <w:r>
        <w:rPr>
          <w:rFonts w:hint="eastAsia" w:ascii="宋体" w:hAnsi="宋体" w:cs="宋体"/>
          <w:color w:val="auto"/>
          <w:kern w:val="0"/>
          <w:sz w:val="24"/>
          <w:highlight w:val="none"/>
          <w:lang w:eastAsia="zh-CN"/>
        </w:rPr>
        <w:t>磋商文件</w:t>
      </w:r>
      <w:r>
        <w:rPr>
          <w:rFonts w:hint="eastAsia" w:ascii="宋体" w:hAnsi="宋体" w:eastAsia="宋体" w:cs="宋体"/>
          <w:color w:val="auto"/>
          <w:kern w:val="0"/>
          <w:sz w:val="24"/>
          <w:highlight w:val="none"/>
        </w:rPr>
        <w:t>所称中小企业，是指在中华人民共和国境内依法设立，依据国务院批准的</w:t>
      </w: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cs="宋体"/>
          <w:color w:val="auto"/>
          <w:kern w:val="0"/>
          <w:sz w:val="24"/>
          <w:highlight w:val="none"/>
          <w:lang w:eastAsia="zh-CN"/>
        </w:rPr>
        <w:t>磋商文件</w:t>
      </w:r>
      <w:r>
        <w:rPr>
          <w:rFonts w:hint="eastAsia" w:ascii="宋体" w:hAnsi="宋体" w:eastAsia="宋体" w:cs="宋体"/>
          <w:color w:val="auto"/>
          <w:kern w:val="0"/>
          <w:sz w:val="24"/>
          <w:highlight w:val="none"/>
        </w:rPr>
        <w:t>规定的中小企业扶持政策：</w:t>
      </w: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（1）在货物采购项目中，货物由中小企业制造，即货物由中小企业生产且使用该中小企业商号或者注册商标，不对其中涉及的工程承建商和服务的承接商作出要求；</w:t>
      </w: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（2）在工程采购项目中，工程由中小企业承建，即工程施工单位为中小企业，不对其中涉及的货物的制造商和服务的承接商作出要求；</w:t>
      </w: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在货物采购项目中，供应商提供的货物既有中小企业制造货物，也有大型企业制造货物的，不享受本</w:t>
      </w:r>
      <w:r>
        <w:rPr>
          <w:rFonts w:hint="eastAsia" w:ascii="宋体" w:hAnsi="宋体" w:cs="宋体"/>
          <w:color w:val="auto"/>
          <w:kern w:val="0"/>
          <w:sz w:val="24"/>
          <w:highlight w:val="none"/>
          <w:lang w:eastAsia="zh-CN"/>
        </w:rPr>
        <w:t>磋商文件</w:t>
      </w:r>
      <w:r>
        <w:rPr>
          <w:rFonts w:hint="eastAsia" w:ascii="宋体" w:hAnsi="宋体" w:eastAsia="宋体" w:cs="宋体"/>
          <w:color w:val="auto"/>
          <w:kern w:val="0"/>
          <w:sz w:val="24"/>
          <w:highlight w:val="none"/>
        </w:rPr>
        <w:t>规定的中小企业扶持政策。以联合体形式参加政府采购活动，联合体各方均为中小企业的，联合体视同中小企业。其中，联合体各方均为小微企业的，联合体视同小微企业。</w:t>
      </w: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依据本</w:t>
      </w:r>
      <w:r>
        <w:rPr>
          <w:rFonts w:hint="eastAsia" w:ascii="宋体" w:hAnsi="宋体" w:cs="宋体"/>
          <w:color w:val="auto"/>
          <w:kern w:val="0"/>
          <w:sz w:val="24"/>
          <w:highlight w:val="none"/>
          <w:lang w:eastAsia="zh-CN"/>
        </w:rPr>
        <w:t>磋商文件</w:t>
      </w:r>
      <w:r>
        <w:rPr>
          <w:rFonts w:hint="eastAsia" w:ascii="宋体" w:hAnsi="宋体" w:eastAsia="宋体" w:cs="宋体"/>
          <w:color w:val="auto"/>
          <w:kern w:val="0"/>
          <w:sz w:val="24"/>
          <w:highlight w:val="none"/>
        </w:rPr>
        <w:t>规定享受扶持政策获得政府采购合同的，小微企业不得将合同分包给大中型企业，中型企业不得将合同分包给大型企业。</w:t>
      </w: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rPr>
          <w:rFonts w:hint="eastAsia"/>
        </w:rPr>
      </w:pPr>
    </w:p>
    <w:p>
      <w:pPr>
        <w:rPr>
          <w:rFonts w:hint="eastAsia"/>
        </w:rPr>
      </w:pPr>
    </w:p>
    <w:p>
      <w:pPr>
        <w:outlineLvl w:val="9"/>
        <w:rPr>
          <w:rFonts w:hint="eastAsia"/>
        </w:rPr>
      </w:pPr>
    </w:p>
    <w:p>
      <w:pPr>
        <w:rPr>
          <w:rFonts w:hint="eastAsia"/>
        </w:rPr>
      </w:pPr>
    </w:p>
    <w:p>
      <w:pPr>
        <w:rPr>
          <w:rFonts w:hint="eastAsia"/>
        </w:rPr>
      </w:pPr>
    </w:p>
    <w:p>
      <w:pPr>
        <w:outlineLvl w:val="9"/>
        <w:rPr>
          <w:rFonts w:hint="eastAsia"/>
        </w:rPr>
      </w:pPr>
    </w:p>
    <w:p>
      <w:pPr>
        <w:rPr>
          <w:rFonts w:hint="eastAsia"/>
        </w:rPr>
      </w:pPr>
    </w:p>
    <w:p>
      <w:pPr>
        <w:rPr>
          <w:rFonts w:hint="eastAsia" w:ascii="宋体" w:hAnsi="宋体" w:eastAsia="宋体" w:cs="宋体"/>
          <w:b/>
          <w:i w:val="0"/>
          <w:caps w:val="0"/>
          <w:color w:val="auto"/>
          <w:spacing w:val="0"/>
          <w:w w:val="100"/>
          <w:sz w:val="28"/>
          <w:szCs w:val="28"/>
          <w:highlight w:val="none"/>
          <w:lang w:val="en-US" w:eastAsia="zh-CN"/>
        </w:rPr>
      </w:pPr>
      <w:bookmarkStart w:id="710" w:name="_Toc21039"/>
      <w:r>
        <w:rPr>
          <w:rFonts w:hint="eastAsia" w:ascii="宋体" w:hAnsi="宋体" w:eastAsia="宋体" w:cs="宋体"/>
          <w:b/>
          <w:i w:val="0"/>
          <w:caps w:val="0"/>
          <w:color w:val="auto"/>
          <w:spacing w:val="0"/>
          <w:w w:val="100"/>
          <w:sz w:val="28"/>
          <w:szCs w:val="28"/>
          <w:highlight w:val="none"/>
          <w:lang w:val="en-US" w:eastAsia="zh-CN"/>
        </w:rPr>
        <w:br w:type="page"/>
      </w:r>
    </w:p>
    <w:p>
      <w:pPr>
        <w:pStyle w:val="4"/>
        <w:shd w:val="clear"/>
        <w:snapToGrid w:val="0"/>
        <w:spacing w:before="0" w:beforeAutospacing="0" w:after="0" w:afterAutospacing="0" w:line="240" w:lineRule="atLeast"/>
        <w:ind w:left="1080" w:leftChars="257" w:hanging="540"/>
        <w:jc w:val="left"/>
        <w:textAlignment w:val="baseline"/>
        <w:rPr>
          <w:rFonts w:hint="eastAsia" w:ascii="宋体" w:hAnsi="宋体" w:eastAsia="宋体" w:cs="宋体"/>
          <w:b/>
          <w:i w:val="0"/>
          <w:caps w:val="0"/>
          <w:color w:val="auto"/>
          <w:spacing w:val="0"/>
          <w:w w:val="100"/>
          <w:sz w:val="28"/>
          <w:szCs w:val="28"/>
          <w:highlight w:val="none"/>
        </w:rPr>
      </w:pPr>
      <w:r>
        <w:rPr>
          <w:rFonts w:hint="eastAsia" w:ascii="宋体" w:hAnsi="宋体" w:eastAsia="宋体" w:cs="宋体"/>
          <w:b/>
          <w:i w:val="0"/>
          <w:caps w:val="0"/>
          <w:color w:val="auto"/>
          <w:spacing w:val="0"/>
          <w:w w:val="100"/>
          <w:sz w:val="28"/>
          <w:szCs w:val="28"/>
          <w:highlight w:val="none"/>
          <w:lang w:val="en-US" w:eastAsia="zh-CN"/>
        </w:rPr>
        <w:t>5</w:t>
      </w:r>
      <w:r>
        <w:rPr>
          <w:rFonts w:hint="eastAsia" w:ascii="宋体" w:hAnsi="宋体" w:eastAsia="宋体" w:cs="宋体"/>
          <w:b/>
          <w:i w:val="0"/>
          <w:caps w:val="0"/>
          <w:color w:val="auto"/>
          <w:spacing w:val="0"/>
          <w:w w:val="100"/>
          <w:sz w:val="28"/>
          <w:szCs w:val="28"/>
          <w:highlight w:val="none"/>
        </w:rPr>
        <w:t xml:space="preserve">-2  </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Start w:id="711" w:name="_Toc24860"/>
      <w:bookmarkStart w:id="712" w:name="_Toc2621"/>
      <w:bookmarkStart w:id="713" w:name="_Toc4244"/>
      <w:bookmarkStart w:id="714" w:name="_Toc515647825"/>
      <w:bookmarkStart w:id="715" w:name="_Toc30849"/>
      <w:bookmarkStart w:id="716" w:name="_Toc26931"/>
      <w:bookmarkStart w:id="717" w:name="_Toc3420"/>
      <w:bookmarkStart w:id="718" w:name="_Toc14454"/>
      <w:bookmarkStart w:id="719" w:name="_Toc32586"/>
      <w:bookmarkStart w:id="720" w:name="_Toc13947"/>
      <w:bookmarkStart w:id="721" w:name="_Toc15294"/>
      <w:bookmarkStart w:id="722" w:name="_Toc732"/>
      <w:bookmarkStart w:id="723" w:name="_Toc19284"/>
      <w:bookmarkStart w:id="724" w:name="_Toc23068"/>
      <w:bookmarkStart w:id="725" w:name="OLE_LINK13"/>
      <w:bookmarkStart w:id="726" w:name="OLE_LINK14"/>
      <w:r>
        <w:rPr>
          <w:rFonts w:hint="eastAsia" w:ascii="宋体" w:hAnsi="宋体" w:eastAsia="宋体" w:cs="宋体"/>
          <w:b/>
          <w:i w:val="0"/>
          <w:caps w:val="0"/>
          <w:color w:val="auto"/>
          <w:spacing w:val="0"/>
          <w:w w:val="100"/>
          <w:sz w:val="28"/>
          <w:szCs w:val="28"/>
          <w:highlight w:val="none"/>
        </w:rPr>
        <w:t>残疾人福利性单位声明函</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bookmarkEnd w:id="725"/>
    <w:bookmarkEnd w:id="726"/>
    <w:p>
      <w:pPr>
        <w:spacing w:line="240" w:lineRule="atLeast"/>
        <w:ind w:left="1080" w:leftChars="257" w:hanging="540"/>
        <w:jc w:val="center"/>
        <w:rPr>
          <w:rFonts w:hint="eastAsia" w:ascii="宋体" w:hAnsi="宋体" w:eastAsia="宋体" w:cs="宋体"/>
          <w:color w:val="auto"/>
          <w:sz w:val="24"/>
          <w:szCs w:val="24"/>
          <w:highlight w:val="none"/>
        </w:rPr>
      </w:pPr>
    </w:p>
    <w:p>
      <w:pPr>
        <w:spacing w:line="240" w:lineRule="atLeast"/>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，或者提供其他残疾人福利性单位制造的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（不包括使用非残疾人福利性单位注册商标的</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w:t>
      </w:r>
    </w:p>
    <w:p>
      <w:pPr>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240" w:lineRule="atLeast"/>
        <w:ind w:left="1080" w:leftChars="257" w:hanging="540"/>
        <w:jc w:val="center"/>
        <w:rPr>
          <w:rFonts w:hint="eastAsia" w:ascii="宋体" w:hAnsi="宋体" w:eastAsia="宋体" w:cs="宋体"/>
          <w:color w:val="auto"/>
          <w:sz w:val="24"/>
          <w:szCs w:val="24"/>
          <w:highlight w:val="none"/>
        </w:rPr>
      </w:pPr>
    </w:p>
    <w:p>
      <w:pPr>
        <w:spacing w:line="240" w:lineRule="atLeast"/>
        <w:ind w:left="1080" w:leftChars="257" w:hanging="540"/>
        <w:jc w:val="center"/>
        <w:rPr>
          <w:rFonts w:hint="eastAsia" w:ascii="宋体" w:hAnsi="宋体" w:eastAsia="宋体" w:cs="宋体"/>
          <w:color w:val="auto"/>
          <w:sz w:val="24"/>
          <w:szCs w:val="24"/>
          <w:highlight w:val="none"/>
        </w:rPr>
      </w:pPr>
    </w:p>
    <w:p>
      <w:pPr>
        <w:spacing w:line="240" w:lineRule="atLeast"/>
        <w:ind w:left="1080" w:leftChars="257" w:hanging="54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残疾人福利性单位名称（公章）：</w:t>
      </w:r>
      <w:r>
        <w:rPr>
          <w:rFonts w:hint="eastAsia" w:ascii="宋体" w:hAnsi="宋体" w:eastAsia="宋体" w:cs="宋体"/>
          <w:color w:val="auto"/>
          <w:sz w:val="24"/>
          <w:szCs w:val="24"/>
          <w:highlight w:val="none"/>
          <w:u w:val="single"/>
          <w:lang w:val="en-US" w:eastAsia="zh-CN"/>
        </w:rPr>
        <w:t xml:space="preserve">               </w:t>
      </w:r>
    </w:p>
    <w:p>
      <w:pPr>
        <w:spacing w:line="240" w:lineRule="atLeast"/>
        <w:ind w:left="1080" w:leftChars="257" w:hanging="54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lang w:val="en-US" w:eastAsia="zh-CN"/>
        </w:rPr>
        <w:t xml:space="preserve">                </w:t>
      </w:r>
    </w:p>
    <w:p>
      <w:pPr>
        <w:spacing w:line="240" w:lineRule="atLeast"/>
        <w:ind w:left="1080" w:leftChars="257" w:hanging="540"/>
        <w:jc w:val="center"/>
        <w:rPr>
          <w:rFonts w:hint="eastAsia" w:ascii="宋体" w:hAnsi="宋体" w:eastAsia="宋体" w:cs="宋体"/>
          <w:color w:val="auto"/>
          <w:sz w:val="24"/>
          <w:szCs w:val="24"/>
          <w:highlight w:val="none"/>
        </w:rPr>
      </w:pPr>
    </w:p>
    <w:p>
      <w:pPr>
        <w:spacing w:line="240" w:lineRule="atLeast"/>
        <w:ind w:left="1080" w:leftChars="257" w:hanging="540"/>
        <w:jc w:val="center"/>
        <w:rPr>
          <w:rFonts w:hint="eastAsia" w:ascii="宋体" w:hAnsi="宋体" w:eastAsia="宋体" w:cs="宋体"/>
          <w:color w:val="auto"/>
          <w:sz w:val="24"/>
          <w:szCs w:val="24"/>
          <w:highlight w:val="none"/>
        </w:rPr>
      </w:pPr>
    </w:p>
    <w:p>
      <w:pPr>
        <w:pStyle w:val="7"/>
        <w:rPr>
          <w:rFonts w:hint="eastAsia" w:ascii="宋体" w:hAnsi="宋体" w:eastAsia="宋体" w:cs="宋体"/>
          <w:color w:val="auto"/>
          <w:kern w:val="2"/>
          <w:highlight w:val="none"/>
        </w:rPr>
      </w:pPr>
    </w:p>
    <w:p>
      <w:pPr>
        <w:spacing w:line="240" w:lineRule="atLeast"/>
        <w:ind w:left="1080" w:leftChars="257" w:hanging="540"/>
        <w:jc w:val="center"/>
        <w:rPr>
          <w:rFonts w:hint="eastAsia" w:ascii="宋体" w:hAnsi="宋体" w:eastAsia="宋体" w:cs="宋体"/>
          <w:color w:val="auto"/>
          <w:sz w:val="24"/>
          <w:szCs w:val="24"/>
          <w:highlight w:val="none"/>
        </w:rPr>
      </w:pPr>
    </w:p>
    <w:p>
      <w:pPr>
        <w:pStyle w:val="4"/>
        <w:shd w:val="clear"/>
        <w:snapToGrid w:val="0"/>
        <w:spacing w:before="0" w:beforeAutospacing="0" w:after="0" w:afterAutospacing="0" w:line="240" w:lineRule="atLeast"/>
        <w:ind w:left="1080" w:leftChars="257" w:hanging="540"/>
        <w:jc w:val="left"/>
        <w:textAlignment w:val="baseline"/>
        <w:outlineLvl w:val="1"/>
        <w:rPr>
          <w:rFonts w:hint="eastAsia" w:ascii="宋体" w:hAnsi="宋体" w:eastAsia="宋体" w:cs="宋体"/>
          <w:b/>
          <w:i w:val="0"/>
          <w:caps w:val="0"/>
          <w:color w:val="auto"/>
          <w:spacing w:val="0"/>
          <w:w w:val="100"/>
          <w:sz w:val="28"/>
          <w:szCs w:val="28"/>
          <w:highlight w:val="none"/>
        </w:rPr>
      </w:pPr>
      <w:bookmarkStart w:id="727" w:name="_Toc5568"/>
      <w:bookmarkStart w:id="728" w:name="_Toc6004"/>
      <w:bookmarkStart w:id="729" w:name="_Toc30795"/>
      <w:bookmarkStart w:id="730" w:name="_Toc22561"/>
      <w:bookmarkStart w:id="731" w:name="_Toc5527"/>
      <w:bookmarkStart w:id="732" w:name="_Toc30946"/>
      <w:bookmarkStart w:id="733" w:name="_Toc26133"/>
      <w:bookmarkStart w:id="734" w:name="_Toc22378"/>
      <w:bookmarkStart w:id="735" w:name="_Toc22735"/>
      <w:bookmarkStart w:id="736" w:name="_Toc28099"/>
      <w:bookmarkStart w:id="737" w:name="_Toc5813"/>
      <w:bookmarkStart w:id="738" w:name="_Toc6009"/>
      <w:bookmarkStart w:id="739" w:name="_Toc19223"/>
      <w:bookmarkStart w:id="740" w:name="_Toc2304"/>
      <w:bookmarkStart w:id="741" w:name="_Toc11868"/>
      <w:bookmarkStart w:id="742" w:name="_Toc515647827"/>
      <w:r>
        <w:rPr>
          <w:rFonts w:hint="eastAsia" w:ascii="宋体" w:hAnsi="宋体" w:eastAsia="宋体" w:cs="宋体"/>
          <w:b/>
          <w:i w:val="0"/>
          <w:caps w:val="0"/>
          <w:color w:val="auto"/>
          <w:spacing w:val="0"/>
          <w:w w:val="100"/>
          <w:sz w:val="28"/>
          <w:szCs w:val="28"/>
          <w:highlight w:val="none"/>
          <w:lang w:val="en-US" w:eastAsia="zh-CN"/>
        </w:rPr>
        <w:t>6.</w:t>
      </w:r>
      <w:r>
        <w:rPr>
          <w:rFonts w:hint="eastAsia" w:ascii="宋体" w:hAnsi="宋体" w:eastAsia="宋体" w:cs="宋体"/>
          <w:b/>
          <w:i w:val="0"/>
          <w:caps w:val="0"/>
          <w:color w:val="auto"/>
          <w:spacing w:val="0"/>
          <w:w w:val="100"/>
          <w:sz w:val="28"/>
          <w:szCs w:val="28"/>
          <w:highlight w:val="none"/>
        </w:rPr>
        <w:t>供应商关联单位的说明</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pStyle w:val="7"/>
        <w:jc w:val="center"/>
        <w:rPr>
          <w:rFonts w:hint="eastAsia" w:ascii="宋体" w:hAnsi="宋体" w:eastAsia="宋体" w:cs="宋体"/>
          <w:color w:val="auto"/>
          <w:kern w:val="2"/>
          <w:highlight w:val="none"/>
        </w:rPr>
      </w:pPr>
    </w:p>
    <w:p>
      <w:pPr>
        <w:pStyle w:val="7"/>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说明：供应商应当如实披露与本单位存在下列关联关系的单位名称：</w:t>
      </w:r>
    </w:p>
    <w:p>
      <w:pPr>
        <w:pStyle w:val="7"/>
        <w:ind w:firstLine="960" w:firstLineChars="40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rPr>
        <w:t>（1）与供应商单位负责人为同一人的其他单位；</w:t>
      </w:r>
    </w:p>
    <w:p>
      <w:pPr>
        <w:pStyle w:val="7"/>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 xml:space="preserve">    （2）与供应商存在直接控股、管理关系的其他单位。</w:t>
      </w:r>
    </w:p>
    <w:p>
      <w:pPr>
        <w:pStyle w:val="8"/>
        <w:rPr>
          <w:rFonts w:hint="eastAsia" w:ascii="宋体" w:hAnsi="宋体" w:eastAsia="宋体" w:cs="宋体"/>
          <w:color w:val="auto"/>
          <w:kern w:val="2"/>
          <w:highlight w:val="none"/>
        </w:rPr>
      </w:pPr>
    </w:p>
    <w:p>
      <w:pPr>
        <w:rPr>
          <w:rFonts w:hint="eastAsia"/>
        </w:rPr>
      </w:pPr>
    </w:p>
    <w:p>
      <w:pPr>
        <w:pStyle w:val="7"/>
        <w:ind w:firstLineChars="200"/>
        <w:rPr>
          <w:rFonts w:hint="default"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 xml:space="preserve"> </w:t>
      </w:r>
    </w:p>
    <w:p>
      <w:pPr>
        <w:pStyle w:val="4"/>
        <w:spacing w:before="45"/>
        <w:ind w:right="260"/>
        <w:jc w:val="left"/>
        <w:outlineLvl w:val="1"/>
        <w:rPr>
          <w:rFonts w:hint="eastAsia" w:ascii="宋体" w:hAnsi="宋体" w:eastAsia="宋体" w:cs="宋体"/>
          <w:b/>
          <w:i w:val="0"/>
          <w:caps w:val="0"/>
          <w:color w:val="auto"/>
          <w:spacing w:val="0"/>
          <w:w w:val="100"/>
          <w:kern w:val="0"/>
          <w:sz w:val="28"/>
          <w:szCs w:val="28"/>
          <w:highlight w:val="none"/>
          <w:u w:val="none"/>
          <w:lang w:val="en-US" w:eastAsia="zh-CN" w:bidi="ar-SA"/>
        </w:rPr>
      </w:pPr>
      <w:bookmarkStart w:id="743" w:name="_Toc1010"/>
      <w:r>
        <w:rPr>
          <w:rFonts w:hint="eastAsia" w:ascii="宋体" w:hAnsi="宋体" w:eastAsia="宋体" w:cs="宋体"/>
          <w:b/>
          <w:i w:val="0"/>
          <w:caps w:val="0"/>
          <w:color w:val="auto"/>
          <w:spacing w:val="0"/>
          <w:w w:val="100"/>
          <w:kern w:val="0"/>
          <w:sz w:val="28"/>
          <w:szCs w:val="28"/>
          <w:highlight w:val="none"/>
          <w:u w:val="none"/>
          <w:lang w:val="en-US" w:eastAsia="zh-CN" w:bidi="ar-SA"/>
        </w:rPr>
        <w:t>7.供应商可提供有利于投标的其他证明材料</w:t>
      </w:r>
      <w:bookmarkEnd w:id="743"/>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4"/>
        <w:shd w:val="clear"/>
        <w:snapToGrid w:val="0"/>
        <w:spacing w:before="0" w:beforeAutospacing="0" w:after="0" w:afterAutospacing="0" w:line="240" w:lineRule="atLeast"/>
        <w:ind w:left="1080" w:leftChars="257" w:hanging="540"/>
        <w:jc w:val="left"/>
        <w:textAlignment w:val="baseline"/>
        <w:outlineLvl w:val="1"/>
        <w:rPr>
          <w:rFonts w:hint="eastAsia" w:ascii="宋体" w:hAnsi="宋体" w:eastAsia="宋体" w:cs="宋体"/>
          <w:b/>
          <w:i w:val="0"/>
          <w:caps w:val="0"/>
          <w:color w:val="auto"/>
          <w:spacing w:val="0"/>
          <w:w w:val="100"/>
          <w:sz w:val="28"/>
          <w:szCs w:val="28"/>
          <w:highlight w:val="none"/>
        </w:rPr>
      </w:pPr>
      <w:bookmarkStart w:id="744" w:name="_Toc16628"/>
      <w:bookmarkStart w:id="745" w:name="_Toc16684"/>
      <w:bookmarkStart w:id="746" w:name="_Toc2969"/>
      <w:bookmarkStart w:id="747" w:name="_Toc25807"/>
      <w:bookmarkStart w:id="748" w:name="_Toc31381"/>
      <w:bookmarkStart w:id="749" w:name="_Toc31218"/>
      <w:bookmarkStart w:id="750" w:name="_Toc19009"/>
      <w:bookmarkStart w:id="751" w:name="_Toc17701"/>
      <w:bookmarkStart w:id="752" w:name="_Toc23424"/>
      <w:bookmarkStart w:id="753" w:name="_Toc5533"/>
      <w:r>
        <w:rPr>
          <w:rFonts w:hint="eastAsia" w:ascii="宋体" w:hAnsi="宋体" w:eastAsia="宋体" w:cs="宋体"/>
          <w:b/>
          <w:i w:val="0"/>
          <w:caps w:val="0"/>
          <w:color w:val="auto"/>
          <w:spacing w:val="0"/>
          <w:w w:val="100"/>
          <w:sz w:val="28"/>
          <w:szCs w:val="28"/>
          <w:highlight w:val="none"/>
          <w:lang w:val="en-US" w:eastAsia="zh-CN"/>
        </w:rPr>
        <w:t>8.</w:t>
      </w:r>
      <w:r>
        <w:rPr>
          <w:rFonts w:hint="eastAsia" w:ascii="宋体" w:hAnsi="宋体" w:eastAsia="宋体" w:cs="宋体"/>
          <w:b/>
          <w:i w:val="0"/>
          <w:caps w:val="0"/>
          <w:color w:val="auto"/>
          <w:spacing w:val="0"/>
          <w:w w:val="100"/>
          <w:sz w:val="28"/>
          <w:szCs w:val="28"/>
          <w:highlight w:val="none"/>
          <w:lang w:eastAsia="zh-CN"/>
        </w:rPr>
        <w:t>响应文件</w:t>
      </w:r>
      <w:r>
        <w:rPr>
          <w:rFonts w:hint="eastAsia" w:ascii="宋体" w:hAnsi="宋体" w:eastAsia="宋体" w:cs="宋体"/>
          <w:b/>
          <w:i w:val="0"/>
          <w:caps w:val="0"/>
          <w:color w:val="auto"/>
          <w:spacing w:val="0"/>
          <w:w w:val="100"/>
          <w:sz w:val="28"/>
          <w:szCs w:val="28"/>
          <w:highlight w:val="none"/>
        </w:rPr>
        <w:t>格式范本</w:t>
      </w:r>
      <w:bookmarkEnd w:id="744"/>
      <w:bookmarkEnd w:id="745"/>
      <w:bookmarkEnd w:id="746"/>
      <w:bookmarkEnd w:id="747"/>
      <w:bookmarkEnd w:id="748"/>
      <w:bookmarkEnd w:id="749"/>
      <w:bookmarkEnd w:id="750"/>
      <w:bookmarkEnd w:id="751"/>
      <w:bookmarkEnd w:id="752"/>
      <w:bookmarkEnd w:id="753"/>
    </w:p>
    <w:tbl>
      <w:tblPr>
        <w:tblStyle w:val="24"/>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9520" w:type="dxa"/>
            <w:shd w:val="clear" w:color="auto" w:fill="FCFEEA"/>
          </w:tcPr>
          <w:p>
            <w:pPr>
              <w:pStyle w:val="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9"/>
              <w:ind w:firstLine="4216" w:firstLineChars="1500"/>
              <w:rPr>
                <w:rFonts w:hint="eastAsia" w:ascii="宋体" w:hAnsi="宋体" w:eastAsia="宋体" w:cs="宋体"/>
                <w:b/>
                <w:bCs/>
                <w:color w:val="auto"/>
                <w:sz w:val="28"/>
                <w:szCs w:val="28"/>
                <w:highlight w:val="none"/>
              </w:rPr>
            </w:pPr>
          </w:p>
          <w:p>
            <w:pPr>
              <w:pStyle w:val="9"/>
              <w:ind w:firstLine="4216" w:firstLineChars="1500"/>
              <w:rPr>
                <w:rFonts w:hint="eastAsia" w:ascii="宋体" w:hAnsi="宋体" w:eastAsia="宋体" w:cs="宋体"/>
                <w:b/>
                <w:bCs/>
                <w:color w:val="auto"/>
                <w:sz w:val="28"/>
                <w:szCs w:val="28"/>
                <w:highlight w:val="none"/>
              </w:rPr>
            </w:pPr>
          </w:p>
          <w:p>
            <w:pPr>
              <w:pStyle w:val="9"/>
              <w:rPr>
                <w:rFonts w:hint="eastAsia" w:ascii="宋体" w:hAnsi="宋体" w:eastAsia="宋体" w:cs="宋体"/>
                <w:b/>
                <w:bCs/>
                <w:color w:val="auto"/>
                <w:sz w:val="28"/>
                <w:szCs w:val="28"/>
                <w:highlight w:val="none"/>
              </w:rPr>
            </w:pPr>
          </w:p>
          <w:p>
            <w:pPr>
              <w:pStyle w:val="9"/>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 xml:space="preserve">   项目</w:t>
            </w:r>
          </w:p>
          <w:p>
            <w:pPr>
              <w:pStyle w:val="9"/>
              <w:jc w:val="center"/>
              <w:rPr>
                <w:rFonts w:hint="eastAsia" w:ascii="宋体" w:hAnsi="宋体" w:eastAsia="宋体" w:cs="宋体"/>
                <w:b/>
                <w:bCs/>
                <w:color w:val="auto"/>
                <w:sz w:val="21"/>
                <w:szCs w:val="21"/>
                <w:highlight w:val="none"/>
              </w:rPr>
            </w:pPr>
          </w:p>
          <w:p>
            <w:pPr>
              <w:pStyle w:val="9"/>
              <w:ind w:firstLine="3162" w:firstLineChars="1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编号＊＊＊＊＊＊   包号＊＊＊＊＊</w:t>
            </w:r>
          </w:p>
          <w:p>
            <w:pPr>
              <w:pStyle w:val="9"/>
              <w:jc w:val="center"/>
              <w:rPr>
                <w:rFonts w:hint="eastAsia" w:ascii="宋体" w:hAnsi="宋体" w:eastAsia="宋体" w:cs="宋体"/>
                <w:b/>
                <w:bCs/>
                <w:color w:val="auto"/>
                <w:sz w:val="48"/>
                <w:highlight w:val="none"/>
              </w:rPr>
            </w:pPr>
          </w:p>
          <w:p>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eastAsia="zh-CN"/>
              </w:rPr>
              <w:t>响</w:t>
            </w:r>
            <w:r>
              <w:rPr>
                <w:rFonts w:hint="eastAsia" w:ascii="宋体" w:hAnsi="宋体" w:eastAsia="宋体" w:cs="宋体"/>
                <w:b/>
                <w:bCs/>
                <w:color w:val="auto"/>
                <w:sz w:val="48"/>
                <w:highlight w:val="none"/>
                <w:lang w:val="en-US" w:eastAsia="zh-CN"/>
              </w:rPr>
              <w:t xml:space="preserve"> </w:t>
            </w:r>
            <w:r>
              <w:rPr>
                <w:rFonts w:hint="eastAsia" w:ascii="宋体" w:hAnsi="宋体" w:eastAsia="宋体" w:cs="宋体"/>
                <w:b/>
                <w:bCs/>
                <w:color w:val="auto"/>
                <w:sz w:val="48"/>
                <w:highlight w:val="none"/>
                <w:lang w:eastAsia="zh-CN"/>
              </w:rPr>
              <w:t>应</w:t>
            </w:r>
            <w:r>
              <w:rPr>
                <w:rFonts w:hint="eastAsia" w:ascii="宋体" w:hAnsi="宋体" w:eastAsia="宋体" w:cs="宋体"/>
                <w:b/>
                <w:bCs/>
                <w:color w:val="auto"/>
                <w:sz w:val="48"/>
                <w:highlight w:val="none"/>
              </w:rPr>
              <w:t xml:space="preserve"> 文 件</w:t>
            </w:r>
          </w:p>
          <w:p>
            <w:pPr>
              <w:jc w:val="center"/>
              <w:rPr>
                <w:rFonts w:hint="eastAsia" w:ascii="宋体" w:hAnsi="宋体" w:eastAsia="宋体" w:cs="宋体"/>
                <w:b/>
                <w:color w:val="auto"/>
                <w:sz w:val="32"/>
                <w:highlight w:val="none"/>
              </w:rPr>
            </w:pPr>
          </w:p>
          <w:p>
            <w:pPr>
              <w:pStyle w:val="7"/>
              <w:rPr>
                <w:rFonts w:hint="eastAsia" w:ascii="宋体" w:hAnsi="宋体" w:eastAsia="宋体" w:cs="宋体"/>
                <w:b/>
                <w:color w:val="auto"/>
                <w:sz w:val="32"/>
                <w:highlight w:val="none"/>
              </w:rPr>
            </w:pPr>
          </w:p>
          <w:p>
            <w:pPr>
              <w:pStyle w:val="7"/>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地    址  ： </w:t>
            </w:r>
            <w:r>
              <w:rPr>
                <w:rFonts w:hint="eastAsia" w:ascii="宋体" w:hAnsi="宋体" w:eastAsia="宋体" w:cs="宋体"/>
                <w:color w:val="auto"/>
                <w:szCs w:val="21"/>
                <w:highlight w:val="none"/>
                <w:u w:val="single"/>
              </w:rPr>
              <w:t xml:space="preserve">                                    </w:t>
            </w:r>
          </w:p>
          <w:p>
            <w:pPr>
              <w:spacing w:line="360" w:lineRule="auto"/>
              <w:ind w:left="176" w:leftChars="84" w:firstLine="960" w:firstLineChars="400"/>
              <w:rPr>
                <w:rFonts w:hint="eastAsia" w:ascii="宋体" w:hAnsi="宋体" w:eastAsia="宋体" w:cs="宋体"/>
                <w:color w:val="auto"/>
                <w:sz w:val="24"/>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highlight w:val="none"/>
              </w:rPr>
              <w:t xml:space="preserve">日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highlight w:val="none"/>
                <w:lang w:eastAsia="zh-CN"/>
              </w:rPr>
              <w:t>点</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highlight w:val="none"/>
                <w:lang w:eastAsia="zh-CN"/>
              </w:rPr>
              <w:t>分</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br w:type="page"/>
      </w:r>
    </w:p>
    <w:p>
      <w:pPr>
        <w:spacing w:line="240" w:lineRule="atLeast"/>
        <w:ind w:left="1080" w:leftChars="257" w:hanging="540"/>
        <w:outlineLvl w:val="1"/>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9</w:t>
      </w:r>
      <w:r>
        <w:rPr>
          <w:rFonts w:hint="eastAsia" w:ascii="宋体" w:hAnsi="宋体" w:eastAsia="宋体" w:cs="宋体"/>
          <w:b/>
          <w:color w:val="auto"/>
          <w:kern w:val="0"/>
          <w:sz w:val="28"/>
          <w:szCs w:val="28"/>
          <w:highlight w:val="none"/>
          <w:lang w:val="en-US" w:eastAsia="zh-CN"/>
        </w:rPr>
        <w:t>.二轮报价表（此表用于磋商现场）</w:t>
      </w:r>
    </w:p>
    <w:p>
      <w:pPr>
        <w:spacing w:line="240" w:lineRule="atLeast"/>
        <w:jc w:val="center"/>
        <w:rPr>
          <w:rFonts w:hint="eastAsia" w:ascii="宋体" w:hAnsi="宋体" w:eastAsia="宋体" w:cs="宋体"/>
          <w:b/>
          <w:color w:val="auto"/>
          <w:sz w:val="32"/>
          <w:highlight w:val="none"/>
        </w:rPr>
      </w:pPr>
    </w:p>
    <w:tbl>
      <w:tblPr>
        <w:tblStyle w:val="24"/>
        <w:tblW w:w="83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35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第二轮报价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8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供应商名称（盖章）：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8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最终报价：小写：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法定代表人电子签章：                                  年   月   日</w:t>
            </w:r>
          </w:p>
        </w:tc>
      </w:tr>
    </w:tbl>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ind w:firstLine="482" w:firstLineChars="200"/>
        <w:jc w:val="both"/>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注：二轮报价为最终报价，须在接到报价邀请后二十分钟内上传本“第二轮报价”单，否则视为放弃二轮报价机会。</w:t>
      </w:r>
    </w:p>
    <w:p>
      <w:pPr>
        <w:pStyle w:val="7"/>
        <w:rPr>
          <w:rFonts w:hint="eastAsia" w:ascii="宋体" w:hAnsi="宋体" w:eastAsia="宋体" w:cs="宋体"/>
          <w:color w:val="auto"/>
          <w:highlight w:val="none"/>
        </w:rPr>
      </w:pPr>
    </w:p>
    <w:p>
      <w:pPr>
        <w:spacing w:line="240" w:lineRule="atLeast"/>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pStyle w:val="8"/>
        <w:rPr>
          <w:rFonts w:hint="eastAsia" w:ascii="宋体" w:hAnsi="宋体" w:eastAsia="宋体" w:cs="宋体"/>
          <w:b/>
          <w:color w:val="auto"/>
          <w:sz w:val="44"/>
          <w:szCs w:val="44"/>
          <w:highlight w:val="none"/>
          <w:lang w:eastAsia="zh-CN"/>
        </w:rPr>
      </w:pPr>
    </w:p>
    <w:p>
      <w:pPr>
        <w:rPr>
          <w:rFonts w:hint="eastAsia" w:ascii="宋体" w:hAnsi="宋体" w:eastAsia="宋体" w:cs="宋体"/>
          <w:b/>
          <w:color w:val="auto"/>
          <w:sz w:val="44"/>
          <w:szCs w:val="44"/>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pStyle w:val="21"/>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p>
    <w:p>
      <w:pPr>
        <w:spacing w:line="240" w:lineRule="atLeast"/>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磋 商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outlineLvl w:val="9"/>
        <w:rPr>
          <w:rFonts w:hint="eastAsia" w:ascii="宋体" w:hAnsi="宋体" w:eastAsia="宋体" w:cs="宋体"/>
          <w:b/>
          <w:color w:val="auto"/>
          <w:sz w:val="32"/>
          <w:highlight w:val="none"/>
          <w:lang w:eastAsia="zh-CN"/>
        </w:rPr>
      </w:pPr>
      <w:bookmarkStart w:id="754" w:name="_Toc16708"/>
      <w:bookmarkStart w:id="755" w:name="_Toc21608"/>
      <w:r>
        <w:rPr>
          <w:rFonts w:hint="eastAsia" w:ascii="宋体" w:hAnsi="宋体" w:eastAsia="宋体" w:cs="宋体"/>
          <w:b/>
          <w:color w:val="auto"/>
          <w:sz w:val="40"/>
          <w:szCs w:val="40"/>
          <w:highlight w:val="none"/>
        </w:rPr>
        <w:t>项目编号：</w:t>
      </w:r>
      <w:bookmarkEnd w:id="754"/>
      <w:r>
        <w:rPr>
          <w:rFonts w:hint="eastAsia" w:ascii="宋体" w:hAnsi="宋体" w:cs="宋体"/>
          <w:b/>
          <w:color w:val="auto"/>
          <w:sz w:val="40"/>
          <w:szCs w:val="40"/>
          <w:highlight w:val="none"/>
          <w:lang w:val="en-US" w:eastAsia="zh-CN"/>
        </w:rPr>
        <w:t>KSJC</w:t>
      </w:r>
      <w:r>
        <w:rPr>
          <w:rFonts w:hint="eastAsia" w:ascii="宋体" w:hAnsi="宋体" w:cs="宋体"/>
          <w:b/>
          <w:color w:val="auto"/>
          <w:sz w:val="40"/>
          <w:szCs w:val="40"/>
          <w:highlight w:val="none"/>
          <w:lang w:eastAsia="zh-CN"/>
        </w:rPr>
        <w:t>(CS)-008</w:t>
      </w:r>
      <w:bookmarkEnd w:id="755"/>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240" w:lineRule="atLeast"/>
        <w:ind w:left="1080" w:leftChars="257" w:hanging="540"/>
        <w:rPr>
          <w:rFonts w:hint="eastAsia" w:ascii="宋体" w:hAnsi="宋体" w:eastAsia="宋体" w:cs="宋体"/>
          <w:b/>
          <w:color w:val="auto"/>
          <w:sz w:val="28"/>
          <w:highlight w:val="none"/>
        </w:rPr>
      </w:pPr>
    </w:p>
    <w:p>
      <w:pPr>
        <w:spacing w:line="240" w:lineRule="atLeast"/>
        <w:ind w:left="1080" w:leftChars="257" w:hanging="540"/>
        <w:rPr>
          <w:rFonts w:hint="eastAsia" w:ascii="宋体" w:hAnsi="宋体" w:eastAsia="宋体" w:cs="宋体"/>
          <w:b/>
          <w:color w:val="auto"/>
          <w:sz w:val="28"/>
          <w:highlight w:val="none"/>
        </w:rPr>
      </w:pPr>
    </w:p>
    <w:p>
      <w:pPr>
        <w:spacing w:line="240" w:lineRule="atLeast"/>
        <w:ind w:left="1080" w:leftChars="257" w:hanging="540"/>
        <w:rPr>
          <w:rFonts w:hint="eastAsia" w:ascii="宋体" w:hAnsi="宋体" w:eastAsia="宋体" w:cs="宋体"/>
          <w:b/>
          <w:color w:val="auto"/>
          <w:sz w:val="28"/>
          <w:highlight w:val="none"/>
        </w:rPr>
      </w:pPr>
    </w:p>
    <w:p>
      <w:pPr>
        <w:spacing w:line="240" w:lineRule="atLeast"/>
        <w:jc w:val="both"/>
        <w:rPr>
          <w:rFonts w:hint="eastAsia" w:ascii="宋体" w:hAnsi="宋体" w:eastAsia="宋体" w:cs="宋体"/>
          <w:b/>
          <w:color w:val="auto"/>
          <w:sz w:val="52"/>
          <w:highlight w:val="none"/>
        </w:rPr>
      </w:pPr>
    </w:p>
    <w:p>
      <w:pPr>
        <w:pStyle w:val="3"/>
        <w:jc w:val="both"/>
        <w:outlineLvl w:val="9"/>
        <w:rPr>
          <w:rFonts w:hint="eastAsia" w:ascii="宋体" w:hAnsi="宋体" w:eastAsia="宋体" w:cs="宋体"/>
          <w:color w:val="auto"/>
          <w:highlight w:val="none"/>
        </w:rPr>
        <w:sectPr>
          <w:footerReference r:id="rId8" w:type="default"/>
          <w:pgSz w:w="11906" w:h="16838"/>
          <w:pgMar w:top="1440" w:right="1797" w:bottom="1440" w:left="1797" w:header="851" w:footer="992" w:gutter="0"/>
          <w:pgNumType w:fmt="decimal"/>
          <w:cols w:space="720" w:num="1"/>
          <w:docGrid w:linePitch="312" w:charSpace="0"/>
        </w:sectPr>
      </w:pPr>
    </w:p>
    <w:p>
      <w:pPr>
        <w:pStyle w:val="3"/>
        <w:tabs>
          <w:tab w:val="left" w:pos="0"/>
        </w:tabs>
        <w:spacing w:before="0" w:after="0" w:line="240" w:lineRule="atLeast"/>
        <w:jc w:val="center"/>
        <w:rPr>
          <w:rFonts w:hint="eastAsia" w:ascii="宋体" w:hAnsi="宋体" w:eastAsia="宋体" w:cs="宋体"/>
          <w:color w:val="auto"/>
          <w:highlight w:val="none"/>
        </w:rPr>
      </w:pPr>
      <w:bookmarkStart w:id="756" w:name="_Toc16370"/>
      <w:bookmarkStart w:id="757" w:name="_Toc218935350"/>
      <w:bookmarkStart w:id="758" w:name="_Toc219175634"/>
      <w:bookmarkStart w:id="759" w:name="_Toc507399902"/>
      <w:bookmarkStart w:id="760" w:name="_Toc216582822"/>
      <w:bookmarkStart w:id="761" w:name="_Toc26518"/>
      <w:bookmarkStart w:id="762" w:name="_Toc515647829"/>
      <w:bookmarkStart w:id="763" w:name="_Toc28765"/>
      <w:bookmarkStart w:id="764" w:name="_Toc29715"/>
      <w:r>
        <w:rPr>
          <w:rFonts w:hint="eastAsia" w:ascii="宋体" w:hAnsi="宋体" w:eastAsia="宋体" w:cs="宋体"/>
          <w:color w:val="auto"/>
          <w:highlight w:val="none"/>
          <w:lang w:val="en-US" w:eastAsia="zh-CN"/>
        </w:rPr>
        <w:t>第3章</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邀请</w:t>
      </w:r>
      <w:bookmarkEnd w:id="756"/>
      <w:bookmarkEnd w:id="757"/>
      <w:bookmarkEnd w:id="758"/>
      <w:bookmarkEnd w:id="759"/>
      <w:bookmarkEnd w:id="760"/>
      <w:bookmarkEnd w:id="761"/>
      <w:bookmarkEnd w:id="762"/>
      <w:bookmarkEnd w:id="763"/>
      <w:bookmarkEnd w:id="764"/>
      <w:bookmarkStart w:id="765" w:name="_Toc515647830"/>
      <w:bookmarkStart w:id="766" w:name="_Toc507399903"/>
      <w:bookmarkStart w:id="767" w:name="_Toc216582823"/>
      <w:bookmarkStart w:id="768" w:name="_Toc10488"/>
      <w:bookmarkStart w:id="769" w:name="_Toc512937850"/>
      <w:bookmarkStart w:id="770" w:name="_Toc5272"/>
      <w:bookmarkStart w:id="771" w:name="_Toc31583"/>
    </w:p>
    <w:bookmarkEnd w:id="765"/>
    <w:bookmarkEnd w:id="766"/>
    <w:bookmarkEnd w:id="767"/>
    <w:bookmarkEnd w:id="768"/>
    <w:bookmarkEnd w:id="769"/>
    <w:bookmarkEnd w:id="770"/>
    <w:bookmarkEnd w:id="771"/>
    <w:p>
      <w:pPr>
        <w:keepNext w:val="0"/>
        <w:keepLines w:val="0"/>
        <w:pageBreakBefore w:val="0"/>
        <w:widowControl w:val="0"/>
        <w:kinsoku/>
        <w:wordWrap/>
        <w:overflowPunct/>
        <w:topLinePunct w:val="0"/>
        <w:autoSpaceDE/>
        <w:autoSpaceDN/>
        <w:bidi w:val="0"/>
        <w:adjustRightInd/>
        <w:snapToGrid w:val="0"/>
        <w:spacing w:line="500" w:lineRule="exact"/>
        <w:jc w:val="center"/>
        <w:textAlignment w:val="baseline"/>
        <w:outlineLvl w:val="9"/>
        <w:rPr>
          <w:rFonts w:hint="eastAsia" w:ascii="宋体" w:hAnsi="宋体" w:eastAsia="宋体" w:cs="宋体"/>
          <w:b/>
          <w:bCs/>
          <w:sz w:val="36"/>
          <w:szCs w:val="36"/>
        </w:rPr>
      </w:pPr>
      <w:bookmarkStart w:id="772" w:name="_Toc25737"/>
      <w:bookmarkStart w:id="773" w:name="_Toc26226"/>
      <w:bookmarkStart w:id="774" w:name="_Toc28803"/>
      <w:bookmarkStart w:id="775" w:name="_Toc28539"/>
      <w:bookmarkStart w:id="776" w:name="_Toc21806"/>
      <w:bookmarkStart w:id="777" w:name="_Toc16036"/>
      <w:bookmarkStart w:id="778" w:name="_Toc13655"/>
      <w:bookmarkStart w:id="779" w:name="_Toc13846"/>
      <w:bookmarkStart w:id="780" w:name="_Toc23395"/>
      <w:bookmarkStart w:id="781" w:name="_Toc22216"/>
      <w:bookmarkStart w:id="782" w:name="_Toc218935355"/>
      <w:bookmarkStart w:id="783" w:name="_Toc515647832"/>
      <w:bookmarkStart w:id="784" w:name="_Toc7971"/>
      <w:bookmarkStart w:id="785" w:name="_Toc507399907"/>
      <w:bookmarkStart w:id="786" w:name="_Toc219175639"/>
      <w:bookmarkStart w:id="787" w:name="_Toc216582826"/>
      <w:bookmarkStart w:id="788" w:name="_Toc32647"/>
      <w:r>
        <w:rPr>
          <w:rFonts w:hint="eastAsia" w:ascii="宋体" w:hAnsi="宋体" w:cs="宋体"/>
          <w:b/>
          <w:bCs/>
          <w:sz w:val="36"/>
          <w:szCs w:val="36"/>
          <w:lang w:val="en-US" w:eastAsia="zh-CN"/>
        </w:rPr>
        <w:t>喀什市文旅系统干部培训项目</w:t>
      </w:r>
      <w:r>
        <w:rPr>
          <w:rFonts w:hint="eastAsia" w:ascii="宋体" w:hAnsi="宋体" w:eastAsia="宋体" w:cs="宋体"/>
          <w:b/>
          <w:bCs/>
          <w:sz w:val="36"/>
          <w:szCs w:val="36"/>
        </w:rPr>
        <w:t>竞争性磋商公告</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420" w:type="dxa"/>
          </w:tcPr>
          <w:p>
            <w:pPr>
              <w:keepNext w:val="0"/>
              <w:keepLines w:val="0"/>
              <w:pageBreakBefore w:val="0"/>
              <w:widowControl w:val="0"/>
              <w:kinsoku/>
              <w:wordWrap/>
              <w:overflowPunct/>
              <w:topLinePunct w:val="0"/>
              <w:autoSpaceDE w:val="0"/>
              <w:autoSpaceDN w:val="0"/>
              <w:bidi w:val="0"/>
              <w:spacing w:line="380" w:lineRule="exac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outlineLvl w:val="9"/>
              <w:rPr>
                <w:rFonts w:hint="eastAsia" w:ascii="宋体" w:hAnsi="宋体" w:eastAsia="宋体" w:cs="宋体"/>
              </w:rPr>
            </w:pPr>
            <w:r>
              <w:rPr>
                <w:rFonts w:hint="eastAsia" w:ascii="宋体" w:hAnsi="宋体" w:cs="宋体"/>
                <w:sz w:val="24"/>
                <w:u w:val="single"/>
                <w:lang w:val="en-US" w:eastAsia="zh-CN"/>
              </w:rPr>
              <w:t>喀什市文旅系统干部培训项</w:t>
            </w:r>
            <w:r>
              <w:rPr>
                <w:rFonts w:hint="eastAsia" w:ascii="宋体" w:hAnsi="宋体" w:eastAsia="宋体" w:cs="宋体"/>
                <w:sz w:val="24"/>
                <w:u w:val="single"/>
                <w:lang w:val="en-US" w:eastAsia="zh-CN"/>
              </w:rPr>
              <w:t>目</w:t>
            </w:r>
            <w:r>
              <w:rPr>
                <w:rFonts w:hint="eastAsia" w:ascii="宋体" w:hAnsi="宋体" w:eastAsia="宋体" w:cs="宋体"/>
                <w:sz w:val="24"/>
                <w:u w:val="none"/>
                <w:lang w:val="en-US" w:eastAsia="zh-CN"/>
              </w:rPr>
              <w:t>潜在供应商应在</w:t>
            </w:r>
            <w:r>
              <w:rPr>
                <w:rFonts w:hint="eastAsia" w:ascii="宋体" w:hAnsi="宋体" w:eastAsia="宋体" w:cs="宋体"/>
                <w:sz w:val="24"/>
                <w:u w:val="single"/>
                <w:lang w:val="en-US" w:eastAsia="zh-CN"/>
              </w:rPr>
              <w:t>政采云平台（https://login.zcygov.cn/user-login/#/login）</w:t>
            </w:r>
            <w:r>
              <w:rPr>
                <w:rFonts w:hint="eastAsia" w:ascii="宋体" w:hAnsi="宋体" w:eastAsia="宋体" w:cs="宋体"/>
                <w:sz w:val="24"/>
                <w:u w:val="none"/>
                <w:lang w:val="en-US" w:eastAsia="zh-CN"/>
              </w:rPr>
              <w:t>获取招标文件，</w:t>
            </w:r>
            <w:r>
              <w:rPr>
                <w:rFonts w:hint="eastAsia" w:ascii="宋体" w:hAnsi="宋体" w:eastAsia="宋体" w:cs="宋体"/>
                <w:sz w:val="24"/>
              </w:rPr>
              <w:t>并于</w:t>
            </w:r>
            <w:r>
              <w:rPr>
                <w:rFonts w:hint="eastAsia" w:ascii="宋体" w:hAnsi="宋体" w:eastAsia="宋体" w:cs="宋体"/>
                <w:sz w:val="24"/>
                <w:u w:val="single"/>
              </w:rPr>
              <w:t>202</w:t>
            </w:r>
            <w:r>
              <w:rPr>
                <w:rFonts w:hint="eastAsia" w:ascii="宋体" w:hAnsi="宋体" w:eastAsia="宋体" w:cs="宋体"/>
                <w:sz w:val="24"/>
                <w:u w:val="single"/>
                <w:lang w:val="en-US" w:eastAsia="zh-CN"/>
              </w:rPr>
              <w:t>3</w:t>
            </w:r>
            <w:r>
              <w:rPr>
                <w:rFonts w:hint="eastAsia" w:ascii="宋体" w:hAnsi="宋体" w:eastAsia="宋体" w:cs="宋体"/>
                <w:sz w:val="24"/>
                <w:u w:val="single"/>
              </w:rPr>
              <w:t>年</w:t>
            </w:r>
            <w:r>
              <w:rPr>
                <w:rFonts w:hint="eastAsia" w:ascii="宋体" w:hAnsi="宋体" w:cs="宋体"/>
                <w:sz w:val="24"/>
                <w:u w:val="single"/>
                <w:lang w:val="en-US" w:eastAsia="zh-CN"/>
              </w:rPr>
              <w:t>8</w:t>
            </w:r>
            <w:r>
              <w:rPr>
                <w:rFonts w:hint="eastAsia" w:ascii="宋体" w:hAnsi="宋体" w:eastAsia="宋体" w:cs="宋体"/>
                <w:sz w:val="24"/>
                <w:u w:val="single"/>
              </w:rPr>
              <w:t>月</w:t>
            </w:r>
            <w:r>
              <w:rPr>
                <w:rFonts w:hint="eastAsia" w:ascii="宋体" w:hAnsi="宋体" w:cs="宋体"/>
                <w:sz w:val="24"/>
                <w:u w:val="single"/>
                <w:lang w:val="en-US" w:eastAsia="zh-CN"/>
              </w:rPr>
              <w:t>15</w:t>
            </w:r>
            <w:r>
              <w:rPr>
                <w:rFonts w:hint="eastAsia" w:ascii="宋体" w:hAnsi="宋体" w:eastAsia="宋体" w:cs="宋体"/>
                <w:sz w:val="24"/>
                <w:u w:val="single"/>
              </w:rPr>
              <w:t>日</w:t>
            </w:r>
            <w:r>
              <w:rPr>
                <w:rFonts w:hint="eastAsia" w:ascii="宋体" w:hAnsi="宋体" w:cs="宋体"/>
                <w:sz w:val="24"/>
                <w:u w:val="single"/>
                <w:lang w:eastAsia="zh-CN"/>
              </w:rPr>
              <w:t>10：30</w:t>
            </w:r>
            <w:r>
              <w:rPr>
                <w:rFonts w:hint="eastAsia" w:ascii="宋体" w:hAnsi="宋体" w:eastAsia="宋体" w:cs="宋体"/>
                <w:sz w:val="24"/>
                <w:u w:val="single"/>
              </w:rPr>
              <w:t>（北京时间）</w:t>
            </w:r>
            <w:r>
              <w:rPr>
                <w:rFonts w:hint="eastAsia" w:ascii="宋体" w:hAnsi="宋体" w:eastAsia="宋体" w:cs="宋体"/>
                <w:sz w:val="24"/>
              </w:rPr>
              <w:t>前</w:t>
            </w:r>
            <w:r>
              <w:rPr>
                <w:rFonts w:hint="eastAsia" w:ascii="宋体" w:hAnsi="宋体" w:eastAsia="宋体" w:cs="宋体"/>
                <w:sz w:val="24"/>
                <w:lang w:val="en-US" w:eastAsia="zh-CN"/>
              </w:rPr>
              <w:t>上传</w:t>
            </w:r>
            <w:r>
              <w:rPr>
                <w:rFonts w:hint="eastAsia" w:ascii="宋体" w:hAnsi="宋体" w:eastAsia="宋体" w:cs="宋体"/>
                <w:sz w:val="24"/>
              </w:rPr>
              <w:t>递交响应文件。</w:t>
            </w:r>
          </w:p>
        </w:tc>
      </w:tr>
    </w:tbl>
    <w:p>
      <w:pPr>
        <w:keepNext w:val="0"/>
        <w:keepLines w:val="0"/>
        <w:pageBreakBefore w:val="0"/>
        <w:widowControl w:val="0"/>
        <w:kinsoku/>
        <w:wordWrap/>
        <w:overflowPunct/>
        <w:topLinePunct w:val="0"/>
        <w:autoSpaceDE w:val="0"/>
        <w:autoSpaceDN w:val="0"/>
        <w:bidi w:val="0"/>
        <w:spacing w:line="380" w:lineRule="exact"/>
        <w:outlineLvl w:val="9"/>
        <w:rPr>
          <w:rFonts w:hint="eastAsia" w:ascii="宋体" w:hAnsi="宋体" w:eastAsia="宋体" w:cs="宋体"/>
          <w:b/>
          <w:sz w:val="24"/>
          <w:highlight w:val="none"/>
        </w:rPr>
      </w:pPr>
      <w:bookmarkStart w:id="789" w:name="_Toc28359079"/>
      <w:bookmarkStart w:id="790" w:name="_Toc35393621"/>
      <w:bookmarkStart w:id="791" w:name="_Toc35393790"/>
      <w:bookmarkStart w:id="792" w:name="_Toc28359002"/>
      <w:bookmarkStart w:id="793" w:name="_Toc28217"/>
      <w:bookmarkStart w:id="794" w:name="_Toc20970"/>
      <w:bookmarkStart w:id="795" w:name="_Toc32394"/>
      <w:bookmarkStart w:id="796" w:name="_Toc28253"/>
      <w:bookmarkStart w:id="797" w:name="_Hlk24379207"/>
      <w:r>
        <w:rPr>
          <w:rFonts w:hint="eastAsia" w:ascii="宋体" w:hAnsi="宋体" w:eastAsia="宋体" w:cs="宋体"/>
          <w:b/>
          <w:sz w:val="24"/>
        </w:rPr>
        <w:t>一、</w:t>
      </w:r>
      <w:bookmarkEnd w:id="789"/>
      <w:bookmarkEnd w:id="790"/>
      <w:bookmarkEnd w:id="791"/>
      <w:bookmarkEnd w:id="792"/>
      <w:bookmarkEnd w:id="793"/>
      <w:r>
        <w:rPr>
          <w:rFonts w:hint="eastAsia" w:ascii="宋体" w:hAnsi="宋体" w:eastAsia="宋体" w:cs="宋体"/>
          <w:b/>
          <w:sz w:val="24"/>
        </w:rPr>
        <w:t>项目基本</w:t>
      </w:r>
      <w:r>
        <w:rPr>
          <w:rFonts w:hint="eastAsia" w:ascii="宋体" w:hAnsi="宋体" w:eastAsia="宋体" w:cs="宋体"/>
          <w:b/>
          <w:sz w:val="24"/>
          <w:highlight w:val="none"/>
        </w:rPr>
        <w:t>情况</w:t>
      </w:r>
      <w:bookmarkEnd w:id="794"/>
      <w:bookmarkEnd w:id="795"/>
      <w:bookmarkEnd w:id="796"/>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val="en-US" w:eastAsia="zh-CN"/>
        </w:rPr>
        <w:t>KSJC</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CS</w:t>
      </w:r>
      <w:r>
        <w:rPr>
          <w:rFonts w:hint="eastAsia" w:ascii="宋体" w:hAnsi="宋体" w:eastAsia="宋体" w:cs="宋体"/>
          <w:sz w:val="24"/>
          <w:highlight w:val="none"/>
        </w:rPr>
        <w:t>)-00</w:t>
      </w:r>
      <w:r>
        <w:rPr>
          <w:rFonts w:hint="eastAsia" w:ascii="宋体" w:hAnsi="宋体" w:eastAsia="宋体" w:cs="宋体"/>
          <w:sz w:val="24"/>
          <w:highlight w:val="none"/>
          <w:lang w:val="en-US" w:eastAsia="zh-CN"/>
        </w:rPr>
        <w:t>8</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项目名称：</w:t>
      </w:r>
      <w:bookmarkEnd w:id="797"/>
      <w:r>
        <w:rPr>
          <w:rFonts w:hint="eastAsia" w:ascii="宋体" w:hAnsi="宋体" w:cs="宋体"/>
          <w:sz w:val="24"/>
          <w:highlight w:val="none"/>
          <w:lang w:val="en-US" w:eastAsia="zh-CN"/>
        </w:rPr>
        <w:t>喀什市文旅系统干部培训项目</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采购方式：竞争性磋商</w:t>
      </w:r>
    </w:p>
    <w:p>
      <w:pPr>
        <w:keepNext w:val="0"/>
        <w:keepLines w:val="0"/>
        <w:pageBreakBefore w:val="0"/>
        <w:widowControl w:val="0"/>
        <w:kinsoku/>
        <w:wordWrap/>
        <w:overflowPunct/>
        <w:topLinePunct w:val="0"/>
        <w:autoSpaceDE w:val="0"/>
        <w:autoSpaceDN w:val="0"/>
        <w:bidi w:val="0"/>
        <w:spacing w:line="380" w:lineRule="exact"/>
        <w:ind w:firstLine="480" w:firstLineChars="200"/>
        <w:jc w:val="left"/>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预算金额（元）：</w:t>
      </w:r>
      <w:r>
        <w:rPr>
          <w:rFonts w:hint="eastAsia" w:ascii="宋体" w:hAnsi="宋体" w:cs="宋体"/>
          <w:sz w:val="24"/>
          <w:highlight w:val="none"/>
          <w:lang w:val="en-US" w:eastAsia="zh-CN"/>
        </w:rPr>
        <w:t>799200.00</w:t>
      </w:r>
    </w:p>
    <w:p>
      <w:pPr>
        <w:keepNext w:val="0"/>
        <w:keepLines w:val="0"/>
        <w:pageBreakBefore w:val="0"/>
        <w:widowControl w:val="0"/>
        <w:kinsoku/>
        <w:wordWrap/>
        <w:overflowPunct/>
        <w:topLinePunct w:val="0"/>
        <w:autoSpaceDE w:val="0"/>
        <w:autoSpaceDN w:val="0"/>
        <w:bidi w:val="0"/>
        <w:spacing w:line="380" w:lineRule="exact"/>
        <w:ind w:firstLine="480" w:firstLineChars="200"/>
        <w:jc w:val="left"/>
        <w:outlineLvl w:val="9"/>
        <w:rPr>
          <w:rFonts w:hint="default" w:ascii="宋体" w:hAnsi="宋体" w:eastAsia="宋体" w:cs="宋体"/>
          <w:sz w:val="24"/>
          <w:highlight w:val="none"/>
          <w:lang w:val="en-US"/>
        </w:rPr>
      </w:pPr>
      <w:r>
        <w:rPr>
          <w:rFonts w:hint="eastAsia" w:ascii="宋体" w:hAnsi="宋体" w:eastAsia="宋体" w:cs="宋体"/>
          <w:sz w:val="24"/>
          <w:highlight w:val="none"/>
        </w:rPr>
        <w:t>最高限价（元）：</w:t>
      </w:r>
      <w:r>
        <w:rPr>
          <w:rFonts w:hint="eastAsia" w:ascii="宋体" w:hAnsi="宋体" w:cs="宋体"/>
          <w:sz w:val="24"/>
          <w:highlight w:val="none"/>
          <w:lang w:val="en-US" w:eastAsia="zh-CN"/>
        </w:rPr>
        <w:t>799200.00</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rPr>
      </w:pPr>
      <w:r>
        <w:rPr>
          <w:rFonts w:hint="eastAsia" w:ascii="宋体" w:hAnsi="宋体" w:cs="宋体"/>
          <w:sz w:val="24"/>
          <w:highlight w:val="none"/>
          <w:lang w:val="en-US" w:eastAsia="zh-CN"/>
        </w:rPr>
        <w:t>采购</w:t>
      </w:r>
      <w:r>
        <w:rPr>
          <w:rFonts w:hint="eastAsia" w:ascii="宋体" w:hAnsi="宋体" w:eastAsia="宋体" w:cs="宋体"/>
          <w:sz w:val="24"/>
          <w:highlight w:val="none"/>
          <w:lang w:val="en-US" w:eastAsia="zh-CN"/>
        </w:rPr>
        <w:t>内容</w:t>
      </w:r>
      <w:r>
        <w:rPr>
          <w:rFonts w:hint="eastAsia" w:ascii="宋体" w:hAnsi="宋体" w:eastAsia="宋体" w:cs="宋体"/>
          <w:sz w:val="24"/>
          <w:highlight w:val="none"/>
        </w:rPr>
        <w:t>：</w:t>
      </w:r>
      <w:r>
        <w:rPr>
          <w:rFonts w:hint="eastAsia" w:ascii="宋体" w:hAnsi="宋体" w:cs="宋体"/>
          <w:sz w:val="24"/>
          <w:highlight w:val="none"/>
          <w:lang w:val="en-US" w:eastAsia="zh-CN"/>
        </w:rPr>
        <w:t>组织文旅干部分批次赴内地开展干部培训，预计培训人次50人</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（具体</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详见</w:t>
      </w:r>
      <w:r>
        <w:rPr>
          <w:rFonts w:hint="eastAsia" w:ascii="宋体" w:hAnsi="宋体" w:eastAsia="宋体" w:cs="宋体"/>
          <w:sz w:val="24"/>
        </w:rPr>
        <w:t>磋商文件）</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rPr>
      </w:pPr>
      <w:r>
        <w:rPr>
          <w:rFonts w:hint="eastAsia" w:ascii="宋体" w:hAnsi="宋体" w:eastAsia="宋体" w:cs="宋体"/>
          <w:sz w:val="24"/>
        </w:rPr>
        <w:t>本项目不接受联合体投标。</w:t>
      </w:r>
    </w:p>
    <w:p>
      <w:pPr>
        <w:keepNext w:val="0"/>
        <w:keepLines w:val="0"/>
        <w:pageBreakBefore w:val="0"/>
        <w:widowControl w:val="0"/>
        <w:tabs>
          <w:tab w:val="left" w:pos="403"/>
        </w:tabs>
        <w:kinsoku/>
        <w:wordWrap/>
        <w:overflowPunct/>
        <w:topLinePunct w:val="0"/>
        <w:autoSpaceDE w:val="0"/>
        <w:autoSpaceDN w:val="0"/>
        <w:bidi w:val="0"/>
        <w:spacing w:line="380" w:lineRule="exact"/>
        <w:outlineLvl w:val="9"/>
        <w:rPr>
          <w:rFonts w:hint="eastAsia" w:ascii="宋体" w:hAnsi="宋体" w:eastAsia="宋体" w:cs="宋体"/>
          <w:b/>
          <w:bCs/>
          <w:sz w:val="24"/>
        </w:rPr>
      </w:pPr>
      <w:bookmarkStart w:id="798" w:name="_Toc13688"/>
      <w:bookmarkStart w:id="799" w:name="_Toc28359003"/>
      <w:bookmarkStart w:id="800" w:name="_Toc19260"/>
      <w:bookmarkStart w:id="801" w:name="_Toc35393791"/>
      <w:bookmarkStart w:id="802" w:name="_Toc28359080"/>
      <w:bookmarkStart w:id="803" w:name="_Toc35393622"/>
      <w:bookmarkStart w:id="804" w:name="_Toc29506"/>
      <w:bookmarkStart w:id="805" w:name="_Toc24482"/>
      <w:r>
        <w:rPr>
          <w:rFonts w:hint="eastAsia" w:ascii="宋体" w:hAnsi="宋体" w:eastAsia="宋体" w:cs="宋体"/>
          <w:b/>
          <w:bCs/>
          <w:sz w:val="24"/>
        </w:rPr>
        <w:t>二、投标供应商资格要求：</w:t>
      </w:r>
      <w:bookmarkEnd w:id="798"/>
      <w:bookmarkEnd w:id="799"/>
      <w:bookmarkEnd w:id="800"/>
      <w:bookmarkEnd w:id="801"/>
      <w:bookmarkEnd w:id="802"/>
      <w:bookmarkEnd w:id="803"/>
      <w:bookmarkEnd w:id="804"/>
      <w:bookmarkEnd w:id="805"/>
      <w:r>
        <w:rPr>
          <w:rFonts w:hint="eastAsia" w:ascii="宋体" w:hAnsi="宋体" w:eastAsia="宋体" w:cs="宋体"/>
          <w:b/>
          <w:bCs/>
          <w:sz w:val="24"/>
        </w:rPr>
        <w:t xml:space="preserve"> </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highlight w:val="none"/>
          <w:lang w:eastAsia="zh-CN"/>
        </w:rPr>
      </w:pPr>
      <w:bookmarkStart w:id="806" w:name="_Toc32226"/>
      <w:bookmarkStart w:id="807" w:name="_Toc27678"/>
      <w:bookmarkStart w:id="808" w:name="_Toc35393792"/>
      <w:bookmarkStart w:id="809" w:name="_Toc28359004"/>
      <w:bookmarkStart w:id="810" w:name="_Toc35393623"/>
      <w:bookmarkStart w:id="811" w:name="_Toc28359081"/>
      <w:r>
        <w:rPr>
          <w:rFonts w:hint="eastAsia" w:ascii="宋体" w:hAnsi="宋体" w:eastAsia="宋体" w:cs="宋体"/>
          <w:sz w:val="24"/>
          <w:highlight w:val="none"/>
        </w:rPr>
        <w:t>1.满足《中华人民共和国政府采购法》第二十二条规定</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（1）具有有效的营业执照；</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rPr>
        <w:t>法定代表人身份证明及身份证或法定代表人授权委托书和委托代理人身份证；</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w:t>
      </w:r>
      <w:r>
        <w:rPr>
          <w:rFonts w:hint="eastAsia" w:ascii="宋体" w:hAnsi="宋体" w:eastAsia="宋体" w:cs="宋体"/>
          <w:color w:val="000000" w:themeColor="text1"/>
          <w:sz w:val="24"/>
          <w:highlight w:val="none"/>
          <w14:textFill>
            <w14:solidFill>
              <w14:schemeClr w14:val="tx1"/>
            </w14:solidFill>
          </w14:textFill>
        </w:rPr>
        <w:t>3）提供近两年内任意一年的财务审计报告或健全的财务会计制度；</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提供依法缴纳近六个月任意一个月的社会保险证明（新成立公司未满六个月，无须提供社会保险证明）</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cs="宋体"/>
          <w:sz w:val="24"/>
          <w:highlight w:val="none"/>
          <w:lang w:val="en-US" w:eastAsia="zh-CN"/>
        </w:rPr>
        <w:t>提供依法缴纳近六个月任意一个月的税收证明（新成立公司未满六个月，无须提供税收证明）</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 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val="en-US" w:eastAsia="zh-CN"/>
        </w:rPr>
        <w:t>提供</w:t>
      </w:r>
      <w:r>
        <w:rPr>
          <w:rFonts w:hint="eastAsia" w:ascii="宋体" w:hAnsi="宋体" w:eastAsia="宋体" w:cs="宋体"/>
          <w:sz w:val="24"/>
        </w:rPr>
        <w:t>参加政府采购活动前3年内在经营活动中没有重大违法违规记录的书面声明；</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）提供针对本次项目《反商业贿赂承诺书》。</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2.落实政府采购政策需满足的资格要求：标项1：</w:t>
      </w:r>
      <w:r>
        <w:rPr>
          <w:rFonts w:hint="eastAsia" w:ascii="宋体" w:hAnsi="宋体" w:cs="宋体"/>
          <w:b w:val="0"/>
          <w:bCs w:val="0"/>
          <w:color w:val="auto"/>
          <w:sz w:val="24"/>
          <w:szCs w:val="24"/>
          <w:highlight w:val="none"/>
          <w:lang w:val="en-US" w:eastAsia="zh-CN"/>
        </w:rPr>
        <w:t>专门面向</w:t>
      </w:r>
      <w:r>
        <w:rPr>
          <w:rFonts w:hint="eastAsia" w:ascii="宋体" w:hAnsi="宋体" w:eastAsia="宋体" w:cs="宋体"/>
          <w:b w:val="0"/>
          <w:bCs w:val="0"/>
          <w:color w:val="auto"/>
          <w:sz w:val="24"/>
          <w:szCs w:val="24"/>
          <w:highlight w:val="none"/>
          <w:lang w:val="en-US" w:eastAsia="zh-CN"/>
        </w:rPr>
        <w:t>中小企业。</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default" w:ascii="宋体" w:hAnsi="宋体" w:eastAsia="宋体" w:cs="宋体"/>
          <w:color w:val="auto"/>
          <w:sz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3.本项目的特定资格要求：标项1：无</w:t>
      </w:r>
    </w:p>
    <w:p>
      <w:pPr>
        <w:keepNext w:val="0"/>
        <w:keepLines w:val="0"/>
        <w:pageBreakBefore w:val="0"/>
        <w:widowControl w:val="0"/>
        <w:kinsoku/>
        <w:wordWrap/>
        <w:overflowPunct/>
        <w:topLinePunct w:val="0"/>
        <w:autoSpaceDE w:val="0"/>
        <w:autoSpaceDN w:val="0"/>
        <w:bidi w:val="0"/>
        <w:spacing w:line="380" w:lineRule="exact"/>
        <w:outlineLvl w:val="9"/>
        <w:rPr>
          <w:rFonts w:hint="eastAsia" w:ascii="宋体" w:hAnsi="宋体" w:eastAsia="宋体" w:cs="宋体"/>
          <w:b/>
          <w:bCs/>
          <w:kern w:val="0"/>
          <w:sz w:val="24"/>
        </w:rPr>
      </w:pPr>
      <w:bookmarkStart w:id="812" w:name="_Toc17459"/>
      <w:r>
        <w:rPr>
          <w:rFonts w:hint="eastAsia" w:ascii="宋体" w:hAnsi="宋体" w:eastAsia="宋体" w:cs="宋体"/>
          <w:b/>
          <w:bCs/>
          <w:kern w:val="0"/>
          <w:sz w:val="24"/>
        </w:rPr>
        <w:t>三、获取磋商文件</w:t>
      </w:r>
      <w:bookmarkEnd w:id="806"/>
      <w:bookmarkEnd w:id="807"/>
      <w:bookmarkEnd w:id="808"/>
      <w:bookmarkEnd w:id="809"/>
      <w:bookmarkEnd w:id="810"/>
      <w:bookmarkEnd w:id="811"/>
      <w:bookmarkEnd w:id="812"/>
    </w:p>
    <w:p>
      <w:pPr>
        <w:keepNext w:val="0"/>
        <w:keepLines w:val="0"/>
        <w:pageBreakBefore w:val="0"/>
        <w:widowControl w:val="0"/>
        <w:kinsoku/>
        <w:wordWrap/>
        <w:overflowPunct/>
        <w:topLinePunct w:val="0"/>
        <w:autoSpaceDE w:val="0"/>
        <w:autoSpaceDN w:val="0"/>
        <w:bidi w:val="0"/>
        <w:spacing w:line="380" w:lineRule="exact"/>
        <w:ind w:firstLine="540"/>
        <w:outlineLvl w:val="9"/>
        <w:rPr>
          <w:rFonts w:hint="eastAsia" w:ascii="宋体" w:hAnsi="宋体" w:eastAsia="宋体" w:cs="宋体"/>
          <w:sz w:val="24"/>
        </w:rPr>
      </w:pPr>
      <w:r>
        <w:rPr>
          <w:rFonts w:hint="eastAsia" w:ascii="宋体" w:hAnsi="宋体" w:eastAsia="宋体" w:cs="宋体"/>
          <w:sz w:val="24"/>
        </w:rPr>
        <w:t>获取时间：2023年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lang w:val="en-US" w:eastAsia="zh-CN"/>
        </w:rPr>
        <w:t>4</w:t>
      </w:r>
      <w:r>
        <w:rPr>
          <w:rFonts w:hint="eastAsia" w:ascii="宋体" w:hAnsi="宋体" w:eastAsia="宋体" w:cs="宋体"/>
          <w:sz w:val="24"/>
        </w:rPr>
        <w:t>日至2023年</w:t>
      </w:r>
      <w:r>
        <w:rPr>
          <w:rFonts w:hint="eastAsia" w:ascii="宋体" w:hAnsi="宋体" w:cs="宋体"/>
          <w:sz w:val="24"/>
          <w:lang w:val="en-US" w:eastAsia="zh-CN"/>
        </w:rPr>
        <w:t>8</w:t>
      </w:r>
      <w:r>
        <w:rPr>
          <w:rFonts w:hint="eastAsia" w:ascii="宋体" w:hAnsi="宋体" w:eastAsia="宋体" w:cs="宋体"/>
          <w:sz w:val="24"/>
        </w:rPr>
        <w:t>月</w:t>
      </w:r>
      <w:r>
        <w:rPr>
          <w:rFonts w:hint="eastAsia" w:ascii="宋体" w:hAnsi="宋体" w:cs="宋体"/>
          <w:sz w:val="24"/>
          <w:lang w:val="en-US" w:eastAsia="zh-CN"/>
        </w:rPr>
        <w:t>11</w:t>
      </w:r>
      <w:r>
        <w:rPr>
          <w:rFonts w:hint="eastAsia" w:ascii="宋体" w:hAnsi="宋体" w:eastAsia="宋体" w:cs="宋体"/>
          <w:sz w:val="24"/>
        </w:rPr>
        <w:t>日，每天上午10:00至14:00，下午</w:t>
      </w:r>
      <w:r>
        <w:rPr>
          <w:rFonts w:hint="eastAsia" w:ascii="宋体" w:hAnsi="宋体" w:eastAsia="宋体" w:cs="宋体"/>
          <w:sz w:val="24"/>
          <w:lang w:val="en-US" w:eastAsia="zh-CN"/>
        </w:rPr>
        <w:t>1</w:t>
      </w:r>
      <w:r>
        <w:rPr>
          <w:rFonts w:hint="eastAsia" w:ascii="宋体" w:hAnsi="宋体" w:cs="宋体"/>
          <w:sz w:val="24"/>
          <w:lang w:val="en-US" w:eastAsia="zh-CN"/>
        </w:rPr>
        <w:t>6</w:t>
      </w:r>
      <w:r>
        <w:rPr>
          <w:rFonts w:hint="eastAsia" w:ascii="宋体" w:hAnsi="宋体" w:eastAsia="宋体" w:cs="宋体"/>
          <w:sz w:val="24"/>
        </w:rPr>
        <w:t>:</w:t>
      </w:r>
      <w:r>
        <w:rPr>
          <w:rFonts w:hint="eastAsia" w:ascii="宋体" w:hAnsi="宋体" w:cs="宋体"/>
          <w:sz w:val="24"/>
          <w:lang w:val="en-US" w:eastAsia="zh-CN"/>
        </w:rPr>
        <w:t>00</w:t>
      </w:r>
      <w:r>
        <w:rPr>
          <w:rFonts w:hint="eastAsia" w:ascii="宋体" w:hAnsi="宋体" w:eastAsia="宋体" w:cs="宋体"/>
          <w:sz w:val="24"/>
        </w:rPr>
        <w:t>至</w:t>
      </w:r>
      <w:r>
        <w:rPr>
          <w:rFonts w:hint="eastAsia" w:ascii="宋体" w:hAnsi="宋体" w:cs="宋体"/>
          <w:sz w:val="24"/>
          <w:lang w:val="en-US" w:eastAsia="zh-CN"/>
        </w:rPr>
        <w:t>20</w:t>
      </w:r>
      <w:r>
        <w:rPr>
          <w:rFonts w:hint="eastAsia" w:ascii="宋体" w:hAnsi="宋体" w:eastAsia="宋体" w:cs="宋体"/>
          <w:sz w:val="24"/>
        </w:rPr>
        <w:t>:</w:t>
      </w:r>
      <w:r>
        <w:rPr>
          <w:rFonts w:hint="eastAsia" w:ascii="宋体" w:hAnsi="宋体" w:cs="宋体"/>
          <w:sz w:val="24"/>
          <w:lang w:val="en-US" w:eastAsia="zh-CN"/>
        </w:rPr>
        <w:t>0</w:t>
      </w:r>
      <w:r>
        <w:rPr>
          <w:rFonts w:hint="eastAsia" w:ascii="宋体" w:hAnsi="宋体" w:eastAsia="宋体" w:cs="宋体"/>
          <w:sz w:val="24"/>
          <w:lang w:val="en-US" w:eastAsia="zh-CN"/>
        </w:rPr>
        <w:t>0</w:t>
      </w:r>
      <w:r>
        <w:rPr>
          <w:rFonts w:hint="eastAsia" w:ascii="宋体" w:hAnsi="宋体" w:eastAsia="宋体" w:cs="宋体"/>
          <w:sz w:val="24"/>
        </w:rPr>
        <w:t>（北京时间，法定节假日除外）</w:t>
      </w:r>
    </w:p>
    <w:p>
      <w:pPr>
        <w:keepNext w:val="0"/>
        <w:keepLines w:val="0"/>
        <w:pageBreakBefore w:val="0"/>
        <w:widowControl w:val="0"/>
        <w:kinsoku/>
        <w:wordWrap/>
        <w:overflowPunct/>
        <w:topLinePunct w:val="0"/>
        <w:autoSpaceDE w:val="0"/>
        <w:autoSpaceDN w:val="0"/>
        <w:bidi w:val="0"/>
        <w:spacing w:line="380" w:lineRule="exact"/>
        <w:ind w:firstLine="540"/>
        <w:outlineLvl w:val="9"/>
        <w:rPr>
          <w:rFonts w:hint="eastAsia" w:ascii="宋体" w:hAnsi="宋体" w:eastAsia="宋体" w:cs="宋体"/>
          <w:sz w:val="24"/>
        </w:rPr>
      </w:pPr>
      <w:r>
        <w:rPr>
          <w:rFonts w:hint="eastAsia" w:ascii="宋体" w:hAnsi="宋体" w:eastAsia="宋体" w:cs="宋体"/>
          <w:sz w:val="24"/>
        </w:rPr>
        <w:t>获取方式：供应商登陆政采云平台http://www.zcygov.cn/，在线申请获取采购文件（登录政府采购云平台 → 项目采购 → 获取采购文件 → 申请，审核通过后可下载磋商文件，如有操作性问题，可与政采云在线客服进行咨询，咨询电话：400-881-7190）</w:t>
      </w:r>
    </w:p>
    <w:p>
      <w:pPr>
        <w:keepNext w:val="0"/>
        <w:keepLines w:val="0"/>
        <w:pageBreakBefore w:val="0"/>
        <w:widowControl w:val="0"/>
        <w:kinsoku/>
        <w:wordWrap/>
        <w:overflowPunct/>
        <w:topLinePunct w:val="0"/>
        <w:autoSpaceDE w:val="0"/>
        <w:autoSpaceDN w:val="0"/>
        <w:bidi w:val="0"/>
        <w:spacing w:line="380" w:lineRule="exact"/>
        <w:ind w:firstLine="540"/>
        <w:outlineLvl w:val="9"/>
        <w:rPr>
          <w:rFonts w:hint="eastAsia" w:ascii="宋体" w:hAnsi="宋体" w:eastAsia="宋体" w:cs="宋体"/>
          <w:sz w:val="24"/>
        </w:rPr>
      </w:pPr>
      <w:r>
        <w:rPr>
          <w:rFonts w:hint="eastAsia" w:ascii="宋体" w:hAnsi="宋体" w:eastAsia="宋体" w:cs="宋体"/>
          <w:sz w:val="24"/>
        </w:rPr>
        <w:t>获取地点：政采云平台（http://www.zcygov.cn/）</w:t>
      </w:r>
    </w:p>
    <w:p>
      <w:pPr>
        <w:keepNext w:val="0"/>
        <w:keepLines w:val="0"/>
        <w:pageBreakBefore w:val="0"/>
        <w:widowControl w:val="0"/>
        <w:kinsoku/>
        <w:wordWrap/>
        <w:overflowPunct/>
        <w:topLinePunct w:val="0"/>
        <w:autoSpaceDE w:val="0"/>
        <w:autoSpaceDN w:val="0"/>
        <w:bidi w:val="0"/>
        <w:spacing w:line="380" w:lineRule="exact"/>
        <w:ind w:firstLine="540"/>
        <w:outlineLvl w:val="9"/>
        <w:rPr>
          <w:rFonts w:hint="eastAsia" w:ascii="宋体" w:hAnsi="宋体" w:eastAsia="宋体" w:cs="宋体"/>
          <w:sz w:val="24"/>
        </w:rPr>
      </w:pPr>
      <w:r>
        <w:rPr>
          <w:rFonts w:hint="eastAsia" w:ascii="宋体" w:hAnsi="宋体" w:eastAsia="宋体" w:cs="宋体"/>
          <w:sz w:val="24"/>
        </w:rPr>
        <w:t>售价（元）：0元</w:t>
      </w:r>
    </w:p>
    <w:p>
      <w:pPr>
        <w:keepNext w:val="0"/>
        <w:keepLines w:val="0"/>
        <w:pageBreakBefore w:val="0"/>
        <w:widowControl w:val="0"/>
        <w:kinsoku/>
        <w:wordWrap/>
        <w:overflowPunct/>
        <w:topLinePunct w:val="0"/>
        <w:autoSpaceDE w:val="0"/>
        <w:autoSpaceDN w:val="0"/>
        <w:bidi w:val="0"/>
        <w:spacing w:line="380" w:lineRule="exact"/>
        <w:outlineLvl w:val="9"/>
        <w:rPr>
          <w:rFonts w:hint="eastAsia" w:ascii="宋体" w:hAnsi="宋体" w:eastAsia="宋体" w:cs="宋体"/>
          <w:b/>
          <w:sz w:val="24"/>
        </w:rPr>
      </w:pPr>
      <w:bookmarkStart w:id="813" w:name="_Toc20968"/>
      <w:bookmarkStart w:id="814" w:name="_Toc952"/>
      <w:bookmarkStart w:id="815" w:name="_Toc35393624"/>
      <w:bookmarkStart w:id="816" w:name="_Toc2532"/>
      <w:bookmarkStart w:id="817" w:name="_Toc28359082"/>
      <w:bookmarkStart w:id="818" w:name="_Toc28359005"/>
      <w:bookmarkStart w:id="819" w:name="_Toc2422"/>
      <w:bookmarkStart w:id="820" w:name="_Toc35393793"/>
      <w:bookmarkStart w:id="821" w:name="_Toc9047"/>
      <w:r>
        <w:rPr>
          <w:rFonts w:hint="eastAsia" w:ascii="宋体" w:hAnsi="宋体" w:eastAsia="宋体" w:cs="宋体"/>
          <w:b/>
          <w:sz w:val="24"/>
        </w:rPr>
        <w:t>四、响应文件提交</w:t>
      </w:r>
      <w:bookmarkEnd w:id="813"/>
    </w:p>
    <w:p>
      <w:pPr>
        <w:keepNext w:val="0"/>
        <w:keepLines w:val="0"/>
        <w:pageBreakBefore w:val="0"/>
        <w:widowControl w:val="0"/>
        <w:kinsoku/>
        <w:wordWrap/>
        <w:overflowPunct/>
        <w:topLinePunct w:val="0"/>
        <w:autoSpaceDE w:val="0"/>
        <w:autoSpaceDN w:val="0"/>
        <w:bidi w:val="0"/>
        <w:spacing w:line="380" w:lineRule="exact"/>
        <w:ind w:firstLine="540"/>
        <w:outlineLvl w:val="9"/>
        <w:rPr>
          <w:rFonts w:hint="eastAsia" w:ascii="宋体" w:hAnsi="宋体" w:eastAsia="宋体" w:cs="宋体"/>
          <w:sz w:val="24"/>
        </w:rPr>
      </w:pPr>
      <w:r>
        <w:rPr>
          <w:rFonts w:hint="eastAsia" w:ascii="宋体" w:hAnsi="宋体" w:eastAsia="宋体" w:cs="宋体"/>
          <w:sz w:val="24"/>
        </w:rPr>
        <w:t>截止时间：</w:t>
      </w:r>
      <w:r>
        <w:rPr>
          <w:rFonts w:hint="eastAsia" w:ascii="宋体" w:hAnsi="宋体" w:eastAsia="宋体" w:cs="宋体"/>
          <w:bCs/>
          <w:sz w:val="24"/>
        </w:rPr>
        <w:t>2023年</w:t>
      </w:r>
      <w:r>
        <w:rPr>
          <w:rFonts w:hint="eastAsia" w:ascii="宋体" w:hAnsi="宋体" w:cs="宋体"/>
          <w:bCs/>
          <w:sz w:val="24"/>
          <w:lang w:val="en-US" w:eastAsia="zh-CN"/>
        </w:rPr>
        <w:t>8</w:t>
      </w:r>
      <w:r>
        <w:rPr>
          <w:rFonts w:hint="eastAsia" w:ascii="宋体" w:hAnsi="宋体" w:eastAsia="宋体" w:cs="宋体"/>
          <w:bCs/>
          <w:sz w:val="24"/>
        </w:rPr>
        <w:t>月</w:t>
      </w:r>
      <w:r>
        <w:rPr>
          <w:rFonts w:hint="eastAsia" w:ascii="宋体" w:hAnsi="宋体" w:cs="宋体"/>
          <w:bCs/>
          <w:sz w:val="24"/>
          <w:lang w:val="en-US" w:eastAsia="zh-CN"/>
        </w:rPr>
        <w:t>15</w:t>
      </w:r>
      <w:r>
        <w:rPr>
          <w:rFonts w:hint="eastAsia" w:ascii="宋体" w:hAnsi="宋体" w:eastAsia="宋体" w:cs="宋体"/>
          <w:bCs/>
          <w:sz w:val="24"/>
        </w:rPr>
        <w:t>日</w:t>
      </w:r>
      <w:r>
        <w:rPr>
          <w:rFonts w:hint="eastAsia" w:ascii="宋体" w:hAnsi="宋体" w:cs="宋体"/>
          <w:bCs/>
          <w:sz w:val="24"/>
          <w:lang w:val="en-US" w:eastAsia="zh-CN"/>
        </w:rPr>
        <w:t>10：30</w:t>
      </w:r>
      <w:r>
        <w:rPr>
          <w:rFonts w:hint="eastAsia" w:ascii="宋体" w:hAnsi="宋体" w:eastAsia="宋体" w:cs="宋体"/>
          <w:sz w:val="24"/>
        </w:rPr>
        <w:t>（北京时间）</w:t>
      </w:r>
    </w:p>
    <w:p>
      <w:pPr>
        <w:keepNext w:val="0"/>
        <w:keepLines w:val="0"/>
        <w:pageBreakBefore w:val="0"/>
        <w:widowControl w:val="0"/>
        <w:kinsoku/>
        <w:wordWrap/>
        <w:overflowPunct/>
        <w:topLinePunct w:val="0"/>
        <w:autoSpaceDE w:val="0"/>
        <w:autoSpaceDN w:val="0"/>
        <w:bidi w:val="0"/>
        <w:spacing w:line="380" w:lineRule="exact"/>
        <w:ind w:firstLine="540"/>
        <w:outlineLvl w:val="9"/>
        <w:rPr>
          <w:rFonts w:hint="eastAsia" w:ascii="宋体" w:hAnsi="宋体" w:eastAsia="宋体" w:cs="宋体"/>
          <w:sz w:val="24"/>
          <w:lang w:eastAsia="zh-CN"/>
        </w:rPr>
      </w:pPr>
      <w:r>
        <w:rPr>
          <w:rFonts w:hint="eastAsia" w:ascii="宋体" w:hAnsi="宋体" w:eastAsia="宋体" w:cs="宋体"/>
          <w:sz w:val="24"/>
        </w:rPr>
        <w:t>地点：政采云平台 http://www.zcygov.cn/</w:t>
      </w:r>
    </w:p>
    <w:p>
      <w:pPr>
        <w:keepNext w:val="0"/>
        <w:keepLines w:val="0"/>
        <w:pageBreakBefore w:val="0"/>
        <w:widowControl w:val="0"/>
        <w:kinsoku/>
        <w:wordWrap/>
        <w:overflowPunct/>
        <w:topLinePunct w:val="0"/>
        <w:autoSpaceDE w:val="0"/>
        <w:autoSpaceDN w:val="0"/>
        <w:bidi w:val="0"/>
        <w:spacing w:line="380" w:lineRule="exact"/>
        <w:outlineLvl w:val="9"/>
        <w:rPr>
          <w:rFonts w:hint="eastAsia" w:ascii="宋体" w:hAnsi="宋体" w:eastAsia="宋体" w:cs="宋体"/>
          <w:b/>
          <w:sz w:val="24"/>
        </w:rPr>
      </w:pPr>
      <w:bookmarkStart w:id="822" w:name="_Toc15807"/>
      <w:r>
        <w:rPr>
          <w:rFonts w:hint="eastAsia" w:ascii="宋体" w:hAnsi="宋体" w:eastAsia="宋体" w:cs="宋体"/>
          <w:b/>
          <w:sz w:val="24"/>
        </w:rPr>
        <w:t>五、响应文件开启</w:t>
      </w:r>
      <w:bookmarkEnd w:id="822"/>
      <w:r>
        <w:rPr>
          <w:rFonts w:hint="eastAsia" w:ascii="宋体" w:hAnsi="宋体" w:eastAsia="宋体" w:cs="宋体"/>
          <w:b/>
          <w:sz w:val="24"/>
        </w:rPr>
        <w:t xml:space="preserve"> </w:t>
      </w:r>
    </w:p>
    <w:p>
      <w:pPr>
        <w:keepNext w:val="0"/>
        <w:keepLines w:val="0"/>
        <w:pageBreakBefore w:val="0"/>
        <w:widowControl w:val="0"/>
        <w:kinsoku/>
        <w:wordWrap/>
        <w:overflowPunct/>
        <w:topLinePunct w:val="0"/>
        <w:autoSpaceDE w:val="0"/>
        <w:autoSpaceDN w:val="0"/>
        <w:bidi w:val="0"/>
        <w:spacing w:line="380" w:lineRule="exact"/>
        <w:ind w:firstLine="540"/>
        <w:outlineLvl w:val="9"/>
        <w:rPr>
          <w:rFonts w:hint="eastAsia" w:ascii="宋体" w:hAnsi="宋体" w:eastAsia="宋体" w:cs="宋体"/>
          <w:sz w:val="24"/>
        </w:rPr>
      </w:pPr>
      <w:r>
        <w:rPr>
          <w:rFonts w:hint="eastAsia" w:ascii="宋体" w:hAnsi="宋体" w:eastAsia="宋体" w:cs="宋体"/>
          <w:sz w:val="24"/>
        </w:rPr>
        <w:t>开启时间：</w:t>
      </w:r>
      <w:r>
        <w:rPr>
          <w:rFonts w:hint="eastAsia" w:ascii="宋体" w:hAnsi="宋体" w:eastAsia="宋体" w:cs="宋体"/>
          <w:bCs/>
          <w:sz w:val="24"/>
        </w:rPr>
        <w:t>2023年</w:t>
      </w:r>
      <w:r>
        <w:rPr>
          <w:rFonts w:hint="eastAsia" w:ascii="宋体" w:hAnsi="宋体" w:cs="宋体"/>
          <w:bCs/>
          <w:sz w:val="24"/>
          <w:lang w:val="en-US" w:eastAsia="zh-CN"/>
        </w:rPr>
        <w:t>8</w:t>
      </w:r>
      <w:r>
        <w:rPr>
          <w:rFonts w:hint="eastAsia" w:ascii="宋体" w:hAnsi="宋体" w:eastAsia="宋体" w:cs="宋体"/>
          <w:bCs/>
          <w:sz w:val="24"/>
        </w:rPr>
        <w:t>月</w:t>
      </w:r>
      <w:r>
        <w:rPr>
          <w:rFonts w:hint="eastAsia" w:ascii="宋体" w:hAnsi="宋体" w:cs="宋体"/>
          <w:bCs/>
          <w:sz w:val="24"/>
          <w:lang w:val="en-US" w:eastAsia="zh-CN"/>
        </w:rPr>
        <w:t>15</w:t>
      </w:r>
      <w:r>
        <w:rPr>
          <w:rFonts w:hint="eastAsia" w:ascii="宋体" w:hAnsi="宋体" w:eastAsia="宋体" w:cs="宋体"/>
          <w:bCs/>
          <w:sz w:val="24"/>
        </w:rPr>
        <w:t>日</w:t>
      </w:r>
      <w:r>
        <w:rPr>
          <w:rFonts w:hint="eastAsia" w:ascii="宋体" w:hAnsi="宋体" w:cs="宋体"/>
          <w:bCs/>
          <w:sz w:val="24"/>
          <w:lang w:val="en-US" w:eastAsia="zh-CN"/>
        </w:rPr>
        <w:t>10：30</w:t>
      </w:r>
      <w:r>
        <w:rPr>
          <w:rFonts w:hint="eastAsia" w:ascii="宋体" w:hAnsi="宋体" w:eastAsia="宋体" w:cs="宋体"/>
          <w:sz w:val="24"/>
        </w:rPr>
        <w:t>（北京时间）</w:t>
      </w:r>
    </w:p>
    <w:p>
      <w:pPr>
        <w:keepNext w:val="0"/>
        <w:keepLines w:val="0"/>
        <w:pageBreakBefore w:val="0"/>
        <w:widowControl w:val="0"/>
        <w:kinsoku/>
        <w:wordWrap w:val="0"/>
        <w:overflowPunct/>
        <w:topLinePunct w:val="0"/>
        <w:autoSpaceDE w:val="0"/>
        <w:autoSpaceDN w:val="0"/>
        <w:bidi w:val="0"/>
        <w:adjustRightInd/>
        <w:snapToGrid/>
        <w:spacing w:line="380" w:lineRule="exact"/>
        <w:ind w:firstLine="539"/>
        <w:textAlignment w:val="auto"/>
        <w:outlineLvl w:val="9"/>
        <w:rPr>
          <w:rFonts w:hint="eastAsia" w:ascii="宋体" w:hAnsi="宋体" w:eastAsia="宋体" w:cs="宋体"/>
          <w:sz w:val="24"/>
        </w:rPr>
      </w:pPr>
      <w:r>
        <w:rPr>
          <w:rFonts w:hint="eastAsia" w:ascii="宋体" w:hAnsi="宋体" w:eastAsia="宋体" w:cs="宋体"/>
          <w:sz w:val="24"/>
        </w:rPr>
        <w:t>地点：政采云平台http://www.zcygov.cn/</w:t>
      </w:r>
    </w:p>
    <w:bookmarkEnd w:id="814"/>
    <w:bookmarkEnd w:id="815"/>
    <w:bookmarkEnd w:id="816"/>
    <w:bookmarkEnd w:id="817"/>
    <w:bookmarkEnd w:id="818"/>
    <w:bookmarkEnd w:id="819"/>
    <w:bookmarkEnd w:id="820"/>
    <w:bookmarkEnd w:id="821"/>
    <w:p>
      <w:pPr>
        <w:keepNext w:val="0"/>
        <w:keepLines w:val="0"/>
        <w:pageBreakBefore w:val="0"/>
        <w:widowControl w:val="0"/>
        <w:kinsoku/>
        <w:wordWrap/>
        <w:overflowPunct/>
        <w:topLinePunct w:val="0"/>
        <w:autoSpaceDE w:val="0"/>
        <w:autoSpaceDN w:val="0"/>
        <w:bidi w:val="0"/>
        <w:spacing w:line="380" w:lineRule="exact"/>
        <w:outlineLvl w:val="9"/>
        <w:rPr>
          <w:rFonts w:hint="eastAsia" w:ascii="宋体" w:hAnsi="宋体" w:eastAsia="宋体" w:cs="宋体"/>
          <w:b/>
          <w:sz w:val="24"/>
        </w:rPr>
      </w:pPr>
      <w:bookmarkStart w:id="823" w:name="_Toc28359084"/>
      <w:bookmarkStart w:id="824" w:name="_Toc32108"/>
      <w:bookmarkStart w:id="825" w:name="_Toc28359007"/>
      <w:bookmarkStart w:id="826" w:name="_Toc35393625"/>
      <w:bookmarkStart w:id="827" w:name="_Toc9668"/>
      <w:bookmarkStart w:id="828" w:name="_Toc30400"/>
      <w:bookmarkStart w:id="829" w:name="_Toc20863"/>
      <w:bookmarkStart w:id="830" w:name="_Toc35393794"/>
      <w:bookmarkStart w:id="831" w:name="_Toc23672"/>
      <w:r>
        <w:rPr>
          <w:rFonts w:hint="eastAsia" w:ascii="宋体" w:hAnsi="宋体" w:eastAsia="宋体" w:cs="宋体"/>
          <w:b/>
          <w:sz w:val="24"/>
        </w:rPr>
        <w:t>六、公告期限</w:t>
      </w:r>
      <w:bookmarkEnd w:id="823"/>
      <w:bookmarkEnd w:id="824"/>
      <w:bookmarkEnd w:id="825"/>
      <w:bookmarkEnd w:id="826"/>
      <w:bookmarkEnd w:id="827"/>
      <w:bookmarkEnd w:id="828"/>
      <w:bookmarkEnd w:id="829"/>
      <w:bookmarkEnd w:id="830"/>
      <w:bookmarkEnd w:id="831"/>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自本公告发布之日起5个工作日。</w:t>
      </w:r>
    </w:p>
    <w:p>
      <w:pPr>
        <w:keepNext w:val="0"/>
        <w:keepLines w:val="0"/>
        <w:pageBreakBefore w:val="0"/>
        <w:widowControl w:val="0"/>
        <w:kinsoku/>
        <w:wordWrap/>
        <w:overflowPunct/>
        <w:topLinePunct w:val="0"/>
        <w:autoSpaceDE w:val="0"/>
        <w:autoSpaceDN w:val="0"/>
        <w:bidi w:val="0"/>
        <w:spacing w:line="380" w:lineRule="exact"/>
        <w:outlineLvl w:val="9"/>
        <w:rPr>
          <w:rFonts w:hint="eastAsia" w:ascii="宋体" w:hAnsi="宋体" w:eastAsia="宋体" w:cs="宋体"/>
          <w:b/>
          <w:sz w:val="24"/>
        </w:rPr>
      </w:pPr>
      <w:bookmarkStart w:id="832" w:name="_Toc27596"/>
      <w:r>
        <w:rPr>
          <w:rFonts w:hint="eastAsia" w:ascii="宋体" w:hAnsi="宋体" w:eastAsia="宋体" w:cs="宋体"/>
          <w:b/>
          <w:sz w:val="24"/>
        </w:rPr>
        <w:t>七、其它补充事宜</w:t>
      </w:r>
      <w:bookmarkEnd w:id="832"/>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outlineLvl w:val="9"/>
        <w:rPr>
          <w:rFonts w:hint="eastAsia" w:ascii="宋体" w:hAnsi="宋体" w:eastAsia="宋体" w:cs="宋体"/>
          <w:color w:val="auto"/>
          <w:sz w:val="24"/>
          <w:highlight w:val="none"/>
          <w:lang w:val="en-US" w:eastAsia="zh-CN"/>
        </w:rPr>
      </w:pPr>
      <w:bookmarkStart w:id="833" w:name="_Toc999"/>
      <w:bookmarkStart w:id="834" w:name="_Toc35393626"/>
      <w:bookmarkStart w:id="835" w:name="_Toc13675"/>
      <w:bookmarkStart w:id="836" w:name="_Toc647"/>
      <w:bookmarkStart w:id="837" w:name="_Toc18258"/>
      <w:bookmarkStart w:id="838" w:name="_Toc35393795"/>
      <w:r>
        <w:rPr>
          <w:rFonts w:hint="eastAsia" w:ascii="宋体" w:hAnsi="宋体" w:eastAsia="宋体" w:cs="宋体"/>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3.各供应商应在磋商前应确保成为新疆政府采购网正式注册入库供应商，并完成CA数字证书申领。因未注册入库、未办理CA数字证书等原因造成无法投标或投标失败等后果由供应商自行承担。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val="0"/>
        <w:overflowPunct/>
        <w:topLinePunct w:val="0"/>
        <w:autoSpaceDE w:val="0"/>
        <w:autoSpaceDN w:val="0"/>
        <w:bidi w:val="0"/>
        <w:adjustRightInd/>
        <w:snapToGrid/>
        <w:spacing w:line="380" w:lineRule="exact"/>
        <w:ind w:left="0" w:leftChars="0" w:firstLine="539"/>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5.供应商在磋商时须使用制作加密电子响应文件所使用的CA锁及电脑，电脑须提前配置好浏览器（建议使用谷歌浏览器），以便磋商时解锁。</w:t>
      </w:r>
    </w:p>
    <w:p>
      <w:pPr>
        <w:keepNext w:val="0"/>
        <w:keepLines w:val="0"/>
        <w:pageBreakBefore w:val="0"/>
        <w:widowControl w:val="0"/>
        <w:shd w:val="clear" w:color="auto" w:fill="auto"/>
        <w:kinsoku/>
        <w:wordWrap/>
        <w:overflowPunct/>
        <w:topLinePunct w:val="0"/>
        <w:autoSpaceDE w:val="0"/>
        <w:autoSpaceDN w:val="0"/>
        <w:bidi w:val="0"/>
        <w:snapToGrid/>
        <w:spacing w:line="380" w:lineRule="exact"/>
        <w:ind w:left="0" w:leftChars="0" w:firstLine="54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6.磋商保证金缴纳及确认时间：凡拟参加本次招标项目的供应商，必须在开标前将磋商保证金汇入指定账户。磋商保证金汇款凭证上用途栏应注明:招标项目名称+标项号+磋商保证金。否则，届时其投标将被拒绝。</w:t>
      </w:r>
    </w:p>
    <w:p>
      <w:pPr>
        <w:keepNext w:val="0"/>
        <w:keepLines w:val="0"/>
        <w:pageBreakBefore w:val="0"/>
        <w:widowControl w:val="0"/>
        <w:kinsoku/>
        <w:wordWrap/>
        <w:overflowPunct/>
        <w:topLinePunct w:val="0"/>
        <w:autoSpaceDE w:val="0"/>
        <w:autoSpaceDN w:val="0"/>
        <w:bidi w:val="0"/>
        <w:spacing w:line="380" w:lineRule="exact"/>
        <w:ind w:firstLine="480" w:firstLineChars="20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val="0"/>
        <w:autoSpaceDN w:val="0"/>
        <w:bidi w:val="0"/>
        <w:spacing w:line="380" w:lineRule="exact"/>
        <w:jc w:val="left"/>
        <w:outlineLvl w:val="9"/>
        <w:rPr>
          <w:rFonts w:hint="eastAsia" w:ascii="宋体" w:hAnsi="宋体" w:eastAsia="宋体" w:cs="宋体"/>
          <w:b/>
          <w:sz w:val="24"/>
        </w:rPr>
      </w:pPr>
      <w:bookmarkStart w:id="839" w:name="_Toc23902"/>
      <w:r>
        <w:rPr>
          <w:rFonts w:hint="eastAsia" w:ascii="宋体" w:hAnsi="宋体" w:eastAsia="宋体" w:cs="宋体"/>
          <w:b/>
          <w:sz w:val="24"/>
        </w:rPr>
        <w:t>八、</w:t>
      </w:r>
      <w:bookmarkEnd w:id="833"/>
      <w:bookmarkEnd w:id="834"/>
      <w:bookmarkEnd w:id="835"/>
      <w:bookmarkEnd w:id="836"/>
      <w:bookmarkEnd w:id="837"/>
      <w:bookmarkEnd w:id="838"/>
      <w:r>
        <w:rPr>
          <w:rFonts w:hint="eastAsia" w:ascii="宋体" w:hAnsi="宋体" w:eastAsia="宋体" w:cs="宋体"/>
          <w:b/>
          <w:sz w:val="24"/>
        </w:rPr>
        <w:t>凡对本次招标提出询问，请按以下方式联系</w:t>
      </w:r>
      <w:bookmarkEnd w:id="839"/>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rPr>
      </w:pPr>
      <w:r>
        <w:rPr>
          <w:rFonts w:hint="eastAsia" w:ascii="宋体" w:hAnsi="宋体" w:eastAsia="宋体" w:cs="宋体"/>
          <w:sz w:val="24"/>
        </w:rPr>
        <w:t>1.采购人信息</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default" w:ascii="宋体" w:hAnsi="宋体" w:eastAsia="宋体" w:cs="宋体"/>
          <w:sz w:val="24"/>
          <w:lang w:val="en-US" w:eastAsia="zh-CN"/>
        </w:rPr>
      </w:pPr>
      <w:r>
        <w:rPr>
          <w:rFonts w:hint="eastAsia" w:ascii="宋体" w:hAnsi="宋体" w:eastAsia="宋体" w:cs="宋体"/>
          <w:sz w:val="24"/>
        </w:rPr>
        <w:t>名    称：</w:t>
      </w:r>
      <w:r>
        <w:rPr>
          <w:rFonts w:hint="eastAsia" w:ascii="宋体" w:hAnsi="宋体" w:eastAsia="宋体" w:cs="宋体"/>
          <w:sz w:val="24"/>
          <w:lang w:val="en-US" w:eastAsia="zh-CN"/>
        </w:rPr>
        <w:t>喀什市文化体育广播电视和旅游局</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rPr>
      </w:pPr>
      <w:r>
        <w:rPr>
          <w:rFonts w:hint="eastAsia" w:ascii="宋体" w:hAnsi="宋体" w:eastAsia="宋体" w:cs="宋体"/>
          <w:sz w:val="24"/>
        </w:rPr>
        <w:t>地    址：新疆维吾尔自治区喀什地区喀什市人民东路336号</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rPr>
      </w:pPr>
      <w:r>
        <w:rPr>
          <w:rFonts w:hint="eastAsia" w:ascii="宋体" w:hAnsi="宋体" w:eastAsia="宋体" w:cs="宋体"/>
          <w:sz w:val="24"/>
        </w:rPr>
        <w:t>联 系 人：</w:t>
      </w:r>
      <w:bookmarkStart w:id="840" w:name="_Toc28359009"/>
      <w:bookmarkStart w:id="841" w:name="_Toc28359086"/>
      <w:r>
        <w:rPr>
          <w:rFonts w:hint="eastAsia" w:ascii="宋体" w:hAnsi="宋体" w:eastAsia="宋体" w:cs="宋体"/>
          <w:sz w:val="24"/>
        </w:rPr>
        <w:t>张倬铭</w:t>
      </w:r>
    </w:p>
    <w:p>
      <w:pPr>
        <w:keepNext w:val="0"/>
        <w:keepLines w:val="0"/>
        <w:pageBreakBefore w:val="0"/>
        <w:widowControl w:val="0"/>
        <w:kinsoku/>
        <w:wordWrap/>
        <w:overflowPunct/>
        <w:topLinePunct w:val="0"/>
        <w:autoSpaceDE w:val="0"/>
        <w:autoSpaceDN w:val="0"/>
        <w:bidi w:val="0"/>
        <w:spacing w:line="380" w:lineRule="exact"/>
        <w:ind w:firstLine="480" w:firstLineChars="200"/>
        <w:outlineLvl w:val="9"/>
        <w:rPr>
          <w:rFonts w:hint="eastAsia" w:ascii="宋体" w:hAnsi="宋体" w:eastAsia="宋体" w:cs="宋体"/>
          <w:sz w:val="24"/>
          <w:lang w:val="en-US" w:eastAsia="zh-CN"/>
        </w:rPr>
      </w:pPr>
      <w:r>
        <w:rPr>
          <w:rFonts w:hint="eastAsia" w:ascii="宋体" w:hAnsi="宋体" w:eastAsia="宋体" w:cs="宋体"/>
          <w:sz w:val="24"/>
        </w:rPr>
        <w:t>联系电话：13909989963</w:t>
      </w:r>
    </w:p>
    <w:bookmarkEnd w:id="840"/>
    <w:bookmarkEnd w:id="841"/>
    <w:p>
      <w:pPr>
        <w:keepNext w:val="0"/>
        <w:pageBreakBefore w:val="0"/>
        <w:widowControl w:val="0"/>
        <w:kinsoku/>
        <w:wordWrap/>
        <w:overflowPunct/>
        <w:topLinePunct w:val="0"/>
        <w:autoSpaceDE/>
        <w:autoSpaceDN/>
        <w:bidi w:val="0"/>
        <w:adjustRightInd/>
        <w:snapToGrid w:val="0"/>
        <w:spacing w:before="0" w:beforeAutospacing="0" w:after="0" w:afterAutospacing="0" w:line="360" w:lineRule="exact"/>
        <w:ind w:left="479" w:leftChars="228"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2.采购代理机构信息</w:t>
      </w:r>
    </w:p>
    <w:p>
      <w:pPr>
        <w:keepNext w:val="0"/>
        <w:pageBreakBefore w:val="0"/>
        <w:widowControl w:val="0"/>
        <w:kinsoku/>
        <w:wordWrap/>
        <w:overflowPunct/>
        <w:topLinePunct w:val="0"/>
        <w:autoSpaceDE/>
        <w:autoSpaceDN/>
        <w:bidi w:val="0"/>
        <w:adjustRightInd/>
        <w:snapToGrid w:val="0"/>
        <w:spacing w:before="0" w:beforeAutospacing="0" w:after="0" w:afterAutospacing="0" w:line="360" w:lineRule="exact"/>
        <w:ind w:left="479" w:leftChars="228" w:firstLine="0" w:firstLineChars="0"/>
        <w:jc w:val="both"/>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    称：</w:t>
      </w:r>
      <w:r>
        <w:rPr>
          <w:rFonts w:hint="eastAsia" w:ascii="宋体" w:hAnsi="宋体" w:cs="宋体"/>
          <w:sz w:val="24"/>
          <w:szCs w:val="24"/>
          <w:highlight w:val="none"/>
          <w:lang w:val="en-US" w:eastAsia="zh-CN"/>
        </w:rPr>
        <w:t>喀什璟宸项目咨询管理有限公司</w:t>
      </w:r>
    </w:p>
    <w:p>
      <w:pPr>
        <w:keepNext w:val="0"/>
        <w:pageBreakBefore w:val="0"/>
        <w:widowControl w:val="0"/>
        <w:kinsoku/>
        <w:wordWrap/>
        <w:overflowPunct/>
        <w:topLinePunct w:val="0"/>
        <w:autoSpaceDE/>
        <w:autoSpaceDN/>
        <w:bidi w:val="0"/>
        <w:adjustRightInd/>
        <w:snapToGrid w:val="0"/>
        <w:spacing w:before="0" w:beforeAutospacing="0" w:after="0" w:afterAutospacing="0" w:line="360" w:lineRule="exact"/>
        <w:ind w:left="479" w:leftChars="228" w:firstLine="0" w:firstLineChars="0"/>
        <w:jc w:val="both"/>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w:t>
      </w:r>
      <w:r>
        <w:rPr>
          <w:rFonts w:hint="eastAsia" w:ascii="宋体" w:hAnsi="宋体" w:cs="宋体"/>
          <w:sz w:val="24"/>
          <w:szCs w:val="24"/>
          <w:highlight w:val="none"/>
          <w:lang w:val="en-US" w:eastAsia="zh-CN"/>
        </w:rPr>
        <w:t>新疆喀什地区喀什经济开发区兵团总部大厦-A座19楼</w:t>
      </w:r>
      <w:r>
        <w:rPr>
          <w:rFonts w:hint="eastAsia" w:ascii="宋体" w:hAnsi="宋体" w:eastAsia="宋体" w:cs="宋体"/>
          <w:sz w:val="24"/>
          <w:szCs w:val="24"/>
          <w:highlight w:val="none"/>
          <w:lang w:val="en-US" w:eastAsia="zh-CN"/>
        </w:rPr>
        <w:t xml:space="preserve">  </w:t>
      </w:r>
    </w:p>
    <w:p>
      <w:pPr>
        <w:keepNext w:val="0"/>
        <w:pageBreakBefore w:val="0"/>
        <w:widowControl w:val="0"/>
        <w:kinsoku/>
        <w:wordWrap/>
        <w:overflowPunct/>
        <w:topLinePunct w:val="0"/>
        <w:autoSpaceDE/>
        <w:autoSpaceDN/>
        <w:bidi w:val="0"/>
        <w:adjustRightInd/>
        <w:snapToGrid w:val="0"/>
        <w:spacing w:before="0" w:beforeAutospacing="0" w:after="0" w:afterAutospacing="0" w:line="360" w:lineRule="exact"/>
        <w:ind w:left="479" w:leftChars="228" w:firstLine="0" w:firstLineChars="0"/>
        <w:jc w:val="both"/>
        <w:textAlignment w:val="baseline"/>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w:t>
      </w:r>
      <w:r>
        <w:rPr>
          <w:rFonts w:hint="eastAsia" w:ascii="宋体" w:hAnsi="宋体" w:cs="宋体"/>
          <w:sz w:val="24"/>
          <w:szCs w:val="24"/>
          <w:highlight w:val="none"/>
          <w:lang w:val="en-US" w:eastAsia="zh-CN"/>
        </w:rPr>
        <w:t>刘雅</w:t>
      </w:r>
    </w:p>
    <w:p>
      <w:pPr>
        <w:keepNext w:val="0"/>
        <w:pageBreakBefore w:val="0"/>
        <w:widowControl w:val="0"/>
        <w:kinsoku/>
        <w:wordWrap/>
        <w:overflowPunct/>
        <w:topLinePunct w:val="0"/>
        <w:autoSpaceDE/>
        <w:autoSpaceDN/>
        <w:bidi w:val="0"/>
        <w:adjustRightInd/>
        <w:snapToGrid w:val="0"/>
        <w:spacing w:before="0" w:beforeAutospacing="0" w:after="0" w:afterAutospacing="0" w:line="360" w:lineRule="exact"/>
        <w:ind w:left="479" w:leftChars="228" w:firstLine="0" w:firstLineChars="0"/>
        <w:jc w:val="both"/>
        <w:textAlignment w:val="baseline"/>
        <w:outlineLvl w:val="9"/>
        <w:rPr>
          <w:rFonts w:hint="default" w:ascii="宋体" w:hAnsi="宋体" w:eastAsia="宋体" w:cs="宋体"/>
          <w:b w:val="0"/>
          <w:i w:val="0"/>
          <w:caps w:val="0"/>
          <w:color w:val="000000"/>
          <w:spacing w:val="0"/>
          <w:w w:val="100"/>
          <w:kern w:val="0"/>
          <w:sz w:val="24"/>
          <w:szCs w:val="24"/>
          <w:highlight w:val="none"/>
          <w:lang w:val="en-US" w:eastAsia="zh-CN" w:bidi="ar-SA"/>
        </w:rPr>
      </w:pPr>
      <w:r>
        <w:rPr>
          <w:rFonts w:hint="eastAsia" w:ascii="宋体" w:hAnsi="宋体" w:eastAsia="宋体" w:cs="宋体"/>
          <w:sz w:val="24"/>
          <w:szCs w:val="24"/>
          <w:highlight w:val="none"/>
          <w:lang w:val="en-US" w:eastAsia="zh-CN"/>
        </w:rPr>
        <w:t>联系方式：</w:t>
      </w:r>
      <w:r>
        <w:rPr>
          <w:rFonts w:hint="eastAsia" w:ascii="宋体" w:hAnsi="宋体" w:cs="宋体"/>
          <w:sz w:val="24"/>
          <w:szCs w:val="24"/>
          <w:highlight w:val="none"/>
          <w:lang w:val="en-US" w:eastAsia="zh-CN"/>
        </w:rPr>
        <w:t>19351190999</w:t>
      </w:r>
    </w:p>
    <w:p>
      <w:pPr>
        <w:pStyle w:val="7"/>
        <w:keepNext w:val="0"/>
        <w:keepLines w:val="0"/>
        <w:pageBreakBefore w:val="0"/>
        <w:widowControl w:val="0"/>
        <w:kinsoku/>
        <w:wordWrap/>
        <w:overflowPunct/>
        <w:topLinePunct w:val="0"/>
        <w:autoSpaceDE w:val="0"/>
        <w:autoSpaceDN w:val="0"/>
        <w:bidi w:val="0"/>
        <w:spacing w:line="380" w:lineRule="exact"/>
        <w:jc w:val="right"/>
        <w:outlineLvl w:val="9"/>
        <w:rPr>
          <w:rFonts w:hint="eastAsia" w:ascii="宋体" w:hAnsi="宋体" w:eastAsia="宋体" w:cs="宋体"/>
          <w:kern w:val="2"/>
          <w:szCs w:val="24"/>
        </w:rPr>
      </w:pPr>
    </w:p>
    <w:p>
      <w:pPr>
        <w:pStyle w:val="7"/>
        <w:keepNext w:val="0"/>
        <w:keepLines w:val="0"/>
        <w:pageBreakBefore w:val="0"/>
        <w:widowControl w:val="0"/>
        <w:kinsoku/>
        <w:wordWrap/>
        <w:overflowPunct/>
        <w:topLinePunct w:val="0"/>
        <w:autoSpaceDE w:val="0"/>
        <w:autoSpaceDN w:val="0"/>
        <w:bidi w:val="0"/>
        <w:spacing w:line="380" w:lineRule="exact"/>
        <w:jc w:val="right"/>
        <w:outlineLvl w:val="9"/>
        <w:rPr>
          <w:rFonts w:hint="eastAsia" w:ascii="宋体" w:hAnsi="宋体" w:eastAsia="宋体" w:cs="宋体"/>
          <w:kern w:val="2"/>
          <w:szCs w:val="24"/>
        </w:rPr>
      </w:pPr>
      <w:r>
        <w:rPr>
          <w:rFonts w:hint="eastAsia" w:ascii="宋体" w:hAnsi="宋体" w:cs="宋体"/>
          <w:sz w:val="24"/>
          <w:szCs w:val="24"/>
          <w:highlight w:val="none"/>
          <w:lang w:val="en-US" w:eastAsia="zh-CN"/>
        </w:rPr>
        <w:t>喀什璟宸项目咨询管理有限公司</w:t>
      </w:r>
    </w:p>
    <w:p>
      <w:pPr>
        <w:pStyle w:val="7"/>
        <w:keepNext w:val="0"/>
        <w:keepLines w:val="0"/>
        <w:pageBreakBefore w:val="0"/>
        <w:widowControl w:val="0"/>
        <w:kinsoku/>
        <w:wordWrap/>
        <w:overflowPunct/>
        <w:topLinePunct w:val="0"/>
        <w:autoSpaceDE w:val="0"/>
        <w:autoSpaceDN w:val="0"/>
        <w:bidi w:val="0"/>
        <w:spacing w:line="380" w:lineRule="exact"/>
        <w:jc w:val="center"/>
        <w:outlineLvl w:val="9"/>
        <w:rPr>
          <w:rFonts w:hint="eastAsia" w:ascii="宋体" w:hAnsi="宋体" w:eastAsia="宋体" w:cs="宋体"/>
          <w:kern w:val="2"/>
          <w:szCs w:val="24"/>
        </w:rPr>
      </w:pPr>
      <w:r>
        <w:rPr>
          <w:rFonts w:hint="eastAsia" w:hAnsi="宋体" w:cs="宋体"/>
          <w:kern w:val="2"/>
          <w:szCs w:val="24"/>
          <w:lang w:val="en-US" w:eastAsia="zh-CN"/>
        </w:rPr>
        <w:t xml:space="preserve">                                        </w:t>
      </w:r>
      <w:r>
        <w:rPr>
          <w:rFonts w:hint="eastAsia" w:ascii="宋体" w:hAnsi="宋体" w:eastAsia="宋体" w:cs="宋体"/>
          <w:kern w:val="2"/>
          <w:szCs w:val="24"/>
        </w:rPr>
        <w:t>202</w:t>
      </w:r>
      <w:r>
        <w:rPr>
          <w:rFonts w:hint="eastAsia" w:hAnsi="宋体" w:eastAsia="宋体" w:cs="宋体"/>
          <w:kern w:val="2"/>
          <w:szCs w:val="24"/>
          <w:lang w:val="en-US" w:eastAsia="zh-CN"/>
        </w:rPr>
        <w:t>3</w:t>
      </w:r>
      <w:r>
        <w:rPr>
          <w:rFonts w:hint="eastAsia" w:ascii="宋体" w:hAnsi="宋体" w:eastAsia="宋体" w:cs="宋体"/>
          <w:kern w:val="2"/>
          <w:szCs w:val="24"/>
        </w:rPr>
        <w:t>年</w:t>
      </w:r>
      <w:r>
        <w:rPr>
          <w:rFonts w:hint="eastAsia" w:hAnsi="宋体" w:cs="宋体"/>
          <w:kern w:val="2"/>
          <w:szCs w:val="24"/>
          <w:lang w:val="en-US" w:eastAsia="zh-CN"/>
        </w:rPr>
        <w:t>8</w:t>
      </w:r>
      <w:r>
        <w:rPr>
          <w:rFonts w:hint="eastAsia" w:ascii="宋体" w:hAnsi="宋体" w:eastAsia="宋体" w:cs="宋体"/>
          <w:kern w:val="2"/>
          <w:szCs w:val="24"/>
        </w:rPr>
        <w:t>月</w:t>
      </w:r>
      <w:r>
        <w:rPr>
          <w:rFonts w:hint="eastAsia" w:hAnsi="宋体" w:cs="宋体"/>
          <w:kern w:val="2"/>
          <w:szCs w:val="24"/>
          <w:lang w:val="en-US" w:eastAsia="zh-CN"/>
        </w:rPr>
        <w:t>3</w:t>
      </w:r>
      <w:r>
        <w:rPr>
          <w:rFonts w:hint="eastAsia" w:ascii="宋体" w:hAnsi="宋体" w:eastAsia="宋体" w:cs="宋体"/>
          <w:kern w:val="2"/>
          <w:szCs w:val="24"/>
        </w:rPr>
        <w:t>日</w:t>
      </w:r>
    </w:p>
    <w:p>
      <w:pPr>
        <w:rPr>
          <w:rFonts w:hint="eastAsia" w:ascii="宋体" w:hAnsi="宋体" w:eastAsia="宋体" w:cs="宋体"/>
        </w:rPr>
      </w:pPr>
    </w:p>
    <w:p>
      <w:pPr>
        <w:rPr>
          <w:rFonts w:hint="eastAsia" w:ascii="宋体" w:hAnsi="宋体" w:eastAsia="宋体" w:cs="宋体"/>
        </w:rPr>
      </w:pPr>
    </w:p>
    <w:p>
      <w:pPr>
        <w:outlineLvl w:val="9"/>
        <w:rPr>
          <w:rFonts w:hint="eastAsia" w:ascii="宋体" w:hAnsi="宋体" w:eastAsia="宋体" w:cs="宋体"/>
        </w:rPr>
      </w:pPr>
    </w:p>
    <w:p>
      <w:pPr>
        <w:outlineLvl w:val="9"/>
        <w:rPr>
          <w:rFonts w:hint="eastAsia" w:ascii="宋体" w:hAnsi="宋体" w:eastAsia="宋体" w:cs="宋体"/>
        </w:rPr>
      </w:pPr>
    </w:p>
    <w:p>
      <w:pPr>
        <w:outlineLvl w:val="9"/>
        <w:rPr>
          <w:rFonts w:hint="eastAsia"/>
        </w:rPr>
      </w:pPr>
    </w:p>
    <w:p>
      <w:pPr>
        <w:rPr>
          <w:rFonts w:hint="eastAsia" w:ascii="宋体" w:hAnsi="宋体" w:eastAsia="宋体" w:cs="宋体"/>
        </w:rPr>
      </w:pPr>
    </w:p>
    <w:p>
      <w:pPr>
        <w:rPr>
          <w:rFonts w:hint="eastAsia" w:ascii="宋体" w:hAnsi="宋体" w:eastAsia="宋体" w:cs="宋体"/>
          <w:color w:val="auto"/>
          <w:highlight w:val="none"/>
          <w:lang w:val="en-US" w:eastAsia="zh-CN"/>
        </w:rPr>
      </w:pPr>
      <w:bookmarkStart w:id="842" w:name="_Toc17364"/>
      <w:r>
        <w:rPr>
          <w:rFonts w:hint="eastAsia" w:ascii="宋体" w:hAnsi="宋体" w:eastAsia="宋体" w:cs="宋体"/>
          <w:color w:val="auto"/>
          <w:highlight w:val="none"/>
          <w:lang w:val="en-US" w:eastAsia="zh-CN"/>
        </w:rPr>
        <w:br w:type="page"/>
      </w:r>
    </w:p>
    <w:p>
      <w:pPr>
        <w:pStyle w:val="3"/>
        <w:tabs>
          <w:tab w:val="left" w:pos="0"/>
        </w:tabs>
        <w:spacing w:before="0" w:after="0" w:line="240" w:lineRule="atLeas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第4章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须知资料表</w:t>
      </w:r>
      <w:bookmarkEnd w:id="842"/>
    </w:p>
    <w:p>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须知的具体补充和修改，如有矛盾，应以本资料表为准。</w:t>
      </w:r>
    </w:p>
    <w:tbl>
      <w:tblPr>
        <w:tblStyle w:val="24"/>
        <w:tblW w:w="936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7"/>
        <w:gridCol w:w="85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trPr>
        <w:tc>
          <w:tcPr>
            <w:tcW w:w="867"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8500" w:type="dxa"/>
            <w:vAlign w:val="center"/>
          </w:tcPr>
          <w:p>
            <w:pPr>
              <w:spacing w:line="360" w:lineRule="auto"/>
              <w:ind w:left="1080"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u w:val="single"/>
                <w:lang w:val="en-US" w:eastAsia="zh-CN"/>
              </w:rPr>
              <w:t>喀什市文化体育广播电视和旅游局</w:t>
            </w:r>
            <w:r>
              <w:rPr>
                <w:rFonts w:hint="eastAsia" w:ascii="宋体" w:hAnsi="宋体" w:eastAsia="宋体" w:cs="宋体"/>
                <w:color w:val="auto"/>
                <w:sz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联系人：</w:t>
            </w:r>
            <w:r>
              <w:rPr>
                <w:rFonts w:hint="eastAsia" w:ascii="宋体" w:hAnsi="宋体" w:eastAsia="宋体" w:cs="宋体"/>
                <w:color w:val="auto"/>
                <w:sz w:val="24"/>
                <w:highlight w:val="none"/>
                <w:u w:val="single"/>
                <w:lang w:val="en-US" w:eastAsia="zh-CN"/>
              </w:rPr>
              <w:t>张倬铭</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lang w:eastAsia="zh-CN"/>
              </w:rPr>
              <w:t>13909989963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6"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val="en-US" w:eastAsia="zh-CN"/>
              </w:rPr>
              <w:t>喀什璟宸项目咨询管理有限公司</w:t>
            </w:r>
            <w:r>
              <w:rPr>
                <w:rFonts w:hint="eastAsia" w:ascii="宋体" w:hAnsi="宋体" w:eastAsia="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b w:val="0"/>
                <w:bCs w:val="0"/>
                <w:color w:val="auto"/>
                <w:kern w:val="2"/>
                <w:sz w:val="24"/>
                <w:szCs w:val="24"/>
                <w:highlight w:val="none"/>
                <w:u w:val="single"/>
                <w:lang w:val="en-US" w:eastAsia="zh-CN" w:bidi="ar-SA"/>
              </w:rPr>
              <w:t>新疆喀什地区喀什经济开发区兵团总部大厦-A座19楼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 xml:space="preserve"> 刘雅   </w:t>
            </w:r>
            <w:r>
              <w:rPr>
                <w:rFonts w:hint="eastAsia" w:ascii="宋体" w:hAnsi="宋体" w:eastAsia="宋体" w:cs="宋体"/>
                <w:color w:val="auto"/>
                <w:sz w:val="24"/>
                <w:highlight w:val="none"/>
              </w:rPr>
              <w:t xml:space="preserve">   联系电话：</w:t>
            </w:r>
            <w:r>
              <w:rPr>
                <w:rFonts w:hint="eastAsia" w:ascii="宋体" w:hAnsi="宋体" w:cs="宋体"/>
                <w:color w:val="auto"/>
                <w:sz w:val="24"/>
                <w:highlight w:val="none"/>
                <w:u w:val="single"/>
                <w:lang w:val="en-US" w:eastAsia="zh-CN"/>
              </w:rPr>
              <w:t xml:space="preserve">  19351190999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4" w:hRule="atLeast"/>
        </w:trPr>
        <w:tc>
          <w:tcPr>
            <w:tcW w:w="867" w:type="dxa"/>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8500" w:type="dxa"/>
            <w:vAlign w:val="center"/>
          </w:tcPr>
          <w:p>
            <w:pPr>
              <w:spacing w:line="40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合格供应商的其他资格要求：</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（1）具有有效的营业执照；</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（2）提供法定代表人身份证明及身份证或法定代表人授权委托书和委托代理人身份证；</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（3）提供近两年内任意一年的财务审计报告或健全的财务会计制度；</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eastAsia="zh-CN"/>
              </w:rPr>
              <w:t>提供依法缴纳近</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eastAsia="zh-CN"/>
              </w:rPr>
              <w:t>个月任意一个月的社会保险证明（新成立公司未满</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eastAsia="zh-CN"/>
              </w:rPr>
              <w:t>个月，无须提供社会保险证明）</w:t>
            </w:r>
            <w:r>
              <w:rPr>
                <w:rFonts w:hint="eastAsia" w:ascii="宋体" w:hAnsi="宋体" w:eastAsia="宋体" w:cs="宋体"/>
                <w:b/>
                <w:bCs/>
                <w:color w:val="auto"/>
                <w:sz w:val="24"/>
                <w:szCs w:val="24"/>
                <w:highlight w:val="none"/>
              </w:rPr>
              <w:t>；</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cs="宋体"/>
                <w:b/>
                <w:bCs/>
                <w:color w:val="auto"/>
                <w:sz w:val="24"/>
                <w:szCs w:val="24"/>
                <w:highlight w:val="none"/>
                <w:lang w:eastAsia="zh-CN"/>
              </w:rPr>
              <w:t>提供依法缴纳近</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eastAsia="zh-CN"/>
              </w:rPr>
              <w:t>个月任意一个月的税收证明（新成立公司未满</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eastAsia="zh-CN"/>
              </w:rPr>
              <w:t>个月，无须提供税收证明）</w:t>
            </w:r>
            <w:r>
              <w:rPr>
                <w:rFonts w:hint="eastAsia" w:ascii="宋体" w:hAnsi="宋体" w:eastAsia="宋体" w:cs="宋体"/>
                <w:b/>
                <w:bCs/>
                <w:color w:val="auto"/>
                <w:sz w:val="24"/>
                <w:szCs w:val="24"/>
                <w:highlight w:val="none"/>
              </w:rPr>
              <w:t>；</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 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（7）提供参加政府采购活动前3年内在经营活动中没有重大违法违规记录的书面声明；</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（8）提供针对本次项目《反商业贿赂承诺书》。</w:t>
            </w:r>
          </w:p>
          <w:p>
            <w:pPr>
              <w:widowControl/>
              <w:snapToGrid w:val="0"/>
              <w:spacing w:line="44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（9）缴纳磋商保证金有效凭证。</w:t>
            </w:r>
          </w:p>
          <w:p>
            <w:pPr>
              <w:widowControl/>
              <w:snapToGrid w:val="0"/>
              <w:spacing w:line="440" w:lineRule="exact"/>
              <w:textAlignment w:val="baseline"/>
              <w:rPr>
                <w:rFonts w:hint="eastAsia" w:ascii="宋体" w:hAnsi="宋体" w:eastAsia="宋体" w:cs="宋体"/>
                <w:color w:val="auto"/>
                <w:szCs w:val="24"/>
                <w:highlight w:val="none"/>
              </w:rPr>
            </w:pP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提供依法缴纳近</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eastAsia="zh-CN"/>
              </w:rPr>
              <w:t>个月任意一个月的税收证明</w:t>
            </w:r>
            <w:r>
              <w:rPr>
                <w:rFonts w:hint="eastAsia" w:ascii="宋体" w:hAnsi="宋体" w:eastAsia="宋体" w:cs="宋体"/>
                <w:b/>
                <w:bCs/>
                <w:color w:val="auto"/>
                <w:sz w:val="24"/>
                <w:szCs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是</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rPr>
              <w:t>（是、否）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（注：</w:t>
            </w:r>
            <w:r>
              <w:rPr>
                <w:rFonts w:hint="eastAsia" w:ascii="宋体" w:hAnsi="宋体" w:eastAsia="宋体" w:cs="宋体"/>
                <w:b/>
                <w:bCs/>
                <w:color w:val="auto"/>
                <w:sz w:val="24"/>
                <w:highlight w:val="none"/>
                <w:lang w:val="en-US" w:eastAsia="zh-CN"/>
              </w:rPr>
              <w:t>潜在投标企业属于中小微企业的，请在响应文件中提供“中小企业声明函”，如果未提供或提供虚假的“中小企业声明函”，投标企业将承担由此造成的一切不利后果。</w:t>
            </w:r>
            <w:r>
              <w:rPr>
                <w:rFonts w:hint="eastAsia" w:ascii="宋体" w:hAnsi="宋体" w:eastAsia="宋体" w:cs="宋体"/>
                <w:b/>
                <w:bCs/>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867"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67"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val="en-US"/>
              </w:rPr>
            </w:pPr>
            <w:r>
              <w:rPr>
                <w:rFonts w:hint="eastAsia" w:ascii="宋体" w:hAnsi="宋体" w:eastAsia="宋体" w:cs="宋体"/>
                <w:b/>
                <w:bCs/>
                <w:color w:val="auto"/>
                <w:sz w:val="24"/>
                <w:highlight w:val="none"/>
                <w:lang w:val="en-US" w:eastAsia="zh-CN"/>
              </w:rPr>
              <w:t>项目预算金额：</w:t>
            </w:r>
            <w:r>
              <w:rPr>
                <w:rFonts w:hint="eastAsia" w:ascii="宋体" w:hAnsi="宋体" w:cs="宋体"/>
                <w:b/>
                <w:bCs/>
                <w:color w:val="auto"/>
                <w:sz w:val="24"/>
                <w:highlight w:val="none"/>
                <w:lang w:val="en-US" w:eastAsia="zh-CN"/>
              </w:rPr>
              <w:t>79.92万</w:t>
            </w:r>
            <w:r>
              <w:rPr>
                <w:rFonts w:hint="eastAsia" w:ascii="宋体" w:hAnsi="宋体" w:eastAsia="宋体" w:cs="宋体"/>
                <w:b/>
                <w:bCs/>
                <w:color w:val="auto"/>
                <w:kern w:val="2"/>
                <w:sz w:val="24"/>
                <w:szCs w:val="24"/>
                <w:highlight w:val="none"/>
                <w:lang w:val="en-US" w:eastAsia="zh-CN" w:bidi="ar-S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atLeast"/>
        </w:trPr>
        <w:tc>
          <w:tcPr>
            <w:tcW w:w="867" w:type="dxa"/>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8500" w:type="dxa"/>
            <w:vAlign w:val="center"/>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 xml:space="preserve">形式：☑保函  ☑电汇  □支票   ☑对公转账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本项目允许的其他形式，</w:t>
            </w:r>
            <w:r>
              <w:rPr>
                <w:rFonts w:hint="eastAsia" w:ascii="宋体" w:hAnsi="宋体" w:eastAsia="宋体" w:cs="宋体"/>
                <w:b/>
                <w:bCs/>
                <w:color w:val="auto"/>
                <w:sz w:val="24"/>
                <w:szCs w:val="24"/>
                <w:highlight w:val="none"/>
              </w:rPr>
              <w:t>磋商保证金</w:t>
            </w:r>
            <w:r>
              <w:rPr>
                <w:rFonts w:hint="eastAsia" w:ascii="宋体" w:hAnsi="宋体" w:eastAsia="宋体" w:cs="宋体"/>
                <w:b/>
                <w:bCs/>
                <w:color w:val="auto"/>
                <w:sz w:val="24"/>
                <w:highlight w:val="none"/>
              </w:rPr>
              <w:t>提供保函的，须在</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前到我公司验证保函并换取保函收据，</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须同时放保函和保函收据复印件。）</w:t>
            </w:r>
            <w:r>
              <w:rPr>
                <w:rFonts w:hint="eastAsia" w:ascii="宋体" w:hAnsi="宋体" w:eastAsia="宋体" w:cs="宋体"/>
                <w:color w:val="auto"/>
                <w:sz w:val="24"/>
                <w:highlight w:val="none"/>
              </w:rPr>
              <w:t xml:space="preserve">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数额</w:t>
            </w:r>
            <w:r>
              <w:rPr>
                <w:rFonts w:hint="eastAsia" w:ascii="宋体" w:hAnsi="宋体" w:eastAsia="宋体" w:cs="宋体"/>
                <w:color w:val="auto"/>
                <w:sz w:val="24"/>
                <w:highlight w:val="none"/>
                <w:u w:val="none"/>
              </w:rPr>
              <w:t>：</w:t>
            </w:r>
            <w:r>
              <w:rPr>
                <w:rFonts w:hint="eastAsia" w:ascii="宋体" w:hAnsi="宋体" w:eastAsia="宋体" w:cs="宋体"/>
                <w:b/>
                <w:bCs/>
                <w:color w:val="auto"/>
                <w:sz w:val="24"/>
                <w:highlight w:val="none"/>
                <w:u w:val="single"/>
              </w:rPr>
              <w:t>¥</w:t>
            </w:r>
            <w:r>
              <w:rPr>
                <w:rFonts w:hint="eastAsia" w:ascii="宋体" w:hAnsi="宋体" w:cs="宋体"/>
                <w:b/>
                <w:bCs/>
                <w:color w:val="auto"/>
                <w:sz w:val="24"/>
                <w:highlight w:val="none"/>
                <w:u w:val="single"/>
                <w:lang w:val="en-US" w:eastAsia="zh-CN"/>
              </w:rPr>
              <w:t>15800</w:t>
            </w:r>
            <w:r>
              <w:rPr>
                <w:rFonts w:hint="eastAsia" w:ascii="宋体" w:hAnsi="宋体" w:eastAsia="宋体" w:cs="宋体"/>
                <w:b/>
                <w:bCs/>
                <w:color w:val="auto"/>
                <w:sz w:val="24"/>
                <w:highlight w:val="none"/>
                <w:u w:val="single"/>
              </w:rPr>
              <w:t>元（人民币</w:t>
            </w:r>
            <w:r>
              <w:rPr>
                <w:rFonts w:hint="eastAsia" w:ascii="宋体" w:hAnsi="宋体" w:cs="宋体"/>
                <w:b/>
                <w:bCs/>
                <w:color w:val="auto"/>
                <w:sz w:val="24"/>
                <w:highlight w:val="none"/>
                <w:u w:val="single"/>
                <w:lang w:val="en-US" w:eastAsia="zh-CN"/>
              </w:rPr>
              <w:t>壹万伍仟捌佰元整</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rPr>
              <w:t>（按照预算金额2%以内的整数计算）</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w:t>
            </w:r>
            <w:r>
              <w:rPr>
                <w:rFonts w:hint="eastAsia" w:ascii="宋体" w:hAnsi="宋体" w:eastAsia="宋体" w:cs="宋体"/>
                <w:b/>
                <w:bCs/>
                <w:color w:val="auto"/>
                <w:sz w:val="24"/>
                <w:szCs w:val="24"/>
                <w:highlight w:val="none"/>
                <w:lang w:val="en-US" w:eastAsia="zh-CN"/>
              </w:rPr>
              <w:t>喀什璟宸项目咨询管理有限公司</w:t>
            </w:r>
          </w:p>
          <w:p>
            <w:pPr>
              <w:keepNext w:val="0"/>
              <w:keepLines w:val="0"/>
              <w:pageBreakBefore w:val="0"/>
              <w:kinsoku/>
              <w:wordWrap/>
              <w:overflowPunct/>
              <w:topLinePunct w:val="0"/>
              <w:autoSpaceDE/>
              <w:autoSpaceDN/>
              <w:bidi w:val="0"/>
              <w:adjustRightInd/>
              <w:spacing w:line="360" w:lineRule="exact"/>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开 户 行：中国银行股份有限公司</w:t>
            </w:r>
            <w:r>
              <w:rPr>
                <w:rFonts w:hint="eastAsia" w:ascii="宋体" w:hAnsi="宋体" w:cs="宋体"/>
                <w:b/>
                <w:bCs/>
                <w:color w:val="auto"/>
                <w:sz w:val="24"/>
                <w:szCs w:val="24"/>
                <w:highlight w:val="none"/>
                <w:lang w:val="en-US" w:eastAsia="zh-CN"/>
              </w:rPr>
              <w:t>喀什市青年南路支行</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账   号：</w:t>
            </w:r>
            <w:r>
              <w:rPr>
                <w:rFonts w:hint="eastAsia" w:ascii="宋体" w:hAnsi="宋体" w:cs="宋体"/>
                <w:b/>
                <w:bCs/>
                <w:color w:val="auto"/>
                <w:sz w:val="24"/>
                <w:szCs w:val="24"/>
                <w:highlight w:val="none"/>
                <w:lang w:val="en-US" w:eastAsia="zh-CN"/>
              </w:rPr>
              <w:t>108289256081</w:t>
            </w:r>
            <w:r>
              <w:rPr>
                <w:rFonts w:hint="eastAsia" w:ascii="宋体" w:hAnsi="宋体" w:eastAsia="宋体" w:cs="宋体"/>
                <w:b/>
                <w:bCs/>
                <w:color w:val="auto"/>
                <w:sz w:val="24"/>
                <w:szCs w:val="24"/>
                <w:highlight w:val="none"/>
              </w:rPr>
              <w:t>（电汇时请在汇款备注栏注明</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项目名称</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lang w:eastAsia="zh-CN"/>
              </w:rPr>
              <w:t>包号（</w:t>
            </w:r>
            <w:r>
              <w:rPr>
                <w:rFonts w:hint="eastAsia" w:ascii="宋体" w:hAnsi="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保证金</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（可简写）</w:t>
            </w:r>
            <w:r>
              <w:rPr>
                <w:rFonts w:hint="eastAsia" w:ascii="宋体" w:hAnsi="宋体" w:eastAsia="宋体" w:cs="宋体"/>
                <w:b/>
                <w:bCs/>
                <w:color w:val="auto"/>
                <w:sz w:val="24"/>
                <w:szCs w:val="24"/>
                <w:highlight w:val="none"/>
              </w:rPr>
              <w:t>  </w:t>
            </w:r>
            <w:r>
              <w:rPr>
                <w:rFonts w:hint="eastAsia" w:ascii="宋体" w:hAnsi="宋体" w:cs="宋体"/>
                <w:b/>
                <w:bCs/>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exact"/>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财务室联系方式：</w:t>
            </w:r>
            <w:r>
              <w:rPr>
                <w:rFonts w:hint="eastAsia" w:ascii="宋体" w:hAnsi="宋体" w:cs="宋体"/>
                <w:b/>
                <w:bCs/>
                <w:color w:val="auto"/>
                <w:sz w:val="24"/>
                <w:szCs w:val="24"/>
                <w:highlight w:val="none"/>
                <w:lang w:val="en-US" w:eastAsia="zh-CN"/>
              </w:rPr>
              <w:t>19351190999</w:t>
            </w:r>
          </w:p>
          <w:p>
            <w:pPr>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缴纳磋商保证金要求：供应商向银行办理磋商保证金汇（转）款时，应在用途栏（备注栏）注明项目名称及包号（如有），并注明是磋商保证金字样，如填写字数有要求可简写项目名称与包号（如有），由于未按要求注明信息而导致的一切后果由供应商自行承担。</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B：退磋商保证金：（1）开</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结束后，未成交供应商的磋商保证金将在5个工作日内退回原账户，供应商不需办理任何手续。（2）</w:t>
            </w:r>
            <w:r>
              <w:rPr>
                <w:rFonts w:hint="eastAsia" w:ascii="宋体" w:hAnsi="宋体" w:eastAsia="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供应商的磋商保证金在与采购人签订合同后，把合同扫描件发送至邮箱</w:t>
            </w:r>
            <w:r>
              <w:rPr>
                <w:rFonts w:hint="eastAsia" w:ascii="宋体" w:hAnsi="宋体" w:cs="宋体"/>
                <w:b/>
                <w:bCs/>
                <w:color w:val="auto"/>
                <w:sz w:val="24"/>
                <w:szCs w:val="24"/>
                <w:highlight w:val="none"/>
                <w:lang w:val="en-US" w:eastAsia="zh-CN"/>
              </w:rPr>
              <w:t>1049782581</w:t>
            </w:r>
            <w:r>
              <w:rPr>
                <w:rFonts w:hint="eastAsia" w:ascii="宋体" w:hAnsi="宋体" w:eastAsia="宋体" w:cs="宋体"/>
                <w:b/>
                <w:bCs/>
                <w:color w:val="auto"/>
                <w:sz w:val="24"/>
                <w:szCs w:val="24"/>
                <w:highlight w:val="none"/>
              </w:rPr>
              <w:t>@qq.com后，当日或次日原账户退回。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8500" w:type="dxa"/>
            <w:vAlign w:val="center"/>
          </w:tcPr>
          <w:p>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60</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867"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8500" w:type="dxa"/>
            <w:vAlign w:val="center"/>
          </w:tcPr>
          <w:p>
            <w:pPr>
              <w:keepNext w:val="0"/>
              <w:keepLines w:val="0"/>
              <w:pageBreakBefore w:val="0"/>
              <w:widowControl w:val="0"/>
              <w:numPr>
                <w:ilvl w:val="0"/>
                <w:numId w:val="5"/>
              </w:numPr>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numPr>
                <w:ilvl w:val="0"/>
                <w:numId w:val="0"/>
              </w:numPr>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（2）本项目实行网上投标，采用电子</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(供应商须使用CA加密设备通过政采云电子投标客户端制作</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)。若供应商参与投标，自行承担投标一切费用。</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（3）各供应商应在</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（4）供应商将政采云电子交易客户端下载、安装完成后，可通过账号密码或CA登录客户端进行</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（5）供应商在</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时须使用制作加密电子</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所使用的CA锁及电脑，电脑须提前配置好浏览器（建议使用谷歌浏览器），以便</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时解锁。</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eastAsia="zh-CN"/>
              </w:rPr>
              <w:t>磋商保证金</w:t>
            </w:r>
            <w:r>
              <w:rPr>
                <w:rFonts w:hint="eastAsia" w:ascii="宋体" w:hAnsi="宋体" w:eastAsia="宋体" w:cs="宋体"/>
                <w:b/>
                <w:bCs/>
                <w:color w:val="auto"/>
                <w:sz w:val="24"/>
                <w:highlight w:val="none"/>
              </w:rPr>
              <w:t>缴纳及确认时间：凡拟参加本次招标项目的供应商，必须在</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前将</w:t>
            </w:r>
            <w:r>
              <w:rPr>
                <w:rFonts w:hint="eastAsia" w:ascii="宋体" w:hAnsi="宋体" w:eastAsia="宋体" w:cs="宋体"/>
                <w:b/>
                <w:bCs/>
                <w:color w:val="auto"/>
                <w:sz w:val="24"/>
                <w:highlight w:val="none"/>
                <w:lang w:eastAsia="zh-CN"/>
              </w:rPr>
              <w:t>磋商保证金</w:t>
            </w:r>
            <w:r>
              <w:rPr>
                <w:rFonts w:hint="eastAsia" w:ascii="宋体" w:hAnsi="宋体" w:eastAsia="宋体" w:cs="宋体"/>
                <w:b/>
                <w:bCs/>
                <w:color w:val="auto"/>
                <w:sz w:val="24"/>
                <w:highlight w:val="none"/>
              </w:rPr>
              <w:t>汇入指定账户。</w:t>
            </w:r>
            <w:r>
              <w:rPr>
                <w:rFonts w:hint="eastAsia" w:ascii="宋体" w:hAnsi="宋体" w:eastAsia="宋体" w:cs="宋体"/>
                <w:b/>
                <w:bCs/>
                <w:color w:val="auto"/>
                <w:sz w:val="24"/>
                <w:highlight w:val="none"/>
                <w:lang w:eastAsia="zh-CN"/>
              </w:rPr>
              <w:t>磋商保证金</w:t>
            </w:r>
            <w:r>
              <w:rPr>
                <w:rFonts w:hint="eastAsia" w:ascii="宋体" w:hAnsi="宋体" w:eastAsia="宋体" w:cs="宋体"/>
                <w:b/>
                <w:bCs/>
                <w:color w:val="auto"/>
                <w:sz w:val="24"/>
                <w:highlight w:val="none"/>
              </w:rPr>
              <w:t>汇款凭证上用途栏应注明:招标项目名称+标项号+</w:t>
            </w:r>
            <w:r>
              <w:rPr>
                <w:rFonts w:hint="eastAsia" w:ascii="宋体" w:hAnsi="宋体" w:eastAsia="宋体" w:cs="宋体"/>
                <w:b/>
                <w:bCs/>
                <w:color w:val="auto"/>
                <w:sz w:val="24"/>
                <w:highlight w:val="none"/>
                <w:lang w:eastAsia="zh-CN"/>
              </w:rPr>
              <w:t>磋商保证金</w:t>
            </w:r>
            <w:r>
              <w:rPr>
                <w:rFonts w:hint="eastAsia" w:ascii="宋体" w:hAnsi="宋体" w:eastAsia="宋体" w:cs="宋体"/>
                <w:b/>
                <w:bCs/>
                <w:color w:val="auto"/>
                <w:sz w:val="24"/>
                <w:highlight w:val="none"/>
              </w:rPr>
              <w:t>。否则，届时其投标将被拒绝。</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（8）各供应商须在投标截止时间前完成在系统上递交电子</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。投标供应商的电子</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（9）各供应商在投标截止时间前将“</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”上传至政采云平台。</w:t>
            </w:r>
            <w:r>
              <w:rPr>
                <w:rFonts w:hint="eastAsia" w:ascii="宋体" w:hAnsi="宋体" w:cs="宋体"/>
                <w:b/>
                <w:bCs/>
                <w:color w:val="auto"/>
                <w:sz w:val="24"/>
                <w:highlight w:val="none"/>
                <w:lang w:val="en-US" w:eastAsia="zh-CN"/>
              </w:rPr>
              <w:t>商务技术</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包括“</w:t>
            </w:r>
            <w:r>
              <w:rPr>
                <w:rFonts w:hint="eastAsia" w:ascii="宋体" w:hAnsi="宋体" w:eastAsia="宋体" w:cs="宋体"/>
                <w:b/>
                <w:bCs/>
                <w:color w:val="auto"/>
                <w:sz w:val="24"/>
                <w:highlight w:val="none"/>
                <w:lang w:eastAsia="zh-CN"/>
              </w:rPr>
              <w:t>磋商一览表</w:t>
            </w:r>
            <w:r>
              <w:rPr>
                <w:rFonts w:hint="eastAsia" w:ascii="宋体" w:hAnsi="宋体" w:eastAsia="宋体" w:cs="宋体"/>
                <w:b/>
                <w:bCs/>
                <w:color w:val="auto"/>
                <w:sz w:val="24"/>
                <w:highlight w:val="none"/>
              </w:rPr>
              <w:t>表及资格证明文件”与“商务及技术文件”两部分合并成一册</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单独成一册</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应按照</w:t>
            </w:r>
            <w:r>
              <w:rPr>
                <w:rFonts w:hint="eastAsia" w:ascii="宋体" w:hAnsi="宋体" w:eastAsia="宋体" w:cs="宋体"/>
                <w:b/>
                <w:bCs/>
                <w:color w:val="auto"/>
                <w:sz w:val="24"/>
                <w:highlight w:val="none"/>
                <w:lang w:eastAsia="zh-CN"/>
              </w:rPr>
              <w:t>磋商文件</w:t>
            </w:r>
            <w:r>
              <w:rPr>
                <w:rFonts w:hint="eastAsia" w:ascii="宋体" w:hAnsi="宋体" w:eastAsia="宋体" w:cs="宋体"/>
                <w:b/>
                <w:bCs/>
                <w:color w:val="auto"/>
                <w:sz w:val="24"/>
                <w:highlight w:val="none"/>
              </w:rPr>
              <w:t>规定的格式填写、签署和盖章，并以</w:t>
            </w:r>
            <w:r>
              <w:rPr>
                <w:rFonts w:hint="eastAsia" w:ascii="宋体" w:hAnsi="宋体" w:eastAsia="宋体" w:cs="宋体"/>
                <w:b/>
                <w:bCs/>
                <w:color w:val="auto"/>
                <w:sz w:val="24"/>
                <w:highlight w:val="none"/>
                <w:lang w:val="en-US" w:eastAsia="zh-CN"/>
              </w:rPr>
              <w:t>政采云规定的</w:t>
            </w:r>
            <w:r>
              <w:rPr>
                <w:rFonts w:hint="eastAsia" w:ascii="宋体" w:hAnsi="宋体" w:eastAsia="宋体" w:cs="宋体"/>
                <w:b/>
                <w:bCs/>
                <w:color w:val="auto"/>
                <w:sz w:val="24"/>
                <w:highlight w:val="none"/>
              </w:rPr>
              <w:t>格式上传至政采云开评标平台（</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为正本扫描件）。</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（10）解密时长为30分钟。</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）须供应商提供备份的</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867"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8500" w:type="dxa"/>
            <w:vAlign w:val="center"/>
          </w:tcPr>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所有投标供应商应在</w:t>
            </w:r>
            <w:r>
              <w:rPr>
                <w:rFonts w:hint="eastAsia" w:ascii="宋体" w:hAnsi="宋体" w:eastAsia="宋体" w:cs="宋体"/>
                <w:b/>
                <w:bCs/>
                <w:color w:val="auto"/>
                <w:sz w:val="24"/>
                <w:highlight w:val="none"/>
                <w:lang w:eastAsia="zh-CN"/>
              </w:rPr>
              <w:t>成交公告</w:t>
            </w:r>
            <w:r>
              <w:rPr>
                <w:rFonts w:hint="eastAsia" w:ascii="宋体" w:hAnsi="宋体" w:eastAsia="宋体" w:cs="宋体"/>
                <w:b/>
                <w:bCs/>
                <w:color w:val="auto"/>
                <w:sz w:val="24"/>
                <w:highlight w:val="none"/>
              </w:rPr>
              <w:t>公示期结束后</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个工作日内将纸质版</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邮寄至代理机构备案，纸质版</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包括“</w:t>
            </w:r>
            <w:r>
              <w:rPr>
                <w:rFonts w:hint="eastAsia" w:ascii="宋体" w:hAnsi="宋体" w:eastAsia="宋体" w:cs="宋体"/>
                <w:b/>
                <w:bCs/>
                <w:color w:val="auto"/>
                <w:sz w:val="24"/>
                <w:highlight w:val="none"/>
                <w:lang w:eastAsia="zh-CN"/>
              </w:rPr>
              <w:t>磋商一览表</w:t>
            </w:r>
            <w:r>
              <w:rPr>
                <w:rFonts w:hint="eastAsia" w:ascii="宋体" w:hAnsi="宋体" w:eastAsia="宋体" w:cs="宋体"/>
                <w:b/>
                <w:bCs/>
                <w:color w:val="auto"/>
                <w:sz w:val="24"/>
                <w:highlight w:val="none"/>
              </w:rPr>
              <w:t>及资格证明文件”和“商务及技术文件”两部分，两部分合订成一册递交。(邮寄标书事项会影响退还</w:t>
            </w:r>
            <w:r>
              <w:rPr>
                <w:rFonts w:hint="eastAsia" w:ascii="宋体" w:hAnsi="宋体" w:eastAsia="宋体" w:cs="宋体"/>
                <w:b/>
                <w:bCs/>
                <w:color w:val="auto"/>
                <w:sz w:val="24"/>
                <w:highlight w:val="none"/>
                <w:lang w:eastAsia="zh-CN"/>
              </w:rPr>
              <w:t>磋商保证金</w:t>
            </w:r>
            <w:r>
              <w:rPr>
                <w:rFonts w:hint="eastAsia" w:ascii="宋体" w:hAnsi="宋体" w:eastAsia="宋体" w:cs="宋体"/>
                <w:b/>
                <w:bCs/>
                <w:color w:val="auto"/>
                <w:sz w:val="24"/>
                <w:highlight w:val="none"/>
              </w:rPr>
              <w:t>)</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递交数量：</w:t>
            </w:r>
            <w:r>
              <w:rPr>
                <w:rFonts w:hint="eastAsia" w:ascii="宋体" w:hAnsi="宋体" w:eastAsia="宋体" w:cs="宋体"/>
                <w:color w:val="auto"/>
                <w:sz w:val="24"/>
                <w:highlight w:val="none"/>
              </w:rPr>
              <w:t>正本：壹份、副本：贰份；电子文档1份（以正本为准，副本可以是正本的复印件）</w:t>
            </w:r>
          </w:p>
          <w:p>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auto"/>
                <w:sz w:val="24"/>
                <w:highlight w:val="none"/>
              </w:rPr>
            </w:pPr>
            <w:bookmarkStart w:id="843" w:name="_Toc14647"/>
            <w:r>
              <w:rPr>
                <w:rFonts w:hint="eastAsia" w:ascii="宋体" w:hAnsi="宋体" w:eastAsia="宋体" w:cs="宋体"/>
                <w:b/>
                <w:bCs/>
                <w:color w:val="auto"/>
                <w:sz w:val="24"/>
                <w:highlight w:val="none"/>
              </w:rPr>
              <w:t>纸质</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的签署及规定：</w:t>
            </w:r>
            <w:bookmarkEnd w:id="843"/>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的正副本需打印或用不褪色墨水书写，并由供应商的法定代表人或经其正式委托代理人按</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上签字或盖章，并加盖单位印章。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w:t>
            </w:r>
            <w:r>
              <w:rPr>
                <w:rFonts w:hint="eastAsia" w:ascii="宋体" w:hAnsi="宋体" w:eastAsia="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eastAsia="zh-CN"/>
              </w:rPr>
              <w:t>10：30</w:t>
            </w:r>
            <w:r>
              <w:rPr>
                <w:rFonts w:hint="eastAsia" w:ascii="宋体" w:hAnsi="宋体" w:eastAsia="宋体" w:cs="宋体"/>
                <w:color w:val="auto"/>
                <w:sz w:val="24"/>
                <w:szCs w:val="24"/>
                <w:highlight w:val="none"/>
                <w:u w:val="singl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867" w:type="dxa"/>
            <w:vAlign w:val="center"/>
          </w:tcPr>
          <w:p>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eastAsia="zh-CN"/>
              </w:rPr>
              <w:t>磋商时间</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eastAsia="zh-CN"/>
              </w:rPr>
              <w:t>10：30</w:t>
            </w:r>
            <w:r>
              <w:rPr>
                <w:rFonts w:hint="eastAsia" w:ascii="宋体" w:hAnsi="宋体" w:eastAsia="宋体" w:cs="宋体"/>
                <w:color w:val="auto"/>
                <w:sz w:val="24"/>
                <w:szCs w:val="24"/>
                <w:highlight w:val="none"/>
                <w:u w:val="single"/>
                <w:lang w:eastAsia="zh-CN"/>
              </w:rPr>
              <w:t>（北京时间）</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磋商地点</w:t>
            </w:r>
            <w:r>
              <w:rPr>
                <w:rFonts w:hint="eastAsia" w:ascii="宋体" w:hAnsi="宋体" w:eastAsia="宋体" w:cs="宋体"/>
                <w:color w:val="auto"/>
                <w:sz w:val="24"/>
                <w:highlight w:val="none"/>
              </w:rPr>
              <w:t>：</w:t>
            </w:r>
            <w:r>
              <w:rPr>
                <w:rFonts w:hint="eastAsia" w:ascii="宋体" w:hAnsi="宋体" w:eastAsia="宋体" w:cs="宋体"/>
                <w:b w:val="0"/>
                <w:bCs w:val="0"/>
                <w:color w:val="auto"/>
                <w:kern w:val="2"/>
                <w:sz w:val="24"/>
                <w:szCs w:val="24"/>
                <w:highlight w:val="none"/>
                <w:u w:val="single"/>
                <w:lang w:val="en-US" w:eastAsia="zh-CN" w:bidi="ar-SA"/>
              </w:rPr>
              <w:t>政采云平台</w:t>
            </w:r>
            <w:r>
              <w:rPr>
                <w:rFonts w:hint="eastAsia" w:ascii="宋体" w:hAnsi="宋体" w:eastAsia="宋体" w:cs="宋体"/>
                <w:color w:val="auto"/>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lang w:eastAsia="zh-CN"/>
              </w:rPr>
              <w:t>评审方法</w:t>
            </w:r>
            <w:r>
              <w:rPr>
                <w:rFonts w:hint="eastAsia" w:ascii="宋体" w:hAnsi="宋体" w:eastAsia="宋体" w:cs="宋体"/>
                <w:color w:val="auto"/>
                <w:sz w:val="24"/>
                <w:highlight w:val="none"/>
              </w:rPr>
              <w:t>：适用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867" w:type="dxa"/>
            <w:vAlign w:val="center"/>
          </w:tcPr>
          <w:p>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直接确定</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6" w:hRule="atLeast"/>
        </w:trPr>
        <w:tc>
          <w:tcPr>
            <w:tcW w:w="867"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850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履约保证金形式：☑保函  ☑电汇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支票   ☑对公转账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 xml:space="preserve">提交履约保证金的时间：签订合同前 </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trPr>
        <w:tc>
          <w:tcPr>
            <w:tcW w:w="867"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8500" w:type="dxa"/>
            <w:vAlign w:val="center"/>
          </w:tcPr>
          <w:p>
            <w:pPr>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服务费：根据发改价格[2015]299</w:t>
            </w:r>
            <w:r>
              <w:rPr>
                <w:rFonts w:hint="eastAsia" w:ascii="宋体" w:hAnsi="宋体" w:eastAsia="宋体" w:cs="宋体"/>
                <w:color w:val="auto"/>
                <w:sz w:val="24"/>
                <w:szCs w:val="24"/>
                <w:highlight w:val="none"/>
                <w:lang w:eastAsia="zh-CN"/>
              </w:rPr>
              <w:t>号文</w:t>
            </w:r>
            <w:r>
              <w:rPr>
                <w:rFonts w:hint="eastAsia" w:ascii="宋体" w:hAnsi="宋体" w:eastAsia="宋体" w:cs="宋体"/>
                <w:color w:val="auto"/>
                <w:sz w:val="24"/>
                <w:szCs w:val="24"/>
                <w:highlight w:val="none"/>
              </w:rPr>
              <w:t>：确定代理服务费按照</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价的1.5%收取。（由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供应商支付）</w:t>
            </w:r>
            <w:r>
              <w:rPr>
                <w:rFonts w:hint="eastAsia" w:ascii="宋体" w:hAnsi="宋体" w:eastAsia="宋体" w:cs="宋体"/>
                <w:color w:val="auto"/>
                <w:sz w:val="24"/>
                <w:szCs w:val="24"/>
                <w:highlight w:val="none"/>
                <w:lang w:val="en-US" w:eastAsia="zh-CN"/>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支付形式：</w:t>
            </w:r>
            <w:r>
              <w:rPr>
                <w:rFonts w:hint="eastAsia" w:ascii="宋体" w:hAnsi="宋体" w:eastAsia="宋体" w:cs="宋体"/>
                <w:color w:val="auto"/>
                <w:sz w:val="24"/>
                <w:szCs w:val="24"/>
                <w:highlight w:val="none"/>
                <w:u w:val="single"/>
              </w:rPr>
              <w:t xml:space="preserve">  对公转账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u w:val="single"/>
              </w:rPr>
              <w:t xml:space="preserve">  领取</w:t>
            </w:r>
            <w:r>
              <w:rPr>
                <w:rFonts w:hint="eastAsia" w:ascii="宋体" w:hAnsi="宋体" w:eastAsia="宋体" w:cs="宋体"/>
                <w:color w:val="auto"/>
                <w:sz w:val="24"/>
                <w:szCs w:val="24"/>
                <w:highlight w:val="none"/>
                <w:u w:val="single"/>
                <w:lang w:eastAsia="zh-CN"/>
              </w:rPr>
              <w:t>成交</w:t>
            </w:r>
            <w:r>
              <w:rPr>
                <w:rFonts w:hint="eastAsia" w:ascii="宋体" w:hAnsi="宋体" w:eastAsia="宋体" w:cs="宋体"/>
                <w:color w:val="auto"/>
                <w:sz w:val="24"/>
                <w:szCs w:val="24"/>
                <w:highlight w:val="none"/>
                <w:u w:val="single"/>
              </w:rPr>
              <w:t xml:space="preserve">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8500"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bl>
    <w:p>
      <w:pPr>
        <w:pStyle w:val="7"/>
        <w:keepNext w:val="0"/>
        <w:keepLines w:val="0"/>
        <w:pageBreakBefore w:val="0"/>
        <w:widowControl w:val="0"/>
        <w:kinsoku/>
        <w:wordWrap/>
        <w:overflowPunct/>
        <w:topLinePunct w:val="0"/>
        <w:autoSpaceDE w:val="0"/>
        <w:autoSpaceDN w:val="0"/>
        <w:bidi w:val="0"/>
        <w:adjustRightInd w:val="0"/>
        <w:snapToGrid/>
        <w:spacing w:line="240" w:lineRule="exact"/>
        <w:ind w:firstLine="0"/>
        <w:textAlignment w:val="auto"/>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00" w:lineRule="exact"/>
        <w:rPr>
          <w:rFonts w:hint="eastAsia" w:ascii="宋体" w:hAnsi="宋体" w:eastAsia="宋体" w:cs="宋体"/>
          <w:color w:val="auto"/>
          <w:sz w:val="13"/>
          <w:szCs w:val="13"/>
          <w:highlight w:val="none"/>
        </w:rPr>
        <w:sectPr>
          <w:pgSz w:w="11905" w:h="16838"/>
          <w:pgMar w:top="1440" w:right="1797" w:bottom="1440" w:left="1797" w:header="851" w:footer="992" w:gutter="0"/>
          <w:pgNumType w:fmt="decimal"/>
          <w:cols w:space="0" w:num="1"/>
          <w:docGrid w:linePitch="312" w:charSpace="0"/>
        </w:sectPr>
      </w:pPr>
      <w:bookmarkStart w:id="844" w:name="_Toc216513787"/>
      <w:bookmarkStart w:id="845" w:name="_Toc218935351"/>
      <w:bookmarkStart w:id="846" w:name="_Toc216582811"/>
      <w:bookmarkStart w:id="847" w:name="_Toc219175635"/>
    </w:p>
    <w:bookmarkEnd w:id="844"/>
    <w:bookmarkEnd w:id="845"/>
    <w:bookmarkEnd w:id="846"/>
    <w:bookmarkEnd w:id="847"/>
    <w:p>
      <w:pPr>
        <w:pStyle w:val="3"/>
        <w:tabs>
          <w:tab w:val="left" w:pos="0"/>
        </w:tabs>
        <w:spacing w:before="0" w:after="0" w:line="240" w:lineRule="atLeast"/>
        <w:jc w:val="center"/>
        <w:rPr>
          <w:rFonts w:hint="default" w:ascii="微软雅黑" w:hAnsi="微软雅黑" w:eastAsia="微软雅黑" w:cs="微软雅黑"/>
          <w:b/>
          <w:bCs w:val="0"/>
          <w:kern w:val="2"/>
          <w:sz w:val="36"/>
          <w:szCs w:val="36"/>
          <w:lang w:val="en-US" w:eastAsia="zh-CN" w:bidi="ar-SA"/>
        </w:rPr>
      </w:pPr>
      <w:bookmarkStart w:id="848" w:name="_Toc3165"/>
      <w:r>
        <w:rPr>
          <w:rFonts w:hint="eastAsia" w:ascii="微软雅黑" w:hAnsi="微软雅黑" w:eastAsia="微软雅黑" w:cs="微软雅黑"/>
          <w:b/>
          <w:bCs w:val="0"/>
          <w:kern w:val="2"/>
          <w:sz w:val="36"/>
          <w:szCs w:val="36"/>
          <w:lang w:val="en-US" w:eastAsia="zh-CN" w:bidi="ar-SA"/>
        </w:rPr>
        <w:t>第5章 服务需求</w:t>
      </w:r>
      <w:bookmarkEnd w:id="848"/>
    </w:p>
    <w:bookmarkEnd w:id="772"/>
    <w:bookmarkEnd w:id="773"/>
    <w:bookmarkEnd w:id="774"/>
    <w:bookmarkEnd w:id="775"/>
    <w:bookmarkEnd w:id="776"/>
    <w:bookmarkEnd w:id="777"/>
    <w:bookmarkEnd w:id="778"/>
    <w:bookmarkEnd w:id="779"/>
    <w:bookmarkEnd w:id="780"/>
    <w:bookmarkEnd w:id="781"/>
    <w:p>
      <w:pPr>
        <w:pStyle w:val="11"/>
        <w:numPr>
          <w:ilvl w:val="0"/>
          <w:numId w:val="0"/>
        </w:numPr>
        <w:outlineLvl w:val="9"/>
        <w:rPr>
          <w:rFonts w:hint="eastAsia"/>
          <w:b/>
          <w:bCs/>
          <w:lang w:val="en-US" w:eastAsia="zh-CN"/>
        </w:rPr>
      </w:pPr>
      <w:bookmarkStart w:id="849" w:name="_Toc11259"/>
      <w:bookmarkStart w:id="850" w:name="_Toc23422"/>
      <w:bookmarkStart w:id="851" w:name="_Toc9878"/>
      <w:bookmarkStart w:id="852" w:name="_Toc8915"/>
      <w:bookmarkStart w:id="853" w:name="_Toc7738"/>
      <w:bookmarkStart w:id="854" w:name="_Toc16777"/>
      <w:bookmarkStart w:id="855" w:name="_Toc8664"/>
    </w:p>
    <w:p>
      <w:pPr>
        <w:pStyle w:val="4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微软雅黑" w:hAnsi="微软雅黑" w:eastAsia="微软雅黑" w:cs="微软雅黑"/>
          <w:sz w:val="24"/>
          <w:szCs w:val="24"/>
          <w:lang w:val="en-US" w:eastAsia="zh-CN"/>
        </w:rPr>
      </w:pPr>
      <w:bookmarkStart w:id="856" w:name="_Toc23819"/>
      <w:bookmarkStart w:id="857" w:name="_Toc15837"/>
      <w:bookmarkStart w:id="858" w:name="_Toc26642"/>
      <w:r>
        <w:rPr>
          <w:rFonts w:hint="eastAsia" w:ascii="微软雅黑" w:hAnsi="微软雅黑" w:eastAsia="微软雅黑" w:cs="微软雅黑"/>
          <w:sz w:val="24"/>
          <w:szCs w:val="24"/>
          <w:lang w:val="en-US" w:eastAsia="zh-CN"/>
        </w:rPr>
        <w:t xml:space="preserve"> 为进一步贯彻落实全国对口支援新疆工作座谈会议精神，持续加大选派优秀干部赴对口援疆省市交流学习，促进喀什市文旅系统干部及相关行业人才开阔学识眼界、更新观念、提升干事创新能力。现制定如下培训计划：</w:t>
      </w:r>
    </w:p>
    <w:p>
      <w:pPr>
        <w:pStyle w:val="4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一、培训时间及地点</w:t>
      </w:r>
    </w:p>
    <w:p>
      <w:pPr>
        <w:pStyle w:val="4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val="0"/>
          <w:sz w:val="24"/>
          <w:szCs w:val="24"/>
          <w:lang w:val="en-US" w:eastAsia="zh-CN"/>
        </w:rPr>
        <w:t>服务期：</w:t>
      </w:r>
      <w:r>
        <w:rPr>
          <w:rFonts w:hint="eastAsia" w:ascii="微软雅黑" w:hAnsi="微软雅黑" w:eastAsia="微软雅黑" w:cs="微软雅黑"/>
          <w:sz w:val="24"/>
          <w:szCs w:val="24"/>
          <w:lang w:val="en-US" w:eastAsia="zh-CN"/>
        </w:rPr>
        <w:t>2023年7月—11月（分三批）完成</w:t>
      </w:r>
    </w:p>
    <w:p>
      <w:pPr>
        <w:pStyle w:val="4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jc w:val="left"/>
        <w:textAlignment w:val="auto"/>
        <w:outlineLvl w:val="9"/>
        <w:rPr>
          <w:rFonts w:hint="default" w:ascii="微软雅黑" w:hAnsi="微软雅黑" w:eastAsia="微软雅黑" w:cs="微软雅黑"/>
          <w:sz w:val="24"/>
          <w:szCs w:val="24"/>
          <w:lang w:val="en-US" w:eastAsia="zh-CN"/>
        </w:rPr>
      </w:pPr>
      <w:r>
        <w:rPr>
          <w:rFonts w:hint="eastAsia" w:ascii="微软雅黑" w:hAnsi="微软雅黑" w:eastAsia="微软雅黑" w:cs="微软雅黑"/>
          <w:b/>
          <w:bCs w:val="0"/>
          <w:sz w:val="24"/>
          <w:szCs w:val="24"/>
          <w:lang w:val="en-US" w:eastAsia="zh-CN"/>
        </w:rPr>
        <w:t>服务地点：</w:t>
      </w:r>
      <w:r>
        <w:rPr>
          <w:rFonts w:hint="eastAsia" w:ascii="微软雅黑" w:hAnsi="微软雅黑" w:eastAsia="微软雅黑" w:cs="微软雅黑"/>
          <w:sz w:val="24"/>
          <w:szCs w:val="24"/>
          <w:lang w:val="en-US" w:eastAsia="zh-CN"/>
        </w:rPr>
        <w:t>甲方指定地点</w:t>
      </w:r>
    </w:p>
    <w:p>
      <w:pPr>
        <w:pStyle w:val="4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二、培训对象</w:t>
      </w:r>
      <w:bookmarkStart w:id="2045" w:name="_GoBack"/>
      <w:bookmarkEnd w:id="204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预计培训50人，分三期，每期15-18人，培训对象为喀什市文旅系统人才干部、创旅专班、景区景点人才干部、文旅体育相关协会专业人才等。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b/>
          <w:sz w:val="24"/>
          <w:szCs w:val="24"/>
          <w:lang w:val="en-US" w:eastAsia="zh-CN"/>
        </w:rPr>
        <w:t>三</w:t>
      </w:r>
      <w:r>
        <w:rPr>
          <w:rFonts w:hint="eastAsia" w:ascii="微软雅黑" w:hAnsi="微软雅黑" w:eastAsia="微软雅黑" w:cs="微软雅黑"/>
          <w:b/>
          <w:sz w:val="24"/>
          <w:szCs w:val="24"/>
        </w:rPr>
        <w:t>、</w:t>
      </w:r>
      <w:r>
        <w:rPr>
          <w:rFonts w:hint="eastAsia" w:ascii="微软雅黑" w:hAnsi="微软雅黑" w:eastAsia="微软雅黑" w:cs="微软雅黑"/>
          <w:b/>
          <w:sz w:val="24"/>
          <w:szCs w:val="24"/>
          <w:lang w:val="en-US" w:eastAsia="zh-CN"/>
        </w:rPr>
        <w:t>培训方式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由局领导带队，赴深圳、上海等文旅发展较好及国家全域旅游示范区创建成功地区，采取授课及现场教学的方式学习交流经验。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b/>
          <w:bCs w:val="0"/>
          <w:sz w:val="24"/>
          <w:szCs w:val="24"/>
          <w:lang w:eastAsia="zh-CN"/>
        </w:rPr>
      </w:pPr>
      <w:r>
        <w:rPr>
          <w:rFonts w:hint="eastAsia" w:ascii="微软雅黑" w:hAnsi="微软雅黑" w:eastAsia="微软雅黑" w:cs="微软雅黑"/>
          <w:b/>
          <w:bCs w:val="0"/>
          <w:sz w:val="24"/>
          <w:szCs w:val="24"/>
          <w:lang w:val="en-US" w:eastAsia="zh-CN"/>
        </w:rPr>
        <w:t>四、人员分配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第一批：培训时间为7月中旬，培训人数为 16 人，培训地点为深圳，带队局领导1人，局机关8人，文化馆1人、图书馆1人、歌舞团2人、景区管委会1人、创旅专班1人、协会1人。</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第二批:培训时间为9月中旬，培训人数为 18 人，培训地点为上海市，带队局领导1人，局机关10人，文化馆1人、图书馆1人、歌舞团2人、景区管委会1人、创旅专班1人、协会1人。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第三批:培训时间为 11 月中旬，培训人数为 16 人，培训地点为西安市，带队局领导1人，局机关8人，文化馆1人、图书馆1人、歌舞团2人、景区管委会1人、创旅专班1人、协会1人。</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b/>
          <w:bCs w:val="0"/>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五、培训内容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一是学习借鉴国家全域旅游示范区创建成功地区创建经验、特色亮点;二是学习借鉴内地文旅发展较好地区文化旅游发展、景区景点管理、服务水平、文旅人才引进、文旅产品创作、特色景点街区打造等方面经验;三是组织高校教师、景区负责人、文旅部门专家进行培训授课;四是学习旅游+N”融合新模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微软雅黑" w:hAnsi="微软雅黑" w:eastAsia="微软雅黑" w:cs="微软雅黑"/>
          <w:b/>
          <w:bCs w:val="0"/>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六、经费预算</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1.培训费:(含住宿费、餐费、学员手册、教室租金、课间茶水、培训、保险等)，550元/天x8天x50人=220000元;</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2.课酬费:5000元/天*8天=40000元，三期共计120000元;</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3.交通费:现场教学大巴车费用1200元/次x10次=12000元，三期共计36000元;</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4.管理费及税金:1-3 项费用的20%，三期约75200元;</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5.机票费:往返机票，约6000元人x50人=300000元，共计 300000元。</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6.宣传品制作:外带喀什旅游宣传册、伴手礼、文创产品等，每期约 6000 元，三期共计 18000元。</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7.暂列金及不可预见费用:每期10000元，三期共计30000元</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以上共计799200元(以实际支出为准)</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b/>
          <w:bCs w:val="0"/>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七、资金来源</w:t>
      </w:r>
    </w:p>
    <w:p>
      <w:pPr>
        <w:pStyle w:val="9"/>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资金从 2023 年深喀特色文艺交流项目资金中支出。</w:t>
      </w:r>
    </w:p>
    <w:p>
      <w:pPr>
        <w:keepNext w:val="0"/>
        <w:keepLines w:val="0"/>
        <w:pageBreakBefore w:val="0"/>
        <w:widowControl w:val="0"/>
        <w:kinsoku/>
        <w:wordWrap/>
        <w:overflowPunct/>
        <w:topLinePunct w:val="0"/>
        <w:bidi w:val="0"/>
        <w:snapToGrid/>
        <w:spacing w:after="120" w:afterLines="50" w:line="560" w:lineRule="exact"/>
        <w:ind w:firstLine="480" w:firstLineChars="200"/>
        <w:textAlignment w:val="auto"/>
        <w:outlineLvl w:val="9"/>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八、服务要求</w:t>
      </w:r>
    </w:p>
    <w:p>
      <w:pPr>
        <w:pStyle w:val="32"/>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1、付款方式：合同签订后支付合同总价的50%，培训完成后支付50%。</w:t>
      </w:r>
    </w:p>
    <w:p>
      <w:pPr>
        <w:pStyle w:val="32"/>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2、机票费：以经济舱为基本标准。</w:t>
      </w:r>
    </w:p>
    <w:p>
      <w:pPr>
        <w:pStyle w:val="32"/>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往返交通：据行程选择全程空调大巴（或高铁），车辆营运手续完备，车况、车龄和安全性良好，司机经验丰富和综合素质高，为确保安全，司机需具有驾驶大型客车经验，且未发生过重大安全事故，身体健康，心理素质好。</w:t>
      </w:r>
    </w:p>
    <w:p>
      <w:pPr>
        <w:pStyle w:val="32"/>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4、住宿要求：以三星级宾馆标准间为基本标准。要求卫生条件好，具有24小时热水、空调、电视等，基础设施完善，无安全隐患。</w:t>
      </w:r>
    </w:p>
    <w:p>
      <w:pPr>
        <w:pStyle w:val="32"/>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5、教材费用及物料：培训手册、公文包、笔记本、笔、信笺纸、矿泉水、帽子等；</w:t>
      </w:r>
    </w:p>
    <w:p>
      <w:pPr>
        <w:pStyle w:val="32"/>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6、验收标准：结束后采购单位组织参与培训的人员提交书面《培训活动评议报告》，采购单位对所有人员提交的书面报告汇总，逐级上报。</w:t>
      </w:r>
    </w:p>
    <w:p>
      <w:pPr>
        <w:pStyle w:val="32"/>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default"/>
          <w:lang w:val="en-US" w:eastAsia="zh-CN"/>
        </w:rPr>
      </w:pPr>
      <w:r>
        <w:rPr>
          <w:rFonts w:hint="eastAsia" w:ascii="微软雅黑" w:hAnsi="微软雅黑" w:eastAsia="微软雅黑" w:cs="微软雅黑"/>
          <w:color w:val="auto"/>
          <w:kern w:val="2"/>
          <w:sz w:val="24"/>
          <w:szCs w:val="24"/>
          <w:lang w:val="en-US" w:eastAsia="zh-CN" w:bidi="ar-SA"/>
        </w:rPr>
        <w:t>7、本项目须具备相关工作经验的负责执行团队不少于5人，项目负责人1人，项目负责人应具有丰富的实践经验和组织管理能力；</w:t>
      </w:r>
    </w:p>
    <w:p>
      <w:pPr>
        <w:keepNext w:val="0"/>
        <w:keepLines w:val="0"/>
        <w:pageBreakBefore w:val="0"/>
        <w:widowControl w:val="0"/>
        <w:kinsoku/>
        <w:wordWrap/>
        <w:overflowPunct/>
        <w:topLinePunct w:val="0"/>
        <w:bidi w:val="0"/>
        <w:snapToGrid/>
        <w:spacing w:after="120" w:afterLines="50" w:line="560" w:lineRule="exact"/>
        <w:ind w:firstLine="480" w:firstLineChars="200"/>
        <w:textAlignment w:val="auto"/>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highlight w:val="none"/>
          <w:lang w:val="en-US" w:eastAsia="zh-CN"/>
        </w:rPr>
        <w:t>九</w:t>
      </w:r>
      <w:r>
        <w:rPr>
          <w:rFonts w:hint="eastAsia" w:ascii="微软雅黑" w:hAnsi="微软雅黑" w:eastAsia="微软雅黑" w:cs="微软雅黑"/>
          <w:b/>
          <w:bCs/>
          <w:sz w:val="24"/>
          <w:szCs w:val="24"/>
          <w:highlight w:val="none"/>
          <w:lang w:eastAsia="zh-CN"/>
        </w:rPr>
        <w:t>、</w:t>
      </w:r>
      <w:r>
        <w:rPr>
          <w:rFonts w:hint="eastAsia" w:ascii="微软雅黑" w:hAnsi="微软雅黑" w:eastAsia="微软雅黑" w:cs="微软雅黑"/>
          <w:b/>
          <w:bCs/>
          <w:sz w:val="24"/>
          <w:szCs w:val="24"/>
        </w:rPr>
        <w:t>其他</w:t>
      </w:r>
      <w:bookmarkEnd w:id="856"/>
      <w:bookmarkEnd w:id="857"/>
      <w:r>
        <w:rPr>
          <w:rFonts w:hint="eastAsia" w:ascii="微软雅黑" w:hAnsi="微软雅黑" w:eastAsia="微软雅黑" w:cs="微软雅黑"/>
          <w:b/>
          <w:bCs/>
          <w:sz w:val="24"/>
          <w:szCs w:val="24"/>
          <w:lang w:eastAsia="zh-CN"/>
        </w:rPr>
        <w:t>要求</w:t>
      </w:r>
      <w:bookmarkEnd w:id="858"/>
    </w:p>
    <w:p>
      <w:pPr>
        <w:keepNext w:val="0"/>
        <w:keepLines w:val="0"/>
        <w:pageBreakBefore w:val="0"/>
        <w:widowControl w:val="0"/>
        <w:numPr>
          <w:ilvl w:val="0"/>
          <w:numId w:val="0"/>
        </w:numPr>
        <w:kinsoku/>
        <w:wordWrap/>
        <w:overflowPunct/>
        <w:topLinePunct w:val="0"/>
        <w:bidi w:val="0"/>
        <w:snapToGrid/>
        <w:spacing w:after="120" w:afterLines="50" w:line="560" w:lineRule="exact"/>
        <w:ind w:firstLine="480" w:firstLineChars="200"/>
        <w:textAlignment w:val="auto"/>
        <w:outlineLvl w:val="9"/>
        <w:rPr>
          <w:rFonts w:hint="eastAsia" w:ascii="微软雅黑" w:hAnsi="微软雅黑" w:eastAsia="微软雅黑" w:cs="微软雅黑"/>
          <w:sz w:val="24"/>
          <w:szCs w:val="24"/>
        </w:rPr>
      </w:pPr>
      <w:bookmarkStart w:id="859" w:name="_Toc5263"/>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供应商所报价格应为含税全包价，包含提供相关服务的所有费用，合同存续期间采购人不额外支付任何费用</w:t>
      </w:r>
      <w:bookmarkStart w:id="860" w:name="_Toc494456844"/>
      <w:r>
        <w:rPr>
          <w:rFonts w:hint="eastAsia" w:ascii="微软雅黑" w:hAnsi="微软雅黑" w:eastAsia="微软雅黑" w:cs="微软雅黑"/>
          <w:sz w:val="24"/>
          <w:szCs w:val="24"/>
        </w:rPr>
        <w:t>。</w:t>
      </w:r>
      <w:bookmarkEnd w:id="859"/>
    </w:p>
    <w:p>
      <w:pPr>
        <w:pStyle w:val="7"/>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2、服务方案：</w:t>
      </w:r>
      <w:r>
        <w:rPr>
          <w:rFonts w:hint="eastAsia" w:ascii="微软雅黑" w:hAnsi="微软雅黑" w:eastAsia="微软雅黑" w:cs="微软雅黑"/>
          <w:sz w:val="24"/>
          <w:szCs w:val="24"/>
          <w:lang w:val="en-US" w:eastAsia="zh-CN"/>
        </w:rPr>
        <w:t>根据项目的服务需求制定项目的整体的服务方案，方案需从对本项目理解、总体构想及工作思路，对服务需求进行详细分析、供应商自身服务优势的分析，项目整体实施计划、费用预算、项目预期绩效等；</w:t>
      </w:r>
    </w:p>
    <w:p>
      <w:pPr>
        <w:pStyle w:val="8"/>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3、</w:t>
      </w:r>
      <w:r>
        <w:rPr>
          <w:rFonts w:hint="eastAsia" w:ascii="微软雅黑" w:hAnsi="微软雅黑" w:eastAsia="微软雅黑" w:cs="微软雅黑"/>
          <w:b/>
          <w:bCs/>
          <w:sz w:val="24"/>
          <w:szCs w:val="24"/>
        </w:rPr>
        <w:t>突发事件处理措施：</w:t>
      </w:r>
      <w:r>
        <w:rPr>
          <w:rFonts w:hint="eastAsia" w:ascii="微软雅黑" w:hAnsi="微软雅黑" w:eastAsia="微软雅黑" w:cs="微软雅黑"/>
          <w:sz w:val="24"/>
          <w:szCs w:val="24"/>
        </w:rPr>
        <w:t>为保证服务质量，加强对突发事件、紧急事件的控制，供应商</w:t>
      </w:r>
      <w:r>
        <w:rPr>
          <w:rFonts w:hint="eastAsia" w:ascii="微软雅黑" w:hAnsi="微软雅黑" w:eastAsia="微软雅黑" w:cs="微软雅黑"/>
          <w:sz w:val="24"/>
          <w:szCs w:val="24"/>
          <w:lang w:val="en-US" w:eastAsia="zh-CN"/>
        </w:rPr>
        <w:t>须</w:t>
      </w:r>
      <w:r>
        <w:rPr>
          <w:rFonts w:hint="eastAsia" w:ascii="微软雅黑" w:hAnsi="微软雅黑" w:eastAsia="微软雅黑" w:cs="微软雅黑"/>
          <w:sz w:val="24"/>
          <w:szCs w:val="24"/>
        </w:rPr>
        <w:t>制定本项目突发事件处置预案，写明面对突发事件的应急处理方法，包含：人员伤亡事故、</w:t>
      </w:r>
      <w:r>
        <w:rPr>
          <w:rFonts w:hint="eastAsia" w:ascii="微软雅黑" w:hAnsi="微软雅黑" w:eastAsia="微软雅黑" w:cs="微软雅黑"/>
          <w:sz w:val="24"/>
          <w:szCs w:val="24"/>
          <w:lang w:val="en-US" w:eastAsia="zh-CN"/>
        </w:rPr>
        <w:t>交通车辆故障、食物中毒</w:t>
      </w:r>
      <w:r>
        <w:rPr>
          <w:rFonts w:hint="eastAsia" w:ascii="微软雅黑" w:hAnsi="微软雅黑" w:eastAsia="微软雅黑" w:cs="微软雅黑"/>
          <w:sz w:val="24"/>
          <w:szCs w:val="24"/>
        </w:rPr>
        <w:t>等。建立完善的预防机制，指定专人负责，对潜在危险可能出现的紧急情况，制定相应的处理办法，以保证</w:t>
      </w:r>
      <w:r>
        <w:rPr>
          <w:rFonts w:hint="eastAsia" w:ascii="微软雅黑" w:hAnsi="微软雅黑" w:eastAsia="微软雅黑" w:cs="微软雅黑"/>
          <w:sz w:val="24"/>
          <w:szCs w:val="24"/>
          <w:lang w:val="en-US" w:eastAsia="zh-CN"/>
        </w:rPr>
        <w:t>每批次培训活动顺利进行</w:t>
      </w:r>
      <w:r>
        <w:rPr>
          <w:rFonts w:hint="eastAsia" w:ascii="微软雅黑" w:hAnsi="微软雅黑" w:eastAsia="微软雅黑" w:cs="微软雅黑"/>
          <w:sz w:val="24"/>
          <w:szCs w:val="24"/>
        </w:rPr>
        <w:t>。</w:t>
      </w:r>
    </w:p>
    <w:p>
      <w:pPr>
        <w:pStyle w:val="8"/>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4、质量保证及服务能力承诺</w:t>
      </w:r>
      <w:r>
        <w:rPr>
          <w:rFonts w:hint="eastAsia" w:ascii="微软雅黑" w:hAnsi="微软雅黑" w:eastAsia="微软雅黑" w:cs="微软雅黑"/>
          <w:sz w:val="24"/>
          <w:szCs w:val="24"/>
          <w:lang w:val="en-US" w:eastAsia="zh-CN"/>
        </w:rPr>
        <w:t>：为保证项目顺利实施，供应商根据项目情况提供详细的质量保证承诺及活动组织、人员配备、与采购单位相互配合情况、培训成果提交、验收等方面与服务能力相关的承诺；</w:t>
      </w:r>
    </w:p>
    <w:bookmarkEnd w:id="860"/>
    <w:p>
      <w:pPr>
        <w:keepNext w:val="0"/>
        <w:keepLines w:val="0"/>
        <w:pageBreakBefore w:val="0"/>
        <w:widowControl w:val="0"/>
        <w:kinsoku/>
        <w:wordWrap/>
        <w:overflowPunct/>
        <w:topLinePunct w:val="0"/>
        <w:bidi w:val="0"/>
        <w:snapToGrid/>
        <w:spacing w:after="120" w:afterLines="50" w:line="560" w:lineRule="exact"/>
        <w:ind w:firstLine="480" w:firstLineChars="200"/>
        <w:textAlignment w:val="auto"/>
        <w:outlineLvl w:val="9"/>
        <w:rPr>
          <w:rFonts w:hint="eastAsia" w:ascii="微软雅黑" w:hAnsi="微软雅黑" w:eastAsia="微软雅黑" w:cs="微软雅黑"/>
          <w:sz w:val="24"/>
          <w:szCs w:val="24"/>
        </w:rPr>
      </w:pPr>
      <w:bookmarkStart w:id="861" w:name="_Toc5058"/>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本项目不允许转包和违法分包。</w:t>
      </w:r>
      <w:bookmarkEnd w:id="861"/>
    </w:p>
    <w:p>
      <w:pPr>
        <w:pStyle w:val="11"/>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default"/>
          <w:b/>
          <w:bCs/>
          <w:lang w:val="en-US" w:eastAsia="zh-CN"/>
        </w:rPr>
      </w:pPr>
      <w:bookmarkStart w:id="862" w:name="_Toc30748"/>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、其他未尽事宜由供需双方在采购合同中详细约定。</w:t>
      </w:r>
      <w:bookmarkEnd w:id="862"/>
    </w:p>
    <w:p>
      <w:pPr>
        <w:pStyle w:val="7"/>
        <w:outlineLvl w:val="9"/>
        <w:rPr>
          <w:rFonts w:hint="default"/>
          <w:lang w:val="en-US" w:eastAsia="zh-CN"/>
        </w:rPr>
      </w:pPr>
    </w:p>
    <w:bookmarkEnd w:id="782"/>
    <w:bookmarkEnd w:id="783"/>
    <w:bookmarkEnd w:id="784"/>
    <w:bookmarkEnd w:id="785"/>
    <w:bookmarkEnd w:id="786"/>
    <w:bookmarkEnd w:id="787"/>
    <w:bookmarkEnd w:id="788"/>
    <w:bookmarkEnd w:id="849"/>
    <w:bookmarkEnd w:id="850"/>
    <w:bookmarkEnd w:id="851"/>
    <w:bookmarkEnd w:id="852"/>
    <w:bookmarkEnd w:id="853"/>
    <w:bookmarkEnd w:id="854"/>
    <w:bookmarkEnd w:id="855"/>
    <w:p>
      <w:pPr>
        <w:rPr>
          <w:rFonts w:hint="eastAsia" w:ascii="宋体" w:hAnsi="宋体" w:eastAsia="宋体" w:cs="宋体"/>
          <w:b/>
          <w:i w:val="0"/>
          <w:caps w:val="0"/>
          <w:color w:val="auto"/>
          <w:spacing w:val="0"/>
          <w:w w:val="100"/>
          <w:sz w:val="32"/>
          <w:highlight w:val="none"/>
        </w:rPr>
      </w:pPr>
      <w:bookmarkStart w:id="863" w:name="_Toc26722"/>
      <w:bookmarkStart w:id="864" w:name="_Toc23496"/>
      <w:r>
        <w:rPr>
          <w:rFonts w:hint="eastAsia" w:ascii="宋体" w:hAnsi="宋体" w:eastAsia="宋体" w:cs="宋体"/>
          <w:b/>
          <w:i w:val="0"/>
          <w:caps w:val="0"/>
          <w:color w:val="auto"/>
          <w:spacing w:val="0"/>
          <w:w w:val="100"/>
          <w:sz w:val="32"/>
          <w:highlight w:val="none"/>
        </w:rPr>
        <w:br w:type="page"/>
      </w:r>
    </w:p>
    <w:p>
      <w:pPr>
        <w:pStyle w:val="3"/>
        <w:shd w:val="clear"/>
        <w:tabs>
          <w:tab w:val="left" w:pos="0"/>
        </w:tabs>
        <w:snapToGrid w:val="0"/>
        <w:spacing w:before="0" w:beforeAutospacing="0" w:after="0" w:afterAutospacing="0" w:line="240" w:lineRule="atLeast"/>
        <w:jc w:val="center"/>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i w:val="0"/>
          <w:caps w:val="0"/>
          <w:color w:val="auto"/>
          <w:spacing w:val="0"/>
          <w:w w:val="100"/>
          <w:sz w:val="32"/>
          <w:highlight w:val="none"/>
        </w:rPr>
        <w:t>第6章 评审方法和标准</w:t>
      </w:r>
      <w:bookmarkEnd w:id="863"/>
      <w:bookmarkEnd w:id="864"/>
    </w:p>
    <w:p>
      <w:pPr>
        <w:pStyle w:val="9"/>
        <w:keepNext w:val="0"/>
        <w:keepLines w:val="0"/>
        <w:pageBreakBefore w:val="0"/>
        <w:shd w:val="clear"/>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本项目将按照磋商文件第一章供应商须知中“五 磋商开启及评审”、“六 确定成交”及本章的规定</w:t>
      </w:r>
      <w:r>
        <w:rPr>
          <w:rFonts w:hint="eastAsia" w:ascii="宋体" w:hAnsi="宋体" w:eastAsia="宋体" w:cs="宋体"/>
          <w:b w:val="0"/>
          <w:i w:val="0"/>
          <w:caps w:val="0"/>
          <w:color w:val="auto"/>
          <w:spacing w:val="0"/>
          <w:w w:val="100"/>
          <w:sz w:val="24"/>
          <w:highlight w:val="none"/>
          <w:lang w:eastAsia="zh-CN"/>
        </w:rPr>
        <w:t>评审</w:t>
      </w:r>
      <w:r>
        <w:rPr>
          <w:rFonts w:hint="eastAsia" w:ascii="宋体" w:hAnsi="宋体" w:eastAsia="宋体" w:cs="宋体"/>
          <w:b w:val="0"/>
          <w:i w:val="0"/>
          <w:caps w:val="0"/>
          <w:color w:val="auto"/>
          <w:spacing w:val="0"/>
          <w:w w:val="100"/>
          <w:sz w:val="24"/>
          <w:highlight w:val="none"/>
        </w:rPr>
        <w:t>。</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注：1.磋商无效的情形：</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（1）单位负责人为同一人或者存在直接控股、管理关系的不同供应商，其相关磋商将被认定为磋商无效。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（2）为本项目提供过整体设计、规范编制或者项目管理、监理、检测等</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的供应商，不得再参加本项目上述</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以外的其他采购活动。否则其磋商将被认定为磋商无效。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供应商在磋商过程中不得向采购人提供、给予任何有价值的物品，影响其正常决策行为。一经发现，其将被认定为磋商无效。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3</w:t>
      </w:r>
      <w:r>
        <w:rPr>
          <w:rFonts w:hint="eastAsia" w:ascii="宋体" w:hAnsi="宋体" w:eastAsia="宋体" w:cs="宋体"/>
          <w:b w:val="0"/>
          <w:i w:val="0"/>
          <w:caps w:val="0"/>
          <w:color w:val="auto"/>
          <w:spacing w:val="0"/>
          <w:w w:val="100"/>
          <w:sz w:val="24"/>
          <w:highlight w:val="none"/>
        </w:rPr>
        <w:t>）供应商报价超过磋商文件规定的预算金额或者分项、分包最高限价的，其磋商将被认定为磋商无效。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4</w:t>
      </w:r>
      <w:r>
        <w:rPr>
          <w:rFonts w:hint="eastAsia" w:ascii="宋体" w:hAnsi="宋体" w:eastAsia="宋体" w:cs="宋体"/>
          <w:b w:val="0"/>
          <w:i w:val="0"/>
          <w:caps w:val="0"/>
          <w:color w:val="auto"/>
          <w:spacing w:val="0"/>
          <w:w w:val="100"/>
          <w:sz w:val="24"/>
          <w:highlight w:val="none"/>
        </w:rPr>
        <w:t>）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5</w:t>
      </w:r>
      <w:r>
        <w:rPr>
          <w:rFonts w:hint="eastAsia" w:ascii="宋体" w:hAnsi="宋体" w:eastAsia="宋体" w:cs="宋体"/>
          <w:b w:val="0"/>
          <w:i w:val="0"/>
          <w:caps w:val="0"/>
          <w:color w:val="auto"/>
          <w:spacing w:val="0"/>
          <w:w w:val="100"/>
          <w:sz w:val="24"/>
          <w:highlight w:val="none"/>
        </w:rPr>
        <w:t>）供应商应当对所投分包磋商文件中“</w:t>
      </w:r>
      <w:r>
        <w:rPr>
          <w:rFonts w:hint="eastAsia" w:ascii="宋体" w:hAnsi="宋体" w:cs="宋体"/>
          <w:b w:val="0"/>
          <w:i w:val="0"/>
          <w:caps w:val="0"/>
          <w:color w:val="auto"/>
          <w:spacing w:val="0"/>
          <w:w w:val="100"/>
          <w:sz w:val="24"/>
          <w:highlight w:val="none"/>
          <w:lang w:val="en-US" w:eastAsia="zh-CN"/>
        </w:rPr>
        <w:t>建设</w:t>
      </w:r>
      <w:r>
        <w:rPr>
          <w:rFonts w:hint="eastAsia" w:ascii="宋体" w:hAnsi="宋体" w:eastAsia="宋体" w:cs="宋体"/>
          <w:b w:val="0"/>
          <w:i w:val="0"/>
          <w:caps w:val="0"/>
          <w:color w:val="auto"/>
          <w:spacing w:val="0"/>
          <w:w w:val="100"/>
          <w:sz w:val="24"/>
          <w:highlight w:val="none"/>
        </w:rPr>
        <w:t>需求”所列的所有内容进行磋商，如仅响应某一包中的部分内容，其该包磋商将被认定为磋商无效。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rPr>
        <w:t>）供应商未按本须知第12.1和12.3条规定提交磋商保证金的，其磋商资格将被认定为无效。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7</w:t>
      </w:r>
      <w:r>
        <w:rPr>
          <w:rFonts w:hint="eastAsia" w:ascii="宋体" w:hAnsi="宋体" w:eastAsia="宋体" w:cs="宋体"/>
          <w:b w:val="0"/>
          <w:i w:val="0"/>
          <w:caps w:val="0"/>
          <w:color w:val="auto"/>
          <w:spacing w:val="0"/>
          <w:w w:val="100"/>
          <w:sz w:val="24"/>
          <w:highlight w:val="none"/>
        </w:rPr>
        <w:t>）所有磋商均以人民币报价。供应商的磋商报价应遵守《中华人民共和国价格法》。同时，根据《中华人民共和国政府采购法》第二条的规定，为保证公平竞争，如有</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主体部分的赠与行为，其磋商将被认定为磋商无效。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8</w:t>
      </w:r>
      <w:r>
        <w:rPr>
          <w:rFonts w:hint="eastAsia" w:ascii="宋体" w:hAnsi="宋体" w:eastAsia="宋体" w:cs="宋体"/>
          <w:b w:val="0"/>
          <w:i w:val="0"/>
          <w:caps w:val="0"/>
          <w:color w:val="auto"/>
          <w:spacing w:val="0"/>
          <w:w w:val="100"/>
          <w:sz w:val="24"/>
          <w:highlight w:val="none"/>
        </w:rPr>
        <w:t>）供应商所报的各分项磋商单价在合同履行过程中是固定不变的，不得以任何理由予以变更。任何包含价格调整要求的磋商，其磋商将被认定为磋商无效。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9</w:t>
      </w:r>
      <w:r>
        <w:rPr>
          <w:rFonts w:hint="eastAsia" w:ascii="宋体" w:hAnsi="宋体" w:eastAsia="宋体" w:cs="宋体"/>
          <w:b w:val="0"/>
          <w:i w:val="0"/>
          <w:caps w:val="0"/>
          <w:color w:val="auto"/>
          <w:spacing w:val="0"/>
          <w:w w:val="100"/>
          <w:sz w:val="24"/>
          <w:highlight w:val="none"/>
        </w:rPr>
        <w:t>）磋商应在供应商须知资料表中规定时间内保持有效。磋商有效期不满足要求的磋商，其磋商将被认定为磋商无效。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10</w:t>
      </w:r>
      <w:r>
        <w:rPr>
          <w:rFonts w:hint="eastAsia" w:ascii="宋体" w:hAnsi="宋体" w:eastAsia="宋体" w:cs="宋体"/>
          <w:b w:val="0"/>
          <w:i w:val="0"/>
          <w:caps w:val="0"/>
          <w:color w:val="auto"/>
          <w:spacing w:val="0"/>
          <w:w w:val="100"/>
          <w:sz w:val="24"/>
          <w:highlight w:val="none"/>
        </w:rPr>
        <w:t>）采购人或采购代理机构将在</w:t>
      </w:r>
      <w:r>
        <w:rPr>
          <w:rFonts w:hint="eastAsia" w:ascii="宋体" w:hAnsi="宋体" w:eastAsia="宋体" w:cs="宋体"/>
          <w:b w:val="0"/>
          <w:i w:val="0"/>
          <w:caps w:val="0"/>
          <w:color w:val="auto"/>
          <w:spacing w:val="0"/>
          <w:w w:val="100"/>
          <w:sz w:val="24"/>
          <w:highlight w:val="none"/>
          <w:lang w:eastAsia="zh-CN"/>
        </w:rPr>
        <w:t>磋商</w:t>
      </w:r>
      <w:r>
        <w:rPr>
          <w:rFonts w:hint="eastAsia" w:ascii="宋体" w:hAnsi="宋体" w:eastAsia="宋体" w:cs="宋体"/>
          <w:b w:val="0"/>
          <w:i w:val="0"/>
          <w:caps w:val="0"/>
          <w:color w:val="auto"/>
          <w:spacing w:val="0"/>
          <w:w w:val="100"/>
          <w:sz w:val="24"/>
          <w:highlight w:val="none"/>
        </w:rPr>
        <w:t>前1个工作日至磋商截止后1小时的期间内查询供应商的信用记录。供应商存在不良信用记录的，其磋商将被认定为磋商无效。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11</w:t>
      </w:r>
      <w:r>
        <w:rPr>
          <w:rFonts w:hint="eastAsia" w:ascii="宋体" w:hAnsi="宋体" w:eastAsia="宋体" w:cs="宋体"/>
          <w:b w:val="0"/>
          <w:i w:val="0"/>
          <w:caps w:val="0"/>
          <w:color w:val="auto"/>
          <w:spacing w:val="0"/>
          <w:w w:val="100"/>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12</w:t>
      </w:r>
      <w:r>
        <w:rPr>
          <w:rFonts w:hint="eastAsia" w:ascii="宋体" w:hAnsi="宋体" w:eastAsia="宋体" w:cs="宋体"/>
          <w:b w:val="0"/>
          <w:i w:val="0"/>
          <w:caps w:val="0"/>
          <w:color w:val="auto"/>
          <w:spacing w:val="0"/>
          <w:w w:val="100"/>
          <w:sz w:val="24"/>
          <w:highlight w:val="none"/>
        </w:rPr>
        <w:t>）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13</w:t>
      </w:r>
      <w:r>
        <w:rPr>
          <w:rFonts w:hint="eastAsia" w:ascii="宋体" w:hAnsi="宋体" w:eastAsia="宋体" w:cs="宋体"/>
          <w:b w:val="0"/>
          <w:i w:val="0"/>
          <w:caps w:val="0"/>
          <w:color w:val="auto"/>
          <w:spacing w:val="0"/>
          <w:w w:val="100"/>
          <w:sz w:val="24"/>
          <w:highlight w:val="none"/>
        </w:rPr>
        <w:t>）如发现下列情况之一的，其磋商将被认定为磋商无效：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pStyle w:val="9"/>
        <w:numPr>
          <w:ilvl w:val="0"/>
          <w:numId w:val="0"/>
        </w:numPr>
        <w:tabs>
          <w:tab w:val="clear" w:pos="567"/>
        </w:tabs>
        <w:spacing w:before="0" w:line="400" w:lineRule="exact"/>
        <w:ind w:leftChars="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kern w:val="2"/>
          <w:sz w:val="24"/>
          <w:szCs w:val="24"/>
          <w:highlight w:val="none"/>
          <w:lang w:val="en-US" w:eastAsia="zh-CN" w:bidi="ar-SA"/>
        </w:rPr>
        <w:t>根据《政府采购促进中小企业发展管理办法》（财库[2020]46号）、《关于落实好政府采购支持中小企业发展的通知》（新财购 〔2022〕22号）、《财政部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响应文件中提交了《中小企业声明函》或省级以上监狱管理局、戒毒管理局（含新疆生产建设兵团）出具的属于监狱企业的证明文件的供应商，其投标报价扣除10%后参与评标。对于同时属于小微企业、监狱企业或残疾人福利性单位的，不重复进行投标报价扣除。</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3.联合协议中约定，小型、微型企业和监狱企业的协议合同金额占到联合体协议合同总金额30%以上的，可给予联合体</w:t>
      </w:r>
      <w:r>
        <w:rPr>
          <w:rFonts w:hint="eastAsia" w:ascii="宋体" w:hAnsi="宋体" w:eastAsia="宋体" w:cs="宋体"/>
          <w:b w:val="0"/>
          <w:i w:val="0"/>
          <w:caps w:val="0"/>
          <w:color w:val="auto"/>
          <w:spacing w:val="0"/>
          <w:w w:val="100"/>
          <w:sz w:val="24"/>
          <w:highlight w:val="none"/>
          <w:u w:val="single" w:color="000000"/>
        </w:rPr>
        <w:t xml:space="preserve"> 2%-3</w:t>
      </w:r>
      <w:r>
        <w:rPr>
          <w:rFonts w:hint="eastAsia" w:ascii="宋体" w:hAnsi="宋体" w:eastAsia="宋体" w:cs="宋体"/>
          <w:b w:val="0"/>
          <w:i w:val="0"/>
          <w:caps w:val="0"/>
          <w:color w:val="auto"/>
          <w:spacing w:val="0"/>
          <w:w w:val="100"/>
          <w:sz w:val="24"/>
          <w:highlight w:val="none"/>
        </w:rPr>
        <w:t>%的价格扣除。</w:t>
      </w:r>
      <w:r>
        <w:rPr>
          <w:rFonts w:hint="eastAsia" w:ascii="宋体" w:hAnsi="宋体" w:eastAsia="宋体" w:cs="宋体"/>
          <w:b/>
          <w:bCs/>
          <w:i w:val="0"/>
          <w:caps w:val="0"/>
          <w:color w:val="auto"/>
          <w:spacing w:val="0"/>
          <w:w w:val="100"/>
          <w:sz w:val="24"/>
          <w:highlight w:val="none"/>
        </w:rPr>
        <w:t>（本项目不适用）</w:t>
      </w:r>
    </w:p>
    <w:p>
      <w:pPr>
        <w:keepNext w:val="0"/>
        <w:keepLines w:val="0"/>
        <w:pageBreakBefore w:val="0"/>
        <w:widowControl/>
        <w:shd w:val="clear"/>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联合体各方均为小型、微型企业和监狱企业的，联合体视同为小型、微型企业和监狱企业。</w:t>
      </w:r>
    </w:p>
    <w:p>
      <w:pPr>
        <w:pStyle w:val="9"/>
        <w:keepNext w:val="0"/>
        <w:keepLines w:val="0"/>
        <w:pageBreakBefore w:val="0"/>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bCs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val="en-US" w:eastAsia="zh-CN"/>
        </w:rPr>
        <w:t>4.</w:t>
      </w:r>
      <w:r>
        <w:rPr>
          <w:rFonts w:hint="eastAsia" w:ascii="宋体" w:hAnsi="宋体" w:eastAsia="宋体" w:cs="宋体"/>
          <w:b w:val="0"/>
          <w:i w:val="0"/>
          <w:caps w:val="0"/>
          <w:color w:val="auto"/>
          <w:spacing w:val="0"/>
          <w:w w:val="100"/>
          <w:sz w:val="24"/>
          <w:highlight w:val="none"/>
        </w:rPr>
        <w:t>供应商为提供</w:t>
      </w:r>
      <w:r>
        <w:rPr>
          <w:rFonts w:hint="eastAsia" w:ascii="宋体" w:hAnsi="宋体" w:eastAsia="宋体" w:cs="宋体"/>
          <w:b w:val="0"/>
          <w:i w:val="0"/>
          <w:caps w:val="0"/>
          <w:color w:val="auto"/>
          <w:spacing w:val="0"/>
          <w:w w:val="100"/>
          <w:sz w:val="24"/>
          <w:highlight w:val="none"/>
          <w:lang w:val="en-US" w:eastAsia="zh-CN"/>
        </w:rPr>
        <w:t>服务</w:t>
      </w:r>
      <w:r>
        <w:rPr>
          <w:rFonts w:hint="eastAsia" w:ascii="宋体" w:hAnsi="宋体" w:eastAsia="宋体" w:cs="宋体"/>
          <w:b w:val="0"/>
          <w:i w:val="0"/>
          <w:caps w:val="0"/>
          <w:color w:val="auto"/>
          <w:spacing w:val="0"/>
          <w:w w:val="100"/>
          <w:sz w:val="24"/>
          <w:highlight w:val="none"/>
        </w:rPr>
        <w:t>在磋商中伴随磋商的产品如被列入财政部与国家主管部门颁发的节能产品目录或环境标志产品目录或无线局域网产品目录，应提供相关证明，在</w:t>
      </w:r>
      <w:r>
        <w:rPr>
          <w:rFonts w:hint="eastAsia" w:ascii="宋体" w:hAnsi="宋体" w:eastAsia="宋体" w:cs="宋体"/>
          <w:b w:val="0"/>
          <w:i w:val="0"/>
          <w:caps w:val="0"/>
          <w:color w:val="auto"/>
          <w:spacing w:val="0"/>
          <w:w w:val="100"/>
          <w:sz w:val="24"/>
          <w:highlight w:val="none"/>
          <w:lang w:eastAsia="zh-CN"/>
        </w:rPr>
        <w:t>评审</w:t>
      </w:r>
      <w:r>
        <w:rPr>
          <w:rFonts w:hint="eastAsia" w:ascii="宋体" w:hAnsi="宋体" w:eastAsia="宋体" w:cs="宋体"/>
          <w:b w:val="0"/>
          <w:i w:val="0"/>
          <w:caps w:val="0"/>
          <w:color w:val="auto"/>
          <w:spacing w:val="0"/>
          <w:w w:val="100"/>
          <w:sz w:val="24"/>
          <w:highlight w:val="none"/>
        </w:rPr>
        <w:t>时予以优先采购</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szCs w:val="24"/>
          <w:highlight w:val="none"/>
        </w:rPr>
        <w:t>具体优惠措施为</w:t>
      </w:r>
      <w:r>
        <w:rPr>
          <w:rFonts w:hint="eastAsia" w:ascii="宋体" w:hAnsi="宋体" w:eastAsia="宋体" w:cs="宋体"/>
          <w:b w:val="0"/>
          <w:bCs w:val="0"/>
          <w:i w:val="0"/>
          <w:caps w:val="0"/>
          <w:color w:val="auto"/>
          <w:spacing w:val="0"/>
          <w:w w:val="100"/>
          <w:sz w:val="24"/>
          <w:szCs w:val="24"/>
          <w:highlight w:val="none"/>
          <w:u w:val="single" w:color="000000"/>
        </w:rPr>
        <w:t>：</w:t>
      </w:r>
      <w:r>
        <w:rPr>
          <w:rFonts w:hint="eastAsia" w:ascii="宋体" w:hAnsi="宋体" w:eastAsia="宋体" w:cs="宋体"/>
          <w:b w:val="0"/>
          <w:bCs w:val="0"/>
          <w:i w:val="0"/>
          <w:caps w:val="0"/>
          <w:color w:val="auto"/>
          <w:spacing w:val="0"/>
          <w:w w:val="100"/>
          <w:sz w:val="24"/>
          <w:szCs w:val="24"/>
          <w:highlight w:val="none"/>
          <w:u w:val="single" w:color="000000"/>
          <w:lang w:val="en-US" w:eastAsia="zh-CN"/>
        </w:rPr>
        <w:t>供应商</w:t>
      </w:r>
      <w:r>
        <w:rPr>
          <w:rFonts w:hint="eastAsia" w:ascii="宋体" w:hAnsi="宋体" w:eastAsia="宋体" w:cs="宋体"/>
          <w:b w:val="0"/>
          <w:bCs w:val="0"/>
          <w:i w:val="0"/>
          <w:caps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宋体" w:hAnsi="宋体" w:eastAsia="宋体" w:cs="宋体"/>
          <w:b w:val="0"/>
          <w:bCs w:val="0"/>
          <w:i w:val="0"/>
          <w:caps w:val="0"/>
          <w:color w:val="auto"/>
          <w:spacing w:val="0"/>
          <w:w w:val="100"/>
          <w:sz w:val="24"/>
          <w:szCs w:val="24"/>
          <w:highlight w:val="none"/>
          <w:u w:val="single" w:color="000000"/>
          <w:lang w:val="en-US" w:eastAsia="zh-CN"/>
        </w:rPr>
        <w:t>18</w:t>
      </w:r>
      <w:r>
        <w:rPr>
          <w:rFonts w:hint="eastAsia" w:ascii="宋体" w:hAnsi="宋体" w:eastAsia="宋体" w:cs="宋体"/>
          <w:b w:val="0"/>
          <w:bCs w:val="0"/>
          <w:i w:val="0"/>
          <w:caps w:val="0"/>
          <w:color w:val="auto"/>
          <w:spacing w:val="0"/>
          <w:w w:val="100"/>
          <w:sz w:val="24"/>
          <w:szCs w:val="24"/>
          <w:highlight w:val="none"/>
          <w:u w:val="single" w:color="000000"/>
        </w:rPr>
        <w:t>号）目录内的产品。</w:t>
      </w:r>
    </w:p>
    <w:p>
      <w:pPr>
        <w:pStyle w:val="7"/>
        <w:keepNext w:val="0"/>
        <w:keepLines w:val="0"/>
        <w:pageBreakBefore w:val="0"/>
        <w:widowControl w:val="0"/>
        <w:shd w:val="clear"/>
        <w:kinsoku/>
        <w:wordWrap/>
        <w:overflowPunct/>
        <w:topLinePunct w:val="0"/>
        <w:bidi w:val="0"/>
        <w:snapToGrid w:val="0"/>
        <w:spacing w:before="0" w:beforeAutospacing="0" w:after="0" w:afterAutospacing="0" w:line="400" w:lineRule="exact"/>
        <w:ind w:firstLine="0"/>
        <w:jc w:val="left"/>
        <w:textAlignment w:val="baseline"/>
        <w:outlineLvl w:val="9"/>
        <w:rPr>
          <w:rFonts w:hint="eastAsia" w:ascii="宋体" w:hAnsi="宋体" w:eastAsia="宋体" w:cs="宋体"/>
          <w:b/>
          <w:bCs/>
          <w:i w:val="0"/>
          <w:caps w:val="0"/>
          <w:color w:val="auto"/>
          <w:spacing w:val="0"/>
          <w:w w:val="100"/>
          <w:kern w:val="2"/>
          <w:sz w:val="24"/>
          <w:szCs w:val="24"/>
          <w:highlight w:val="none"/>
          <w:lang w:val="en-US" w:eastAsia="zh-CN" w:bidi="ar-SA"/>
        </w:rPr>
      </w:pPr>
      <w:bookmarkStart w:id="865" w:name="_Toc26542"/>
      <w:bookmarkStart w:id="866" w:name="_Toc29815"/>
      <w:r>
        <w:rPr>
          <w:rFonts w:hint="eastAsia" w:ascii="宋体" w:hAnsi="宋体" w:eastAsia="宋体" w:cs="宋体"/>
          <w:b/>
          <w:bCs/>
          <w:i w:val="0"/>
          <w:caps w:val="0"/>
          <w:color w:val="auto"/>
          <w:spacing w:val="0"/>
          <w:w w:val="100"/>
          <w:kern w:val="2"/>
          <w:sz w:val="24"/>
          <w:szCs w:val="24"/>
          <w:highlight w:val="none"/>
          <w:lang w:val="en-US" w:eastAsia="zh-CN" w:bidi="ar-SA"/>
        </w:rPr>
        <w:t>5.开评标工作纪律：</w:t>
      </w:r>
      <w:bookmarkEnd w:id="865"/>
      <w:bookmarkEnd w:id="866"/>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对采购人和监督人员的纪律要求：参加磋商会议前，代理机构工作人员收取采购人和监督人员的手机。采购人和监督人员不得泄露磋商活动中应当保密的情况和资料，不得与供应商串通损害国家利益、社会公共利益或者他人合法权益。</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对代理机构的纪律要求：参加磋商会议前，代理机构工作人员上交自己的手机。与磋商会议有关的工作人员不得收受他人的财物或者其他好处，不得向他人透露对成交候选人的推荐情况以及磋商有关的其他情况。</w:t>
      </w:r>
    </w:p>
    <w:p>
      <w:pPr>
        <w:pStyle w:val="19"/>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对磋商小组的纪律要求：参加磋商会议前，代理机构工作人员收缴3名评审专家的手机。磋商小组成员要依法独立评审，并对评审意见承担个人责任。磋商小组成员对需要共同认定的事项存在争议的，按照少数服从多数的原则做出结论。持不同意见的磋商小组成员应当在磋商报告上签署不同意见并说明理由，否则视为同意。</w:t>
      </w:r>
    </w:p>
    <w:p>
      <w:pPr>
        <w:pStyle w:val="19"/>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（4）在开评标过程中，所有参会人员不得无故离开磋商会议现场。此外，在磋商过程中磋商小组以外与会人员不得干预或影响正常磋商工作，不得明示或暗示其倾向性、引导性言论。</w:t>
      </w:r>
    </w:p>
    <w:p>
      <w:pPr>
        <w:pStyle w:val="7"/>
        <w:keepNext w:val="0"/>
        <w:keepLines w:val="0"/>
        <w:pageBreakBefore w:val="0"/>
        <w:widowControl w:val="0"/>
        <w:shd w:val="clear"/>
        <w:kinsoku/>
        <w:wordWrap/>
        <w:overflowPunct/>
        <w:topLinePunct w:val="0"/>
        <w:bidi w:val="0"/>
        <w:snapToGrid w:val="0"/>
        <w:spacing w:before="0" w:beforeAutospacing="0" w:after="0" w:afterAutospacing="0" w:line="400" w:lineRule="exact"/>
        <w:ind w:firstLine="0"/>
        <w:jc w:val="left"/>
        <w:textAlignment w:val="baseline"/>
        <w:outlineLvl w:val="9"/>
        <w:rPr>
          <w:rFonts w:hint="eastAsia" w:ascii="宋体" w:hAnsi="宋体" w:eastAsia="宋体" w:cs="宋体"/>
          <w:b/>
          <w:bCs/>
          <w:i w:val="0"/>
          <w:caps w:val="0"/>
          <w:color w:val="auto"/>
          <w:spacing w:val="0"/>
          <w:w w:val="100"/>
          <w:kern w:val="2"/>
          <w:sz w:val="24"/>
          <w:szCs w:val="24"/>
          <w:highlight w:val="none"/>
          <w:lang w:val="en-US" w:eastAsia="zh-CN" w:bidi="ar-SA"/>
        </w:rPr>
      </w:pPr>
      <w:bookmarkStart w:id="867" w:name="_Toc19039"/>
      <w:bookmarkStart w:id="868" w:name="_Toc19352"/>
      <w:r>
        <w:rPr>
          <w:rFonts w:hint="eastAsia" w:ascii="宋体" w:hAnsi="宋体" w:eastAsia="宋体" w:cs="宋体"/>
          <w:b/>
          <w:bCs/>
          <w:i w:val="0"/>
          <w:caps w:val="0"/>
          <w:color w:val="auto"/>
          <w:spacing w:val="0"/>
          <w:w w:val="100"/>
          <w:kern w:val="2"/>
          <w:sz w:val="24"/>
          <w:szCs w:val="24"/>
          <w:highlight w:val="none"/>
          <w:lang w:val="en-US" w:eastAsia="zh-CN" w:bidi="ar-SA"/>
        </w:rPr>
        <w:t>6.开标：</w:t>
      </w:r>
      <w:bookmarkEnd w:id="867"/>
      <w:bookmarkEnd w:id="868"/>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（1）采购人和采购代理机构将按供应商须知资料表中规定的开标时间和地点组织磋商并邀请所有投标供应商代表参加，投标供应商在规定时间和地点上传响应文件。</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（2）开标前，工作人员收缴所有参会人员的手机，主持人宣布开标纪律。</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（3）开标时，由代理机构对所有投标供应商的响应文件进行解密，解密时长为30分钟。</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（4）由采购人或采购代理机构依据法律法规和磋商文件中规定的内容，登录政采云平台，对投标供应商的资格证明材料进行审查。</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（5）采购人或采购代理机构将对开标过程进行记录，由参加开标的各投标人代表和相关工作人员签字确认，并存档备查。</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（6）投标供应商代表对开标过程和开标记录有疑义，以及认为采购人、采购代理机构相关工作人员有需要回避的情形的，应当场提出询问或者回避申请。</w:t>
      </w:r>
    </w:p>
    <w:p>
      <w:pPr>
        <w:shd w:val="clear"/>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val="0"/>
          <w:i w:val="0"/>
          <w:caps w:val="0"/>
          <w:color w:val="auto"/>
          <w:spacing w:val="0"/>
          <w:w w:val="100"/>
          <w:sz w:val="24"/>
          <w:highlight w:val="none"/>
          <w:lang w:val="en-US" w:eastAsia="zh-CN"/>
        </w:rPr>
        <w:t>在磋商过程中，如果有供应商或评审小组对磋商文件提出异议的，应当停止评审工作，与采购人或者采购代理机构沟通并作书面记录。采购人或者采购代理机构确认后，应当修改磋商文件，重新组织采购活动。</w:t>
      </w:r>
    </w:p>
    <w:p>
      <w:pPr>
        <w:shd w:val="clear"/>
        <w:outlineLvl w:val="9"/>
        <w:rPr>
          <w:rFonts w:hint="eastAsia" w:ascii="宋体" w:hAnsi="宋体" w:eastAsia="宋体" w:cs="宋体"/>
          <w:b/>
          <w:bCs/>
          <w:color w:val="auto"/>
          <w:sz w:val="24"/>
          <w:highlight w:val="none"/>
        </w:rPr>
      </w:pPr>
      <w:bookmarkStart w:id="869" w:name="_Toc14011"/>
      <w:bookmarkStart w:id="870" w:name="_Toc15903"/>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评审：</w:t>
      </w:r>
      <w:bookmarkEnd w:id="869"/>
      <w:bookmarkEnd w:id="870"/>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（1）在</w:t>
      </w:r>
      <w:r>
        <w:rPr>
          <w:rFonts w:hint="eastAsia" w:ascii="宋体" w:hAnsi="宋体" w:eastAsia="宋体" w:cs="宋体"/>
          <w:b/>
          <w:bCs/>
          <w:color w:val="auto"/>
          <w:sz w:val="24"/>
          <w:highlight w:val="none"/>
          <w:lang w:eastAsia="zh-CN"/>
        </w:rPr>
        <w:t>政采云平台上随机抽取</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名</w:t>
      </w:r>
      <w:r>
        <w:rPr>
          <w:rFonts w:hint="eastAsia" w:ascii="宋体" w:hAnsi="宋体" w:eastAsia="宋体" w:cs="宋体"/>
          <w:b/>
          <w:bCs/>
          <w:color w:val="auto"/>
          <w:sz w:val="24"/>
          <w:highlight w:val="none"/>
          <w:lang w:eastAsia="zh-CN"/>
        </w:rPr>
        <w:t>专家</w:t>
      </w:r>
      <w:r>
        <w:rPr>
          <w:rFonts w:hint="eastAsia" w:ascii="宋体" w:hAnsi="宋体" w:eastAsia="宋体" w:cs="宋体"/>
          <w:color w:val="auto"/>
          <w:sz w:val="24"/>
          <w:highlight w:val="none"/>
        </w:rPr>
        <w:t>负责评标工作。</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前，工作人员收取所有参会人员的手机，主持人宣读评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纪律。</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对采购人的纪律要求：</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不得泄露招投标活动中应当保密的情况和资料，不得与供应商串通损害国家利益、社会公共利益或者他人合法权益。</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对与</w:t>
      </w:r>
      <w:r>
        <w:rPr>
          <w:rFonts w:hint="eastAsia" w:ascii="宋体" w:hAnsi="宋体" w:eastAsia="宋体" w:cs="宋体"/>
          <w:color w:val="auto"/>
          <w:sz w:val="24"/>
          <w:highlight w:val="none"/>
          <w:lang w:val="en-US" w:eastAsia="zh-CN"/>
        </w:rPr>
        <w:t>磋商会议</w:t>
      </w:r>
      <w:r>
        <w:rPr>
          <w:rFonts w:hint="eastAsia" w:ascii="宋体" w:hAnsi="宋体" w:eastAsia="宋体" w:cs="宋体"/>
          <w:color w:val="auto"/>
          <w:sz w:val="24"/>
          <w:highlight w:val="none"/>
          <w:lang w:eastAsia="zh-CN"/>
        </w:rPr>
        <w:t>活动有关的工作人员的纪律要求：与</w:t>
      </w:r>
      <w:r>
        <w:rPr>
          <w:rFonts w:hint="eastAsia" w:ascii="宋体" w:hAnsi="宋体" w:eastAsia="宋体" w:cs="宋体"/>
          <w:color w:val="auto"/>
          <w:sz w:val="24"/>
          <w:highlight w:val="none"/>
          <w:lang w:val="en-US" w:eastAsia="zh-CN"/>
        </w:rPr>
        <w:t>磋商会议</w:t>
      </w:r>
      <w:r>
        <w:rPr>
          <w:rFonts w:hint="eastAsia" w:ascii="宋体" w:hAnsi="宋体" w:eastAsia="宋体" w:cs="宋体"/>
          <w:color w:val="auto"/>
          <w:sz w:val="24"/>
          <w:highlight w:val="none"/>
          <w:lang w:eastAsia="zh-CN"/>
        </w:rPr>
        <w:t>活动有关的工作人员不得收受他人的财物或者其他好处，不得向他人透露对成交候选人的推荐情况以及评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有关的其他情况。</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对磋商小组的评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纪律及注意事项：</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①与本次评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工作无关的人员不得进入评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现场；</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②在评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过程中磋商小组以外人员不得干预或影响正常评标工作，不得明示或暗示其倾向性、引导性言论；</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③磋商小组成员要严格遵守政府采购法、政府采购法实施条例、政府采购货物和服务招标投标管理办法及</w:t>
      </w:r>
      <w:r>
        <w:rPr>
          <w:rFonts w:hint="eastAsia" w:ascii="宋体" w:hAnsi="宋体" w:eastAsia="宋体" w:cs="宋体"/>
          <w:color w:val="auto"/>
          <w:sz w:val="24"/>
          <w:highlight w:val="none"/>
          <w:lang w:val="en-US" w:eastAsia="zh-CN"/>
        </w:rPr>
        <w:t>竞争性磋商管理办法</w:t>
      </w:r>
      <w:r>
        <w:rPr>
          <w:rFonts w:hint="eastAsia" w:ascii="宋体" w:hAnsi="宋体" w:eastAsia="宋体" w:cs="宋体"/>
          <w:color w:val="auto"/>
          <w:sz w:val="24"/>
          <w:highlight w:val="none"/>
          <w:lang w:eastAsia="zh-CN"/>
        </w:rPr>
        <w:t>，要求公正、公平的参与评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工作；</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④磋商小组成员要依法独立评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，并对评标意见承担个人责任。磋商小组成员对需要共同认定的事项存在争议的，按照少数服从多数的原则做出结论。持不同意见的磋商小组成员应当在评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报告上签署不同意见并说明理由，否则视为同意。</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⑤磋商小组成员要认真阅读磋商文件和所有供应商的响应文件，对所有响应文件逐一进行符合性检查，按磋商文件规定的评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方法和标准，进行比较和评价；对需要借助专业知识评判的主观评分项，应当严格按照评分细则公正评分。</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⑥磋商小组成员不得明示或者暗示其倾向性、引导性意见，不得修改或细化响应文件确定的评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程序、评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方法、评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因素和评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标准，不得接受供应商主动提出的澄清和解释，不得征询采购单位代表的倾向性意见，不得协商评分，不得记录、复制或带走任何评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资料。</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⑦磋商小组与供应商有下列利害关系之一的人员，应当回避</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参加采购活动前3年内与供应商存在劳动关系；</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参加采购活动前3年内担任供应商的董事、监事；</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参加采购活动前3年内是供应商的控股股东或者实际控制人；</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与供应商的法定代表人或者负责人有夫妻、直系血亲、三代以内旁系血亲或者近姻亲关系。</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（3）磋商小组应当按照磋商文件中规定的评标方法和标准，对所有符合资格要求的供应商进行符合性审查，以确定其是否满足磋商文件的实质性要求。</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lang w:val="en-US" w:eastAsia="zh-CN"/>
        </w:rPr>
        <w:t>在磋商环节，由代理机构发送视频邀请通知，供应商进来进行磋商。</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b w:val="0"/>
          <w:i w:val="0"/>
          <w:caps w:val="0"/>
          <w:color w:val="auto"/>
          <w:spacing w:val="0"/>
          <w:w w:val="100"/>
          <w:sz w:val="24"/>
          <w:highlight w:val="none"/>
          <w:lang w:val="en-US" w:eastAsia="zh-CN"/>
        </w:rPr>
        <w:t>共有两次报价，二次报价为最终报价，磋商小组所有成员集中与单一供应商分别进行磋商，并给予所有参加磋商的供应商平等的磋商机会，磋商小组要求所有实质性响应的供应商在规定时间内提交最后报价。　</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）磋商小组应当按照磋商文件中规定的评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方法和标准，对符合性审查合格的响应文件进行商务和技术评估，综合比较与评价。综合评分法，是指响应文件满足磋商文件全部实质性要求，且按照评审因素的量化指标评审得分最高的供应商为成交候选人的评标方法。</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）磋商小组成员对需要共同认定的事项存在争议的，应当按照少数服从多数的原则作出结论。持不同意见的磋商小组成员应当在评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报告上签署不同意见及理由，否则视为同意评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报告。</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注：现场所有参会人员均要对磋商内容进行保密。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bookmarkStart w:id="871" w:name="_Toc5799"/>
      <w:bookmarkStart w:id="872" w:name="_Toc4447"/>
      <w:r>
        <w:rPr>
          <w:rFonts w:hint="eastAsia" w:ascii="宋体" w:hAnsi="宋体" w:eastAsia="宋体" w:cs="宋体"/>
          <w:b/>
          <w:bCs/>
          <w:i w:val="0"/>
          <w:caps w:val="0"/>
          <w:color w:val="auto"/>
          <w:spacing w:val="0"/>
          <w:w w:val="100"/>
          <w:sz w:val="24"/>
          <w:highlight w:val="none"/>
          <w:lang w:val="en-US" w:eastAsia="zh-CN"/>
        </w:rPr>
        <w:t>9.答疑澄清：</w:t>
      </w:r>
      <w:bookmarkEnd w:id="871"/>
      <w:bookmarkEnd w:id="872"/>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（1）磋商小组对于响应文件中含义不明确、同类问题表述不一致或者有明显文字和计算错误的内容，要求投标供应商以书面形式现场作出必要的澄清、说明或者补正。</w:t>
      </w:r>
    </w:p>
    <w:p>
      <w:pPr>
        <w:pStyle w:val="19"/>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（2）投标供应商的澄清、说明或者补正应当采用书面形式，并加盖公章，或者由法定代表人或其授权的代表签字。投标供应商的澄清、说明或者补正不得超出响应文件的范围或者改变响应文件的实质性内容。</w:t>
      </w:r>
    </w:p>
    <w:p>
      <w:pPr>
        <w:pStyle w:val="9"/>
        <w:shd w:val="clear"/>
        <w:snapToGrid w:val="0"/>
        <w:spacing w:before="0" w:line="400" w:lineRule="exact"/>
        <w:textAlignment w:val="baseline"/>
        <w:outlineLvl w:val="9"/>
        <w:rPr>
          <w:rFonts w:hint="eastAsia" w:ascii="宋体" w:hAnsi="宋体" w:eastAsia="宋体" w:cs="宋体"/>
          <w:b/>
          <w:bCs/>
          <w:color w:val="auto"/>
          <w:highlight w:val="none"/>
        </w:rPr>
      </w:pPr>
      <w:bookmarkStart w:id="873" w:name="_Toc29986"/>
      <w:bookmarkStart w:id="874" w:name="_Toc19257"/>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.定标：</w:t>
      </w:r>
      <w:bookmarkEnd w:id="873"/>
      <w:bookmarkEnd w:id="874"/>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（1）采购代理机构应当在评标结束后2个工作日内将评标报告送采购人。</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招标人委托磋商小组直接确定成交人。磋商小组推荐成交候选供应商的数量为3家。采购人应当自收到评标报告之日起５个工作日内，在评标报告确定的成交候选人名单中按顺序确定中标人。成交候选人并列的，由采购人按照磋商文件规定的方式确定中标人。</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3）成交候选人并列式时的处理方式：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（4）采购人在收到评标报告5个工作日内未按评标报告推荐的成交候选人顺序确定中标人，又不能说明合法理由的，视同按评标报告推荐的顺序确定排名第一的成交候选人为中标人。</w:t>
      </w:r>
    </w:p>
    <w:p>
      <w:pPr>
        <w:widowControl/>
        <w:shd w:val="clear"/>
        <w:snapToGrid w:val="0"/>
        <w:spacing w:line="400" w:lineRule="exact"/>
        <w:textAlignment w:val="baseline"/>
        <w:outlineLvl w:val="9"/>
        <w:rPr>
          <w:rFonts w:hint="eastAsia" w:ascii="宋体" w:hAnsi="宋体" w:eastAsia="宋体" w:cs="宋体"/>
          <w:color w:val="auto"/>
          <w:sz w:val="24"/>
          <w:highlight w:val="none"/>
        </w:rPr>
      </w:pPr>
      <w:bookmarkStart w:id="875" w:name="_Toc9870"/>
      <w:bookmarkStart w:id="876" w:name="_Toc22316"/>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.评审标准</w:t>
      </w:r>
      <w:r>
        <w:rPr>
          <w:rFonts w:hint="eastAsia" w:ascii="宋体" w:hAnsi="宋体" w:eastAsia="宋体" w:cs="宋体"/>
          <w:color w:val="auto"/>
          <w:sz w:val="24"/>
          <w:highlight w:val="none"/>
        </w:rPr>
        <w:t>：（具体详见综合评分表）</w:t>
      </w:r>
      <w:bookmarkEnd w:id="875"/>
      <w:bookmarkEnd w:id="876"/>
    </w:p>
    <w:p>
      <w:pPr>
        <w:pStyle w:val="9"/>
        <w:shd w:val="clear"/>
        <w:snapToGrid w:val="0"/>
        <w:spacing w:before="0" w:line="400" w:lineRule="exact"/>
        <w:textAlignment w:val="baseline"/>
        <w:outlineLvl w:val="9"/>
        <w:rPr>
          <w:rFonts w:hint="eastAsia" w:ascii="宋体" w:hAnsi="宋体" w:eastAsia="宋体" w:cs="宋体"/>
          <w:color w:val="FF0000"/>
          <w:highlight w:val="none"/>
        </w:rPr>
      </w:pPr>
      <w:r>
        <w:rPr>
          <w:rFonts w:hint="eastAsia" w:ascii="宋体" w:hAnsi="宋体" w:eastAsia="宋体" w:cs="宋体"/>
          <w:color w:val="auto"/>
          <w:highlight w:val="none"/>
        </w:rPr>
        <w:t>（</w:t>
      </w:r>
      <w:r>
        <w:rPr>
          <w:rFonts w:hint="eastAsia" w:ascii="宋体" w:hAnsi="宋体" w:eastAsia="宋体" w:cs="宋体"/>
          <w:color w:val="FF0000"/>
          <w:highlight w:val="none"/>
        </w:rPr>
        <w:t>1）价格评分占</w:t>
      </w:r>
      <w:r>
        <w:rPr>
          <w:rFonts w:hint="eastAsia" w:cs="宋体"/>
          <w:color w:val="FF0000"/>
          <w:highlight w:val="none"/>
          <w:lang w:val="en-US" w:eastAsia="zh-CN"/>
        </w:rPr>
        <w:t>15</w:t>
      </w:r>
      <w:r>
        <w:rPr>
          <w:rFonts w:hint="eastAsia" w:ascii="宋体" w:hAnsi="宋体" w:eastAsia="宋体" w:cs="宋体"/>
          <w:color w:val="FF0000"/>
          <w:highlight w:val="none"/>
        </w:rPr>
        <w:t>%，完全满足磋商文件参数的报价中的最低价为评标基准价，按照下列公式计算每个投标人的投标价格得分。投标报价得分＝（基准价/投标报价）×价格权重×100。</w:t>
      </w:r>
    </w:p>
    <w:p>
      <w:pPr>
        <w:widowControl/>
        <w:shd w:val="clear"/>
        <w:snapToGrid w:val="0"/>
        <w:spacing w:line="400" w:lineRule="exact"/>
        <w:textAlignment w:val="baseline"/>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（2）商务评分占</w:t>
      </w:r>
      <w:r>
        <w:rPr>
          <w:rFonts w:hint="eastAsia" w:ascii="宋体" w:hAnsi="宋体" w:cs="宋体"/>
          <w:color w:val="FF0000"/>
          <w:sz w:val="24"/>
          <w:highlight w:val="none"/>
          <w:lang w:val="en-US" w:eastAsia="zh-CN"/>
        </w:rPr>
        <w:t>10</w:t>
      </w:r>
      <w:r>
        <w:rPr>
          <w:rFonts w:hint="eastAsia" w:ascii="宋体" w:hAnsi="宋体" w:eastAsia="宋体" w:cs="宋体"/>
          <w:color w:val="FF0000"/>
          <w:sz w:val="24"/>
          <w:highlight w:val="none"/>
        </w:rPr>
        <w:t>%，</w:t>
      </w:r>
    </w:p>
    <w:p>
      <w:pPr>
        <w:pStyle w:val="9"/>
        <w:shd w:val="clear"/>
        <w:snapToGrid w:val="0"/>
        <w:spacing w:before="0" w:line="400" w:lineRule="exact"/>
        <w:textAlignment w:val="baseline"/>
        <w:outlineLvl w:val="9"/>
        <w:rPr>
          <w:rFonts w:hint="eastAsia" w:ascii="宋体" w:hAnsi="宋体" w:eastAsia="宋体" w:cs="宋体"/>
          <w:b/>
          <w:bCs/>
          <w:color w:val="auto"/>
          <w:highlight w:val="none"/>
        </w:rPr>
      </w:pPr>
      <w:r>
        <w:rPr>
          <w:rFonts w:hint="eastAsia" w:ascii="宋体" w:hAnsi="宋体" w:eastAsia="宋体" w:cs="宋体"/>
          <w:color w:val="FF0000"/>
          <w:highlight w:val="none"/>
        </w:rPr>
        <w:t>（3）技术评分占</w:t>
      </w:r>
      <w:r>
        <w:rPr>
          <w:rFonts w:hint="eastAsia" w:cs="宋体"/>
          <w:color w:val="FF0000"/>
          <w:highlight w:val="none"/>
          <w:lang w:val="en-US" w:eastAsia="zh-CN"/>
        </w:rPr>
        <w:t>75</w:t>
      </w:r>
      <w:r>
        <w:rPr>
          <w:rFonts w:hint="eastAsia" w:ascii="宋体" w:hAnsi="宋体" w:eastAsia="宋体" w:cs="宋体"/>
          <w:color w:val="FF0000"/>
          <w:highlight w:val="none"/>
        </w:rPr>
        <w:t>%，</w:t>
      </w:r>
      <w:r>
        <w:rPr>
          <w:rFonts w:hint="eastAsia" w:ascii="宋体" w:hAnsi="宋体" w:eastAsia="宋体" w:cs="宋体"/>
          <w:color w:val="auto"/>
          <w:highlight w:val="none"/>
        </w:rPr>
        <w:t>包含规格要求</w:t>
      </w:r>
      <w:r>
        <w:rPr>
          <w:rFonts w:hint="eastAsia" w:cs="宋体"/>
          <w:color w:val="auto"/>
          <w:highlight w:val="none"/>
          <w:lang w:eastAsia="zh-CN"/>
        </w:rPr>
        <w:t>、</w:t>
      </w:r>
      <w:r>
        <w:rPr>
          <w:rFonts w:hint="eastAsia" w:ascii="宋体" w:hAnsi="宋体" w:eastAsia="宋体" w:cs="宋体"/>
          <w:color w:val="auto"/>
          <w:highlight w:val="none"/>
        </w:rPr>
        <w:t>项目总体概述及理解</w:t>
      </w:r>
      <w:r>
        <w:rPr>
          <w:rFonts w:hint="eastAsia" w:cs="宋体"/>
          <w:color w:val="auto"/>
          <w:highlight w:val="none"/>
          <w:lang w:eastAsia="zh-CN"/>
        </w:rPr>
        <w:t>、</w:t>
      </w:r>
      <w:r>
        <w:rPr>
          <w:rFonts w:hint="eastAsia" w:ascii="宋体" w:hAnsi="宋体" w:eastAsia="宋体" w:cs="宋体"/>
          <w:color w:val="auto"/>
          <w:highlight w:val="none"/>
        </w:rPr>
        <w:t>施工方案</w:t>
      </w:r>
      <w:r>
        <w:rPr>
          <w:rFonts w:hint="eastAsia" w:cs="宋体"/>
          <w:color w:val="auto"/>
          <w:highlight w:val="none"/>
          <w:lang w:eastAsia="zh-CN"/>
        </w:rPr>
        <w:t>、</w:t>
      </w:r>
      <w:r>
        <w:rPr>
          <w:rFonts w:hint="eastAsia" w:ascii="宋体" w:hAnsi="宋体" w:eastAsia="宋体" w:cs="宋体"/>
          <w:color w:val="auto"/>
          <w:highlight w:val="none"/>
        </w:rPr>
        <w:t>施工组织计划、施工技术、施工工艺及相关的合理化建议</w:t>
      </w:r>
      <w:r>
        <w:rPr>
          <w:rFonts w:hint="eastAsia" w:cs="宋体"/>
          <w:color w:val="auto"/>
          <w:highlight w:val="none"/>
          <w:lang w:eastAsia="zh-CN"/>
        </w:rPr>
        <w:t>、</w:t>
      </w:r>
      <w:r>
        <w:rPr>
          <w:rFonts w:hint="eastAsia" w:ascii="宋体" w:hAnsi="宋体" w:eastAsia="宋体" w:cs="宋体"/>
          <w:color w:val="auto"/>
          <w:highlight w:val="none"/>
        </w:rPr>
        <w:t>售后服务。</w:t>
      </w:r>
    </w:p>
    <w:p>
      <w:pPr>
        <w:keepNext w:val="0"/>
        <w:keepLines w:val="0"/>
        <w:pageBreakBefore w:val="0"/>
        <w:widowControl/>
        <w:shd w:val="clear"/>
        <w:kinsoku/>
        <w:wordWrap/>
        <w:overflowPunct/>
        <w:topLinePunct w:val="0"/>
        <w:bidi w:val="0"/>
        <w:snapToGrid w:val="0"/>
        <w:spacing w:before="0" w:beforeAutospacing="0" w:after="0" w:afterAutospacing="0" w:line="40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w:t>
      </w:r>
      <w:r>
        <w:rPr>
          <w:rFonts w:hint="eastAsia" w:ascii="宋体" w:hAnsi="宋体" w:eastAsia="宋体" w:cs="宋体"/>
          <w:b w:val="0"/>
          <w:bCs w:val="0"/>
          <w:i w:val="0"/>
          <w:caps w:val="0"/>
          <w:color w:val="auto"/>
          <w:spacing w:val="0"/>
          <w:w w:val="100"/>
          <w:sz w:val="24"/>
          <w:highlight w:val="non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宋体" w:hAnsi="宋体" w:eastAsia="宋体" w:cs="宋体"/>
          <w:b w:val="0"/>
          <w:bCs w:val="0"/>
          <w:i w:val="0"/>
          <w:caps w:val="0"/>
          <w:color w:val="auto"/>
          <w:spacing w:val="0"/>
          <w:w w:val="100"/>
          <w:sz w:val="24"/>
          <w:highlight w:val="none"/>
          <w:lang w:eastAsia="zh-CN"/>
        </w:rPr>
        <w:t>。</w:t>
      </w:r>
      <w:r>
        <w:rPr>
          <w:rFonts w:hint="eastAsia" w:ascii="宋体" w:hAnsi="宋体" w:eastAsia="宋体" w:cs="宋体"/>
          <w:b w:val="0"/>
          <w:bCs w:val="0"/>
          <w:i w:val="0"/>
          <w:caps w:val="0"/>
          <w:color w:val="auto"/>
          <w:spacing w:val="0"/>
          <w:w w:val="100"/>
          <w:sz w:val="24"/>
          <w:highlight w:val="none"/>
          <w:lang w:val="en-US" w:eastAsia="zh-CN"/>
        </w:rPr>
        <w:t>　</w:t>
      </w:r>
      <w:r>
        <w:rPr>
          <w:rFonts w:hint="eastAsia" w:ascii="宋体" w:hAnsi="宋体" w:eastAsia="宋体" w:cs="宋体"/>
          <w:b w:val="0"/>
          <w:i w:val="0"/>
          <w:caps w:val="0"/>
          <w:color w:val="auto"/>
          <w:spacing w:val="0"/>
          <w:w w:val="100"/>
          <w:sz w:val="24"/>
          <w:highlight w:val="none"/>
          <w:lang w:val="en-US" w:eastAsia="zh-CN"/>
        </w:rPr>
        <w:t>　</w:t>
      </w:r>
    </w:p>
    <w:p>
      <w:pPr>
        <w:keepNext w:val="0"/>
        <w:keepLines w:val="0"/>
        <w:pageBreakBefore w:val="0"/>
        <w:shd w:val="clear"/>
        <w:kinsoku/>
        <w:wordWrap/>
        <w:overflowPunct/>
        <w:topLinePunct w:val="0"/>
        <w:bidi w:val="0"/>
        <w:snapToGrid w:val="0"/>
        <w:spacing w:before="0" w:beforeAutospacing="0" w:after="0" w:afterAutospacing="0" w:line="400" w:lineRule="exact"/>
        <w:ind w:hangingChars="375"/>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（5）推荐成交候选供应商的数量：3。 </w:t>
      </w:r>
    </w:p>
    <w:p>
      <w:pPr>
        <w:pStyle w:val="11"/>
        <w:keepNext w:val="0"/>
        <w:keepLines w:val="0"/>
        <w:pageBreakBefore w:val="0"/>
        <w:shd w:val="clear"/>
        <w:kinsoku/>
        <w:wordWrap/>
        <w:overflowPunct/>
        <w:topLinePunct w:val="0"/>
        <w:bidi w:val="0"/>
        <w:spacing w:line="400" w:lineRule="exact"/>
        <w:ind w:left="0" w:leftChars="0" w:firstLine="0" w:firstLineChars="0"/>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（6）招标人委托磋商小组直接确定成交人。   </w:t>
      </w:r>
    </w:p>
    <w:p>
      <w:pPr>
        <w:shd w:val="clear"/>
        <w:spacing w:line="300" w:lineRule="auto"/>
        <w:jc w:val="center"/>
        <w:outlineLvl w:val="9"/>
        <w:rPr>
          <w:rFonts w:hint="eastAsia" w:ascii="宋体" w:hAnsi="宋体" w:eastAsia="宋体" w:cs="宋体"/>
          <w:b/>
          <w:bCs/>
          <w:color w:val="auto"/>
          <w:sz w:val="24"/>
          <w:highlight w:val="none"/>
        </w:rPr>
        <w:sectPr>
          <w:headerReference r:id="rId9" w:type="default"/>
          <w:footerReference r:id="rId10" w:type="default"/>
          <w:pgSz w:w="11907" w:h="16840"/>
          <w:pgMar w:top="1474" w:right="1814" w:bottom="1474" w:left="1814" w:header="851" w:footer="851" w:gutter="0"/>
          <w:pgNumType w:fmt="decimal"/>
          <w:cols w:space="720" w:num="1"/>
          <w:docGrid w:linePitch="462" w:charSpace="0"/>
        </w:sectPr>
      </w:pPr>
    </w:p>
    <w:p>
      <w:pPr>
        <w:spacing w:line="300" w:lineRule="auto"/>
        <w:jc w:val="center"/>
        <w:outlineLvl w:val="1"/>
        <w:rPr>
          <w:rFonts w:hint="eastAsia" w:ascii="宋体" w:hAnsi="宋体" w:eastAsia="宋体" w:cs="宋体"/>
          <w:b/>
          <w:bCs/>
          <w:color w:val="auto"/>
          <w:sz w:val="24"/>
          <w:szCs w:val="24"/>
          <w:highlight w:val="none"/>
        </w:rPr>
      </w:pPr>
      <w:bookmarkStart w:id="877" w:name="_Toc32167"/>
      <w:bookmarkStart w:id="878" w:name="_Toc12438"/>
      <w:bookmarkStart w:id="879" w:name="_Toc1126"/>
      <w:bookmarkStart w:id="880" w:name="_Toc3470"/>
      <w:bookmarkStart w:id="881" w:name="_Toc7781"/>
      <w:bookmarkStart w:id="882" w:name="_Toc13647"/>
      <w:bookmarkStart w:id="883" w:name="_Toc18687"/>
      <w:bookmarkStart w:id="884" w:name="_Toc1545"/>
      <w:bookmarkStart w:id="885" w:name="_Toc27829"/>
      <w:bookmarkStart w:id="886" w:name="_Toc12716"/>
      <w:bookmarkStart w:id="887" w:name="_Toc13711"/>
      <w:bookmarkStart w:id="888" w:name="_Toc19540"/>
      <w:bookmarkStart w:id="889" w:name="_Toc26572"/>
      <w:bookmarkStart w:id="890" w:name="_Toc19633"/>
      <w:bookmarkStart w:id="891" w:name="_Toc8137"/>
      <w:bookmarkStart w:id="892" w:name="_Toc22412"/>
      <w:r>
        <w:rPr>
          <w:rFonts w:hint="eastAsia" w:ascii="宋体" w:hAnsi="宋体" w:eastAsia="宋体" w:cs="宋体"/>
          <w:b/>
          <w:bCs/>
          <w:color w:val="auto"/>
          <w:sz w:val="24"/>
          <w:szCs w:val="24"/>
          <w:highlight w:val="none"/>
        </w:rPr>
        <w:t>初步评审—资格性审查表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tbl>
      <w:tblPr>
        <w:tblStyle w:val="24"/>
        <w:tblpPr w:leftFromText="180" w:rightFromText="180" w:vertAnchor="text" w:horzAnchor="page" w:tblpXSpec="center" w:tblpY="234"/>
        <w:tblOverlap w:val="never"/>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248"/>
        <w:gridCol w:w="1125"/>
        <w:gridCol w:w="114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62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356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供应商</w:t>
            </w:r>
            <w:r>
              <w:rPr>
                <w:rFonts w:hint="eastAsia" w:ascii="宋体" w:hAnsi="宋体" w:eastAsia="宋体" w:cs="宋体"/>
                <w:b/>
                <w:bCs/>
                <w:color w:val="auto"/>
                <w:szCs w:val="21"/>
                <w:highlight w:val="none"/>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5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p>
        </w:tc>
        <w:tc>
          <w:tcPr>
            <w:tcW w:w="62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具有有效的营业执照；</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提供法定代表人身份证明及身份证或法定代表人授权委托书和委托代理人身份证；</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提供近两年内任意一年的财务审计报告或健全的财务会计制度；</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cs="宋体"/>
                <w:b w:val="0"/>
                <w:bCs w:val="0"/>
                <w:color w:val="FF0000"/>
                <w:kern w:val="2"/>
                <w:sz w:val="22"/>
                <w:szCs w:val="22"/>
                <w:highlight w:val="none"/>
                <w:lang w:val="en-US" w:eastAsia="zh-CN" w:bidi="ar-SA"/>
              </w:rPr>
              <w:t>提供依法缴纳近六个月任意一个月的社会保险证明（新成立公司未满六个月，无须提供社会保险证明）</w:t>
            </w:r>
            <w:r>
              <w:rPr>
                <w:rFonts w:hint="eastAsia" w:ascii="宋体" w:hAnsi="宋体" w:eastAsia="宋体" w:cs="宋体"/>
                <w:b w:val="0"/>
                <w:bCs w:val="0"/>
                <w:color w:val="FF0000"/>
                <w:kern w:val="2"/>
                <w:sz w:val="22"/>
                <w:szCs w:val="22"/>
                <w:highlight w:val="none"/>
                <w:lang w:val="en-US" w:eastAsia="zh-CN" w:bidi="ar-SA"/>
              </w:rPr>
              <w:t>；</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cs="宋体"/>
                <w:b w:val="0"/>
                <w:bCs w:val="0"/>
                <w:color w:val="auto"/>
                <w:kern w:val="2"/>
                <w:sz w:val="22"/>
                <w:szCs w:val="22"/>
                <w:highlight w:val="none"/>
                <w:lang w:val="en-US" w:eastAsia="zh-CN" w:bidi="ar-SA"/>
              </w:rPr>
              <w:t>提供依法缴纳近六个月任意一个月的税收证明（新成立公司未满六个月，无须提供税收证明）</w:t>
            </w:r>
            <w:r>
              <w:rPr>
                <w:rFonts w:hint="eastAsia" w:ascii="宋体" w:hAnsi="宋体" w:eastAsia="宋体" w:cs="宋体"/>
                <w:b w:val="0"/>
                <w:bCs w:val="0"/>
                <w:color w:val="auto"/>
                <w:kern w:val="2"/>
                <w:sz w:val="22"/>
                <w:szCs w:val="22"/>
                <w:highlight w:val="none"/>
                <w:lang w:val="en-US" w:eastAsia="zh-CN" w:bidi="ar-SA"/>
              </w:rPr>
              <w:t>；</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7</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提供参加政府采购活动前3年内在经营活动中没有重大违法违规记录的书面声明；</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提供针对本次项目《反商业贿赂承诺书》。</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9</w:t>
            </w:r>
          </w:p>
        </w:tc>
        <w:tc>
          <w:tcPr>
            <w:tcW w:w="6248" w:type="dxa"/>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缴纳磋商保证金有效凭证。</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5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62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w:t>
            </w:r>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p>
        </w:tc>
      </w:tr>
    </w:tbl>
    <w:p>
      <w:pPr>
        <w:pStyle w:val="2"/>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outlineLvl w:val="9"/>
        <w:rPr>
          <w:rFonts w:hint="eastAsia"/>
        </w:rPr>
      </w:pPr>
    </w:p>
    <w:p>
      <w:pPr>
        <w:outlineLvl w:val="9"/>
        <w:rPr>
          <w:rFonts w:hint="eastAsia" w:ascii="宋体" w:hAnsi="宋体" w:eastAsia="宋体" w:cs="宋体"/>
          <w:color w:val="auto"/>
          <w:highlight w:val="none"/>
        </w:rPr>
      </w:pPr>
    </w:p>
    <w:p>
      <w:pPr>
        <w:outlineLvl w:val="9"/>
        <w:rPr>
          <w:rFonts w:hint="eastAsia"/>
        </w:rPr>
      </w:pPr>
    </w:p>
    <w:p>
      <w:pPr>
        <w:outlineLvl w:val="9"/>
        <w:rPr>
          <w:rFonts w:hint="eastAsia"/>
        </w:rPr>
      </w:pPr>
    </w:p>
    <w:p>
      <w:pPr>
        <w:pStyle w:val="7"/>
        <w:spacing w:line="300" w:lineRule="auto"/>
        <w:ind w:firstLine="0"/>
        <w:jc w:val="center"/>
        <w:outlineLvl w:val="9"/>
        <w:rPr>
          <w:rFonts w:hint="eastAsia" w:ascii="宋体" w:hAnsi="宋体" w:eastAsia="宋体" w:cs="宋体"/>
          <w:b/>
          <w:bCs/>
          <w:color w:val="auto"/>
          <w:sz w:val="24"/>
          <w:szCs w:val="24"/>
          <w:highlight w:val="none"/>
        </w:rPr>
      </w:pPr>
      <w:bookmarkStart w:id="893" w:name="_Toc19523"/>
      <w:bookmarkStart w:id="894" w:name="_Toc23770"/>
      <w:bookmarkStart w:id="895" w:name="_Toc12276"/>
      <w:bookmarkStart w:id="896" w:name="_Toc11241"/>
      <w:bookmarkStart w:id="897" w:name="_Toc7343"/>
      <w:bookmarkStart w:id="898" w:name="_Toc17953"/>
      <w:bookmarkStart w:id="899" w:name="_Toc946"/>
      <w:bookmarkStart w:id="900" w:name="_Toc29061"/>
      <w:bookmarkStart w:id="901" w:name="_Toc2556"/>
      <w:bookmarkStart w:id="902" w:name="_Toc8771"/>
      <w:bookmarkStart w:id="903" w:name="_Toc70"/>
      <w:bookmarkStart w:id="904" w:name="_Toc28345"/>
      <w:bookmarkStart w:id="905" w:name="_Toc20613"/>
      <w:bookmarkStart w:id="906" w:name="_Toc8628"/>
      <w:bookmarkStart w:id="907" w:name="_Toc22718"/>
      <w:bookmarkStart w:id="908" w:name="_Toc12096"/>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pStyle w:val="7"/>
        <w:spacing w:line="300" w:lineRule="auto"/>
        <w:ind w:firstLine="0"/>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初步评审—符合性审查表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tbl>
      <w:tblPr>
        <w:tblStyle w:val="24"/>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021"/>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评审内容</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2"/>
                <w:szCs w:val="22"/>
                <w:highlight w:val="none"/>
              </w:rPr>
            </w:pPr>
            <w:r>
              <w:rPr>
                <w:rFonts w:hint="eastAsia" w:ascii="宋体" w:hAnsi="宋体" w:eastAsia="宋体" w:cs="宋体"/>
                <w:b/>
                <w:color w:val="auto"/>
                <w:sz w:val="22"/>
                <w:szCs w:val="22"/>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投标报价高于设定的</w:t>
            </w:r>
            <w:r>
              <w:rPr>
                <w:rFonts w:hint="eastAsia" w:ascii="宋体" w:hAnsi="宋体" w:eastAsia="宋体" w:cs="宋体"/>
                <w:color w:val="auto"/>
                <w:spacing w:val="-2"/>
                <w:sz w:val="22"/>
                <w:szCs w:val="22"/>
                <w:highlight w:val="none"/>
                <w:lang w:val="en-US" w:eastAsia="zh-CN"/>
              </w:rPr>
              <w:t>预算金额</w:t>
            </w:r>
            <w:r>
              <w:rPr>
                <w:rFonts w:hint="eastAsia" w:ascii="宋体" w:hAnsi="宋体" w:eastAsia="宋体" w:cs="宋体"/>
                <w:color w:val="auto"/>
                <w:spacing w:val="-2"/>
                <w:sz w:val="22"/>
                <w:szCs w:val="22"/>
                <w:highlight w:val="none"/>
                <w:lang w:eastAsia="zh-CN"/>
              </w:rPr>
              <w:t>的；</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2</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磋商小组</w:t>
            </w:r>
            <w:r>
              <w:rPr>
                <w:rFonts w:hint="eastAsia" w:ascii="宋体" w:hAnsi="宋体" w:eastAsia="宋体" w:cs="宋体"/>
                <w:color w:val="auto"/>
                <w:spacing w:val="-2"/>
                <w:sz w:val="22"/>
                <w:szCs w:val="22"/>
                <w:highlight w:val="none"/>
              </w:rPr>
              <w:t>认为供应商的报价无明显低于其他通过</w:t>
            </w:r>
            <w:r>
              <w:rPr>
                <w:rFonts w:hint="eastAsia" w:ascii="宋体" w:hAnsi="宋体" w:eastAsia="宋体" w:cs="宋体"/>
                <w:color w:val="auto"/>
                <w:spacing w:val="-2"/>
                <w:sz w:val="22"/>
                <w:szCs w:val="22"/>
                <w:highlight w:val="none"/>
                <w:lang w:val="en-US" w:eastAsia="zh-CN"/>
              </w:rPr>
              <w:t>符合</w:t>
            </w:r>
            <w:r>
              <w:rPr>
                <w:rFonts w:hint="eastAsia" w:ascii="宋体" w:hAnsi="宋体" w:eastAsia="宋体" w:cs="宋体"/>
                <w:color w:val="auto"/>
                <w:spacing w:val="-2"/>
                <w:sz w:val="22"/>
                <w:szCs w:val="22"/>
                <w:highlight w:val="none"/>
              </w:rPr>
              <w:t>性审查供应商的报价的，供应商的报价不存在异常一致并成规律性的，其报价合理；</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lang w:val="en-US" w:eastAsia="zh-CN"/>
              </w:rPr>
              <w:t>3</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lang w:eastAsia="zh-CN"/>
              </w:rPr>
              <w:t>响应文件</w:t>
            </w:r>
            <w:r>
              <w:rPr>
                <w:rFonts w:hint="eastAsia" w:ascii="宋体" w:hAnsi="宋体" w:eastAsia="宋体" w:cs="宋体"/>
                <w:color w:val="auto"/>
                <w:spacing w:val="-2"/>
                <w:sz w:val="22"/>
                <w:szCs w:val="22"/>
                <w:highlight w:val="none"/>
              </w:rPr>
              <w:t>按照</w:t>
            </w:r>
            <w:r>
              <w:rPr>
                <w:rFonts w:hint="eastAsia" w:ascii="宋体" w:hAnsi="宋体" w:eastAsia="宋体" w:cs="宋体"/>
                <w:color w:val="auto"/>
                <w:spacing w:val="-2"/>
                <w:sz w:val="22"/>
                <w:szCs w:val="22"/>
                <w:highlight w:val="none"/>
                <w:lang w:eastAsia="zh-CN"/>
              </w:rPr>
              <w:t>磋商文件</w:t>
            </w:r>
            <w:r>
              <w:rPr>
                <w:rFonts w:hint="eastAsia" w:ascii="宋体" w:hAnsi="宋体" w:eastAsia="宋体" w:cs="宋体"/>
                <w:color w:val="auto"/>
                <w:spacing w:val="-2"/>
                <w:sz w:val="22"/>
                <w:szCs w:val="22"/>
                <w:highlight w:val="none"/>
              </w:rPr>
              <w:t>的规定编制、标记及签章的，法定代表人或其授权代表</w:t>
            </w:r>
            <w:r>
              <w:rPr>
                <w:rFonts w:hint="eastAsia" w:ascii="宋体" w:hAnsi="宋体" w:eastAsia="宋体" w:cs="宋体"/>
                <w:color w:val="auto"/>
                <w:spacing w:val="-2"/>
                <w:sz w:val="22"/>
                <w:szCs w:val="22"/>
                <w:highlight w:val="none"/>
                <w:lang w:val="en-US" w:eastAsia="zh-CN"/>
              </w:rPr>
              <w:t>电子</w:t>
            </w:r>
            <w:r>
              <w:rPr>
                <w:rFonts w:hint="eastAsia" w:ascii="宋体" w:hAnsi="宋体" w:eastAsia="宋体" w:cs="宋体"/>
                <w:color w:val="auto"/>
                <w:spacing w:val="-2"/>
                <w:sz w:val="22"/>
                <w:szCs w:val="22"/>
                <w:highlight w:val="none"/>
              </w:rPr>
              <w:t>签章；</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lang w:val="en-US" w:eastAsia="zh-CN"/>
              </w:rPr>
              <w:t>4</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rPr>
              <w:t>按</w:t>
            </w:r>
            <w:r>
              <w:rPr>
                <w:rFonts w:hint="eastAsia" w:ascii="宋体" w:hAnsi="宋体" w:eastAsia="宋体" w:cs="宋体"/>
                <w:color w:val="auto"/>
                <w:spacing w:val="-2"/>
                <w:sz w:val="22"/>
                <w:szCs w:val="22"/>
                <w:highlight w:val="none"/>
                <w:lang w:eastAsia="zh-CN"/>
              </w:rPr>
              <w:t>磋商文件</w:t>
            </w:r>
            <w:r>
              <w:rPr>
                <w:rFonts w:hint="eastAsia" w:ascii="宋体" w:hAnsi="宋体" w:eastAsia="宋体" w:cs="宋体"/>
                <w:color w:val="auto"/>
                <w:spacing w:val="-2"/>
                <w:sz w:val="22"/>
                <w:szCs w:val="22"/>
                <w:highlight w:val="none"/>
              </w:rPr>
              <w:t>规定的格式填写，内容不全或关键字迹模糊、无法辨认的；</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lang w:val="en-US" w:eastAsia="zh-CN"/>
              </w:rPr>
              <w:t>5</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rPr>
              <w:t>没有采购人不能接受的附加条件的；</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6</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rPr>
              <w:t>符合</w:t>
            </w:r>
            <w:r>
              <w:rPr>
                <w:rFonts w:hint="eastAsia" w:ascii="宋体" w:hAnsi="宋体" w:cs="宋体"/>
                <w:color w:val="auto"/>
                <w:spacing w:val="-2"/>
                <w:sz w:val="22"/>
                <w:szCs w:val="22"/>
                <w:highlight w:val="none"/>
                <w:lang w:eastAsia="zh-CN"/>
              </w:rPr>
              <w:t>磋商文件</w:t>
            </w:r>
            <w:r>
              <w:rPr>
                <w:rFonts w:hint="eastAsia" w:ascii="宋体" w:hAnsi="宋体" w:eastAsia="宋体" w:cs="宋体"/>
                <w:color w:val="auto"/>
                <w:spacing w:val="-2"/>
                <w:sz w:val="22"/>
                <w:szCs w:val="22"/>
                <w:highlight w:val="none"/>
              </w:rPr>
              <w:t>中规定的其他实质性要求</w:t>
            </w:r>
            <w:r>
              <w:rPr>
                <w:rFonts w:hint="eastAsia" w:ascii="宋体" w:hAnsi="宋体" w:eastAsia="宋体" w:cs="宋体"/>
                <w:b/>
                <w:bCs/>
                <w:color w:val="auto"/>
                <w:spacing w:val="-2"/>
                <w:sz w:val="22"/>
                <w:szCs w:val="22"/>
                <w:highlight w:val="none"/>
              </w:rPr>
              <w:t>（</w:t>
            </w:r>
            <w:r>
              <w:rPr>
                <w:rFonts w:hint="eastAsia" w:ascii="宋体" w:hAnsi="宋体" w:cs="宋体"/>
                <w:b/>
                <w:bCs/>
                <w:color w:val="auto"/>
                <w:spacing w:val="-2"/>
                <w:sz w:val="22"/>
                <w:szCs w:val="22"/>
                <w:highlight w:val="none"/>
                <w:lang w:val="en-US" w:eastAsia="zh-CN"/>
              </w:rPr>
              <w:t>服务期</w:t>
            </w:r>
            <w:r>
              <w:rPr>
                <w:rFonts w:hint="eastAsia" w:ascii="宋体" w:hAnsi="宋体" w:eastAsia="宋体" w:cs="宋体"/>
                <w:b/>
                <w:bCs/>
                <w:color w:val="auto"/>
                <w:spacing w:val="-2"/>
                <w:sz w:val="22"/>
                <w:szCs w:val="22"/>
                <w:highlight w:val="none"/>
              </w:rPr>
              <w:t>等）</w:t>
            </w:r>
            <w:r>
              <w:rPr>
                <w:rFonts w:hint="eastAsia" w:ascii="宋体" w:hAnsi="宋体" w:eastAsia="宋体" w:cs="宋体"/>
                <w:b/>
                <w:bCs/>
                <w:color w:val="auto"/>
                <w:spacing w:val="-2"/>
                <w:sz w:val="22"/>
                <w:szCs w:val="22"/>
                <w:highlight w:val="none"/>
                <w:lang w:eastAsia="zh-CN"/>
              </w:rPr>
              <w:t>；</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lang w:val="en-US" w:eastAsia="zh-CN"/>
              </w:rPr>
              <w:t>7</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rPr>
              <w:t>不同供应商的</w:t>
            </w:r>
            <w:r>
              <w:rPr>
                <w:rFonts w:hint="eastAsia" w:ascii="宋体" w:hAnsi="宋体" w:eastAsia="宋体" w:cs="宋体"/>
                <w:color w:val="auto"/>
                <w:spacing w:val="-2"/>
                <w:sz w:val="22"/>
                <w:szCs w:val="22"/>
                <w:highlight w:val="none"/>
                <w:lang w:eastAsia="zh-CN"/>
              </w:rPr>
              <w:t>响应文件</w:t>
            </w:r>
            <w:r>
              <w:rPr>
                <w:rFonts w:hint="eastAsia" w:ascii="宋体" w:hAnsi="宋体" w:eastAsia="宋体" w:cs="宋体"/>
                <w:color w:val="auto"/>
                <w:spacing w:val="-2"/>
                <w:sz w:val="22"/>
                <w:szCs w:val="22"/>
                <w:highlight w:val="none"/>
                <w:lang w:val="en-US" w:eastAsia="zh-CN"/>
              </w:rPr>
              <w:t>内容</w:t>
            </w:r>
            <w:r>
              <w:rPr>
                <w:rFonts w:hint="eastAsia" w:ascii="宋体" w:hAnsi="宋体" w:eastAsia="宋体" w:cs="宋体"/>
                <w:color w:val="auto"/>
                <w:spacing w:val="-2"/>
                <w:sz w:val="22"/>
                <w:szCs w:val="22"/>
                <w:highlight w:val="none"/>
              </w:rPr>
              <w:t>没有错漏一致的情况；</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lang w:val="en-US" w:eastAsia="zh-CN"/>
              </w:rPr>
              <w:t>8</w:t>
            </w:r>
          </w:p>
        </w:tc>
        <w:tc>
          <w:tcPr>
            <w:tcW w:w="70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sz w:val="22"/>
                <w:szCs w:val="22"/>
                <w:highlight w:val="none"/>
              </w:rPr>
              <w:t>供应商附有详细地址、联系人、电话标明的</w:t>
            </w:r>
            <w:r>
              <w:rPr>
                <w:rFonts w:hint="eastAsia" w:ascii="宋体" w:hAnsi="宋体" w:eastAsia="宋体" w:cs="宋体"/>
                <w:color w:val="auto"/>
                <w:spacing w:val="-2"/>
                <w:sz w:val="22"/>
                <w:szCs w:val="22"/>
                <w:highlight w:val="none"/>
                <w:lang w:eastAsia="zh-CN"/>
              </w:rPr>
              <w:t>。</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结论：通过评审打“√”，未通过评审打“×”</w:t>
            </w:r>
          </w:p>
        </w:tc>
        <w:tc>
          <w:tcPr>
            <w:tcW w:w="16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388" w:firstLineChars="180"/>
              <w:textAlignment w:val="auto"/>
              <w:rPr>
                <w:rFonts w:hint="eastAsia" w:ascii="宋体" w:hAnsi="宋体" w:eastAsia="宋体" w:cs="宋体"/>
                <w:color w:val="auto"/>
                <w:spacing w:val="-2"/>
                <w:sz w:val="22"/>
                <w:szCs w:val="22"/>
                <w:highlight w:val="none"/>
              </w:rPr>
            </w:pPr>
          </w:p>
        </w:tc>
      </w:tr>
    </w:tbl>
    <w:p>
      <w:pPr>
        <w:spacing w:line="300" w:lineRule="auto"/>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00" w:lineRule="auto"/>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spacing w:line="300" w:lineRule="auto"/>
        <w:ind w:left="689" w:leftChars="28"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中存在重大偏差，不能通过初步评审；评委对某一分项评审认为不合格时，必须要写明原因。</w:t>
      </w:r>
    </w:p>
    <w:p>
      <w:pPr>
        <w:pStyle w:val="7"/>
        <w:spacing w:line="30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最终合格与否，以所有评委的评审意见中少数服从多数为原则定论。</w:t>
      </w:r>
    </w:p>
    <w:p>
      <w:pPr>
        <w:spacing w:line="240" w:lineRule="atLeas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w:t>
      </w:r>
      <w:r>
        <w:rPr>
          <w:rFonts w:hint="eastAsia" w:ascii="宋体" w:hAnsi="宋体" w:eastAsia="宋体" w:cs="宋体"/>
          <w:b/>
          <w:bCs/>
          <w:color w:val="auto"/>
          <w:sz w:val="21"/>
          <w:szCs w:val="21"/>
          <w:highlight w:val="none"/>
        </w:rPr>
        <w:t>符合性审查</w:t>
      </w:r>
      <w:r>
        <w:rPr>
          <w:rFonts w:hint="eastAsia" w:ascii="宋体" w:hAnsi="宋体" w:eastAsia="宋体" w:cs="宋体"/>
          <w:b/>
          <w:bCs/>
          <w:color w:val="auto"/>
          <w:szCs w:val="21"/>
          <w:highlight w:val="none"/>
        </w:rPr>
        <w:t>的</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不进入</w:t>
      </w:r>
      <w:r>
        <w:rPr>
          <w:rFonts w:hint="eastAsia" w:ascii="宋体" w:hAnsi="宋体" w:eastAsia="宋体" w:cs="宋体"/>
          <w:b/>
          <w:bCs/>
          <w:color w:val="auto"/>
          <w:szCs w:val="21"/>
          <w:highlight w:val="none"/>
          <w:lang w:eastAsia="zh-CN"/>
        </w:rPr>
        <w:t>评审</w:t>
      </w:r>
      <w:r>
        <w:rPr>
          <w:rFonts w:hint="eastAsia" w:ascii="宋体" w:hAnsi="宋体" w:eastAsia="宋体" w:cs="宋体"/>
          <w:b/>
          <w:bCs/>
          <w:color w:val="auto"/>
          <w:szCs w:val="21"/>
          <w:highlight w:val="none"/>
        </w:rPr>
        <w:t>；通过</w:t>
      </w:r>
      <w:r>
        <w:rPr>
          <w:rFonts w:hint="eastAsia" w:ascii="宋体" w:hAnsi="宋体" w:eastAsia="宋体" w:cs="宋体"/>
          <w:b/>
          <w:bCs/>
          <w:color w:val="auto"/>
          <w:sz w:val="21"/>
          <w:szCs w:val="21"/>
          <w:highlight w:val="none"/>
        </w:rPr>
        <w:t>符合性审查</w:t>
      </w:r>
      <w:r>
        <w:rPr>
          <w:rFonts w:hint="eastAsia" w:ascii="宋体" w:hAnsi="宋体" w:eastAsia="宋体" w:cs="宋体"/>
          <w:b/>
          <w:bCs/>
          <w:color w:val="auto"/>
          <w:szCs w:val="21"/>
          <w:highlight w:val="none"/>
        </w:rPr>
        <w:t>的</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少于不足三家的，不得</w:t>
      </w:r>
      <w:r>
        <w:rPr>
          <w:rFonts w:hint="eastAsia" w:ascii="宋体" w:hAnsi="宋体" w:eastAsia="宋体" w:cs="宋体"/>
          <w:b/>
          <w:bCs/>
          <w:color w:val="auto"/>
          <w:szCs w:val="21"/>
          <w:highlight w:val="none"/>
          <w:lang w:eastAsia="zh-CN"/>
        </w:rPr>
        <w:t>评审</w:t>
      </w:r>
      <w:r>
        <w:rPr>
          <w:rFonts w:hint="eastAsia" w:ascii="宋体" w:hAnsi="宋体" w:eastAsia="宋体" w:cs="宋体"/>
          <w:b/>
          <w:bCs/>
          <w:color w:val="auto"/>
          <w:szCs w:val="21"/>
          <w:highlight w:val="none"/>
        </w:rPr>
        <w:t>。</w:t>
      </w:r>
    </w:p>
    <w:p>
      <w:pPr>
        <w:pStyle w:val="19"/>
        <w:rPr>
          <w:rFonts w:hint="eastAsia" w:ascii="宋体" w:hAnsi="宋体" w:eastAsia="宋体" w:cs="宋体"/>
          <w:b/>
          <w:bCs/>
          <w:color w:val="auto"/>
          <w:szCs w:val="21"/>
          <w:highlight w:val="none"/>
        </w:rPr>
      </w:pPr>
    </w:p>
    <w:p>
      <w:pPr>
        <w:pStyle w:val="19"/>
        <w:rPr>
          <w:rFonts w:hint="eastAsia" w:ascii="宋体" w:hAnsi="宋体" w:eastAsia="宋体" w:cs="宋体"/>
          <w:b/>
          <w:bCs/>
          <w:color w:val="auto"/>
          <w:szCs w:val="21"/>
          <w:highlight w:val="none"/>
        </w:rPr>
      </w:pPr>
    </w:p>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pPr>
        <w:pStyle w:val="7"/>
        <w:ind w:firstLine="0"/>
        <w:jc w:val="center"/>
        <w:outlineLvl w:val="1"/>
        <w:rPr>
          <w:rFonts w:hint="eastAsia" w:ascii="宋体" w:hAnsi="宋体" w:eastAsia="宋体" w:cs="宋体"/>
          <w:b/>
          <w:bCs/>
          <w:color w:val="auto"/>
          <w:sz w:val="21"/>
          <w:szCs w:val="21"/>
          <w:highlight w:val="none"/>
        </w:rPr>
      </w:pPr>
      <w:bookmarkStart w:id="909" w:name="_Toc29006"/>
      <w:bookmarkStart w:id="910" w:name="_Toc4034"/>
      <w:bookmarkStart w:id="911" w:name="_Toc4748"/>
      <w:bookmarkStart w:id="912" w:name="_Toc359"/>
      <w:bookmarkStart w:id="913" w:name="_Toc21392"/>
      <w:bookmarkStart w:id="914" w:name="_Toc16825"/>
      <w:bookmarkStart w:id="915" w:name="_Toc20505"/>
      <w:bookmarkStart w:id="916" w:name="_Toc17586"/>
      <w:bookmarkStart w:id="917" w:name="_Toc19967"/>
      <w:bookmarkStart w:id="918" w:name="_Toc21350"/>
      <w:bookmarkStart w:id="919" w:name="_Toc31737"/>
      <w:bookmarkStart w:id="920" w:name="_Toc5375"/>
      <w:bookmarkStart w:id="921" w:name="_Toc31042"/>
      <w:bookmarkStart w:id="922" w:name="_Toc26924"/>
      <w:bookmarkStart w:id="923" w:name="_Toc11449"/>
      <w:bookmarkStart w:id="924" w:name="_Toc3812"/>
      <w:r>
        <w:rPr>
          <w:rFonts w:hint="eastAsia" w:ascii="宋体" w:hAnsi="宋体" w:eastAsia="宋体" w:cs="宋体"/>
          <w:b/>
          <w:color w:val="auto"/>
          <w:sz w:val="32"/>
          <w:highlight w:val="none"/>
        </w:rPr>
        <w:t>综合评分表</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Start w:id="925" w:name="_Toc507399904"/>
    </w:p>
    <w:tbl>
      <w:tblPr>
        <w:tblStyle w:val="24"/>
        <w:tblpPr w:leftFromText="180" w:rightFromText="180" w:vertAnchor="text" w:horzAnchor="page" w:tblpX="1004" w:tblpY="317"/>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078"/>
        <w:gridCol w:w="695"/>
        <w:gridCol w:w="607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序号</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评分因素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及权重</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分值</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评分标准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价 格：</w:t>
            </w:r>
            <w:r>
              <w:rPr>
                <w:rFonts w:hint="eastAsia" w:ascii="微软雅黑" w:hAnsi="微软雅黑" w:eastAsia="微软雅黑" w:cs="微软雅黑"/>
                <w:b w:val="0"/>
                <w:bCs w:val="0"/>
                <w:color w:val="auto"/>
                <w:kern w:val="0"/>
                <w:sz w:val="18"/>
                <w:szCs w:val="18"/>
                <w:highlight w:val="none"/>
                <w:lang w:val="en-US" w:eastAsia="zh-CN"/>
              </w:rPr>
              <w:t>15</w:t>
            </w:r>
            <w:r>
              <w:rPr>
                <w:rFonts w:hint="eastAsia" w:ascii="微软雅黑" w:hAnsi="微软雅黑" w:eastAsia="微软雅黑" w:cs="微软雅黑"/>
                <w:b w:val="0"/>
                <w:bCs w:val="0"/>
                <w:color w:val="auto"/>
                <w:kern w:val="0"/>
                <w:sz w:val="18"/>
                <w:szCs w:val="18"/>
                <w:highlight w:val="none"/>
              </w:rPr>
              <w:t xml:space="preserve">分  </w:t>
            </w:r>
            <w:r>
              <w:rPr>
                <w:rFonts w:hint="eastAsia" w:ascii="微软雅黑" w:hAnsi="微软雅黑" w:eastAsia="微软雅黑" w:cs="微软雅黑"/>
                <w:b w:val="0"/>
                <w:bCs w:val="0"/>
                <w:color w:val="auto"/>
                <w:kern w:val="0"/>
                <w:sz w:val="18"/>
                <w:szCs w:val="18"/>
                <w:highlight w:val="none"/>
                <w:lang w:val="en-US" w:eastAsia="zh-CN"/>
              </w:rPr>
              <w:t xml:space="preserve">    </w:t>
            </w:r>
            <w:r>
              <w:rPr>
                <w:rFonts w:hint="eastAsia" w:ascii="微软雅黑" w:hAnsi="微软雅黑" w:eastAsia="微软雅黑" w:cs="微软雅黑"/>
                <w:b w:val="0"/>
                <w:bCs w:val="0"/>
                <w:color w:val="auto"/>
                <w:kern w:val="0"/>
                <w:sz w:val="18"/>
                <w:szCs w:val="18"/>
                <w:highlight w:val="none"/>
              </w:rPr>
              <w:t>商 务：</w:t>
            </w:r>
            <w:r>
              <w:rPr>
                <w:rFonts w:hint="eastAsia" w:ascii="微软雅黑" w:hAnsi="微软雅黑" w:eastAsia="微软雅黑" w:cs="微软雅黑"/>
                <w:b w:val="0"/>
                <w:bCs w:val="0"/>
                <w:color w:val="auto"/>
                <w:kern w:val="0"/>
                <w:sz w:val="18"/>
                <w:szCs w:val="18"/>
                <w:highlight w:val="none"/>
                <w:lang w:val="en-US" w:eastAsia="zh-CN"/>
              </w:rPr>
              <w:t>10</w:t>
            </w:r>
            <w:r>
              <w:rPr>
                <w:rFonts w:hint="eastAsia" w:ascii="微软雅黑" w:hAnsi="微软雅黑" w:eastAsia="微软雅黑" w:cs="微软雅黑"/>
                <w:b w:val="0"/>
                <w:bCs w:val="0"/>
                <w:color w:val="auto"/>
                <w:kern w:val="0"/>
                <w:sz w:val="18"/>
                <w:szCs w:val="18"/>
                <w:highlight w:val="none"/>
              </w:rPr>
              <w:t xml:space="preserve">分  </w:t>
            </w:r>
            <w:r>
              <w:rPr>
                <w:rFonts w:hint="eastAsia" w:ascii="微软雅黑" w:hAnsi="微软雅黑" w:eastAsia="微软雅黑" w:cs="微软雅黑"/>
                <w:b w:val="0"/>
                <w:bCs w:val="0"/>
                <w:color w:val="auto"/>
                <w:kern w:val="0"/>
                <w:sz w:val="18"/>
                <w:szCs w:val="18"/>
                <w:highlight w:val="none"/>
                <w:lang w:val="en-US" w:eastAsia="zh-CN"/>
              </w:rPr>
              <w:t xml:space="preserve">  </w:t>
            </w:r>
            <w:r>
              <w:rPr>
                <w:rFonts w:hint="eastAsia" w:ascii="微软雅黑" w:hAnsi="微软雅黑" w:eastAsia="微软雅黑" w:cs="微软雅黑"/>
                <w:b w:val="0"/>
                <w:bCs w:val="0"/>
                <w:color w:val="auto"/>
                <w:kern w:val="0"/>
                <w:sz w:val="18"/>
                <w:szCs w:val="18"/>
                <w:highlight w:val="none"/>
              </w:rPr>
              <w:t xml:space="preserve"> 技 术：</w:t>
            </w:r>
            <w:r>
              <w:rPr>
                <w:rFonts w:hint="eastAsia" w:ascii="微软雅黑" w:hAnsi="微软雅黑" w:eastAsia="微软雅黑" w:cs="微软雅黑"/>
                <w:b w:val="0"/>
                <w:bCs w:val="0"/>
                <w:color w:val="auto"/>
                <w:kern w:val="0"/>
                <w:sz w:val="18"/>
                <w:szCs w:val="18"/>
                <w:highlight w:val="none"/>
                <w:lang w:val="en-US" w:eastAsia="zh-CN"/>
              </w:rPr>
              <w:t>75</w:t>
            </w:r>
            <w:r>
              <w:rPr>
                <w:rFonts w:hint="eastAsia" w:ascii="微软雅黑" w:hAnsi="微软雅黑" w:eastAsia="微软雅黑" w:cs="微软雅黑"/>
                <w:b w:val="0"/>
                <w:bCs w:val="0"/>
                <w:color w:val="auto"/>
                <w:kern w:val="0"/>
                <w:sz w:val="18"/>
                <w:szCs w:val="18"/>
                <w:highlight w:val="none"/>
              </w:rPr>
              <w:t xml:space="preserve">分              </w:t>
            </w:r>
          </w:p>
        </w:tc>
        <w:tc>
          <w:tcPr>
            <w:tcW w:w="1343" w:type="dxa"/>
            <w:shd w:val="clear" w:color="auto" w:fill="auto"/>
            <w:vAlign w:val="center"/>
          </w:tcPr>
          <w:p>
            <w:pPr>
              <w:pStyle w:val="40"/>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9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0"/>
                <w:sz w:val="18"/>
                <w:szCs w:val="18"/>
                <w:highlight w:val="none"/>
              </w:rPr>
              <w:t>价格评分标准</w:t>
            </w:r>
            <w:r>
              <w:rPr>
                <w:rFonts w:hint="eastAsia" w:ascii="微软雅黑" w:hAnsi="微软雅黑" w:eastAsia="微软雅黑" w:cs="微软雅黑"/>
                <w:b w:val="0"/>
                <w:bCs w:val="0"/>
                <w:color w:val="auto"/>
                <w:kern w:val="0"/>
                <w:sz w:val="18"/>
                <w:szCs w:val="18"/>
                <w:highlight w:val="none"/>
                <w:lang w:eastAsia="zh-CN"/>
              </w:rPr>
              <w:t>（</w:t>
            </w:r>
            <w:r>
              <w:rPr>
                <w:rFonts w:hint="eastAsia" w:ascii="微软雅黑" w:hAnsi="微软雅黑" w:eastAsia="微软雅黑" w:cs="微软雅黑"/>
                <w:b w:val="0"/>
                <w:bCs w:val="0"/>
                <w:color w:val="auto"/>
                <w:kern w:val="0"/>
                <w:sz w:val="18"/>
                <w:szCs w:val="18"/>
                <w:highlight w:val="none"/>
                <w:lang w:val="en-US" w:eastAsia="zh-CN"/>
              </w:rPr>
              <w:t>15</w:t>
            </w:r>
            <w:r>
              <w:rPr>
                <w:rFonts w:hint="eastAsia" w:ascii="微软雅黑" w:hAnsi="微软雅黑" w:eastAsia="微软雅黑" w:cs="微软雅黑"/>
                <w:b w:val="0"/>
                <w:bCs w:val="0"/>
                <w:color w:val="auto"/>
                <w:kern w:val="0"/>
                <w:sz w:val="18"/>
                <w:szCs w:val="18"/>
                <w:highlight w:val="none"/>
                <w:lang w:eastAsia="zh-CN"/>
              </w:rPr>
              <w:t>）</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kern w:val="0"/>
                <w:sz w:val="18"/>
                <w:szCs w:val="18"/>
                <w:highlight w:val="none"/>
              </w:rPr>
              <w:t>投标报价</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15</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0"/>
                <w:sz w:val="18"/>
                <w:szCs w:val="18"/>
                <w:highlight w:val="none"/>
              </w:rPr>
              <w:t>完全满足</w:t>
            </w:r>
            <w:r>
              <w:rPr>
                <w:rFonts w:hint="eastAsia" w:ascii="微软雅黑" w:hAnsi="微软雅黑" w:eastAsia="微软雅黑" w:cs="微软雅黑"/>
                <w:b w:val="0"/>
                <w:bCs w:val="0"/>
                <w:color w:val="auto"/>
                <w:kern w:val="0"/>
                <w:sz w:val="18"/>
                <w:szCs w:val="18"/>
                <w:highlight w:val="none"/>
                <w:lang w:eastAsia="zh-CN"/>
              </w:rPr>
              <w:t>磋商文件</w:t>
            </w:r>
            <w:r>
              <w:rPr>
                <w:rFonts w:hint="eastAsia" w:ascii="微软雅黑" w:hAnsi="微软雅黑" w:eastAsia="微软雅黑" w:cs="微软雅黑"/>
                <w:b w:val="0"/>
                <w:bCs w:val="0"/>
                <w:color w:val="auto"/>
                <w:kern w:val="0"/>
                <w:sz w:val="18"/>
                <w:szCs w:val="18"/>
                <w:highlight w:val="none"/>
              </w:rPr>
              <w:t>参数的投标报价中的最低价为评标基准价，按照下列公式计算每个供应商的投标价格得分。投标报价得分＝（基准价</w:t>
            </w:r>
            <w:r>
              <w:rPr>
                <w:rFonts w:hint="eastAsia" w:ascii="微软雅黑" w:hAnsi="微软雅黑" w:eastAsia="微软雅黑" w:cs="微软雅黑"/>
                <w:b w:val="0"/>
                <w:bCs w:val="0"/>
                <w:color w:val="auto"/>
                <w:kern w:val="0"/>
                <w:sz w:val="18"/>
                <w:szCs w:val="18"/>
                <w:highlight w:val="none"/>
                <w:lang w:val="en-US" w:eastAsia="zh-CN"/>
              </w:rPr>
              <w:t>654rte</w:t>
            </w:r>
            <w:r>
              <w:rPr>
                <w:rFonts w:hint="eastAsia" w:ascii="微软雅黑" w:hAnsi="微软雅黑" w:eastAsia="微软雅黑" w:cs="微软雅黑"/>
                <w:b w:val="0"/>
                <w:bCs w:val="0"/>
                <w:color w:val="auto"/>
                <w:kern w:val="0"/>
                <w:sz w:val="18"/>
                <w:szCs w:val="18"/>
                <w:highlight w:val="none"/>
              </w:rPr>
              <w:t>/投标报价）×价格权重×100。</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商务（10分）</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bidi="ar-SA"/>
              </w:rPr>
            </w:pPr>
            <w:r>
              <w:rPr>
                <w:rFonts w:hint="eastAsia" w:ascii="微软雅黑" w:hAnsi="微软雅黑" w:eastAsia="微软雅黑" w:cs="微软雅黑"/>
                <w:b w:val="0"/>
                <w:bCs w:val="0"/>
                <w:color w:val="auto"/>
                <w:kern w:val="0"/>
                <w:sz w:val="18"/>
                <w:szCs w:val="18"/>
                <w:highlight w:val="none"/>
                <w:lang w:val="en-US" w:eastAsia="zh-CN"/>
              </w:rPr>
              <w:t>质量保证及服务能力承诺</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2"/>
                <w:sz w:val="18"/>
                <w:szCs w:val="18"/>
                <w:highlight w:val="none"/>
                <w:lang w:val="en-US" w:eastAsia="zh-CN" w:bidi="ar-SA"/>
              </w:rPr>
            </w:pPr>
            <w:r>
              <w:rPr>
                <w:rFonts w:hint="eastAsia" w:ascii="微软雅黑" w:hAnsi="微软雅黑" w:eastAsia="微软雅黑" w:cs="微软雅黑"/>
                <w:b w:val="0"/>
                <w:bCs w:val="0"/>
                <w:color w:val="auto"/>
                <w:sz w:val="18"/>
                <w:szCs w:val="18"/>
                <w:highlight w:val="none"/>
                <w:lang w:val="en-US" w:eastAsia="zh-CN"/>
              </w:rPr>
              <w:t>10</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zh-CN"/>
              </w:rPr>
            </w:pPr>
            <w:r>
              <w:rPr>
                <w:rFonts w:hint="eastAsia" w:ascii="微软雅黑" w:hAnsi="微软雅黑" w:eastAsia="微软雅黑" w:cs="微软雅黑"/>
                <w:b w:val="0"/>
                <w:bCs w:val="0"/>
                <w:color w:val="auto"/>
                <w:sz w:val="18"/>
                <w:szCs w:val="18"/>
                <w:highlight w:val="none"/>
                <w:lang w:val="zh-CN"/>
              </w:rPr>
              <w:t>为保证项目顺利实施，供应商根据项目情况提供详细的质量保证承诺及组织、</w:t>
            </w:r>
            <w:r>
              <w:rPr>
                <w:rFonts w:hint="eastAsia" w:ascii="微软雅黑" w:hAnsi="微软雅黑" w:eastAsia="微软雅黑" w:cs="微软雅黑"/>
                <w:b w:val="0"/>
                <w:bCs w:val="0"/>
                <w:color w:val="auto"/>
                <w:sz w:val="18"/>
                <w:szCs w:val="18"/>
                <w:highlight w:val="none"/>
                <w:lang w:val="en-US" w:eastAsia="zh-CN"/>
              </w:rPr>
              <w:t>人员配备、与采购单位相互</w:t>
            </w:r>
            <w:r>
              <w:rPr>
                <w:rFonts w:hint="eastAsia" w:ascii="微软雅黑" w:hAnsi="微软雅黑" w:eastAsia="微软雅黑" w:cs="微软雅黑"/>
                <w:b w:val="0"/>
                <w:bCs w:val="0"/>
                <w:color w:val="auto"/>
                <w:sz w:val="18"/>
                <w:szCs w:val="18"/>
                <w:highlight w:val="none"/>
                <w:lang w:val="zh-CN"/>
              </w:rPr>
              <w:t>配合</w:t>
            </w:r>
            <w:r>
              <w:rPr>
                <w:rFonts w:hint="eastAsia" w:ascii="微软雅黑" w:hAnsi="微软雅黑" w:eastAsia="微软雅黑" w:cs="微软雅黑"/>
                <w:b w:val="0"/>
                <w:bCs w:val="0"/>
                <w:color w:val="auto"/>
                <w:sz w:val="18"/>
                <w:szCs w:val="18"/>
                <w:highlight w:val="none"/>
                <w:lang w:val="en-US" w:eastAsia="zh-CN"/>
              </w:rPr>
              <w:t>情况</w:t>
            </w:r>
            <w:r>
              <w:rPr>
                <w:rFonts w:hint="eastAsia" w:ascii="微软雅黑" w:hAnsi="微软雅黑" w:eastAsia="微软雅黑" w:cs="微软雅黑"/>
                <w:b w:val="0"/>
                <w:bCs w:val="0"/>
                <w:color w:val="auto"/>
                <w:sz w:val="18"/>
                <w:szCs w:val="18"/>
                <w:highlight w:val="none"/>
                <w:lang w:val="zh-CN"/>
              </w:rPr>
              <w:t>、</w:t>
            </w:r>
            <w:r>
              <w:rPr>
                <w:rFonts w:hint="eastAsia" w:ascii="微软雅黑" w:hAnsi="微软雅黑" w:eastAsia="微软雅黑" w:cs="微软雅黑"/>
                <w:b w:val="0"/>
                <w:bCs w:val="0"/>
                <w:color w:val="auto"/>
                <w:sz w:val="18"/>
                <w:szCs w:val="18"/>
                <w:highlight w:val="none"/>
                <w:lang w:val="en-US" w:eastAsia="zh-CN"/>
              </w:rPr>
              <w:t>培训</w:t>
            </w:r>
            <w:r>
              <w:rPr>
                <w:rFonts w:hint="eastAsia" w:ascii="微软雅黑" w:hAnsi="微软雅黑" w:eastAsia="微软雅黑" w:cs="微软雅黑"/>
                <w:b w:val="0"/>
                <w:bCs w:val="0"/>
                <w:color w:val="auto"/>
                <w:sz w:val="18"/>
                <w:szCs w:val="18"/>
                <w:highlight w:val="none"/>
                <w:lang w:val="zh-CN"/>
              </w:rPr>
              <w:t>成果提交、验收等方面与服务能力相关的承诺；</w:t>
            </w:r>
          </w:p>
          <w:p>
            <w:pPr>
              <w:keepNext w:val="0"/>
              <w:keepLines w:val="0"/>
              <w:pageBreakBefore w:val="0"/>
              <w:widowControl/>
              <w:numPr>
                <w:ilvl w:val="0"/>
                <w:numId w:val="6"/>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zh-CN"/>
              </w:rPr>
              <w:t>承诺的内容全面，表述清晰、详细，</w:t>
            </w:r>
            <w:r>
              <w:rPr>
                <w:rFonts w:hint="eastAsia" w:ascii="微软雅黑" w:hAnsi="微软雅黑" w:eastAsia="微软雅黑" w:cs="微软雅黑"/>
                <w:b w:val="0"/>
                <w:bCs w:val="0"/>
                <w:color w:val="auto"/>
                <w:sz w:val="18"/>
                <w:szCs w:val="18"/>
                <w:highlight w:val="none"/>
                <w:lang w:val="en-US" w:eastAsia="zh-CN"/>
              </w:rPr>
              <w:t>符合项目的实际情况</w:t>
            </w:r>
            <w:r>
              <w:rPr>
                <w:rFonts w:hint="eastAsia" w:ascii="微软雅黑" w:hAnsi="微软雅黑" w:eastAsia="微软雅黑" w:cs="微软雅黑"/>
                <w:b w:val="0"/>
                <w:bCs w:val="0"/>
                <w:color w:val="auto"/>
                <w:sz w:val="18"/>
                <w:szCs w:val="18"/>
                <w:highlight w:val="none"/>
                <w:lang w:val="zh-CN"/>
              </w:rPr>
              <w:t>的得</w:t>
            </w:r>
            <w:r>
              <w:rPr>
                <w:rFonts w:hint="eastAsia" w:ascii="微软雅黑" w:hAnsi="微软雅黑" w:eastAsia="微软雅黑" w:cs="微软雅黑"/>
                <w:b w:val="0"/>
                <w:bCs w:val="0"/>
                <w:color w:val="auto"/>
                <w:sz w:val="18"/>
                <w:szCs w:val="18"/>
                <w:highlight w:val="none"/>
                <w:lang w:val="en-US" w:eastAsia="zh-CN"/>
              </w:rPr>
              <w:t>10分，</w:t>
            </w:r>
          </w:p>
          <w:p>
            <w:pPr>
              <w:keepNext w:val="0"/>
              <w:keepLines w:val="0"/>
              <w:pageBreakBefore w:val="0"/>
              <w:widowControl/>
              <w:numPr>
                <w:ilvl w:val="0"/>
                <w:numId w:val="6"/>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承诺的内容不全面、表述清晰详细，</w:t>
            </w:r>
            <w:r>
              <w:rPr>
                <w:rFonts w:hint="eastAsia" w:ascii="微软雅黑" w:hAnsi="微软雅黑" w:eastAsia="微软雅黑" w:cs="微软雅黑"/>
                <w:b w:val="0"/>
                <w:bCs w:val="0"/>
                <w:color w:val="auto"/>
                <w:sz w:val="18"/>
                <w:szCs w:val="18"/>
                <w:highlight w:val="none"/>
                <w:lang w:val="zh-CN"/>
              </w:rPr>
              <w:t>基本符合项目</w:t>
            </w:r>
            <w:r>
              <w:rPr>
                <w:rFonts w:hint="eastAsia" w:ascii="微软雅黑" w:hAnsi="微软雅黑" w:eastAsia="微软雅黑" w:cs="微软雅黑"/>
                <w:b w:val="0"/>
                <w:bCs w:val="0"/>
                <w:color w:val="auto"/>
                <w:sz w:val="18"/>
                <w:szCs w:val="18"/>
                <w:highlight w:val="none"/>
                <w:lang w:val="en-US" w:eastAsia="zh-CN"/>
              </w:rPr>
              <w:t>实际情况</w:t>
            </w:r>
            <w:r>
              <w:rPr>
                <w:rFonts w:hint="eastAsia" w:ascii="微软雅黑" w:hAnsi="微软雅黑" w:eastAsia="微软雅黑" w:cs="微软雅黑"/>
                <w:b w:val="0"/>
                <w:bCs w:val="0"/>
                <w:color w:val="auto"/>
                <w:sz w:val="18"/>
                <w:szCs w:val="18"/>
                <w:highlight w:val="none"/>
                <w:lang w:val="zh-CN"/>
              </w:rPr>
              <w:t>的得</w:t>
            </w:r>
            <w:r>
              <w:rPr>
                <w:rFonts w:hint="eastAsia" w:ascii="微软雅黑" w:hAnsi="微软雅黑" w:eastAsia="微软雅黑" w:cs="微软雅黑"/>
                <w:b w:val="0"/>
                <w:bCs w:val="0"/>
                <w:color w:val="auto"/>
                <w:sz w:val="18"/>
                <w:szCs w:val="18"/>
                <w:highlight w:val="none"/>
                <w:lang w:val="en-US" w:eastAsia="zh-CN"/>
              </w:rPr>
              <w:t>8分，</w:t>
            </w:r>
          </w:p>
          <w:p>
            <w:pPr>
              <w:keepNext w:val="0"/>
              <w:keepLines w:val="0"/>
              <w:pageBreakBefore w:val="0"/>
              <w:widowControl/>
              <w:numPr>
                <w:ilvl w:val="0"/>
                <w:numId w:val="6"/>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承诺的内容全面、表述清晰详细、但承诺的内容与项目实际情况不符的6分；</w:t>
            </w:r>
          </w:p>
          <w:p>
            <w:pPr>
              <w:keepNext w:val="0"/>
              <w:keepLines w:val="0"/>
              <w:pageBreakBefore w:val="0"/>
              <w:widowControl/>
              <w:numPr>
                <w:ilvl w:val="0"/>
                <w:numId w:val="6"/>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2"/>
                <w:sz w:val="18"/>
                <w:szCs w:val="18"/>
                <w:highlight w:val="none"/>
                <w:lang w:val="en-US" w:eastAsia="zh-CN" w:bidi="ar-SA"/>
              </w:rPr>
            </w:pPr>
            <w:r>
              <w:rPr>
                <w:rFonts w:hint="eastAsia" w:ascii="微软雅黑" w:hAnsi="微软雅黑" w:eastAsia="微软雅黑" w:cs="微软雅黑"/>
                <w:b w:val="0"/>
                <w:bCs w:val="0"/>
                <w:color w:val="auto"/>
                <w:sz w:val="18"/>
                <w:szCs w:val="18"/>
                <w:highlight w:val="none"/>
                <w:lang w:val="en-US" w:eastAsia="zh-CN"/>
              </w:rPr>
              <w:t>承诺的内容不全面、表述含糊不清，与项目实际情况不符的或此项未提供的，得0分。</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7" w:hRule="atLeast"/>
        </w:trPr>
        <w:tc>
          <w:tcPr>
            <w:tcW w:w="90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0"/>
                <w:sz w:val="18"/>
                <w:szCs w:val="18"/>
                <w:highlight w:val="none"/>
              </w:rPr>
              <w:t>技术评分标准</w:t>
            </w:r>
            <w:r>
              <w:rPr>
                <w:rFonts w:hint="eastAsia" w:ascii="微软雅黑" w:hAnsi="微软雅黑" w:eastAsia="微软雅黑" w:cs="微软雅黑"/>
                <w:b w:val="0"/>
                <w:bCs w:val="0"/>
                <w:color w:val="auto"/>
                <w:kern w:val="0"/>
                <w:sz w:val="18"/>
                <w:szCs w:val="18"/>
                <w:highlight w:val="none"/>
                <w:lang w:eastAsia="zh-CN"/>
              </w:rPr>
              <w:t>（</w:t>
            </w:r>
            <w:r>
              <w:rPr>
                <w:rFonts w:hint="eastAsia" w:ascii="微软雅黑" w:hAnsi="微软雅黑" w:eastAsia="微软雅黑" w:cs="微软雅黑"/>
                <w:b w:val="0"/>
                <w:bCs w:val="0"/>
                <w:color w:val="auto"/>
                <w:kern w:val="0"/>
                <w:sz w:val="18"/>
                <w:szCs w:val="18"/>
                <w:highlight w:val="none"/>
                <w:lang w:val="en-US" w:eastAsia="zh-CN"/>
              </w:rPr>
              <w:t>67</w:t>
            </w:r>
            <w:r>
              <w:rPr>
                <w:rFonts w:hint="eastAsia" w:ascii="微软雅黑" w:hAnsi="微软雅黑" w:eastAsia="微软雅黑" w:cs="微软雅黑"/>
                <w:b w:val="0"/>
                <w:bCs w:val="0"/>
                <w:color w:val="auto"/>
                <w:kern w:val="0"/>
                <w:sz w:val="18"/>
                <w:szCs w:val="18"/>
                <w:highlight w:val="none"/>
                <w:lang w:eastAsia="zh-CN"/>
              </w:rPr>
              <w:t>）</w:t>
            </w: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服务方案</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15</w:t>
            </w:r>
          </w:p>
        </w:tc>
        <w:tc>
          <w:tcPr>
            <w:tcW w:w="6076" w:type="dxa"/>
            <w:shd w:val="clear" w:color="auto" w:fill="auto"/>
            <w:vAlign w:val="center"/>
          </w:tcPr>
          <w:p>
            <w:pPr>
              <w:pStyle w:val="7"/>
              <w:keepNext w:val="0"/>
              <w:keepLines w:val="0"/>
              <w:pageBreakBefore w:val="0"/>
              <w:numPr>
                <w:ilvl w:val="0"/>
                <w:numId w:val="0"/>
              </w:numPr>
              <w:kinsoku/>
              <w:wordWrap/>
              <w:overflowPunct/>
              <w:topLinePunct w:val="0"/>
              <w:bidi w:val="0"/>
              <w:snapToGrid/>
              <w:spacing w:line="280" w:lineRule="exact"/>
              <w:ind w:leftChars="0"/>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供应商根据项目的服务需求制定项目的整体的服务方案，方案需从对本项目理解、总体构想及工作思路，对服务需求进行详细分析、供应商自身服务优势的分析，项目整体实施计划、费用预算、项目预期绩效等内容进行详细的描述；</w:t>
            </w:r>
          </w:p>
          <w:p>
            <w:pPr>
              <w:pStyle w:val="8"/>
              <w:keepNext w:val="0"/>
              <w:keepLines w:val="0"/>
              <w:pageBreakBefore w:val="0"/>
              <w:numPr>
                <w:ilvl w:val="0"/>
                <w:numId w:val="7"/>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供应商对项目的理解到位、总体构思及工作思路清晰，对服务需求、自身服务的优势分析到位、有详细的项目实施计划、费用预算表，项目预期绩效指标，方案内容全面、详细、文字表述清晰易懂，完全符合项目实际情况需求的得15分，</w:t>
            </w:r>
          </w:p>
          <w:p>
            <w:pPr>
              <w:pStyle w:val="8"/>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2、总体构思及工作思路模糊不清、对服务需求和自身服务优势分析不到位、有详细的项目实施计划、费用预算表，项目预期绩效指标、方案内容全面、文字表述清晰的得13分；</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3、总体构思及工作思路不清晰、对服务需求、自身服务优势分析不到位、有项目实施计划、费用预算表，项目预期绩效指标的得10分；</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4、无项目实施计划、费用预算表，项目预期绩效指标的，此项不得分。</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2"/>
                <w:sz w:val="18"/>
                <w:szCs w:val="18"/>
                <w:highlight w:val="none"/>
                <w:lang w:val="en-US" w:eastAsia="zh-CN" w:bidi="ar-SA"/>
              </w:rPr>
            </w:pPr>
            <w:r>
              <w:rPr>
                <w:rFonts w:hint="eastAsia" w:ascii="微软雅黑" w:hAnsi="微软雅黑" w:eastAsia="微软雅黑" w:cs="微软雅黑"/>
                <w:b w:val="0"/>
                <w:bCs w:val="0"/>
                <w:color w:val="auto"/>
                <w:kern w:val="2"/>
                <w:sz w:val="18"/>
                <w:szCs w:val="18"/>
                <w:highlight w:val="none"/>
                <w:lang w:val="en-US" w:eastAsia="zh-CN" w:bidi="ar-SA"/>
              </w:rPr>
              <w:t>培训计划</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20</w:t>
            </w:r>
          </w:p>
        </w:tc>
        <w:tc>
          <w:tcPr>
            <w:tcW w:w="6076" w:type="dxa"/>
            <w:shd w:val="clear" w:color="auto" w:fill="auto"/>
            <w:vAlign w:val="center"/>
          </w:tcPr>
          <w:p>
            <w:pPr>
              <w:pStyle w:val="32"/>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供应商根据本项目的培训内容、培训形式、培训时间、培训人员、培训批次、制定详细的培训计划；</w:t>
            </w:r>
          </w:p>
          <w:p>
            <w:pPr>
              <w:pStyle w:val="32"/>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1、开班学习、专家讲座，座谈会。有详细时间安排、拟邀出席座谈会的相关领导名单、专家讲座课目表、专家名单、专家简历等。20分；</w:t>
            </w:r>
          </w:p>
          <w:p>
            <w:pPr>
              <w:pStyle w:val="32"/>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2、各环节详细行程安排欠佳。15分</w:t>
            </w:r>
          </w:p>
          <w:p>
            <w:pPr>
              <w:pStyle w:val="32"/>
              <w:keepNext w:val="0"/>
              <w:keepLines w:val="0"/>
              <w:pageBreakBefore w:val="0"/>
              <w:numPr>
                <w:ilvl w:val="0"/>
                <w:numId w:val="0"/>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3、其中内容不全、缺项漏项、各环节无详细的行程安排表和计划的，不予得分。</w:t>
            </w:r>
          </w:p>
        </w:tc>
        <w:tc>
          <w:tcPr>
            <w:tcW w:w="1343"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eastAsia="zh-CN"/>
              </w:rPr>
            </w:pPr>
            <w:r>
              <w:rPr>
                <w:rFonts w:hint="eastAsia" w:ascii="微软雅黑" w:hAnsi="微软雅黑" w:eastAsia="微软雅黑" w:cs="微软雅黑"/>
                <w:b w:val="0"/>
                <w:bCs w:val="0"/>
                <w:color w:val="auto"/>
                <w:kern w:val="2"/>
                <w:sz w:val="18"/>
                <w:szCs w:val="18"/>
                <w:highlight w:val="none"/>
                <w:lang w:val="en-US" w:eastAsia="zh-CN" w:bidi="ar-SA"/>
              </w:rPr>
              <w:t>拟投入本项目的执行团队情况</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10</w:t>
            </w:r>
          </w:p>
        </w:tc>
        <w:tc>
          <w:tcPr>
            <w:tcW w:w="6076" w:type="dxa"/>
            <w:shd w:val="clear" w:color="auto" w:fill="auto"/>
            <w:vAlign w:val="center"/>
          </w:tcPr>
          <w:p>
            <w:pPr>
              <w:pStyle w:val="32"/>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本项目须具备相关工作经验的负责执行团队不少于5人，项目负责人1人，项目负责人应具有丰富的实践经验和组织管理能力；</w:t>
            </w:r>
          </w:p>
          <w:p>
            <w:pPr>
              <w:pStyle w:val="32"/>
              <w:keepNext w:val="0"/>
              <w:keepLines w:val="0"/>
              <w:pageBreakBefore w:val="0"/>
              <w:numPr>
                <w:ilvl w:val="0"/>
                <w:numId w:val="8"/>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提供项目负责人的学历证明、个人工作简历，劳动合同，全部提供得6分，未提供或提供不全的此项不得分；</w:t>
            </w:r>
          </w:p>
          <w:p>
            <w:pPr>
              <w:pStyle w:val="32"/>
              <w:keepNext w:val="0"/>
              <w:keepLines w:val="0"/>
              <w:pageBreakBefore w:val="0"/>
              <w:numPr>
                <w:ilvl w:val="0"/>
                <w:numId w:val="8"/>
              </w:numPr>
              <w:kinsoku/>
              <w:wordWrap/>
              <w:overflowPunct/>
              <w:topLinePunct w:val="0"/>
              <w:bidi w:val="0"/>
              <w:snapToGrid/>
              <w:spacing w:line="280" w:lineRule="exac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具备相关工作经验的执行团队人员每增加2人得2分，最高可得4分（须提供人员花名册、岗位分配表、个人工作简历、人员身份证复印件）未提供或提供不全的不计入得分。</w:t>
            </w:r>
          </w:p>
        </w:tc>
        <w:tc>
          <w:tcPr>
            <w:tcW w:w="1343"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r>
              <w:rPr>
                <w:rFonts w:hint="eastAsia" w:ascii="微软雅黑" w:hAnsi="微软雅黑" w:eastAsia="微软雅黑" w:cs="微软雅黑"/>
                <w:b w:val="0"/>
                <w:bCs w:val="0"/>
                <w:color w:val="auto"/>
                <w:sz w:val="18"/>
                <w:szCs w:val="18"/>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2"/>
                <w:sz w:val="18"/>
                <w:szCs w:val="18"/>
                <w:highlight w:val="none"/>
                <w:lang w:val="en-US" w:eastAsia="zh-CN" w:bidi="ar-SA"/>
              </w:rPr>
              <w:t>交通车辆安排方案</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15</w:t>
            </w:r>
          </w:p>
        </w:tc>
        <w:tc>
          <w:tcPr>
            <w:tcW w:w="60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1、针对该项目制定交通车辆安排方案、需详细列明出行计划，2条或以上的备选路线安排、对应出行路线的详细车辆安排计划表、完善的安全保障错、车辆质量保证措施，内容全面、详细、文字表述清晰、能完全保证出行顺利得15；</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2、方案内容全面，但无备选路线、对应出行路线的有详细车辆安排计划表、完善的安全保障错、车辆质量保证措施，保证出现顺利的得13分，</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3、方案内容全面、无备选路线、有车辆安排计划表、有</w:t>
            </w:r>
            <w:r>
              <w:rPr>
                <w:rFonts w:hint="eastAsia" w:ascii="微软雅黑" w:hAnsi="微软雅黑" w:eastAsia="微软雅黑" w:cs="微软雅黑"/>
                <w:b w:val="0"/>
                <w:bCs w:val="0"/>
                <w:color w:val="auto"/>
                <w:kern w:val="2"/>
                <w:sz w:val="18"/>
                <w:szCs w:val="18"/>
                <w:lang w:val="en-US" w:eastAsia="zh-CN" w:bidi="ar-SA"/>
              </w:rPr>
              <w:t>安全保障措施、车辆质量保证措施，基本能保证顺利出行的得10分。</w:t>
            </w:r>
          </w:p>
          <w:p>
            <w:pPr>
              <w:pStyle w:val="11"/>
              <w:keepNext w:val="0"/>
              <w:keepLines w:val="0"/>
              <w:pageBreakBefore w:val="0"/>
              <w:kinsoku/>
              <w:wordWrap/>
              <w:overflowPunct/>
              <w:topLinePunct w:val="0"/>
              <w:bidi w:val="0"/>
              <w:snapToGrid/>
              <w:spacing w:line="280" w:lineRule="exact"/>
              <w:ind w:left="0" w:leftChars="0" w:firstLine="0" w:firstLineChars="0"/>
              <w:textAlignment w:val="auto"/>
              <w:rPr>
                <w:rFonts w:hint="eastAsia" w:ascii="微软雅黑" w:hAnsi="微软雅黑" w:eastAsia="微软雅黑" w:cs="微软雅黑"/>
                <w:b w:val="0"/>
                <w:bCs w:val="0"/>
                <w:color w:val="auto"/>
                <w:kern w:val="2"/>
                <w:sz w:val="18"/>
                <w:szCs w:val="18"/>
                <w:lang w:val="en-US" w:eastAsia="zh-CN" w:bidi="ar-SA"/>
              </w:rPr>
            </w:pPr>
            <w:r>
              <w:rPr>
                <w:rFonts w:hint="eastAsia" w:ascii="微软雅黑" w:hAnsi="微软雅黑" w:eastAsia="微软雅黑" w:cs="微软雅黑"/>
                <w:b w:val="0"/>
                <w:bCs w:val="0"/>
                <w:color w:val="auto"/>
                <w:kern w:val="2"/>
                <w:sz w:val="18"/>
                <w:szCs w:val="18"/>
                <w:lang w:val="en-US" w:eastAsia="zh-CN" w:bidi="ar-SA"/>
              </w:rPr>
              <w:t>4、方案内容不全，无备选路线、无车辆安排表，无法保证顺利出行的得0分。</w:t>
            </w:r>
          </w:p>
        </w:tc>
        <w:tc>
          <w:tcPr>
            <w:tcW w:w="134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9" w:hRule="atLeast"/>
        </w:trPr>
        <w:tc>
          <w:tcPr>
            <w:tcW w:w="90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p>
        </w:tc>
        <w:tc>
          <w:tcPr>
            <w:tcW w:w="107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b w:val="0"/>
                <w:bCs w:val="0"/>
                <w:color w:val="auto"/>
                <w:kern w:val="0"/>
                <w:sz w:val="18"/>
                <w:szCs w:val="18"/>
                <w:highlight w:val="none"/>
              </w:rPr>
            </w:pPr>
            <w:r>
              <w:rPr>
                <w:rFonts w:hint="eastAsia" w:ascii="微软雅黑" w:hAnsi="微软雅黑" w:eastAsia="微软雅黑" w:cs="微软雅黑"/>
                <w:b w:val="0"/>
                <w:bCs w:val="0"/>
                <w:color w:val="auto"/>
                <w:sz w:val="18"/>
                <w:szCs w:val="18"/>
              </w:rPr>
              <w:t>突发事件处理措施</w:t>
            </w:r>
          </w:p>
        </w:tc>
        <w:tc>
          <w:tcPr>
            <w:tcW w:w="6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cs="微软雅黑"/>
                <w:b w:val="0"/>
                <w:bCs w:val="0"/>
                <w:color w:val="auto"/>
                <w:kern w:val="0"/>
                <w:sz w:val="18"/>
                <w:szCs w:val="18"/>
                <w:highlight w:val="none"/>
                <w:lang w:val="en-US" w:eastAsia="zh-CN"/>
              </w:rPr>
            </w:pPr>
            <w:r>
              <w:rPr>
                <w:rFonts w:hint="eastAsia" w:ascii="微软雅黑" w:hAnsi="微软雅黑" w:eastAsia="微软雅黑" w:cs="微软雅黑"/>
                <w:b w:val="0"/>
                <w:bCs w:val="0"/>
                <w:color w:val="auto"/>
                <w:kern w:val="0"/>
                <w:sz w:val="18"/>
                <w:szCs w:val="18"/>
                <w:highlight w:val="none"/>
                <w:lang w:val="en-US" w:eastAsia="zh-CN"/>
              </w:rPr>
              <w:t>15</w:t>
            </w:r>
          </w:p>
        </w:tc>
        <w:tc>
          <w:tcPr>
            <w:tcW w:w="6076" w:type="dxa"/>
            <w:shd w:val="clear" w:color="auto" w:fill="auto"/>
            <w:vAlign w:val="center"/>
          </w:tcPr>
          <w:p>
            <w:pPr>
              <w:pStyle w:val="8"/>
              <w:keepNext w:val="0"/>
              <w:keepLines w:val="0"/>
              <w:pageBreakBefore w:val="0"/>
              <w:numPr>
                <w:ilvl w:val="0"/>
                <w:numId w:val="0"/>
              </w:numPr>
              <w:kinsoku/>
              <w:wordWrap/>
              <w:overflowPunct/>
              <w:topLinePunct w:val="0"/>
              <w:bidi w:val="0"/>
              <w:snapToGrid/>
              <w:spacing w:line="280" w:lineRule="exact"/>
              <w:ind w:leftChars="0"/>
              <w:textAlignment w:val="auto"/>
              <w:rPr>
                <w:rFonts w:hint="eastAsia" w:ascii="微软雅黑" w:hAnsi="微软雅黑" w:eastAsia="微软雅黑" w:cs="微软雅黑"/>
                <w:b w:val="0"/>
                <w:bCs w:val="0"/>
                <w:color w:val="auto"/>
                <w:sz w:val="18"/>
                <w:szCs w:val="18"/>
              </w:rPr>
            </w:pPr>
            <w:r>
              <w:rPr>
                <w:rFonts w:hint="eastAsia" w:ascii="微软雅黑" w:hAnsi="微软雅黑" w:eastAsia="微软雅黑" w:cs="微软雅黑"/>
                <w:b w:val="0"/>
                <w:bCs w:val="0"/>
                <w:color w:val="auto"/>
                <w:sz w:val="18"/>
                <w:szCs w:val="18"/>
              </w:rPr>
              <w:t>为保证服务质量，加强对突发事件、紧急事件的控制，供应商</w:t>
            </w:r>
            <w:r>
              <w:rPr>
                <w:rFonts w:hint="eastAsia" w:ascii="微软雅黑" w:hAnsi="微软雅黑" w:eastAsia="微软雅黑" w:cs="微软雅黑"/>
                <w:b w:val="0"/>
                <w:bCs w:val="0"/>
                <w:color w:val="auto"/>
                <w:sz w:val="18"/>
                <w:szCs w:val="18"/>
                <w:lang w:val="en-US" w:eastAsia="zh-CN"/>
              </w:rPr>
              <w:t>须</w:t>
            </w:r>
            <w:r>
              <w:rPr>
                <w:rFonts w:hint="eastAsia" w:ascii="微软雅黑" w:hAnsi="微软雅黑" w:eastAsia="微软雅黑" w:cs="微软雅黑"/>
                <w:b w:val="0"/>
                <w:bCs w:val="0"/>
                <w:color w:val="auto"/>
                <w:sz w:val="18"/>
                <w:szCs w:val="18"/>
              </w:rPr>
              <w:t>制定本项目突发事件处置预案，写明面对突发事件的应急处理方法，包含：人员伤亡事故、</w:t>
            </w:r>
            <w:r>
              <w:rPr>
                <w:rFonts w:hint="eastAsia" w:ascii="微软雅黑" w:hAnsi="微软雅黑" w:eastAsia="微软雅黑" w:cs="微软雅黑"/>
                <w:b w:val="0"/>
                <w:bCs w:val="0"/>
                <w:color w:val="auto"/>
                <w:sz w:val="18"/>
                <w:szCs w:val="18"/>
                <w:lang w:val="en-US" w:eastAsia="zh-CN"/>
              </w:rPr>
              <w:t>交通车辆故障、食物中毒</w:t>
            </w:r>
            <w:r>
              <w:rPr>
                <w:rFonts w:hint="eastAsia" w:ascii="微软雅黑" w:hAnsi="微软雅黑" w:eastAsia="微软雅黑" w:cs="微软雅黑"/>
                <w:b w:val="0"/>
                <w:bCs w:val="0"/>
                <w:color w:val="auto"/>
                <w:sz w:val="18"/>
                <w:szCs w:val="18"/>
              </w:rPr>
              <w:t>等。建立完善的预防机制，指定专人负责，对潜在危险可能出现的紧急情况，制定相应的处理办法，以保证</w:t>
            </w:r>
            <w:r>
              <w:rPr>
                <w:rFonts w:hint="eastAsia" w:ascii="微软雅黑" w:hAnsi="微软雅黑" w:eastAsia="微软雅黑" w:cs="微软雅黑"/>
                <w:b w:val="0"/>
                <w:bCs w:val="0"/>
                <w:color w:val="auto"/>
                <w:sz w:val="18"/>
                <w:szCs w:val="18"/>
                <w:lang w:val="en-US" w:eastAsia="zh-CN"/>
              </w:rPr>
              <w:t>每批次培训活动顺利进行</w:t>
            </w:r>
            <w:r>
              <w:rPr>
                <w:rFonts w:hint="eastAsia" w:ascii="微软雅黑" w:hAnsi="微软雅黑" w:eastAsia="微软雅黑" w:cs="微软雅黑"/>
                <w:b w:val="0"/>
                <w:bCs w:val="0"/>
                <w:color w:val="auto"/>
                <w:sz w:val="18"/>
                <w:szCs w:val="18"/>
              </w:rPr>
              <w:t>。</w:t>
            </w:r>
          </w:p>
          <w:p>
            <w:pPr>
              <w:keepNext w:val="0"/>
              <w:keepLines w:val="0"/>
              <w:pageBreakBefore w:val="0"/>
              <w:numPr>
                <w:ilvl w:val="0"/>
                <w:numId w:val="9"/>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color w:val="auto"/>
                <w:sz w:val="18"/>
                <w:szCs w:val="18"/>
                <w:lang w:val="en-US" w:eastAsia="zh-CN"/>
              </w:rPr>
              <w:t>供应商有完善的预防机制，有专人负责对突发事件进行处理，对各种突发事项有相应的处理方案，方案内容全面，有正对性、贴合项目的实际情况，文字表述清晰明了的得15分，</w:t>
            </w:r>
          </w:p>
          <w:p>
            <w:pPr>
              <w:keepNext w:val="0"/>
              <w:keepLines w:val="0"/>
              <w:pageBreakBefore w:val="0"/>
              <w:numPr>
                <w:ilvl w:val="0"/>
                <w:numId w:val="9"/>
              </w:numPr>
              <w:kinsoku/>
              <w:wordWrap/>
              <w:overflowPunct/>
              <w:topLinePunct w:val="0"/>
              <w:bidi w:val="0"/>
              <w:snapToGrid/>
              <w:spacing w:line="280" w:lineRule="exact"/>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color w:val="auto"/>
                <w:sz w:val="18"/>
                <w:szCs w:val="18"/>
                <w:lang w:val="en-US" w:eastAsia="zh-CN"/>
              </w:rPr>
              <w:t>供应商有的预防机制，有专人负责对突发事件进行处理，对各种突发事项有相应的处理方案，方案内容全面，但是无正对性，基本贴合项目实际情况的得13分；</w:t>
            </w:r>
          </w:p>
          <w:p>
            <w:pPr>
              <w:keepNext w:val="0"/>
              <w:keepLines w:val="0"/>
              <w:pageBreakBefore w:val="0"/>
              <w:kinsoku/>
              <w:wordWrap/>
              <w:overflowPunct/>
              <w:topLinePunct w:val="0"/>
              <w:bidi w:val="0"/>
              <w:snapToGrid/>
              <w:spacing w:line="280" w:lineRule="exact"/>
              <w:textAlignment w:val="auto"/>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sz w:val="18"/>
                <w:szCs w:val="18"/>
                <w:lang w:val="en-US" w:eastAsia="zh-CN"/>
              </w:rPr>
              <w:t>3、</w:t>
            </w:r>
            <w:r>
              <w:rPr>
                <w:rFonts w:hint="eastAsia" w:ascii="微软雅黑" w:hAnsi="微软雅黑" w:eastAsia="微软雅黑" w:cs="微软雅黑"/>
                <w:b w:val="0"/>
                <w:bCs w:val="0"/>
                <w:color w:val="auto"/>
                <w:sz w:val="18"/>
                <w:szCs w:val="18"/>
                <w:lang w:val="en-US" w:eastAsia="zh-CN"/>
              </w:rPr>
              <w:t>供应商有的预防机制、有人对突发事件进行处理、对各种突发事项有处理方案，但方案内容不全，且无正对性，勉强贴合项目实际情况的得10分；4、预防机制不完善、无人负责突发事件处理、对各种突发事件没有相应的处理方案、突发事件、处理方案无针对性、与项目实际情况不相符的不得分</w:t>
            </w:r>
          </w:p>
        </w:tc>
        <w:tc>
          <w:tcPr>
            <w:tcW w:w="134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 w:val="0"/>
                <w:bCs w:val="0"/>
                <w:color w:val="auto"/>
                <w:sz w:val="18"/>
                <w:szCs w:val="18"/>
                <w:highlight w:val="none"/>
              </w:rPr>
            </w:pPr>
          </w:p>
        </w:tc>
      </w:tr>
    </w:tbl>
    <w:p>
      <w:pPr>
        <w:pStyle w:val="7"/>
        <w:ind w:left="0" w:leftChars="0" w:firstLine="0" w:firstLineChars="0"/>
        <w:rPr>
          <w:rFonts w:hint="eastAsia" w:ascii="宋体" w:hAnsi="宋体" w:eastAsia="宋体" w:cs="宋体"/>
          <w:b/>
          <w:color w:val="auto"/>
          <w:sz w:val="32"/>
          <w:highlight w:val="none"/>
        </w:rPr>
      </w:pPr>
    </w:p>
    <w:p>
      <w:pPr>
        <w:pStyle w:val="8"/>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pStyle w:val="9"/>
        <w:rPr>
          <w:rFonts w:hint="eastAsia"/>
        </w:rPr>
      </w:pPr>
    </w:p>
    <w:p>
      <w:pP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outlineLvl w:val="9"/>
        <w:rPr>
          <w:rFonts w:hint="eastAsia"/>
        </w:rPr>
      </w:pPr>
    </w:p>
    <w:p>
      <w:pPr>
        <w:spacing w:line="240" w:lineRule="atLeast"/>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磋 商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color w:val="auto"/>
          <w:sz w:val="40"/>
          <w:szCs w:val="40"/>
          <w:highlight w:val="none"/>
          <w:lang w:val="en-US" w:eastAsia="zh-CN"/>
        </w:rPr>
        <w:t>KSJC</w:t>
      </w:r>
      <w:r>
        <w:rPr>
          <w:rFonts w:hint="eastAsia" w:ascii="宋体" w:hAnsi="宋体" w:cs="宋体"/>
          <w:b/>
          <w:color w:val="auto"/>
          <w:sz w:val="40"/>
          <w:szCs w:val="40"/>
          <w:highlight w:val="none"/>
          <w:lang w:eastAsia="zh-CN"/>
        </w:rPr>
        <w:t>(CS)23-008</w:t>
      </w:r>
    </w:p>
    <w:p>
      <w:pPr>
        <w:pStyle w:val="7"/>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spacing w:line="240" w:lineRule="atLeast"/>
        <w:jc w:val="center"/>
        <w:outlineLvl w:val="9"/>
        <w:rPr>
          <w:rFonts w:hint="eastAsia" w:ascii="宋体" w:hAnsi="宋体" w:eastAsia="宋体" w:cs="宋体"/>
          <w:b/>
          <w:color w:val="auto"/>
          <w:sz w:val="40"/>
          <w:szCs w:val="40"/>
          <w:highlight w:val="none"/>
        </w:rPr>
      </w:pPr>
      <w:bookmarkStart w:id="926" w:name="_Toc28750"/>
      <w:bookmarkStart w:id="927" w:name="_Toc22799"/>
      <w:bookmarkStart w:id="928" w:name="_Toc7062"/>
      <w:bookmarkStart w:id="929" w:name="_Toc4522"/>
      <w:bookmarkStart w:id="930" w:name="_Toc30135"/>
      <w:bookmarkStart w:id="931" w:name="_Toc16427"/>
      <w:bookmarkStart w:id="932" w:name="_Toc25236"/>
      <w:bookmarkStart w:id="933" w:name="_Toc770"/>
      <w:bookmarkStart w:id="934" w:name="_Toc25543"/>
      <w:bookmarkStart w:id="935" w:name="_Toc17537"/>
      <w:bookmarkStart w:id="936" w:name="_Toc29605"/>
      <w:bookmarkStart w:id="937" w:name="_Toc997"/>
      <w:bookmarkStart w:id="938" w:name="_Toc5580"/>
      <w:bookmarkStart w:id="939" w:name="_Toc20854"/>
      <w:bookmarkStart w:id="940" w:name="_Toc8709"/>
      <w:bookmarkStart w:id="941" w:name="_Toc24544"/>
      <w:bookmarkStart w:id="942" w:name="_Toc11428"/>
      <w:bookmarkStart w:id="943" w:name="_Toc30107"/>
      <w:bookmarkStart w:id="944" w:name="_Toc32424"/>
      <w:bookmarkStart w:id="945" w:name="_Toc10296"/>
      <w:bookmarkStart w:id="946" w:name="_Toc8381"/>
      <w:r>
        <w:rPr>
          <w:rFonts w:hint="eastAsia" w:ascii="宋体" w:hAnsi="宋体" w:eastAsia="宋体" w:cs="宋体"/>
          <w:b/>
          <w:color w:val="auto"/>
          <w:sz w:val="40"/>
          <w:szCs w:val="40"/>
          <w:highlight w:val="none"/>
        </w:rPr>
        <w:t>第 三 册</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7"/>
        <w:rPr>
          <w:rFonts w:hint="eastAsia" w:ascii="宋体" w:hAnsi="宋体" w:eastAsia="宋体" w:cs="宋体"/>
          <w:b/>
          <w:color w:val="auto"/>
          <w:sz w:val="52"/>
          <w:highlight w:val="none"/>
        </w:rPr>
      </w:pPr>
    </w:p>
    <w:p>
      <w:pPr>
        <w:pStyle w:val="7"/>
        <w:rPr>
          <w:rFonts w:hint="eastAsia" w:ascii="宋体" w:hAnsi="宋体" w:eastAsia="宋体" w:cs="宋体"/>
          <w:b/>
          <w:color w:val="auto"/>
          <w:sz w:val="52"/>
          <w:highlight w:val="none"/>
        </w:rPr>
      </w:pPr>
    </w:p>
    <w:p>
      <w:pPr>
        <w:pStyle w:val="7"/>
        <w:rPr>
          <w:rFonts w:hint="eastAsia" w:ascii="宋体" w:hAnsi="宋体" w:eastAsia="宋体" w:cs="宋体"/>
          <w:b/>
          <w:color w:val="auto"/>
          <w:sz w:val="52"/>
          <w:highlight w:val="none"/>
        </w:rPr>
      </w:pPr>
    </w:p>
    <w:p>
      <w:pPr>
        <w:spacing w:line="240" w:lineRule="atLeast"/>
        <w:jc w:val="both"/>
        <w:rPr>
          <w:rFonts w:hint="eastAsia" w:ascii="宋体" w:hAnsi="宋体" w:eastAsia="宋体" w:cs="宋体"/>
          <w:b/>
          <w:color w:val="auto"/>
          <w:sz w:val="52"/>
          <w:highlight w:val="none"/>
        </w:rPr>
        <w:sectPr>
          <w:headerReference r:id="rId11" w:type="default"/>
          <w:pgSz w:w="11907" w:h="16840"/>
          <w:pgMar w:top="1474" w:right="1814" w:bottom="1474" w:left="1814" w:header="851" w:footer="851" w:gutter="0"/>
          <w:pgNumType w:fmt="decimal"/>
          <w:cols w:space="720" w:num="1"/>
          <w:docGrid w:linePitch="462" w:charSpace="0"/>
        </w:sectPr>
      </w:pPr>
    </w:p>
    <w:bookmarkEnd w:id="925"/>
    <w:p>
      <w:pPr>
        <w:pStyle w:val="3"/>
        <w:shd w:val="clear"/>
        <w:tabs>
          <w:tab w:val="left" w:pos="0"/>
        </w:tabs>
        <w:spacing w:before="0" w:after="0" w:line="240" w:lineRule="atLeast"/>
        <w:ind w:left="-15"/>
        <w:outlineLvl w:val="0"/>
        <w:rPr>
          <w:rFonts w:hint="eastAsia" w:ascii="宋体" w:hAnsi="宋体" w:eastAsia="宋体" w:cs="宋体"/>
          <w:color w:val="auto"/>
          <w:sz w:val="32"/>
          <w:szCs w:val="32"/>
          <w:highlight w:val="none"/>
        </w:rPr>
      </w:pPr>
      <w:bookmarkStart w:id="947" w:name="_Toc12263"/>
      <w:bookmarkStart w:id="948" w:name="_Toc1697"/>
      <w:bookmarkStart w:id="949" w:name="_Toc20076"/>
      <w:r>
        <w:rPr>
          <w:rFonts w:hint="eastAsia" w:ascii="宋体" w:hAnsi="宋体" w:eastAsia="宋体" w:cs="宋体"/>
          <w:b/>
          <w:bCs/>
          <w:color w:val="auto"/>
          <w:sz w:val="32"/>
          <w:szCs w:val="32"/>
          <w:highlight w:val="none"/>
        </w:rPr>
        <w:t>第7章 政府采购合同</w:t>
      </w:r>
      <w:bookmarkEnd w:id="947"/>
      <w:bookmarkEnd w:id="948"/>
      <w:bookmarkEnd w:id="949"/>
      <w:bookmarkStart w:id="950" w:name="_Toc487900382"/>
      <w:bookmarkEnd w:id="950"/>
      <w:bookmarkStart w:id="951" w:name="_Hlt487972895"/>
      <w:bookmarkEnd w:id="951"/>
      <w:bookmarkStart w:id="952" w:name="_Toc216513788"/>
      <w:bookmarkEnd w:id="952"/>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合同编号：           </w:t>
      </w:r>
    </w:p>
    <w:p>
      <w:pPr>
        <w:shd w:val="clear"/>
        <w:outlineLvl w:val="9"/>
        <w:rPr>
          <w:rFonts w:hint="eastAsia" w:ascii="宋体" w:hAnsi="宋体" w:eastAsia="宋体" w:cs="宋体"/>
          <w:color w:val="auto"/>
          <w:szCs w:val="21"/>
          <w:highlight w:val="none"/>
        </w:rPr>
      </w:pPr>
    </w:p>
    <w:p>
      <w:pPr>
        <w:shd w:val="clear"/>
        <w:spacing w:line="50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政府采购合同参考范本</w:t>
      </w:r>
    </w:p>
    <w:p>
      <w:pPr>
        <w:shd w:val="clear"/>
        <w:spacing w:line="50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（货物类）</w:t>
      </w:r>
    </w:p>
    <w:p>
      <w:pPr>
        <w:shd w:val="clear"/>
        <w:outlineLvl w:val="9"/>
        <w:rPr>
          <w:rFonts w:hint="eastAsia" w:ascii="宋体" w:hAnsi="宋体" w:eastAsia="宋体" w:cs="宋体"/>
          <w:color w:val="auto"/>
          <w:szCs w:val="21"/>
          <w:highlight w:val="none"/>
        </w:rPr>
      </w:pPr>
    </w:p>
    <w:p>
      <w:pPr>
        <w:shd w:val="clear"/>
        <w:outlineLvl w:val="9"/>
        <w:rPr>
          <w:rFonts w:hint="eastAsia" w:ascii="宋体" w:hAnsi="宋体" w:eastAsia="宋体" w:cs="宋体"/>
          <w:color w:val="auto"/>
          <w:szCs w:val="21"/>
          <w:highlight w:val="none"/>
        </w:rPr>
      </w:pPr>
    </w:p>
    <w:p>
      <w:pPr>
        <w:pStyle w:val="34"/>
        <w:shd w:val="clear"/>
        <w:spacing w:line="360" w:lineRule="exact"/>
        <w:ind w:firstLine="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合同书</w:t>
      </w:r>
    </w:p>
    <w:p>
      <w:pPr>
        <w:shd w:val="clear"/>
        <w:outlineLvl w:val="9"/>
        <w:rPr>
          <w:rFonts w:hint="eastAsia" w:ascii="宋体" w:hAnsi="宋体" w:eastAsia="宋体" w:cs="宋体"/>
          <w:color w:val="auto"/>
          <w:szCs w:val="21"/>
          <w:highlight w:val="none"/>
        </w:rPr>
      </w:pPr>
    </w:p>
    <w:p>
      <w:pPr>
        <w:shd w:val="clear"/>
        <w:spacing w:before="120" w:line="360" w:lineRule="exact"/>
        <w:ind w:left="96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pStyle w:val="35"/>
        <w:shd w:val="clear"/>
        <w:spacing w:before="120" w:line="360" w:lineRule="exact"/>
        <w:outlineLvl w:val="9"/>
        <w:rPr>
          <w:rFonts w:hint="eastAsia" w:ascii="宋体" w:hAnsi="宋体" w:eastAsia="宋体" w:cs="宋体"/>
          <w:color w:val="auto"/>
          <w:sz w:val="21"/>
          <w:szCs w:val="21"/>
          <w:highlight w:val="none"/>
        </w:rPr>
      </w:pPr>
    </w:p>
    <w:p>
      <w:pPr>
        <w:pStyle w:val="35"/>
        <w:shd w:val="clear"/>
        <w:spacing w:before="120" w:line="360" w:lineRule="exact"/>
        <w:outlineLvl w:val="9"/>
        <w:rPr>
          <w:rFonts w:hint="eastAsia" w:ascii="宋体" w:hAnsi="宋体" w:eastAsia="宋体" w:cs="宋体"/>
          <w:color w:val="auto"/>
          <w:sz w:val="21"/>
          <w:szCs w:val="21"/>
          <w:highlight w:val="none"/>
        </w:rPr>
      </w:pPr>
    </w:p>
    <w:p>
      <w:pPr>
        <w:shd w:val="clear"/>
        <w:spacing w:line="360" w:lineRule="exact"/>
        <w:outlineLvl w:val="9"/>
        <w:rPr>
          <w:rFonts w:hint="eastAsia" w:ascii="宋体" w:hAnsi="宋体" w:eastAsia="宋体" w:cs="宋体"/>
          <w:color w:val="auto"/>
          <w:szCs w:val="21"/>
          <w:highlight w:val="none"/>
        </w:rPr>
      </w:pPr>
    </w:p>
    <w:p>
      <w:pPr>
        <w:shd w:val="clear"/>
        <w:spacing w:before="120" w:line="360" w:lineRule="exact"/>
        <w:ind w:left="96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pPr>
        <w:shd w:val="clear"/>
        <w:spacing w:before="120" w:line="360" w:lineRule="exact"/>
        <w:outlineLvl w:val="9"/>
        <w:rPr>
          <w:rFonts w:hint="eastAsia" w:ascii="宋体" w:hAnsi="宋体" w:eastAsia="宋体" w:cs="宋体"/>
          <w:color w:val="auto"/>
          <w:szCs w:val="21"/>
          <w:highlight w:val="none"/>
        </w:rPr>
      </w:pPr>
    </w:p>
    <w:p>
      <w:pPr>
        <w:shd w:val="clear"/>
        <w:spacing w:before="120" w:line="360" w:lineRule="exact"/>
        <w:ind w:left="96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pPr>
        <w:shd w:val="clear"/>
        <w:spacing w:before="120" w:line="360" w:lineRule="exact"/>
        <w:outlineLvl w:val="9"/>
        <w:rPr>
          <w:rFonts w:hint="eastAsia" w:ascii="宋体" w:hAnsi="宋体" w:eastAsia="宋体" w:cs="宋体"/>
          <w:color w:val="auto"/>
          <w:szCs w:val="21"/>
          <w:highlight w:val="none"/>
        </w:rPr>
      </w:pPr>
    </w:p>
    <w:p>
      <w:pPr>
        <w:shd w:val="clear"/>
        <w:spacing w:before="120" w:line="360" w:lineRule="exact"/>
        <w:ind w:firstLine="840" w:firstLineChars="4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pPr>
        <w:shd w:val="clear"/>
        <w:spacing w:before="120" w:line="360" w:lineRule="exact"/>
        <w:outlineLvl w:val="9"/>
        <w:rPr>
          <w:rFonts w:hint="eastAsia" w:ascii="宋体" w:hAnsi="宋体" w:eastAsia="宋体" w:cs="宋体"/>
          <w:color w:val="auto"/>
          <w:szCs w:val="21"/>
          <w:highlight w:val="none"/>
        </w:rPr>
      </w:pPr>
    </w:p>
    <w:p>
      <w:pPr>
        <w:shd w:val="clear"/>
        <w:spacing w:before="120" w:line="360" w:lineRule="exact"/>
        <w:ind w:firstLine="840" w:firstLineChars="4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hd w:val="clear"/>
        <w:autoSpaceDE w:val="0"/>
        <w:autoSpaceDN w:val="0"/>
        <w:adjustRightInd w:val="0"/>
        <w:spacing w:line="360" w:lineRule="exact"/>
        <w:ind w:firstLine="640"/>
        <w:jc w:val="center"/>
        <w:outlineLvl w:val="9"/>
        <w:rPr>
          <w:rFonts w:hint="eastAsia" w:ascii="宋体" w:hAnsi="宋体" w:eastAsia="宋体" w:cs="宋体"/>
          <w:color w:val="auto"/>
          <w:szCs w:val="21"/>
          <w:highlight w:val="none"/>
        </w:rPr>
        <w:sectPr>
          <w:headerReference r:id="rId12" w:type="default"/>
          <w:pgSz w:w="11907" w:h="16840"/>
          <w:pgMar w:top="1474" w:right="1814" w:bottom="1474" w:left="1814" w:header="851" w:footer="851" w:gutter="0"/>
          <w:pgNumType w:fmt="decimal"/>
          <w:cols w:space="720" w:num="1"/>
          <w:docGrid w:linePitch="462" w:charSpace="0"/>
        </w:sectPr>
      </w:pPr>
    </w:p>
    <w:p>
      <w:pPr>
        <w:shd w:val="clear"/>
        <w:spacing w:line="360" w:lineRule="exact"/>
        <w:ind w:firstLine="420" w:firstLineChars="200"/>
        <w:outlineLvl w:val="9"/>
        <w:rPr>
          <w:rFonts w:hint="eastAsia" w:ascii="宋体" w:hAnsi="宋体" w:eastAsia="宋体" w:cs="宋体"/>
          <w:color w:val="auto"/>
          <w:szCs w:val="21"/>
          <w:highlight w:val="none"/>
        </w:rPr>
      </w:pPr>
      <w:bookmarkStart w:id="953" w:name="_Toc2659"/>
      <w:bookmarkStart w:id="954" w:name="_Toc3029"/>
      <w:bookmarkStart w:id="955" w:name="_Toc24059"/>
      <w:bookmarkStart w:id="956" w:name="_Toc1846"/>
      <w:bookmarkStart w:id="957" w:name="_Toc26721"/>
      <w:bookmarkStart w:id="958" w:name="_Toc2232"/>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（采购人名称）   </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u w:val="single"/>
        </w:rPr>
        <w:t xml:space="preserve">   （政府采购方式）  </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u w:val="single"/>
        </w:rPr>
        <w:t xml:space="preserve">   （同前页项目名称）   </w:t>
      </w:r>
      <w:r>
        <w:rPr>
          <w:rFonts w:hint="eastAsia" w:ascii="宋体" w:hAnsi="宋体" w:eastAsia="宋体" w:cs="宋体"/>
          <w:color w:val="auto"/>
          <w:szCs w:val="21"/>
          <w:highlight w:val="none"/>
        </w:rPr>
        <w:t>项目进行了采购。经</w:t>
      </w:r>
      <w:r>
        <w:rPr>
          <w:rFonts w:hint="eastAsia" w:ascii="宋体" w:hAnsi="宋体" w:eastAsia="宋体" w:cs="宋体"/>
          <w:color w:val="auto"/>
          <w:szCs w:val="21"/>
          <w:highlight w:val="none"/>
          <w:u w:val="single"/>
        </w:rPr>
        <w:t xml:space="preserve">   （相关评定主体名称）   </w:t>
      </w:r>
      <w:r>
        <w:rPr>
          <w:rFonts w:hint="eastAsia" w:ascii="宋体" w:hAnsi="宋体" w:eastAsia="宋体" w:cs="宋体"/>
          <w:color w:val="auto"/>
          <w:szCs w:val="21"/>
          <w:highlight w:val="none"/>
        </w:rPr>
        <w:t>评定，</w:t>
      </w:r>
      <w:r>
        <w:rPr>
          <w:rFonts w:hint="eastAsia" w:ascii="宋体" w:hAnsi="宋体" w:eastAsia="宋体" w:cs="宋体"/>
          <w:color w:val="auto"/>
          <w:szCs w:val="21"/>
          <w:highlight w:val="none"/>
          <w:u w:val="single"/>
        </w:rPr>
        <w:t xml:space="preserve">   （中标供应商名称）</w:t>
      </w:r>
      <w:r>
        <w:rPr>
          <w:rFonts w:hint="eastAsia" w:ascii="宋体" w:hAnsi="宋体" w:eastAsia="宋体" w:cs="宋体"/>
          <w:color w:val="auto"/>
          <w:szCs w:val="21"/>
          <w:highlight w:val="none"/>
        </w:rPr>
        <w:t>为该项目中标供应商。现于中标通知书发出之日起三十日内，按照采购文件确定的事项签订本合同。</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根据《中华人民共和国</w:t>
      </w:r>
      <w:r>
        <w:rPr>
          <w:rFonts w:hint="eastAsia" w:ascii="宋体" w:hAnsi="宋体" w:eastAsia="宋体" w:cs="宋体"/>
          <w:color w:val="auto"/>
          <w:szCs w:val="21"/>
          <w:highlight w:val="none"/>
        </w:rPr>
        <w:t>民法典</w:t>
      </w:r>
      <w:r>
        <w:rPr>
          <w:rFonts w:hint="eastAsia" w:ascii="宋体" w:hAnsi="宋体" w:eastAsia="宋体" w:cs="宋体"/>
          <w:color w:val="auto"/>
          <w:szCs w:val="21"/>
          <w:highlight w:val="none"/>
          <w:lang w:val="zh-CN"/>
        </w:rPr>
        <w:t>》、《中华人民共和国政府采购法》等相关法律法规之规定，按照平等、自愿、公平和诚实信用的原则，经</w:t>
      </w:r>
      <w:r>
        <w:rPr>
          <w:rFonts w:hint="eastAsia" w:ascii="宋体" w:hAnsi="宋体" w:eastAsia="宋体" w:cs="宋体"/>
          <w:color w:val="auto"/>
          <w:szCs w:val="21"/>
          <w:highlight w:val="none"/>
          <w:u w:val="single"/>
        </w:rPr>
        <w:t xml:space="preserve">   （采购人名称）   </w:t>
      </w:r>
      <w:r>
        <w:rPr>
          <w:rFonts w:hint="eastAsia" w:ascii="宋体" w:hAnsi="宋体" w:eastAsia="宋体" w:cs="宋体"/>
          <w:color w:val="auto"/>
          <w:szCs w:val="21"/>
          <w:highlight w:val="none"/>
          <w:lang w:val="zh-CN"/>
        </w:rPr>
        <w:t>(以下简称：甲方)和</w:t>
      </w:r>
      <w:r>
        <w:rPr>
          <w:rFonts w:hint="eastAsia" w:ascii="宋体" w:hAnsi="宋体" w:eastAsia="宋体" w:cs="宋体"/>
          <w:color w:val="auto"/>
          <w:szCs w:val="21"/>
          <w:highlight w:val="none"/>
          <w:u w:val="single"/>
        </w:rPr>
        <w:t xml:space="preserve">   （中标供应商名称）   </w:t>
      </w:r>
      <w:r>
        <w:rPr>
          <w:rFonts w:hint="eastAsia" w:ascii="宋体" w:hAnsi="宋体" w:eastAsia="宋体" w:cs="宋体"/>
          <w:color w:val="auto"/>
          <w:szCs w:val="21"/>
          <w:highlight w:val="none"/>
          <w:lang w:val="zh-CN"/>
        </w:rPr>
        <w:t>(以下简称：乙方)协商一致，约定以下合同</w:t>
      </w:r>
      <w:r>
        <w:rPr>
          <w:rFonts w:hint="eastAsia" w:ascii="宋体" w:hAnsi="宋体" w:eastAsia="宋体" w:cs="宋体"/>
          <w:color w:val="auto"/>
          <w:szCs w:val="21"/>
          <w:highlight w:val="none"/>
        </w:rPr>
        <w:t>条款，以兹共同遵守、全面履行。</w:t>
      </w:r>
    </w:p>
    <w:bookmarkEnd w:id="953"/>
    <w:bookmarkEnd w:id="954"/>
    <w:bookmarkEnd w:id="955"/>
    <w:bookmarkEnd w:id="956"/>
    <w:bookmarkEnd w:id="957"/>
    <w:bookmarkEnd w:id="958"/>
    <w:p>
      <w:pPr>
        <w:shd w:val="clear"/>
        <w:spacing w:line="360" w:lineRule="exact"/>
        <w:ind w:firstLine="422" w:firstLineChars="200"/>
        <w:outlineLvl w:val="9"/>
        <w:rPr>
          <w:rFonts w:hint="eastAsia" w:ascii="宋体" w:hAnsi="宋体" w:eastAsia="宋体" w:cs="宋体"/>
          <w:b/>
          <w:color w:val="auto"/>
          <w:szCs w:val="21"/>
          <w:highlight w:val="none"/>
        </w:rPr>
      </w:pPr>
      <w:bookmarkStart w:id="959" w:name="_Toc14766"/>
      <w:bookmarkStart w:id="960" w:name="_Toc28090"/>
      <w:bookmarkStart w:id="961" w:name="_Toc4498"/>
      <w:bookmarkStart w:id="962" w:name="_Toc15723"/>
      <w:bookmarkStart w:id="963" w:name="_Toc23300"/>
      <w:bookmarkStart w:id="964" w:name="_Toc15183"/>
      <w:bookmarkStart w:id="965" w:name="_Toc4274"/>
      <w:bookmarkStart w:id="966" w:name="_Toc30575"/>
      <w:bookmarkStart w:id="967" w:name="_Toc299"/>
      <w:bookmarkStart w:id="968" w:name="_Toc24186"/>
      <w:bookmarkStart w:id="969" w:name="_Toc21386"/>
      <w:bookmarkStart w:id="970" w:name="_Toc2302"/>
      <w:bookmarkStart w:id="971" w:name="_Toc18344"/>
      <w:bookmarkStart w:id="972" w:name="_Toc937"/>
      <w:bookmarkStart w:id="973" w:name="_Toc29751"/>
      <w:bookmarkStart w:id="974" w:name="_Toc4751"/>
      <w:bookmarkStart w:id="975" w:name="_Toc120"/>
      <w:bookmarkStart w:id="976" w:name="_Toc18247"/>
      <w:bookmarkStart w:id="977" w:name="_Toc20877"/>
      <w:bookmarkStart w:id="978" w:name="_Toc25352"/>
      <w:bookmarkStart w:id="979" w:name="_Toc14426"/>
      <w:bookmarkStart w:id="980" w:name="_Toc13018"/>
      <w:bookmarkStart w:id="981" w:name="_Toc4279"/>
      <w:bookmarkStart w:id="982" w:name="_Toc30797"/>
      <w:bookmarkStart w:id="983" w:name="_Toc24923"/>
      <w:bookmarkStart w:id="984" w:name="_Toc6038"/>
      <w:bookmarkStart w:id="985" w:name="_Toc15590"/>
      <w:bookmarkStart w:id="986" w:name="_Toc21329"/>
      <w:bookmarkStart w:id="987" w:name="_Toc12771"/>
      <w:r>
        <w:rPr>
          <w:rFonts w:hint="eastAsia" w:ascii="宋体" w:hAnsi="宋体" w:eastAsia="宋体" w:cs="宋体"/>
          <w:b/>
          <w:color w:val="auto"/>
          <w:szCs w:val="21"/>
          <w:highlight w:val="none"/>
        </w:rPr>
        <w:t>1.1 合同组成部分</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本合同及其补充合同、变更协议；</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中标通知书；</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投标文件（含澄清或者说明文件）；</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1.1.4 </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（含澄清或者修改文件）；</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其他相关采购文件。</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988" w:name="_Toc4957"/>
      <w:bookmarkStart w:id="989" w:name="_Toc25735"/>
      <w:bookmarkStart w:id="990" w:name="_Toc31638"/>
      <w:bookmarkStart w:id="991" w:name="_Toc12726"/>
      <w:bookmarkStart w:id="992" w:name="_Toc31195"/>
      <w:bookmarkStart w:id="993" w:name="_Toc19432"/>
      <w:bookmarkStart w:id="994" w:name="_Toc1321"/>
      <w:bookmarkStart w:id="995" w:name="_Toc19377"/>
      <w:bookmarkStart w:id="996" w:name="_Toc9006"/>
      <w:bookmarkStart w:id="997" w:name="_Toc9161"/>
      <w:bookmarkStart w:id="998" w:name="_Toc1446"/>
      <w:bookmarkStart w:id="999" w:name="_Toc16086"/>
      <w:bookmarkStart w:id="1000" w:name="_Toc27126"/>
      <w:bookmarkStart w:id="1001" w:name="_Toc1557"/>
      <w:bookmarkStart w:id="1002" w:name="_Toc7977"/>
      <w:bookmarkStart w:id="1003" w:name="_Toc19336"/>
      <w:bookmarkStart w:id="1004" w:name="_Toc8057"/>
      <w:bookmarkStart w:id="1005" w:name="_Toc27318"/>
      <w:bookmarkStart w:id="1006" w:name="_Toc21217"/>
      <w:bookmarkStart w:id="1007" w:name="_Toc14235"/>
      <w:bookmarkStart w:id="1008" w:name="_Toc17766"/>
      <w:bookmarkStart w:id="1009" w:name="_Toc28577"/>
      <w:bookmarkStart w:id="1010" w:name="_Toc25402"/>
      <w:bookmarkStart w:id="1011" w:name="_Toc23778"/>
      <w:bookmarkStart w:id="1012" w:name="_Toc20245"/>
      <w:bookmarkStart w:id="1013" w:name="_Toc15345"/>
      <w:bookmarkStart w:id="1014" w:name="_Toc4735"/>
      <w:bookmarkStart w:id="1015" w:name="_Toc8631"/>
      <w:bookmarkStart w:id="1016" w:name="_Toc5906"/>
      <w:bookmarkStart w:id="1017" w:name="_Toc26166"/>
      <w:bookmarkStart w:id="1018" w:name="_Toc20511"/>
      <w:bookmarkStart w:id="1019" w:name="_Toc24300"/>
      <w:bookmarkStart w:id="1020" w:name="_Toc30626"/>
      <w:bookmarkStart w:id="1021" w:name="_Toc13138"/>
      <w:bookmarkStart w:id="1022" w:name="_Toc21295"/>
      <w:r>
        <w:rPr>
          <w:rFonts w:hint="eastAsia" w:ascii="宋体" w:hAnsi="宋体" w:eastAsia="宋体" w:cs="宋体"/>
          <w:b/>
          <w:color w:val="auto"/>
          <w:szCs w:val="21"/>
          <w:highlight w:val="none"/>
        </w:rPr>
        <w:t>1.2 货物</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pPr>
        <w:shd w:val="clear"/>
        <w:spacing w:line="360" w:lineRule="exact"/>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1.2.1 货物名称：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 货物数量：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货物质量：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023" w:name="_Toc12266"/>
      <w:bookmarkStart w:id="1024" w:name="_Toc11045"/>
      <w:bookmarkStart w:id="1025" w:name="_Toc23292"/>
      <w:bookmarkStart w:id="1026" w:name="_Toc21040"/>
      <w:bookmarkStart w:id="1027" w:name="_Toc30755"/>
      <w:bookmarkStart w:id="1028" w:name="_Toc10942"/>
      <w:bookmarkStart w:id="1029" w:name="_Toc23693"/>
      <w:bookmarkStart w:id="1030" w:name="_Toc19682"/>
      <w:bookmarkStart w:id="1031" w:name="_Toc30667"/>
      <w:bookmarkStart w:id="1032" w:name="_Toc28204"/>
      <w:bookmarkStart w:id="1033" w:name="_Toc9147"/>
      <w:bookmarkStart w:id="1034" w:name="_Toc30734"/>
      <w:bookmarkStart w:id="1035" w:name="_Toc21551"/>
      <w:bookmarkStart w:id="1036" w:name="_Toc4513"/>
      <w:bookmarkStart w:id="1037" w:name="_Toc27282"/>
      <w:bookmarkStart w:id="1038" w:name="_Toc20800"/>
      <w:bookmarkStart w:id="1039" w:name="_Toc633"/>
      <w:bookmarkStart w:id="1040" w:name="_Toc14520"/>
      <w:bookmarkStart w:id="1041" w:name="_Toc25368"/>
      <w:bookmarkStart w:id="1042" w:name="_Toc14240"/>
      <w:bookmarkStart w:id="1043" w:name="_Toc29895"/>
      <w:bookmarkStart w:id="1044" w:name="_Toc20842"/>
      <w:bookmarkStart w:id="1045" w:name="_Toc21631"/>
      <w:bookmarkStart w:id="1046" w:name="_Toc9364"/>
      <w:bookmarkStart w:id="1047" w:name="_Toc1267"/>
      <w:bookmarkStart w:id="1048" w:name="_Toc5531"/>
      <w:bookmarkStart w:id="1049" w:name="_Toc18854"/>
      <w:bookmarkStart w:id="1050" w:name="_Toc19527"/>
      <w:bookmarkStart w:id="1051" w:name="_Toc27433"/>
      <w:bookmarkStart w:id="1052" w:name="_Toc1528"/>
      <w:bookmarkStart w:id="1053" w:name="_Toc4304"/>
      <w:bookmarkStart w:id="1054" w:name="_Toc13898"/>
      <w:bookmarkStart w:id="1055" w:name="_Toc8386"/>
      <w:bookmarkStart w:id="1056" w:name="_Toc25196"/>
      <w:bookmarkStart w:id="1057" w:name="_Toc23316"/>
      <w:r>
        <w:rPr>
          <w:rFonts w:hint="eastAsia" w:ascii="宋体" w:hAnsi="宋体" w:eastAsia="宋体" w:cs="宋体"/>
          <w:b/>
          <w:color w:val="auto"/>
          <w:szCs w:val="21"/>
          <w:highlight w:val="none"/>
        </w:rPr>
        <w:t>1.3 价款</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w:t>
      </w:r>
    </w:p>
    <w:p>
      <w:pPr>
        <w:shd w:val="clear"/>
        <w:spacing w:line="360" w:lineRule="exact"/>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分项价格：</w:t>
      </w:r>
    </w:p>
    <w:tbl>
      <w:tblPr>
        <w:tblStyle w:val="24"/>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36"/>
              <w:shd w:val="clear"/>
              <w:spacing w:line="360" w:lineRule="exact"/>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738"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分项名称</w:t>
            </w:r>
          </w:p>
        </w:tc>
        <w:tc>
          <w:tcPr>
            <w:tcW w:w="2803" w:type="dxa"/>
            <w:vAlign w:val="center"/>
          </w:tcPr>
          <w:p>
            <w:pPr>
              <w:pStyle w:val="36"/>
              <w:shd w:val="clear"/>
              <w:spacing w:line="360" w:lineRule="exact"/>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p>
        </w:tc>
        <w:tc>
          <w:tcPr>
            <w:tcW w:w="3738"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p>
        </w:tc>
        <w:tc>
          <w:tcPr>
            <w:tcW w:w="2803"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p>
        </w:tc>
        <w:tc>
          <w:tcPr>
            <w:tcW w:w="3738"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p>
        </w:tc>
        <w:tc>
          <w:tcPr>
            <w:tcW w:w="2803"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总价</w:t>
            </w:r>
          </w:p>
        </w:tc>
        <w:tc>
          <w:tcPr>
            <w:tcW w:w="2803" w:type="dxa"/>
            <w:vAlign w:val="center"/>
          </w:tcPr>
          <w:p>
            <w:pPr>
              <w:pStyle w:val="36"/>
              <w:shd w:val="clear"/>
              <w:spacing w:line="360" w:lineRule="exact"/>
              <w:ind w:firstLine="200"/>
              <w:jc w:val="center"/>
              <w:outlineLvl w:val="9"/>
              <w:rPr>
                <w:rFonts w:hint="eastAsia" w:ascii="宋体" w:hAnsi="宋体" w:eastAsia="宋体" w:cs="宋体"/>
                <w:color w:val="auto"/>
                <w:kern w:val="2"/>
                <w:sz w:val="21"/>
                <w:szCs w:val="21"/>
                <w:highlight w:val="none"/>
              </w:rPr>
            </w:pPr>
          </w:p>
        </w:tc>
      </w:tr>
    </w:tbl>
    <w:p>
      <w:pPr>
        <w:shd w:val="clear"/>
        <w:spacing w:line="360" w:lineRule="exact"/>
        <w:ind w:firstLine="422" w:firstLineChars="200"/>
        <w:outlineLvl w:val="9"/>
        <w:rPr>
          <w:rFonts w:hint="eastAsia" w:ascii="宋体" w:hAnsi="宋体" w:eastAsia="宋体" w:cs="宋体"/>
          <w:b/>
          <w:color w:val="auto"/>
          <w:szCs w:val="21"/>
          <w:highlight w:val="none"/>
        </w:rPr>
      </w:pPr>
      <w:bookmarkStart w:id="1058" w:name="_Toc25678"/>
      <w:bookmarkStart w:id="1059" w:name="_Toc7458"/>
      <w:bookmarkStart w:id="1060" w:name="_Toc27654"/>
      <w:bookmarkStart w:id="1061" w:name="_Toc1814"/>
      <w:bookmarkStart w:id="1062" w:name="_Toc4084"/>
      <w:bookmarkStart w:id="1063" w:name="_Toc20763"/>
      <w:bookmarkStart w:id="1064" w:name="_Toc28303"/>
      <w:bookmarkStart w:id="1065" w:name="_Toc31015"/>
      <w:bookmarkStart w:id="1066" w:name="_Toc2213"/>
      <w:bookmarkStart w:id="1067" w:name="_Toc9218"/>
      <w:bookmarkStart w:id="1068" w:name="_Toc2325"/>
      <w:bookmarkStart w:id="1069" w:name="_Toc12094"/>
      <w:bookmarkStart w:id="1070" w:name="_Toc7801"/>
      <w:bookmarkStart w:id="1071" w:name="_Toc24781"/>
      <w:bookmarkStart w:id="1072" w:name="_Toc9108"/>
      <w:bookmarkStart w:id="1073" w:name="_Toc10086"/>
      <w:bookmarkStart w:id="1074" w:name="_Toc10340"/>
      <w:bookmarkStart w:id="1075" w:name="_Toc4585"/>
      <w:bookmarkStart w:id="1076" w:name="_Toc26470"/>
      <w:bookmarkStart w:id="1077" w:name="_Toc20048"/>
      <w:bookmarkStart w:id="1078" w:name="_Toc5736"/>
      <w:bookmarkStart w:id="1079" w:name="_Toc7895"/>
      <w:bookmarkStart w:id="1080" w:name="_Toc21349"/>
      <w:bookmarkStart w:id="1081" w:name="_Toc4330"/>
      <w:bookmarkStart w:id="1082" w:name="_Toc31049"/>
      <w:bookmarkStart w:id="1083" w:name="_Toc27817"/>
      <w:bookmarkStart w:id="1084" w:name="_Toc9279"/>
      <w:bookmarkStart w:id="1085" w:name="_Toc26112"/>
      <w:bookmarkStart w:id="1086" w:name="_Toc28773"/>
      <w:bookmarkStart w:id="1087" w:name="_Toc30297"/>
      <w:bookmarkStart w:id="1088" w:name="_Toc30643"/>
      <w:bookmarkStart w:id="1089" w:name="_Toc25818"/>
      <w:r>
        <w:rPr>
          <w:rFonts w:hint="eastAsia" w:ascii="宋体" w:hAnsi="宋体" w:eastAsia="宋体" w:cs="宋体"/>
          <w:b/>
          <w:color w:val="auto"/>
          <w:szCs w:val="21"/>
          <w:highlight w:val="none"/>
        </w:rPr>
        <w:t>1.4 付款方式和发票开具方式</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付款方式：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发票开具方式：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090" w:name="_Toc26187"/>
      <w:bookmarkStart w:id="1091" w:name="_Toc3848"/>
      <w:bookmarkStart w:id="1092" w:name="_Toc30447"/>
      <w:bookmarkStart w:id="1093" w:name="_Toc4353"/>
      <w:bookmarkStart w:id="1094" w:name="_Toc32071"/>
      <w:bookmarkStart w:id="1095" w:name="_Toc32098"/>
      <w:bookmarkStart w:id="1096" w:name="_Toc27020"/>
      <w:bookmarkStart w:id="1097" w:name="_Toc30364"/>
      <w:bookmarkStart w:id="1098" w:name="_Toc28943"/>
      <w:bookmarkStart w:id="1099" w:name="_Toc14455"/>
      <w:bookmarkStart w:id="1100" w:name="_Toc2852"/>
      <w:bookmarkStart w:id="1101" w:name="_Toc7017"/>
      <w:bookmarkStart w:id="1102" w:name="_Toc24174"/>
      <w:bookmarkStart w:id="1103" w:name="_Toc6393"/>
      <w:bookmarkStart w:id="1104" w:name="_Toc2846"/>
      <w:bookmarkStart w:id="1105" w:name="_Toc16823"/>
      <w:bookmarkStart w:id="1106" w:name="_Toc19304"/>
      <w:bookmarkStart w:id="1107" w:name="_Toc9475"/>
      <w:bookmarkStart w:id="1108" w:name="_Toc10276"/>
      <w:bookmarkStart w:id="1109" w:name="_Toc25278"/>
      <w:bookmarkStart w:id="1110" w:name="_Toc9478"/>
      <w:bookmarkStart w:id="1111" w:name="_Toc10153"/>
      <w:bookmarkStart w:id="1112" w:name="_Toc2083"/>
      <w:bookmarkStart w:id="1113" w:name="_Toc2048"/>
      <w:bookmarkStart w:id="1114" w:name="_Toc22861"/>
      <w:bookmarkStart w:id="1115" w:name="_Toc14194"/>
      <w:bookmarkStart w:id="1116" w:name="_Toc30563"/>
      <w:bookmarkStart w:id="1117" w:name="_Toc26842"/>
      <w:bookmarkStart w:id="1118" w:name="_Toc26095"/>
      <w:bookmarkStart w:id="1119" w:name="_Toc17448"/>
      <w:bookmarkStart w:id="1120" w:name="_Toc17179"/>
      <w:bookmarkStart w:id="1121" w:name="_Toc4501"/>
      <w:bookmarkStart w:id="1122" w:name="_Toc23735"/>
      <w:bookmarkStart w:id="1123" w:name="_Toc8144"/>
      <w:r>
        <w:rPr>
          <w:rFonts w:hint="eastAsia" w:ascii="宋体" w:hAnsi="宋体" w:eastAsia="宋体" w:cs="宋体"/>
          <w:b/>
          <w:color w:val="auto"/>
          <w:szCs w:val="21"/>
          <w:highlight w:val="none"/>
        </w:rPr>
        <w:t>1.5 货物交付期限、地点和方式</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pPr>
        <w:shd w:val="clear"/>
        <w:spacing w:line="360" w:lineRule="exact"/>
        <w:ind w:firstLine="420" w:firstLineChars="20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1.5.1 交付期限：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交付地点：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交付方式：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124" w:name="_Toc8754"/>
      <w:bookmarkStart w:id="1125" w:name="_Toc28130"/>
      <w:bookmarkStart w:id="1126" w:name="_Toc6120"/>
      <w:bookmarkStart w:id="1127" w:name="_Toc15865"/>
      <w:bookmarkStart w:id="1128" w:name="_Toc22088"/>
      <w:bookmarkStart w:id="1129" w:name="_Toc16816"/>
      <w:bookmarkStart w:id="1130" w:name="_Toc26850"/>
      <w:bookmarkStart w:id="1131" w:name="_Toc29769"/>
      <w:bookmarkStart w:id="1132" w:name="_Toc19554"/>
      <w:bookmarkStart w:id="1133" w:name="_Toc13970"/>
      <w:bookmarkStart w:id="1134" w:name="_Toc11237"/>
      <w:bookmarkStart w:id="1135" w:name="_Toc21423"/>
      <w:bookmarkStart w:id="1136" w:name="_Toc12988"/>
      <w:bookmarkStart w:id="1137" w:name="_Toc21406"/>
      <w:bookmarkStart w:id="1138" w:name="_Toc8541"/>
      <w:bookmarkStart w:id="1139" w:name="_Toc32088"/>
      <w:bookmarkStart w:id="1140" w:name="_Toc26856"/>
      <w:bookmarkStart w:id="1141" w:name="_Toc15035"/>
      <w:bookmarkStart w:id="1142" w:name="_Toc13569"/>
      <w:bookmarkStart w:id="1143" w:name="_Toc27247"/>
      <w:bookmarkStart w:id="1144" w:name="_Toc10587"/>
      <w:bookmarkStart w:id="1145" w:name="_Toc4190"/>
      <w:bookmarkStart w:id="1146" w:name="_Toc1143"/>
      <w:bookmarkStart w:id="1147" w:name="_Toc32353"/>
      <w:bookmarkStart w:id="1148" w:name="_Toc23610"/>
      <w:bookmarkStart w:id="1149" w:name="_Toc12495"/>
      <w:bookmarkStart w:id="1150" w:name="_Toc28112"/>
      <w:bookmarkStart w:id="1151" w:name="_Toc27250"/>
      <w:bookmarkStart w:id="1152" w:name="_Toc1835"/>
      <w:bookmarkStart w:id="1153" w:name="_Toc5183"/>
      <w:bookmarkStart w:id="1154" w:name="_Toc12753"/>
      <w:bookmarkStart w:id="1155" w:name="_Toc12629"/>
      <w:r>
        <w:rPr>
          <w:rFonts w:hint="eastAsia" w:ascii="宋体" w:hAnsi="宋体" w:eastAsia="宋体" w:cs="宋体"/>
          <w:b/>
          <w:color w:val="auto"/>
          <w:szCs w:val="21"/>
          <w:highlight w:val="none"/>
        </w:rPr>
        <w:t>1.6 违约责任</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%；迟延交付货物的违约金计算数额达到前述最高限额之日起，甲方有权在要求乙方支付违约金的同时，书面通知乙方解除本合同；</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%；迟延付款的违约金计算数额达到前述最高限额之日起，乙方有权在要求甲方支付违约金的同时，书面通知甲方解除本合同；</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156" w:name="_Toc20610"/>
      <w:bookmarkStart w:id="1157" w:name="_Toc14258"/>
      <w:bookmarkStart w:id="1158" w:name="_Toc6344"/>
      <w:bookmarkStart w:id="1159" w:name="_Toc29802"/>
      <w:bookmarkStart w:id="1160" w:name="_Toc15583"/>
      <w:bookmarkStart w:id="1161" w:name="_Toc28375"/>
      <w:bookmarkStart w:id="1162" w:name="_Toc24393"/>
      <w:bookmarkStart w:id="1163" w:name="_Toc3403"/>
      <w:bookmarkStart w:id="1164" w:name="_Toc8914"/>
      <w:bookmarkStart w:id="1165" w:name="_Toc11167"/>
      <w:bookmarkStart w:id="1166" w:name="_Toc27762"/>
      <w:bookmarkStart w:id="1167" w:name="_Toc17013"/>
      <w:bookmarkStart w:id="1168" w:name="_Toc27927"/>
      <w:bookmarkStart w:id="1169" w:name="_Toc25075"/>
      <w:bookmarkStart w:id="1170" w:name="_Toc9202"/>
      <w:bookmarkStart w:id="1171" w:name="_Toc19011"/>
      <w:bookmarkStart w:id="1172" w:name="_Toc6448"/>
      <w:bookmarkStart w:id="1173" w:name="_Toc6660"/>
      <w:bookmarkStart w:id="1174" w:name="_Toc5482"/>
      <w:bookmarkStart w:id="1175" w:name="_Toc23654"/>
      <w:bookmarkStart w:id="1176" w:name="_Toc13447"/>
      <w:bookmarkStart w:id="1177" w:name="_Toc7216"/>
      <w:bookmarkStart w:id="1178" w:name="_Toc7647"/>
      <w:bookmarkStart w:id="1179" w:name="_Toc9253"/>
      <w:bookmarkStart w:id="1180" w:name="_Toc14049"/>
      <w:bookmarkStart w:id="1181" w:name="_Toc25915"/>
      <w:bookmarkStart w:id="1182" w:name="_Toc29338"/>
      <w:bookmarkStart w:id="1183" w:name="_Toc565"/>
      <w:bookmarkStart w:id="1184" w:name="_Toc16021"/>
      <w:bookmarkStart w:id="1185" w:name="_Toc25477"/>
      <w:bookmarkStart w:id="1186" w:name="_Toc25793"/>
      <w:bookmarkStart w:id="1187" w:name="_Toc8054"/>
      <w:bookmarkStart w:id="1188" w:name="_Toc2338"/>
      <w:bookmarkStart w:id="1189" w:name="_Toc20212"/>
      <w:bookmarkStart w:id="1190" w:name="_Toc2627"/>
      <w:r>
        <w:rPr>
          <w:rFonts w:hint="eastAsia" w:ascii="宋体" w:hAnsi="宋体" w:eastAsia="宋体" w:cs="宋体"/>
          <w:b/>
          <w:color w:val="auto"/>
          <w:szCs w:val="21"/>
          <w:highlight w:val="none"/>
        </w:rPr>
        <w:t>1.7 合同争议的解决</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将争议提交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仲裁委员会依申请仲裁时其现行有效的仲裁规则裁决；</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向</w:t>
      </w:r>
      <w:r>
        <w:rPr>
          <w:rFonts w:hint="eastAsia" w:ascii="宋体" w:hAnsi="宋体" w:eastAsia="宋体" w:cs="宋体"/>
          <w:color w:val="auto"/>
          <w:szCs w:val="21"/>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Cs w:val="21"/>
          <w:highlight w:val="none"/>
        </w:rPr>
        <w:t>人民法院起诉。</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191" w:name="_Toc22385"/>
      <w:bookmarkStart w:id="1192" w:name="_Toc15322"/>
      <w:bookmarkStart w:id="1193" w:name="_Toc9582"/>
      <w:bookmarkStart w:id="1194" w:name="_Toc7245"/>
      <w:bookmarkStart w:id="1195" w:name="_Toc10429"/>
      <w:bookmarkStart w:id="1196" w:name="_Toc11173"/>
      <w:bookmarkStart w:id="1197" w:name="_Toc10255"/>
      <w:bookmarkStart w:id="1198" w:name="_Toc24759"/>
      <w:bookmarkStart w:id="1199" w:name="_Toc17113"/>
      <w:bookmarkStart w:id="1200" w:name="_Toc23534"/>
      <w:bookmarkStart w:id="1201" w:name="_Toc14032"/>
      <w:bookmarkStart w:id="1202" w:name="_Toc16410"/>
      <w:bookmarkStart w:id="1203" w:name="_Toc30260"/>
      <w:bookmarkStart w:id="1204" w:name="_Toc20305"/>
      <w:bookmarkStart w:id="1205" w:name="_Toc2901"/>
      <w:bookmarkStart w:id="1206" w:name="_Toc1647"/>
      <w:bookmarkStart w:id="1207" w:name="_Toc29810"/>
      <w:bookmarkStart w:id="1208" w:name="_Toc27626"/>
      <w:bookmarkStart w:id="1209" w:name="_Toc15664"/>
      <w:bookmarkStart w:id="1210" w:name="_Toc20905"/>
      <w:bookmarkStart w:id="1211" w:name="_Toc2894"/>
      <w:bookmarkStart w:id="1212" w:name="_Toc21152"/>
      <w:bookmarkStart w:id="1213" w:name="_Toc12859"/>
      <w:bookmarkStart w:id="1214" w:name="_Toc26897"/>
      <w:bookmarkStart w:id="1215" w:name="_Toc13718"/>
      <w:bookmarkStart w:id="1216" w:name="_Toc24003"/>
      <w:bookmarkStart w:id="1217" w:name="_Toc518"/>
      <w:bookmarkStart w:id="1218" w:name="_Toc9329"/>
      <w:bookmarkStart w:id="1219" w:name="_Toc7445"/>
      <w:bookmarkStart w:id="1220" w:name="_Toc19180"/>
      <w:bookmarkStart w:id="1221" w:name="_Toc6411"/>
      <w:r>
        <w:rPr>
          <w:rFonts w:hint="eastAsia" w:ascii="宋体" w:hAnsi="宋体" w:eastAsia="宋体" w:cs="宋体"/>
          <w:b/>
          <w:color w:val="auto"/>
          <w:szCs w:val="21"/>
          <w:highlight w:val="none"/>
        </w:rPr>
        <w:t>1.8 合同生效</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pPr>
        <w:shd w:val="clear"/>
        <w:spacing w:line="360" w:lineRule="exact"/>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本合同自双方当事人盖章或者签字时生效。</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甲方</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lang w:val="zh-CN"/>
        </w:rPr>
        <w:t xml:space="preserve">      乙方</w:t>
      </w:r>
      <w:r>
        <w:rPr>
          <w:rFonts w:hint="eastAsia" w:ascii="宋体" w:hAnsi="宋体" w:eastAsia="宋体" w:cs="宋体"/>
          <w:color w:val="auto"/>
          <w:szCs w:val="21"/>
          <w:highlight w:val="none"/>
          <w:lang w:val="zh-CN"/>
        </w:rPr>
        <w:t>：</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统一社会信用代码：                        统一社会信用代码或身份证号码：</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                                   住所：</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                             法定代表人</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授权代表（签字）：                        或授权代表（签字）: </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联系人：                                 联系人：</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约定送达地址：                           约定送达地址：</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邮政编码：                               邮政编码：</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电话:                                    电话: </w:t>
      </w:r>
    </w:p>
    <w:p>
      <w:pPr>
        <w:shd w:val="clear"/>
        <w:autoSpaceDE w:val="0"/>
        <w:autoSpaceDN w:val="0"/>
        <w:adjustRightInd w:val="0"/>
        <w:spacing w:line="360" w:lineRule="exac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传真:                                    传真:</w:t>
      </w:r>
    </w:p>
    <w:p>
      <w:pPr>
        <w:shd w:val="clear"/>
        <w:autoSpaceDE w:val="0"/>
        <w:autoSpaceDN w:val="0"/>
        <w:adjustRightInd w:val="0"/>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电子邮箱：                               电子邮箱：</w:t>
      </w:r>
    </w:p>
    <w:p>
      <w:pPr>
        <w:shd w:val="clear"/>
        <w:autoSpaceDE w:val="0"/>
        <w:autoSpaceDN w:val="0"/>
        <w:adjustRightInd w:val="0"/>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pPr>
        <w:shd w:val="clear"/>
        <w:autoSpaceDE w:val="0"/>
        <w:autoSpaceDN w:val="0"/>
        <w:adjustRightInd w:val="0"/>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                               开户名称： </w:t>
      </w:r>
    </w:p>
    <w:p>
      <w:pPr>
        <w:shd w:val="clear"/>
        <w:autoSpaceDE w:val="0"/>
        <w:autoSpaceDN w:val="0"/>
        <w:adjustRightInd w:val="0"/>
        <w:spacing w:line="36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开户账号：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rPr>
        <w:t>开户账号：</w:t>
      </w:r>
    </w:p>
    <w:p>
      <w:pPr>
        <w:widowControl/>
        <w:shd w:val="clear"/>
        <w:spacing w:line="360" w:lineRule="exact"/>
        <w:jc w:val="left"/>
        <w:outlineLvl w:val="9"/>
        <w:rPr>
          <w:rFonts w:hint="eastAsia" w:ascii="宋体" w:hAnsi="宋体" w:eastAsia="宋体" w:cs="宋体"/>
          <w:b/>
          <w:color w:val="auto"/>
          <w:szCs w:val="21"/>
          <w:highlight w:val="none"/>
        </w:rPr>
      </w:pPr>
      <w:bookmarkStart w:id="1222" w:name="_Toc331685783"/>
    </w:p>
    <w:p>
      <w:pPr>
        <w:widowControl/>
        <w:shd w:val="clear"/>
        <w:spacing w:line="360" w:lineRule="exact"/>
        <w:jc w:val="left"/>
        <w:outlineLvl w:val="9"/>
        <w:rPr>
          <w:rFonts w:hint="eastAsia" w:ascii="宋体" w:hAnsi="宋体" w:eastAsia="宋体" w:cs="宋体"/>
          <w:b/>
          <w:color w:val="auto"/>
          <w:szCs w:val="21"/>
          <w:highlight w:val="none"/>
        </w:rPr>
      </w:pPr>
    </w:p>
    <w:p>
      <w:pPr>
        <w:pStyle w:val="34"/>
        <w:shd w:val="clear"/>
        <w:spacing w:line="360" w:lineRule="exact"/>
        <w:ind w:firstLine="20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合同一般条款</w:t>
      </w:r>
      <w:bookmarkEnd w:id="1222"/>
    </w:p>
    <w:p>
      <w:pPr>
        <w:shd w:val="clear"/>
        <w:spacing w:line="360" w:lineRule="exact"/>
        <w:ind w:firstLine="422" w:firstLineChars="200"/>
        <w:outlineLvl w:val="9"/>
        <w:rPr>
          <w:rFonts w:hint="eastAsia" w:ascii="宋体" w:hAnsi="宋体" w:eastAsia="宋体" w:cs="宋体"/>
          <w:b/>
          <w:color w:val="auto"/>
          <w:szCs w:val="21"/>
          <w:highlight w:val="none"/>
        </w:rPr>
      </w:pPr>
      <w:bookmarkStart w:id="1223" w:name="_Toc28992"/>
      <w:bookmarkStart w:id="1224" w:name="_Toc18165"/>
      <w:bookmarkStart w:id="1225" w:name="_Toc20709"/>
      <w:bookmarkStart w:id="1226" w:name="_Toc16593"/>
      <w:bookmarkStart w:id="1227" w:name="_Toc14827"/>
      <w:bookmarkStart w:id="1228" w:name="_Ref467379214"/>
      <w:bookmarkStart w:id="1229" w:name="_Toc4430"/>
      <w:bookmarkStart w:id="1230" w:name="_Toc26415"/>
      <w:bookmarkStart w:id="1231" w:name="_Toc487900349"/>
      <w:bookmarkStart w:id="1232" w:name="_Toc115"/>
      <w:bookmarkStart w:id="1233" w:name="_Ref467379101"/>
      <w:bookmarkStart w:id="1234" w:name="_Toc14065"/>
      <w:bookmarkStart w:id="1235" w:name="_Toc279701240"/>
      <w:bookmarkStart w:id="1236" w:name="_Toc28763"/>
      <w:bookmarkStart w:id="1237" w:name="_Toc578"/>
      <w:bookmarkStart w:id="1238" w:name="_Toc32624"/>
      <w:bookmarkStart w:id="1239" w:name="_Toc17718"/>
      <w:bookmarkStart w:id="1240" w:name="_Toc28547"/>
      <w:bookmarkStart w:id="1241" w:name="_Toc12488"/>
      <w:bookmarkStart w:id="1242" w:name="_Toc29659"/>
      <w:bookmarkStart w:id="1243" w:name="_Ref467379225"/>
      <w:bookmarkStart w:id="1244" w:name="_Toc8206"/>
      <w:bookmarkStart w:id="1245" w:name="_Ref467379205"/>
      <w:bookmarkStart w:id="1246" w:name="_Toc510"/>
      <w:bookmarkStart w:id="1247" w:name="_Toc2034"/>
      <w:bookmarkStart w:id="1248" w:name="_Toc1596"/>
      <w:bookmarkStart w:id="1249" w:name="_Toc20062"/>
      <w:bookmarkStart w:id="1250" w:name="_Ref467379109"/>
      <w:bookmarkStart w:id="1251" w:name="_Toc3091"/>
      <w:bookmarkStart w:id="1252" w:name="_Toc6280"/>
      <w:bookmarkStart w:id="1253" w:name="_Ref467378463"/>
      <w:bookmarkStart w:id="1254" w:name="_Ref467379195"/>
      <w:bookmarkStart w:id="1255" w:name="_Toc32729"/>
      <w:bookmarkStart w:id="1256" w:name="_Toc16687"/>
      <w:bookmarkStart w:id="1257" w:name="_Toc3491"/>
      <w:bookmarkStart w:id="1258" w:name="_Toc15647"/>
      <w:bookmarkStart w:id="1259" w:name="_Ref467378499"/>
      <w:bookmarkStart w:id="1260" w:name="_Ref467379094"/>
      <w:bookmarkStart w:id="1261" w:name="_Toc19614"/>
      <w:bookmarkStart w:id="1262" w:name="_Toc26822"/>
      <w:bookmarkStart w:id="1263" w:name="_Ref467378404"/>
      <w:bookmarkStart w:id="1264" w:name="_Toc31417"/>
      <w:bookmarkStart w:id="1265" w:name="_Toc1241"/>
      <w:bookmarkStart w:id="1266" w:name="_Toc25554"/>
      <w:bookmarkStart w:id="1267" w:name="_Toc26936"/>
      <w:bookmarkStart w:id="1268" w:name="_Toc259093669"/>
      <w:bookmarkStart w:id="1269" w:name="_Toc2485"/>
      <w:bookmarkStart w:id="1270" w:name="_Toc5579"/>
      <w:bookmarkStart w:id="1271" w:name="_Toc16917"/>
      <w:r>
        <w:rPr>
          <w:rFonts w:hint="eastAsia" w:ascii="宋体" w:hAnsi="宋体" w:eastAsia="宋体" w:cs="宋体"/>
          <w:b/>
          <w:color w:val="auto"/>
          <w:szCs w:val="21"/>
          <w:highlight w:val="none"/>
        </w:rPr>
        <w:t>2.1 定义</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本合同中的下列词语应按以下内容进行解释：</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“合同”系指采购人和中标供应商签订的载明双方当事人所达成的协议，并包括所有的附件、附录和构成合同的其他文件。</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“合同价”系指根据合同约定，中标供应商在完全履行合同义务后，采购人应支付给中标供应商的价格。</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“货物”系指中标供应商根据合同约定应向采购人交付的一切各种形态和种类的物品，包括原材料、燃料、设备、机械、仪表、备件、计算机软件、产品等，并包括工具、手册等其他相关资料。</w:t>
      </w:r>
    </w:p>
    <w:p>
      <w:pPr>
        <w:shd w:val="clear"/>
        <w:spacing w:line="360" w:lineRule="exact"/>
        <w:ind w:firstLine="420" w:firstLineChars="200"/>
        <w:outlineLvl w:val="9"/>
        <w:rPr>
          <w:rFonts w:hint="eastAsia" w:ascii="宋体" w:hAnsi="宋体" w:eastAsia="宋体" w:cs="宋体"/>
          <w:color w:val="auto"/>
          <w:szCs w:val="21"/>
          <w:highlight w:val="none"/>
        </w:rPr>
      </w:pPr>
      <w:bookmarkStart w:id="1272" w:name="_Ref467378840"/>
      <w:r>
        <w:rPr>
          <w:rFonts w:hint="eastAsia" w:ascii="宋体" w:hAnsi="宋体" w:eastAsia="宋体" w:cs="宋体"/>
          <w:color w:val="auto"/>
          <w:szCs w:val="21"/>
          <w:highlight w:val="none"/>
        </w:rPr>
        <w:t>2.1.4 “甲方”系指与中标供应商签署合同的采购人</w:t>
      </w:r>
      <w:bookmarkEnd w:id="1272"/>
      <w:r>
        <w:rPr>
          <w:rFonts w:hint="eastAsia" w:ascii="宋体" w:hAnsi="宋体" w:eastAsia="宋体" w:cs="宋体"/>
          <w:color w:val="auto"/>
          <w:szCs w:val="21"/>
          <w:highlight w:val="none"/>
        </w:rPr>
        <w:t>；采购人委托采购代理机构代表其与乙方签订合同的，采购人的授权委托书作为合同附件。</w:t>
      </w:r>
    </w:p>
    <w:p>
      <w:pPr>
        <w:shd w:val="clear"/>
        <w:spacing w:line="360" w:lineRule="exact"/>
        <w:ind w:firstLine="420" w:firstLineChars="200"/>
        <w:outlineLvl w:val="9"/>
        <w:rPr>
          <w:rFonts w:hint="eastAsia" w:ascii="宋体" w:hAnsi="宋体" w:eastAsia="宋体" w:cs="宋体"/>
          <w:color w:val="auto"/>
          <w:szCs w:val="21"/>
          <w:highlight w:val="none"/>
        </w:rPr>
      </w:pPr>
      <w:bookmarkStart w:id="1273" w:name="_Ref467379400"/>
      <w:r>
        <w:rPr>
          <w:rFonts w:hint="eastAsia" w:ascii="宋体" w:hAnsi="宋体" w:eastAsia="宋体" w:cs="宋体"/>
          <w:color w:val="auto"/>
          <w:szCs w:val="21"/>
          <w:highlight w:val="none"/>
        </w:rPr>
        <w:t>2.1.5 “乙方”系指根据合同约定交付货物的中标供应商</w:t>
      </w:r>
      <w:bookmarkEnd w:id="1273"/>
      <w:r>
        <w:rPr>
          <w:rFonts w:hint="eastAsia" w:ascii="宋体" w:hAnsi="宋体" w:eastAsia="宋体" w:cs="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exact"/>
        <w:ind w:firstLine="420" w:firstLineChars="200"/>
        <w:outlineLvl w:val="9"/>
        <w:rPr>
          <w:rFonts w:hint="eastAsia" w:ascii="宋体" w:hAnsi="宋体" w:eastAsia="宋体" w:cs="宋体"/>
          <w:color w:val="auto"/>
          <w:szCs w:val="21"/>
          <w:highlight w:val="none"/>
        </w:rPr>
      </w:pPr>
      <w:bookmarkStart w:id="1274" w:name="_Ref467379436"/>
      <w:r>
        <w:rPr>
          <w:rFonts w:hint="eastAsia" w:ascii="宋体" w:hAnsi="宋体" w:eastAsia="宋体" w:cs="宋体"/>
          <w:color w:val="auto"/>
          <w:szCs w:val="21"/>
          <w:highlight w:val="none"/>
        </w:rPr>
        <w:t>2.1.6 “现场”系指合同约定货物将要运至或者安装的地点。</w:t>
      </w:r>
      <w:bookmarkEnd w:id="1274"/>
    </w:p>
    <w:p>
      <w:pPr>
        <w:shd w:val="clear"/>
        <w:spacing w:line="360" w:lineRule="exact"/>
        <w:ind w:firstLine="422" w:firstLineChars="200"/>
        <w:outlineLvl w:val="9"/>
        <w:rPr>
          <w:rFonts w:hint="eastAsia" w:ascii="宋体" w:hAnsi="宋体" w:eastAsia="宋体" w:cs="宋体"/>
          <w:b/>
          <w:color w:val="auto"/>
          <w:szCs w:val="21"/>
          <w:highlight w:val="none"/>
        </w:rPr>
      </w:pPr>
      <w:bookmarkStart w:id="1275" w:name="_Toc25266"/>
      <w:bookmarkStart w:id="1276" w:name="_Toc4183"/>
      <w:bookmarkStart w:id="1277" w:name="_Toc22122"/>
      <w:bookmarkStart w:id="1278" w:name="_Toc15417"/>
      <w:bookmarkStart w:id="1279" w:name="_Toc16564"/>
      <w:bookmarkStart w:id="1280" w:name="_Toc20046"/>
      <w:bookmarkStart w:id="1281" w:name="_Toc12180"/>
      <w:bookmarkStart w:id="1282" w:name="_Toc10855"/>
      <w:bookmarkStart w:id="1283" w:name="_Toc10183"/>
      <w:bookmarkStart w:id="1284" w:name="_Toc1352"/>
      <w:bookmarkStart w:id="1285" w:name="_Toc29311"/>
      <w:bookmarkStart w:id="1286" w:name="_Toc24448"/>
      <w:bookmarkStart w:id="1287" w:name="_Toc279701241"/>
      <w:bookmarkStart w:id="1288" w:name="_Toc32504"/>
      <w:bookmarkStart w:id="1289" w:name="_Toc19504"/>
      <w:bookmarkStart w:id="1290" w:name="_Toc3949"/>
      <w:bookmarkStart w:id="1291" w:name="_Toc11142"/>
      <w:bookmarkStart w:id="1292" w:name="_Toc1183"/>
      <w:bookmarkStart w:id="1293" w:name="_Toc23689"/>
      <w:bookmarkStart w:id="1294" w:name="_Toc21145"/>
      <w:bookmarkStart w:id="1295" w:name="_Toc27635"/>
      <w:bookmarkStart w:id="1296" w:name="_Toc22104"/>
      <w:bookmarkStart w:id="1297" w:name="_Toc24523"/>
      <w:bookmarkStart w:id="1298" w:name="_Toc13336"/>
      <w:bookmarkStart w:id="1299" w:name="_Toc7416"/>
      <w:bookmarkStart w:id="1300" w:name="_Toc6897"/>
      <w:bookmarkStart w:id="1301" w:name="_Toc16045"/>
      <w:bookmarkStart w:id="1302" w:name="_Toc1221"/>
      <w:bookmarkStart w:id="1303" w:name="_Toc1447"/>
      <w:bookmarkStart w:id="1304" w:name="_Toc5592"/>
      <w:bookmarkStart w:id="1305" w:name="_Toc487900350"/>
      <w:bookmarkStart w:id="1306" w:name="_Toc24792"/>
      <w:bookmarkStart w:id="1307" w:name="_Toc15166"/>
      <w:bookmarkStart w:id="1308" w:name="_Toc5591"/>
      <w:bookmarkStart w:id="1309" w:name="_Toc259093670"/>
      <w:bookmarkStart w:id="1310" w:name="_Toc7130"/>
      <w:bookmarkStart w:id="1311" w:name="_Toc17151"/>
      <w:r>
        <w:rPr>
          <w:rFonts w:hint="eastAsia" w:ascii="宋体" w:hAnsi="宋体" w:eastAsia="宋体" w:cs="宋体"/>
          <w:b/>
          <w:color w:val="auto"/>
          <w:szCs w:val="21"/>
          <w:highlight w:val="none"/>
        </w:rPr>
        <w:t>2.2 技术规范</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312" w:name="_Toc27853"/>
      <w:bookmarkStart w:id="1313" w:name="_Toc27983"/>
      <w:bookmarkStart w:id="1314" w:name="_Toc21919"/>
      <w:bookmarkStart w:id="1315" w:name="_Toc20130"/>
      <w:bookmarkStart w:id="1316" w:name="_Toc30287"/>
      <w:bookmarkStart w:id="1317" w:name="_Toc30700"/>
      <w:bookmarkStart w:id="1318" w:name="_Toc7722"/>
      <w:bookmarkStart w:id="1319" w:name="_Toc3854"/>
      <w:bookmarkStart w:id="1320" w:name="_Toc19084"/>
      <w:bookmarkStart w:id="1321" w:name="_Toc2450"/>
      <w:bookmarkStart w:id="1322" w:name="_Toc10732"/>
      <w:bookmarkStart w:id="1323" w:name="_Toc9829"/>
      <w:bookmarkStart w:id="1324" w:name="_Toc4916"/>
      <w:bookmarkStart w:id="1325" w:name="_Toc259093671"/>
      <w:bookmarkStart w:id="1326" w:name="_Toc24940"/>
      <w:bookmarkStart w:id="1327" w:name="_Toc15733"/>
      <w:bookmarkStart w:id="1328" w:name="_Toc4029"/>
      <w:bookmarkStart w:id="1329" w:name="_Toc14978"/>
      <w:bookmarkStart w:id="1330" w:name="_Toc24537"/>
      <w:bookmarkStart w:id="1331" w:name="_Toc14437"/>
      <w:bookmarkStart w:id="1332" w:name="_Toc279701242"/>
      <w:bookmarkStart w:id="1333" w:name="_Toc14632"/>
      <w:bookmarkStart w:id="1334" w:name="_Toc30527"/>
      <w:bookmarkStart w:id="1335" w:name="_Toc16609"/>
      <w:bookmarkStart w:id="1336" w:name="_Toc21939"/>
      <w:bookmarkStart w:id="1337" w:name="_Toc6581"/>
      <w:bookmarkStart w:id="1338" w:name="_Toc994"/>
      <w:bookmarkStart w:id="1339" w:name="_Toc23649"/>
      <w:bookmarkStart w:id="1340" w:name="_Toc975"/>
      <w:bookmarkStart w:id="1341" w:name="_Toc5708"/>
      <w:bookmarkStart w:id="1342" w:name="_Toc25750"/>
      <w:bookmarkStart w:id="1343" w:name="_Toc10464"/>
      <w:bookmarkStart w:id="1344" w:name="_Toc23791"/>
      <w:bookmarkStart w:id="1345" w:name="_Toc22935"/>
      <w:bookmarkStart w:id="1346" w:name="_Toc487900351"/>
      <w:bookmarkStart w:id="1347" w:name="_Toc30552"/>
      <w:bookmarkStart w:id="1348" w:name="_Toc6121"/>
      <w:bookmarkStart w:id="1349" w:name="_Toc32048"/>
      <w:bookmarkStart w:id="1350" w:name="_Toc31634"/>
      <w:r>
        <w:rPr>
          <w:rFonts w:hint="eastAsia" w:ascii="宋体" w:hAnsi="宋体" w:eastAsia="宋体" w:cs="宋体"/>
          <w:b/>
          <w:color w:val="auto"/>
          <w:szCs w:val="21"/>
          <w:highlight w:val="none"/>
        </w:rPr>
        <w:t>2.3 知识产权</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2.3.2具有知识产权的计算机软件等货物的知识产权归属，详见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351" w:name="_Toc10970"/>
      <w:bookmarkStart w:id="1352" w:name="_Toc5395"/>
      <w:bookmarkStart w:id="1353" w:name="_Toc6781"/>
      <w:bookmarkStart w:id="1354" w:name="_Toc8260"/>
      <w:bookmarkStart w:id="1355" w:name="_Toc28684"/>
      <w:bookmarkStart w:id="1356" w:name="_Toc18554"/>
      <w:bookmarkStart w:id="1357" w:name="_Toc17680"/>
      <w:bookmarkStart w:id="1358" w:name="_Toc13082"/>
      <w:bookmarkStart w:id="1359" w:name="_Toc29149"/>
      <w:bookmarkStart w:id="1360" w:name="_Toc9495"/>
      <w:bookmarkStart w:id="1361" w:name="_Toc19638"/>
      <w:bookmarkStart w:id="1362" w:name="_Toc9470"/>
      <w:bookmarkStart w:id="1363" w:name="_Toc16163"/>
      <w:bookmarkStart w:id="1364" w:name="_Toc64"/>
      <w:bookmarkStart w:id="1365" w:name="_Toc18967"/>
      <w:bookmarkStart w:id="1366" w:name="_Toc7771"/>
      <w:bookmarkStart w:id="1367" w:name="_Toc20620"/>
      <w:bookmarkStart w:id="1368" w:name="_Toc25767"/>
      <w:bookmarkStart w:id="1369" w:name="_Toc28714"/>
      <w:bookmarkStart w:id="1370" w:name="_Toc11932"/>
      <w:bookmarkStart w:id="1371" w:name="_Toc12105"/>
      <w:bookmarkStart w:id="1372" w:name="_Toc5819"/>
      <w:bookmarkStart w:id="1373" w:name="_Toc12219"/>
      <w:bookmarkStart w:id="1374" w:name="_Toc10546"/>
      <w:bookmarkStart w:id="1375" w:name="_Toc19412"/>
      <w:bookmarkStart w:id="1376" w:name="_Toc3486"/>
      <w:bookmarkStart w:id="1377" w:name="_Toc4194"/>
      <w:bookmarkStart w:id="1378" w:name="_Toc7613"/>
      <w:bookmarkStart w:id="1379" w:name="_Toc7492"/>
      <w:bookmarkStart w:id="1380" w:name="_Toc23105"/>
      <w:bookmarkStart w:id="1381" w:name="_Toc20378"/>
      <w:bookmarkStart w:id="1382" w:name="_Toc26731"/>
      <w:bookmarkStart w:id="1383" w:name="_Toc17080"/>
      <w:bookmarkStart w:id="1384" w:name="_Toc24584"/>
      <w:bookmarkStart w:id="1385" w:name="_Toc16949"/>
      <w:r>
        <w:rPr>
          <w:rFonts w:hint="eastAsia" w:ascii="宋体" w:hAnsi="宋体" w:eastAsia="宋体" w:cs="宋体"/>
          <w:b/>
          <w:color w:val="auto"/>
          <w:szCs w:val="21"/>
          <w:highlight w:val="none"/>
        </w:rPr>
        <w:t>2.4 包装和装运</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2.4.1除</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装运货物的要求和通知，详见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386" w:name="_Ref467379536"/>
      <w:bookmarkStart w:id="1387" w:name="_Toc279701245"/>
      <w:bookmarkStart w:id="1388" w:name="_Ref467379527"/>
      <w:bookmarkStart w:id="1389" w:name="_Toc259093674"/>
      <w:bookmarkStart w:id="1390" w:name="_Toc487900354"/>
      <w:bookmarkStart w:id="1391" w:name="_Ref467378591"/>
      <w:bookmarkStart w:id="1392" w:name="_Ref467379542"/>
      <w:bookmarkStart w:id="1393" w:name="_Ref467378541"/>
      <w:bookmarkStart w:id="1394" w:name="_Toc14904"/>
      <w:bookmarkStart w:id="1395" w:name="_Toc10422"/>
      <w:bookmarkStart w:id="1396" w:name="_Toc24299"/>
      <w:bookmarkStart w:id="1397" w:name="_Toc26182"/>
      <w:bookmarkStart w:id="1398" w:name="_Toc24935"/>
      <w:bookmarkStart w:id="1399" w:name="_Toc12132"/>
      <w:bookmarkStart w:id="1400" w:name="_Toc3427"/>
      <w:bookmarkStart w:id="1401" w:name="_Toc18515"/>
      <w:bookmarkStart w:id="1402" w:name="_Toc15512"/>
      <w:bookmarkStart w:id="1403" w:name="_Toc22648"/>
      <w:bookmarkStart w:id="1404" w:name="_Toc4831"/>
      <w:bookmarkStart w:id="1405" w:name="_Toc27540"/>
      <w:bookmarkStart w:id="1406" w:name="_Toc13458"/>
      <w:bookmarkStart w:id="1407" w:name="_Toc25149"/>
      <w:bookmarkStart w:id="1408" w:name="_Toc12428"/>
      <w:bookmarkStart w:id="1409" w:name="_Toc30516"/>
      <w:bookmarkStart w:id="1410" w:name="_Toc5927"/>
      <w:bookmarkStart w:id="1411" w:name="_Toc19824"/>
      <w:bookmarkStart w:id="1412" w:name="_Toc2628"/>
      <w:bookmarkStart w:id="1413" w:name="_Toc1336"/>
      <w:bookmarkStart w:id="1414" w:name="_Toc13671"/>
      <w:bookmarkStart w:id="1415" w:name="_Toc21410"/>
      <w:bookmarkStart w:id="1416" w:name="_Toc7292"/>
      <w:bookmarkStart w:id="1417" w:name="_Toc7299"/>
      <w:bookmarkStart w:id="1418" w:name="_Toc32763"/>
      <w:bookmarkStart w:id="1419" w:name="_Toc19074"/>
      <w:bookmarkStart w:id="1420" w:name="_Toc28937"/>
      <w:bookmarkStart w:id="1421" w:name="_Toc30272"/>
      <w:bookmarkStart w:id="1422" w:name="_Toc21198"/>
      <w:bookmarkStart w:id="1423" w:name="_Toc2815"/>
      <w:bookmarkStart w:id="1424" w:name="_Toc3859"/>
      <w:bookmarkStart w:id="1425" w:name="_Toc18834"/>
      <w:bookmarkStart w:id="1426" w:name="_Toc18162"/>
      <w:bookmarkStart w:id="1427" w:name="_Toc18307"/>
      <w:r>
        <w:rPr>
          <w:rFonts w:hint="eastAsia" w:ascii="宋体" w:hAnsi="宋体" w:eastAsia="宋体" w:cs="宋体"/>
          <w:b/>
          <w:color w:val="auto"/>
          <w:szCs w:val="21"/>
          <w:highlight w:val="none"/>
        </w:rPr>
        <w:t>2.</w:t>
      </w:r>
      <w:bookmarkEnd w:id="1386"/>
      <w:bookmarkEnd w:id="1387"/>
      <w:bookmarkEnd w:id="1388"/>
      <w:bookmarkEnd w:id="1389"/>
      <w:bookmarkEnd w:id="1390"/>
      <w:bookmarkEnd w:id="1391"/>
      <w:bookmarkEnd w:id="1392"/>
      <w:bookmarkEnd w:id="1393"/>
      <w:r>
        <w:rPr>
          <w:rFonts w:hint="eastAsia" w:ascii="宋体" w:hAnsi="宋体" w:eastAsia="宋体" w:cs="宋体"/>
          <w:b/>
          <w:color w:val="auto"/>
          <w:szCs w:val="21"/>
          <w:highlight w:val="none"/>
        </w:rPr>
        <w:t>5 履约检查和问题反馈</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pPr>
        <w:shd w:val="clear"/>
        <w:spacing w:line="360" w:lineRule="exact"/>
        <w:ind w:firstLine="420" w:firstLineChars="200"/>
        <w:outlineLvl w:val="9"/>
        <w:rPr>
          <w:rFonts w:hint="eastAsia" w:ascii="宋体" w:hAnsi="宋体" w:eastAsia="宋体" w:cs="宋体"/>
          <w:color w:val="auto"/>
          <w:szCs w:val="21"/>
          <w:highlight w:val="none"/>
        </w:rPr>
      </w:pPr>
      <w:bookmarkStart w:id="1428" w:name="_Ref467379657"/>
      <w:r>
        <w:rPr>
          <w:rFonts w:hint="eastAsia" w:ascii="宋体" w:hAnsi="宋体" w:eastAsia="宋体" w:cs="宋体"/>
          <w:color w:val="auto"/>
          <w:szCs w:val="21"/>
          <w:highlight w:val="none"/>
        </w:rPr>
        <w:t>2.5.1</w:t>
      </w:r>
      <w:bookmarkEnd w:id="1428"/>
      <w:bookmarkStart w:id="1429" w:name="_Toc186431854"/>
      <w:bookmarkStart w:id="1430" w:name="_Toc259093676"/>
      <w:bookmarkStart w:id="1431" w:name="_Ref467379793"/>
      <w:bookmarkStart w:id="1432" w:name="_Toc487900357"/>
      <w:bookmarkStart w:id="1433" w:name="_Toc279701247"/>
      <w:bookmarkStart w:id="1434" w:name="_Ref467379807"/>
      <w:r>
        <w:rPr>
          <w:rFonts w:hint="eastAsia" w:ascii="宋体" w:hAnsi="宋体" w:eastAsia="宋体" w:cs="宋体"/>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合同履行期间，甲方有权将履行过程中出现的问题反馈给乙方，双方当事人应以书面形式约定需要完善和改进的内容</w:t>
      </w:r>
      <w:bookmarkEnd w:id="1429"/>
      <w:bookmarkStart w:id="1435" w:name="_Toc186431855"/>
      <w:r>
        <w:rPr>
          <w:rFonts w:hint="eastAsia" w:ascii="宋体" w:hAnsi="宋体" w:eastAsia="宋体" w:cs="宋体"/>
          <w:color w:val="auto"/>
          <w:szCs w:val="21"/>
          <w:highlight w:val="none"/>
        </w:rPr>
        <w:t>。</w:t>
      </w:r>
    </w:p>
    <w:bookmarkEnd w:id="1435"/>
    <w:p>
      <w:pPr>
        <w:shd w:val="clear"/>
        <w:spacing w:line="360" w:lineRule="exact"/>
        <w:ind w:firstLine="422" w:firstLineChars="200"/>
        <w:outlineLvl w:val="9"/>
        <w:rPr>
          <w:rFonts w:hint="eastAsia" w:ascii="宋体" w:hAnsi="宋体" w:eastAsia="宋体" w:cs="宋体"/>
          <w:b/>
          <w:color w:val="auto"/>
          <w:szCs w:val="21"/>
          <w:highlight w:val="none"/>
        </w:rPr>
      </w:pPr>
      <w:bookmarkStart w:id="1436" w:name="_Toc17283"/>
      <w:bookmarkStart w:id="1437" w:name="_Toc8304"/>
      <w:bookmarkStart w:id="1438" w:name="_Toc11522"/>
      <w:bookmarkStart w:id="1439" w:name="_Toc5304"/>
      <w:bookmarkStart w:id="1440" w:name="_Toc5029"/>
      <w:bookmarkStart w:id="1441" w:name="_Toc9092"/>
      <w:bookmarkStart w:id="1442" w:name="_Toc25739"/>
      <w:bookmarkStart w:id="1443" w:name="_Toc567"/>
      <w:bookmarkStart w:id="1444" w:name="_Toc12360"/>
      <w:bookmarkStart w:id="1445" w:name="_Toc31014"/>
      <w:bookmarkStart w:id="1446" w:name="_Toc19219"/>
      <w:bookmarkStart w:id="1447" w:name="_Toc25745"/>
      <w:bookmarkStart w:id="1448" w:name="_Toc27476"/>
      <w:bookmarkStart w:id="1449" w:name="_Toc29850"/>
      <w:bookmarkStart w:id="1450" w:name="_Toc4239"/>
      <w:bookmarkStart w:id="1451" w:name="_Toc2067"/>
      <w:bookmarkStart w:id="1452" w:name="_Toc234"/>
      <w:bookmarkStart w:id="1453" w:name="_Toc6603"/>
      <w:bookmarkStart w:id="1454" w:name="_Toc7836"/>
      <w:bookmarkStart w:id="1455" w:name="_Toc12377"/>
      <w:bookmarkStart w:id="1456" w:name="_Toc23553"/>
      <w:bookmarkStart w:id="1457" w:name="_Toc10980"/>
      <w:bookmarkStart w:id="1458" w:name="_Toc23408"/>
      <w:bookmarkStart w:id="1459" w:name="_Toc26298"/>
      <w:bookmarkStart w:id="1460" w:name="_Toc31711"/>
      <w:bookmarkStart w:id="1461" w:name="_Toc23261"/>
      <w:bookmarkStart w:id="1462" w:name="_Toc26232"/>
      <w:bookmarkStart w:id="1463" w:name="_Toc32592"/>
      <w:bookmarkStart w:id="1464" w:name="_Toc1895"/>
      <w:bookmarkStart w:id="1465" w:name="_Toc582"/>
      <w:bookmarkStart w:id="1466" w:name="_Toc31520"/>
      <w:bookmarkStart w:id="1467" w:name="_Toc5826"/>
      <w:bookmarkStart w:id="1468" w:name="_Toc31002"/>
      <w:r>
        <w:rPr>
          <w:rFonts w:hint="eastAsia" w:ascii="宋体" w:hAnsi="宋体" w:eastAsia="宋体" w:cs="宋体"/>
          <w:b/>
          <w:color w:val="auto"/>
          <w:szCs w:val="21"/>
          <w:highlight w:val="none"/>
        </w:rPr>
        <w:t>2.6 结算方式和付款条件</w:t>
      </w:r>
      <w:bookmarkEnd w:id="1430"/>
      <w:bookmarkEnd w:id="1431"/>
      <w:bookmarkEnd w:id="1432"/>
      <w:bookmarkEnd w:id="1433"/>
      <w:bookmarkEnd w:id="1434"/>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469" w:name="_Ref467379852"/>
      <w:bookmarkStart w:id="1470" w:name="_Ref467379923"/>
      <w:bookmarkStart w:id="1471" w:name="_Toc487900358"/>
      <w:bookmarkStart w:id="1472" w:name="_Ref467379863"/>
      <w:bookmarkStart w:id="1473" w:name="_Toc259093677"/>
      <w:bookmarkStart w:id="1474" w:name="_Toc279701248"/>
      <w:bookmarkStart w:id="1475" w:name="_Toc21436"/>
      <w:bookmarkStart w:id="1476" w:name="_Toc774"/>
      <w:bookmarkStart w:id="1477" w:name="_Toc17051"/>
      <w:bookmarkStart w:id="1478" w:name="_Toc2813"/>
      <w:bookmarkStart w:id="1479" w:name="_Toc9845"/>
      <w:bookmarkStart w:id="1480" w:name="_Toc24546"/>
      <w:bookmarkStart w:id="1481" w:name="_Toc31971"/>
      <w:bookmarkStart w:id="1482" w:name="_Toc22305"/>
      <w:bookmarkStart w:id="1483" w:name="_Toc30611"/>
      <w:bookmarkStart w:id="1484" w:name="_Toc29885"/>
      <w:bookmarkStart w:id="1485" w:name="_Toc10114"/>
      <w:bookmarkStart w:id="1486" w:name="_Toc16110"/>
      <w:bookmarkStart w:id="1487" w:name="_Toc11236"/>
      <w:bookmarkStart w:id="1488" w:name="_Toc17630"/>
      <w:bookmarkStart w:id="1489" w:name="_Toc1200"/>
      <w:bookmarkStart w:id="1490" w:name="_Toc3225"/>
      <w:bookmarkStart w:id="1491" w:name="_Toc5979"/>
      <w:bookmarkStart w:id="1492" w:name="_Toc29616"/>
      <w:bookmarkStart w:id="1493" w:name="_Toc31305"/>
      <w:bookmarkStart w:id="1494" w:name="_Toc14491"/>
      <w:bookmarkStart w:id="1495" w:name="_Toc26143"/>
      <w:bookmarkStart w:id="1496" w:name="_Toc9619"/>
      <w:bookmarkStart w:id="1497" w:name="_Toc17607"/>
      <w:bookmarkStart w:id="1498" w:name="_Toc28781"/>
      <w:bookmarkStart w:id="1499" w:name="_Toc8995"/>
      <w:bookmarkStart w:id="1500" w:name="_Toc13023"/>
      <w:bookmarkStart w:id="1501" w:name="_Toc30098"/>
      <w:bookmarkStart w:id="1502" w:name="_Toc12169"/>
      <w:bookmarkStart w:id="1503" w:name="_Toc29030"/>
      <w:bookmarkStart w:id="1504" w:name="_Toc10595"/>
      <w:bookmarkStart w:id="1505" w:name="_Toc27454"/>
      <w:bookmarkStart w:id="1506" w:name="_Toc17136"/>
      <w:bookmarkStart w:id="1507" w:name="_Toc19956"/>
      <w:bookmarkStart w:id="1508" w:name="_Toc11615"/>
      <w:r>
        <w:rPr>
          <w:rFonts w:hint="eastAsia" w:ascii="宋体" w:hAnsi="宋体" w:eastAsia="宋体" w:cs="宋体"/>
          <w:b/>
          <w:color w:val="auto"/>
          <w:szCs w:val="21"/>
          <w:highlight w:val="none"/>
        </w:rPr>
        <w:t>2.7 技术资料</w:t>
      </w:r>
      <w:bookmarkEnd w:id="1469"/>
      <w:bookmarkEnd w:id="1470"/>
      <w:bookmarkEnd w:id="1471"/>
      <w:bookmarkEnd w:id="1472"/>
      <w:bookmarkEnd w:id="1473"/>
      <w:bookmarkEnd w:id="1474"/>
      <w:r>
        <w:rPr>
          <w:rFonts w:hint="eastAsia" w:ascii="宋体" w:hAnsi="宋体" w:eastAsia="宋体" w:cs="宋体"/>
          <w:b/>
          <w:color w:val="auto"/>
          <w:szCs w:val="21"/>
          <w:highlight w:val="none"/>
        </w:rPr>
        <w:t>和保密义务</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乙方有权依据合同约定和项目需要，向甲方了解有关情况，调阅有关资料等，甲方应予积极配合；</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乙方有义务妥善保管和保护由甲方提供的前款信息和资料等；</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509" w:name="_Toc30503"/>
      <w:bookmarkStart w:id="1510" w:name="_Toc30167"/>
      <w:bookmarkStart w:id="1511" w:name="_Toc3156"/>
      <w:bookmarkStart w:id="1512" w:name="_Toc53"/>
      <w:bookmarkStart w:id="1513" w:name="_Toc26262"/>
      <w:bookmarkStart w:id="1514" w:name="_Toc18231"/>
      <w:bookmarkStart w:id="1515" w:name="_Toc25567"/>
      <w:bookmarkStart w:id="1516" w:name="_Toc2432"/>
      <w:bookmarkStart w:id="1517" w:name="_Toc8288"/>
      <w:bookmarkStart w:id="1518" w:name="_Toc27453"/>
      <w:bookmarkStart w:id="1519" w:name="_Toc11530"/>
      <w:bookmarkStart w:id="1520" w:name="_Toc7798"/>
      <w:bookmarkStart w:id="1521" w:name="_Toc5321"/>
      <w:bookmarkStart w:id="1522" w:name="_Toc7374"/>
      <w:bookmarkStart w:id="1523" w:name="_Toc4354"/>
      <w:bookmarkStart w:id="1524" w:name="_Toc19122"/>
      <w:bookmarkStart w:id="1525" w:name="_Toc7328"/>
      <w:bookmarkStart w:id="1526" w:name="_Toc4587"/>
      <w:bookmarkStart w:id="1527" w:name="_Toc24921"/>
      <w:bookmarkStart w:id="1528" w:name="_Toc7392"/>
      <w:bookmarkStart w:id="1529" w:name="_Toc11328"/>
      <w:bookmarkStart w:id="1530" w:name="_Toc7860"/>
      <w:bookmarkStart w:id="1531" w:name="_Toc5200"/>
      <w:bookmarkStart w:id="1532" w:name="_Toc14935"/>
      <w:bookmarkStart w:id="1533" w:name="_Toc12836"/>
      <w:bookmarkStart w:id="1534" w:name="_Toc18551"/>
      <w:bookmarkStart w:id="1535" w:name="_Toc23081"/>
      <w:bookmarkStart w:id="1536" w:name="_Toc27962"/>
      <w:bookmarkStart w:id="1537" w:name="_Toc30477"/>
      <w:bookmarkStart w:id="1538" w:name="_Toc16190"/>
      <w:bookmarkStart w:id="1539" w:name="_Toc21267"/>
      <w:bookmarkStart w:id="1540" w:name="_Toc10326"/>
      <w:r>
        <w:rPr>
          <w:rFonts w:hint="eastAsia" w:ascii="宋体" w:hAnsi="宋体" w:eastAsia="宋体" w:cs="宋体"/>
          <w:b/>
          <w:color w:val="auto"/>
          <w:szCs w:val="21"/>
          <w:highlight w:val="none"/>
        </w:rPr>
        <w:t>2.8 质量保证</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乙方应建立和完善履行合同的内部质量保证体系，并提供相关内部规章制度给甲方，以便甲方进行监督检查；</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 乙方应保证履行合同的人员数量和素质、软件和硬件设备的配置、场地、环境和设施等满足全面履行合同的要求，并应接受甲方的监督检查。</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541" w:name="_Toc27234"/>
      <w:bookmarkStart w:id="1542" w:name="_Toc12966"/>
      <w:bookmarkStart w:id="1543" w:name="_Toc22330"/>
      <w:bookmarkStart w:id="1544" w:name="_Toc7598"/>
      <w:bookmarkStart w:id="1545" w:name="_Toc23417"/>
      <w:bookmarkStart w:id="1546" w:name="_Toc31920"/>
      <w:bookmarkStart w:id="1547" w:name="_Toc14663"/>
      <w:bookmarkStart w:id="1548" w:name="_Toc22464"/>
      <w:bookmarkStart w:id="1549" w:name="_Toc12010"/>
      <w:bookmarkStart w:id="1550" w:name="_Toc18817"/>
      <w:bookmarkStart w:id="1551" w:name="_Toc17030"/>
      <w:bookmarkStart w:id="1552" w:name="_Toc17032"/>
      <w:bookmarkStart w:id="1553" w:name="_Toc7046"/>
      <w:bookmarkStart w:id="1554" w:name="_Toc26555"/>
      <w:bookmarkStart w:id="1555" w:name="_Toc28497"/>
      <w:bookmarkStart w:id="1556" w:name="_Toc23172"/>
      <w:bookmarkStart w:id="1557" w:name="_Toc2473"/>
      <w:bookmarkStart w:id="1558" w:name="_Toc27238"/>
      <w:bookmarkStart w:id="1559" w:name="_Toc5077"/>
      <w:bookmarkStart w:id="1560" w:name="_Toc14596"/>
      <w:bookmarkStart w:id="1561" w:name="_Toc13812"/>
      <w:bookmarkStart w:id="1562" w:name="_Toc10959"/>
      <w:bookmarkStart w:id="1563" w:name="_Toc17244"/>
      <w:bookmarkStart w:id="1564" w:name="_Toc17497"/>
      <w:bookmarkStart w:id="1565" w:name="_Toc812"/>
      <w:bookmarkStart w:id="1566" w:name="_Toc9581"/>
      <w:bookmarkStart w:id="1567" w:name="_Toc23903"/>
      <w:bookmarkStart w:id="1568" w:name="_Toc22016"/>
      <w:bookmarkStart w:id="1569" w:name="_Toc25529"/>
      <w:bookmarkStart w:id="1570" w:name="_Toc16901"/>
      <w:bookmarkStart w:id="1571" w:name="_Toc30757"/>
      <w:bookmarkStart w:id="1572" w:name="_Toc279701252"/>
      <w:bookmarkStart w:id="1573" w:name="_Toc487900362"/>
      <w:bookmarkStart w:id="1574" w:name="_Toc259093681"/>
      <w:r>
        <w:rPr>
          <w:rFonts w:hint="eastAsia" w:ascii="宋体" w:hAnsi="宋体" w:eastAsia="宋体" w:cs="宋体"/>
          <w:b/>
          <w:color w:val="auto"/>
          <w:szCs w:val="21"/>
          <w:highlight w:val="none"/>
        </w:rPr>
        <w:t>2.9 货物的风险负担</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pPr>
        <w:shd w:val="clear"/>
        <w:spacing w:line="360" w:lineRule="exact"/>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货物或者在途货物或者交付给第一承运人后的货物毁损、灭失的风险负担详见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9"/>
        <w:rPr>
          <w:rFonts w:hint="eastAsia" w:ascii="宋体" w:hAnsi="宋体" w:eastAsia="宋体" w:cs="宋体"/>
          <w:b/>
          <w:color w:val="auto"/>
          <w:szCs w:val="21"/>
          <w:highlight w:val="none"/>
          <w:lang w:eastAsia="zh-CN"/>
        </w:rPr>
      </w:pPr>
      <w:bookmarkStart w:id="1575" w:name="_Toc19684"/>
      <w:bookmarkStart w:id="1576" w:name="_Toc15972"/>
      <w:bookmarkStart w:id="1577" w:name="_Toc8328"/>
      <w:bookmarkStart w:id="1578" w:name="_Toc22674"/>
      <w:bookmarkStart w:id="1579" w:name="_Toc29837"/>
      <w:bookmarkStart w:id="1580" w:name="_Toc9067"/>
      <w:bookmarkStart w:id="1581" w:name="_Toc22377"/>
      <w:bookmarkStart w:id="1582" w:name="_Toc15465"/>
      <w:bookmarkStart w:id="1583" w:name="_Toc14698"/>
      <w:bookmarkStart w:id="1584" w:name="_Toc29192"/>
      <w:bookmarkStart w:id="1585" w:name="_Toc2"/>
      <w:bookmarkStart w:id="1586" w:name="_Toc5196"/>
      <w:bookmarkStart w:id="1587" w:name="_Toc6602"/>
      <w:bookmarkStart w:id="1588" w:name="_Toc14055"/>
      <w:bookmarkStart w:id="1589" w:name="_Toc26567"/>
      <w:bookmarkStart w:id="1590" w:name="_Toc7986"/>
      <w:bookmarkStart w:id="1591" w:name="_Toc11963"/>
      <w:bookmarkStart w:id="1592" w:name="_Toc30533"/>
      <w:bookmarkStart w:id="1593" w:name="_Toc25663"/>
      <w:bookmarkStart w:id="1594" w:name="_Toc2791"/>
      <w:bookmarkStart w:id="1595" w:name="_Toc16928"/>
      <w:bookmarkStart w:id="1596" w:name="_Toc5538"/>
      <w:bookmarkStart w:id="1597" w:name="_Toc7128"/>
      <w:bookmarkStart w:id="1598" w:name="_Toc6538"/>
      <w:bookmarkStart w:id="1599" w:name="_Toc10328"/>
      <w:bookmarkStart w:id="1600" w:name="_Toc552"/>
      <w:bookmarkStart w:id="1601" w:name="_Toc13218"/>
      <w:bookmarkStart w:id="1602" w:name="_Toc1742"/>
      <w:bookmarkStart w:id="1603" w:name="_Toc840"/>
      <w:bookmarkStart w:id="1604" w:name="_Toc31819"/>
      <w:bookmarkStart w:id="1605" w:name="_Toc322"/>
      <w:bookmarkStart w:id="1606" w:name="_Toc25703"/>
      <w:bookmarkStart w:id="1607" w:name="_Toc6894"/>
      <w:r>
        <w:rPr>
          <w:rFonts w:hint="eastAsia" w:ascii="宋体" w:hAnsi="宋体" w:eastAsia="宋体" w:cs="宋体"/>
          <w:b/>
          <w:color w:val="auto"/>
          <w:szCs w:val="21"/>
          <w:highlight w:val="none"/>
        </w:rPr>
        <w:t>2.10 延迟</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Pr>
          <w:rFonts w:hint="eastAsia" w:ascii="宋体" w:hAnsi="宋体" w:eastAsia="宋体" w:cs="宋体"/>
          <w:b/>
          <w:color w:val="auto"/>
          <w:szCs w:val="21"/>
          <w:highlight w:val="none"/>
          <w:lang w:eastAsia="zh-CN"/>
        </w:rPr>
        <w:t>供货</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w:t>
      </w:r>
      <w:r>
        <w:rPr>
          <w:rFonts w:hint="eastAsia" w:ascii="宋体" w:hAnsi="宋体" w:eastAsia="宋体" w:cs="宋体"/>
          <w:color w:val="auto"/>
          <w:szCs w:val="21"/>
          <w:highlight w:val="none"/>
          <w:lang w:eastAsia="zh-CN"/>
        </w:rPr>
        <w:t>供货</w:t>
      </w:r>
      <w:r>
        <w:rPr>
          <w:rFonts w:hint="eastAsia" w:ascii="宋体" w:hAnsi="宋体" w:eastAsia="宋体" w:cs="宋体"/>
          <w:color w:val="auto"/>
          <w:szCs w:val="21"/>
          <w:highlight w:val="none"/>
        </w:rPr>
        <w:t>的具体时间。</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608" w:name="_Toc29608"/>
      <w:bookmarkStart w:id="1609" w:name="_Toc20553"/>
      <w:bookmarkStart w:id="1610" w:name="_Toc7502"/>
      <w:bookmarkStart w:id="1611" w:name="_Toc3064"/>
      <w:bookmarkStart w:id="1612" w:name="_Toc1280"/>
      <w:bookmarkStart w:id="1613" w:name="_Toc16528"/>
      <w:bookmarkStart w:id="1614" w:name="_Toc8441"/>
      <w:bookmarkStart w:id="1615" w:name="_Toc7444"/>
      <w:bookmarkStart w:id="1616" w:name="_Toc15931"/>
      <w:bookmarkStart w:id="1617" w:name="_Toc2858"/>
      <w:bookmarkStart w:id="1618" w:name="_Toc6293"/>
      <w:bookmarkStart w:id="1619" w:name="_Toc15877"/>
      <w:bookmarkStart w:id="1620" w:name="_Toc14851"/>
      <w:bookmarkStart w:id="1621" w:name="_Toc25717"/>
      <w:bookmarkStart w:id="1622" w:name="_Toc10995"/>
      <w:bookmarkStart w:id="1623" w:name="_Toc17237"/>
      <w:bookmarkStart w:id="1624" w:name="_Toc507"/>
      <w:bookmarkStart w:id="1625" w:name="_Toc9558"/>
      <w:bookmarkStart w:id="1626" w:name="_Toc12175"/>
      <w:bookmarkStart w:id="1627" w:name="_Toc16302"/>
      <w:bookmarkStart w:id="1628" w:name="_Toc18704"/>
      <w:bookmarkStart w:id="1629" w:name="_Toc15143"/>
      <w:bookmarkStart w:id="1630" w:name="_Toc16810"/>
      <w:bookmarkStart w:id="1631" w:name="_Toc4897"/>
      <w:bookmarkStart w:id="1632" w:name="_Toc31403"/>
      <w:bookmarkStart w:id="1633" w:name="_Toc10956"/>
      <w:bookmarkStart w:id="1634" w:name="_Toc10800"/>
      <w:bookmarkStart w:id="1635" w:name="_Toc31857"/>
      <w:bookmarkStart w:id="1636" w:name="_Toc28031"/>
      <w:bookmarkStart w:id="1637" w:name="_Toc1184"/>
      <w:bookmarkStart w:id="1638" w:name="_Toc4586"/>
      <w:bookmarkStart w:id="1639" w:name="_Toc27518"/>
      <w:bookmarkStart w:id="1640" w:name="_Toc7105"/>
      <w:bookmarkStart w:id="1641" w:name="_Toc487900364"/>
      <w:bookmarkStart w:id="1642" w:name="_Ref467378121"/>
      <w:bookmarkStart w:id="1643" w:name="_Toc279701254"/>
      <w:bookmarkStart w:id="1644" w:name="_Toc259093683"/>
      <w:r>
        <w:rPr>
          <w:rFonts w:hint="eastAsia" w:ascii="宋体" w:hAnsi="宋体" w:eastAsia="宋体" w:cs="宋体"/>
          <w:b/>
          <w:color w:val="auto"/>
          <w:szCs w:val="21"/>
          <w:highlight w:val="none"/>
        </w:rPr>
        <w:t>2.11 合同变更</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645" w:name="_Toc487900369"/>
      <w:bookmarkStart w:id="1646" w:name="_Toc259093688"/>
      <w:bookmarkStart w:id="1647" w:name="_Toc279701259"/>
    </w:p>
    <w:p>
      <w:pPr>
        <w:shd w:val="clear"/>
        <w:spacing w:line="360" w:lineRule="exact"/>
        <w:ind w:firstLine="422" w:firstLineChars="200"/>
        <w:outlineLvl w:val="9"/>
        <w:rPr>
          <w:rFonts w:hint="eastAsia" w:ascii="宋体" w:hAnsi="宋体" w:eastAsia="宋体" w:cs="宋体"/>
          <w:b/>
          <w:color w:val="auto"/>
          <w:szCs w:val="21"/>
          <w:highlight w:val="none"/>
        </w:rPr>
      </w:pPr>
      <w:bookmarkStart w:id="1648" w:name="_Toc23079"/>
      <w:bookmarkStart w:id="1649" w:name="_Toc21525"/>
      <w:bookmarkStart w:id="1650" w:name="_Toc8431"/>
      <w:bookmarkStart w:id="1651" w:name="_Toc19380"/>
      <w:bookmarkStart w:id="1652" w:name="_Toc2157"/>
      <w:bookmarkStart w:id="1653" w:name="_Toc8678"/>
      <w:bookmarkStart w:id="1654" w:name="_Toc29865"/>
      <w:bookmarkStart w:id="1655" w:name="_Toc13446"/>
      <w:bookmarkStart w:id="1656" w:name="_Toc26864"/>
      <w:bookmarkStart w:id="1657" w:name="_Toc9683"/>
      <w:bookmarkStart w:id="1658" w:name="_Toc11626"/>
      <w:bookmarkStart w:id="1659" w:name="_Toc3825"/>
      <w:bookmarkStart w:id="1660" w:name="_Toc32438"/>
      <w:bookmarkStart w:id="1661" w:name="_Toc24511"/>
      <w:bookmarkStart w:id="1662" w:name="_Toc3928"/>
      <w:bookmarkStart w:id="1663" w:name="_Toc29703"/>
      <w:bookmarkStart w:id="1664" w:name="_Toc26224"/>
      <w:bookmarkStart w:id="1665" w:name="_Toc22955"/>
      <w:bookmarkStart w:id="1666" w:name="_Toc10366"/>
      <w:bookmarkStart w:id="1667" w:name="_Toc10537"/>
      <w:bookmarkStart w:id="1668" w:name="_Toc14895"/>
      <w:bookmarkStart w:id="1669" w:name="_Toc19406"/>
      <w:bookmarkStart w:id="1670" w:name="_Toc3931"/>
      <w:bookmarkStart w:id="1671" w:name="_Toc21146"/>
      <w:bookmarkStart w:id="1672" w:name="_Toc19641"/>
      <w:bookmarkStart w:id="1673" w:name="_Toc31619"/>
      <w:bookmarkStart w:id="1674" w:name="_Toc4389"/>
      <w:bookmarkStart w:id="1675" w:name="_Toc4212"/>
      <w:bookmarkStart w:id="1676" w:name="_Toc11573"/>
      <w:bookmarkStart w:id="1677" w:name="_Toc15237"/>
      <w:bookmarkStart w:id="1678" w:name="_Toc9031"/>
      <w:bookmarkStart w:id="1679" w:name="_Toc6988"/>
      <w:bookmarkStart w:id="1680" w:name="_Toc9984"/>
      <w:r>
        <w:rPr>
          <w:rFonts w:hint="eastAsia" w:ascii="宋体" w:hAnsi="宋体" w:eastAsia="宋体" w:cs="宋体"/>
          <w:b/>
          <w:color w:val="auto"/>
          <w:szCs w:val="21"/>
          <w:highlight w:val="none"/>
        </w:rPr>
        <w:t>2.12 合同转让</w:t>
      </w:r>
      <w:bookmarkEnd w:id="1645"/>
      <w:bookmarkEnd w:id="1646"/>
      <w:bookmarkEnd w:id="1647"/>
      <w:r>
        <w:rPr>
          <w:rFonts w:hint="eastAsia" w:ascii="宋体" w:hAnsi="宋体" w:eastAsia="宋体" w:cs="宋体"/>
          <w:b/>
          <w:color w:val="auto"/>
          <w:szCs w:val="21"/>
          <w:highlight w:val="none"/>
        </w:rPr>
        <w:t>和分包</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681" w:name="_Toc24741"/>
      <w:bookmarkStart w:id="1682" w:name="_Toc18376"/>
      <w:bookmarkStart w:id="1683" w:name="_Toc13570"/>
      <w:bookmarkStart w:id="1684" w:name="_Toc17498"/>
      <w:bookmarkStart w:id="1685" w:name="_Toc32515"/>
      <w:bookmarkStart w:id="1686" w:name="_Toc8114"/>
      <w:bookmarkStart w:id="1687" w:name="_Toc6882"/>
      <w:bookmarkStart w:id="1688" w:name="_Toc2540"/>
      <w:bookmarkStart w:id="1689" w:name="_Toc14752"/>
      <w:bookmarkStart w:id="1690" w:name="_Toc19610"/>
      <w:bookmarkStart w:id="1691" w:name="_Toc15741"/>
      <w:bookmarkStart w:id="1692" w:name="_Toc27813"/>
      <w:bookmarkStart w:id="1693" w:name="_Toc12809"/>
      <w:bookmarkStart w:id="1694" w:name="_Toc3533"/>
      <w:bookmarkStart w:id="1695" w:name="_Toc25556"/>
      <w:bookmarkStart w:id="1696" w:name="_Toc584"/>
      <w:bookmarkStart w:id="1697" w:name="_Toc32109"/>
      <w:bookmarkStart w:id="1698" w:name="_Toc11104"/>
      <w:bookmarkStart w:id="1699" w:name="_Toc6681"/>
      <w:bookmarkStart w:id="1700" w:name="_Toc16893"/>
      <w:bookmarkStart w:id="1701" w:name="_Toc2586"/>
      <w:bookmarkStart w:id="1702" w:name="_Toc31101"/>
      <w:bookmarkStart w:id="1703" w:name="_Toc2908"/>
      <w:bookmarkStart w:id="1704" w:name="_Toc11767"/>
      <w:bookmarkStart w:id="1705" w:name="_Toc13557"/>
      <w:bookmarkStart w:id="1706" w:name="_Toc16508"/>
      <w:bookmarkStart w:id="1707" w:name="_Toc4540"/>
      <w:bookmarkStart w:id="1708" w:name="_Toc6918"/>
      <w:bookmarkStart w:id="1709" w:name="_Toc14066"/>
      <w:bookmarkStart w:id="1710" w:name="_Toc17773"/>
      <w:bookmarkStart w:id="1711" w:name="_Toc8480"/>
      <w:bookmarkStart w:id="1712" w:name="_Toc5705"/>
      <w:bookmarkStart w:id="1713" w:name="_Toc5484"/>
      <w:bookmarkStart w:id="1714" w:name="_Toc17819"/>
      <w:r>
        <w:rPr>
          <w:rFonts w:hint="eastAsia" w:ascii="宋体" w:hAnsi="宋体" w:eastAsia="宋体" w:cs="宋体"/>
          <w:b/>
          <w:color w:val="auto"/>
          <w:szCs w:val="21"/>
          <w:highlight w:val="none"/>
        </w:rPr>
        <w:t>2.13 不可抗力</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2.13.1如果任何一方遭遇法律规定的不可抗力，致使合同履行受阻时，履行合同的期限应予延长，延长的期限应相当于不可抗力所影响的时间；</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2.13.2 因不可抗力致使不能实现合同目的的，当事人可以解除合同；</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2.13.3 因不可抗力致使合同有变更必要的，双方当事人应在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约定时间内以书面形式变更合同；</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2.13.4受不可抗力影响的一方在不可抗力发生后，应在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约定时间内以书面形式通知对方当事人，并在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约定时间内，将有关部门出具的证明文件送达对方当事人。</w:t>
      </w:r>
    </w:p>
    <w:p>
      <w:pPr>
        <w:pStyle w:val="7"/>
        <w:shd w:val="clear"/>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2.13.5如遇到像新冠疫情等情势变更的情形，请参照2.13</w:t>
      </w:r>
      <w:r>
        <w:rPr>
          <w:rFonts w:hint="eastAsia" w:ascii="宋体" w:hAnsi="宋体" w:eastAsia="宋体" w:cs="宋体"/>
          <w:b/>
          <w:color w:val="auto"/>
          <w:sz w:val="21"/>
          <w:szCs w:val="21"/>
          <w:highlight w:val="none"/>
        </w:rPr>
        <w:t>不可抗力的条款。</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715" w:name="_Toc4006"/>
      <w:bookmarkStart w:id="1716" w:name="_Toc17152"/>
      <w:bookmarkStart w:id="1717" w:name="_Toc1584"/>
      <w:bookmarkStart w:id="1718" w:name="_Toc14974"/>
      <w:bookmarkStart w:id="1719" w:name="_Toc6288"/>
      <w:bookmarkStart w:id="1720" w:name="_Toc6141"/>
      <w:bookmarkStart w:id="1721" w:name="_Toc6224"/>
      <w:bookmarkStart w:id="1722" w:name="_Toc13910"/>
      <w:bookmarkStart w:id="1723" w:name="_Toc23578"/>
      <w:bookmarkStart w:id="1724" w:name="_Toc259093684"/>
      <w:bookmarkStart w:id="1725" w:name="_Toc6969"/>
      <w:bookmarkStart w:id="1726" w:name="_Toc19306"/>
      <w:bookmarkStart w:id="1727" w:name="_Toc11263"/>
      <w:bookmarkStart w:id="1728" w:name="_Toc487900365"/>
      <w:bookmarkStart w:id="1729" w:name="_Toc10324"/>
      <w:bookmarkStart w:id="1730" w:name="_Toc6047"/>
      <w:bookmarkStart w:id="1731" w:name="_Toc23831"/>
      <w:bookmarkStart w:id="1732" w:name="_Toc28117"/>
      <w:bookmarkStart w:id="1733" w:name="_Toc6243"/>
      <w:bookmarkStart w:id="1734" w:name="_Toc26085"/>
      <w:bookmarkStart w:id="1735" w:name="_Toc25102"/>
      <w:bookmarkStart w:id="1736" w:name="_Toc4510"/>
      <w:bookmarkStart w:id="1737" w:name="_Toc6676"/>
      <w:bookmarkStart w:id="1738" w:name="_Toc16229"/>
      <w:bookmarkStart w:id="1739" w:name="_Toc689"/>
      <w:bookmarkStart w:id="1740" w:name="_Toc9503"/>
      <w:bookmarkStart w:id="1741" w:name="_Toc3867"/>
      <w:bookmarkStart w:id="1742" w:name="_Toc19677"/>
      <w:bookmarkStart w:id="1743" w:name="_Toc11876"/>
      <w:bookmarkStart w:id="1744" w:name="_Toc26981"/>
      <w:bookmarkStart w:id="1745" w:name="_Toc279701255"/>
      <w:bookmarkStart w:id="1746" w:name="_Toc31597"/>
      <w:bookmarkStart w:id="1747" w:name="_Toc30676"/>
      <w:bookmarkStart w:id="1748" w:name="_Toc10528"/>
      <w:bookmarkStart w:id="1749" w:name="_Toc5378"/>
      <w:bookmarkStart w:id="1750" w:name="_Toc11423"/>
      <w:bookmarkStart w:id="1751" w:name="_Toc15258"/>
      <w:bookmarkStart w:id="1752" w:name="_Toc22930"/>
      <w:bookmarkStart w:id="1753" w:name="_Toc7145"/>
      <w:r>
        <w:rPr>
          <w:rFonts w:hint="eastAsia" w:ascii="宋体" w:hAnsi="宋体" w:eastAsia="宋体" w:cs="宋体"/>
          <w:b/>
          <w:color w:val="auto"/>
          <w:szCs w:val="21"/>
          <w:highlight w:val="none"/>
        </w:rPr>
        <w:t>2.14 税费</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与合同有关的一切税费，均按照中华人民共和国法律的相关规定。</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754" w:name="_Toc25260"/>
      <w:bookmarkStart w:id="1755" w:name="_Toc8298"/>
      <w:bookmarkStart w:id="1756" w:name="_Toc28905"/>
      <w:bookmarkStart w:id="1757" w:name="_Toc13180"/>
      <w:bookmarkStart w:id="1758" w:name="_Toc16959"/>
      <w:bookmarkStart w:id="1759" w:name="_Toc10359"/>
      <w:bookmarkStart w:id="1760" w:name="_Toc12141"/>
      <w:bookmarkStart w:id="1761" w:name="_Toc7117"/>
      <w:bookmarkStart w:id="1762" w:name="_Toc29993"/>
      <w:bookmarkStart w:id="1763" w:name="_Toc13012"/>
      <w:bookmarkStart w:id="1764" w:name="_Toc279701258"/>
      <w:bookmarkStart w:id="1765" w:name="_Toc29869"/>
      <w:bookmarkStart w:id="1766" w:name="_Toc22239"/>
      <w:bookmarkStart w:id="1767" w:name="_Toc4260"/>
      <w:bookmarkStart w:id="1768" w:name="_Toc17217"/>
      <w:bookmarkStart w:id="1769" w:name="_Toc7102"/>
      <w:bookmarkStart w:id="1770" w:name="_Toc13626"/>
      <w:bookmarkStart w:id="1771" w:name="_Toc30768"/>
      <w:bookmarkStart w:id="1772" w:name="_Toc4812"/>
      <w:bookmarkStart w:id="1773" w:name="_Toc24949"/>
      <w:bookmarkStart w:id="1774" w:name="_Toc8934"/>
      <w:bookmarkStart w:id="1775" w:name="_Toc19048"/>
      <w:bookmarkStart w:id="1776" w:name="_Toc9300"/>
      <w:bookmarkStart w:id="1777" w:name="_Toc32686"/>
      <w:bookmarkStart w:id="1778" w:name="_Toc12594"/>
      <w:bookmarkStart w:id="1779" w:name="_Toc259093687"/>
      <w:bookmarkStart w:id="1780" w:name="_Toc23266"/>
      <w:bookmarkStart w:id="1781" w:name="_Toc14348"/>
      <w:bookmarkStart w:id="1782" w:name="_Toc487900368"/>
      <w:bookmarkStart w:id="1783" w:name="_Toc21290"/>
      <w:bookmarkStart w:id="1784" w:name="_Toc6688"/>
      <w:bookmarkStart w:id="1785" w:name="_Toc14403"/>
      <w:bookmarkStart w:id="1786" w:name="_Toc11308"/>
      <w:bookmarkStart w:id="1787" w:name="_Toc4792"/>
      <w:bookmarkStart w:id="1788" w:name="_Toc20594"/>
      <w:bookmarkStart w:id="1789" w:name="_Toc8370"/>
      <w:bookmarkStart w:id="1790" w:name="_Toc6037"/>
      <w:r>
        <w:rPr>
          <w:rFonts w:hint="eastAsia" w:ascii="宋体" w:hAnsi="宋体" w:eastAsia="宋体" w:cs="宋体"/>
          <w:b/>
          <w:color w:val="auto"/>
          <w:szCs w:val="21"/>
          <w:highlight w:val="none"/>
        </w:rPr>
        <w:t>2.15 乙方破产</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791" w:name="_Toc15605"/>
      <w:bookmarkStart w:id="1792" w:name="_Toc31639"/>
      <w:bookmarkStart w:id="1793" w:name="_Toc24758"/>
      <w:bookmarkStart w:id="1794" w:name="_Toc7284"/>
      <w:bookmarkStart w:id="1795" w:name="_Toc24066"/>
      <w:bookmarkStart w:id="1796" w:name="_Toc6134"/>
      <w:bookmarkStart w:id="1797" w:name="_Toc4227"/>
      <w:bookmarkStart w:id="1798" w:name="_Toc20974"/>
      <w:bookmarkStart w:id="1799" w:name="_Toc24867"/>
      <w:bookmarkStart w:id="1800" w:name="_Toc14797"/>
      <w:bookmarkStart w:id="1801" w:name="_Toc24976"/>
      <w:bookmarkStart w:id="1802" w:name="_Toc5182"/>
      <w:bookmarkStart w:id="1803" w:name="_Toc27106"/>
      <w:bookmarkStart w:id="1804" w:name="_Toc9318"/>
      <w:bookmarkStart w:id="1805" w:name="_Toc2585"/>
      <w:bookmarkStart w:id="1806" w:name="_Toc9957"/>
      <w:bookmarkStart w:id="1807" w:name="_Toc29764"/>
      <w:bookmarkStart w:id="1808" w:name="_Toc818"/>
      <w:bookmarkStart w:id="1809" w:name="_Toc2374"/>
      <w:bookmarkStart w:id="1810" w:name="_Toc1542"/>
      <w:bookmarkStart w:id="1811" w:name="_Toc26255"/>
      <w:bookmarkStart w:id="1812" w:name="_Toc6641"/>
      <w:bookmarkStart w:id="1813" w:name="_Toc8188"/>
      <w:bookmarkStart w:id="1814" w:name="_Toc7369"/>
      <w:bookmarkStart w:id="1815" w:name="_Toc2211"/>
      <w:bookmarkStart w:id="1816" w:name="_Toc2967"/>
      <w:bookmarkStart w:id="1817" w:name="_Toc15707"/>
      <w:bookmarkStart w:id="1818" w:name="_Toc1303"/>
      <w:bookmarkStart w:id="1819" w:name="_Toc29333"/>
      <w:bookmarkStart w:id="1820" w:name="_Toc15445"/>
      <w:bookmarkStart w:id="1821" w:name="_Toc21181"/>
      <w:bookmarkStart w:id="1822" w:name="_Toc12868"/>
      <w:bookmarkStart w:id="1823" w:name="_Toc32508"/>
      <w:bookmarkStart w:id="1824" w:name="_Toc12606"/>
      <w:bookmarkStart w:id="1825" w:name="_Toc15387"/>
      <w:r>
        <w:rPr>
          <w:rFonts w:hint="eastAsia" w:ascii="宋体" w:hAnsi="宋体" w:eastAsia="宋体" w:cs="宋体"/>
          <w:b/>
          <w:color w:val="auto"/>
          <w:szCs w:val="21"/>
          <w:highlight w:val="none"/>
        </w:rPr>
        <w:t>2.16 合同中止、终止</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2.16.1 双方当事人不得擅自中止或者终止合同；</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826" w:name="_Toc19324"/>
      <w:bookmarkStart w:id="1827" w:name="_Toc27954"/>
      <w:bookmarkStart w:id="1828" w:name="_Toc14890"/>
      <w:bookmarkStart w:id="1829" w:name="_Toc22451"/>
      <w:bookmarkStart w:id="1830" w:name="_Toc20313"/>
      <w:bookmarkStart w:id="1831" w:name="_Toc30958"/>
      <w:bookmarkStart w:id="1832" w:name="_Toc30133"/>
      <w:bookmarkStart w:id="1833" w:name="_Toc22455"/>
      <w:bookmarkStart w:id="1834" w:name="_Toc14563"/>
      <w:bookmarkStart w:id="1835" w:name="_Toc18411"/>
      <w:bookmarkStart w:id="1836" w:name="_Toc16623"/>
      <w:bookmarkStart w:id="1837" w:name="_Toc25358"/>
      <w:bookmarkStart w:id="1838" w:name="_Toc21636"/>
      <w:bookmarkStart w:id="1839" w:name="_Toc8371"/>
      <w:bookmarkStart w:id="1840" w:name="_Toc11658"/>
      <w:bookmarkStart w:id="1841" w:name="_Toc11060"/>
      <w:bookmarkStart w:id="1842" w:name="_Toc30476"/>
      <w:bookmarkStart w:id="1843" w:name="_Toc13155"/>
      <w:bookmarkStart w:id="1844" w:name="_Toc19328"/>
      <w:bookmarkStart w:id="1845" w:name="_Toc28047"/>
      <w:bookmarkStart w:id="1846" w:name="_Toc20145"/>
      <w:bookmarkStart w:id="1847" w:name="_Toc6596"/>
      <w:bookmarkStart w:id="1848" w:name="_Toc15178"/>
      <w:bookmarkStart w:id="1849" w:name="_Toc25710"/>
      <w:bookmarkStart w:id="1850" w:name="_Toc1125"/>
      <w:bookmarkStart w:id="1851" w:name="_Toc6426"/>
      <w:bookmarkStart w:id="1852" w:name="_Toc13150"/>
      <w:bookmarkStart w:id="1853" w:name="_Toc24731"/>
      <w:bookmarkStart w:id="1854" w:name="_Toc27227"/>
      <w:bookmarkStart w:id="1855" w:name="_Toc7005"/>
      <w:bookmarkStart w:id="1856" w:name="_Toc29829"/>
      <w:bookmarkStart w:id="1857" w:name="_Toc4111"/>
      <w:bookmarkStart w:id="1858" w:name="_Toc207"/>
      <w:bookmarkStart w:id="1859" w:name="_Toc19755"/>
      <w:r>
        <w:rPr>
          <w:rFonts w:hint="eastAsia" w:ascii="宋体" w:hAnsi="宋体" w:eastAsia="宋体" w:cs="宋体"/>
          <w:b/>
          <w:color w:val="auto"/>
          <w:szCs w:val="21"/>
          <w:highlight w:val="none"/>
        </w:rPr>
        <w:t>2.17 检验和验收</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pPr>
        <w:shd w:val="clear"/>
        <w:tabs>
          <w:tab w:val="left" w:pos="360"/>
          <w:tab w:val="left" w:pos="540"/>
          <w:tab w:val="left" w:pos="1080"/>
        </w:tabs>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约定时间内组织验收，并可依法邀请相关方参加，验收应出具验收书。</w:t>
      </w:r>
    </w:p>
    <w:p>
      <w:pPr>
        <w:shd w:val="clear"/>
        <w:tabs>
          <w:tab w:val="left" w:pos="360"/>
          <w:tab w:val="left" w:pos="540"/>
          <w:tab w:val="left" w:pos="1080"/>
        </w:tabs>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2.17.3 检验和验收标准、程序等具体内容以及前述验收书的效力详见</w:t>
      </w:r>
      <w:r>
        <w:rPr>
          <w:rFonts w:hint="eastAsia" w:ascii="宋体" w:hAnsi="宋体" w:eastAsia="宋体" w:cs="宋体"/>
          <w:b/>
          <w:i/>
          <w:color w:val="auto"/>
          <w:szCs w:val="21"/>
          <w:highlight w:val="none"/>
          <w:u w:val="single"/>
        </w:rPr>
        <w:t>合同专用条款</w:t>
      </w:r>
      <w:r>
        <w:rPr>
          <w:rFonts w:hint="eastAsia" w:ascii="宋体" w:hAnsi="宋体" w:eastAsia="宋体" w:cs="宋体"/>
          <w:i/>
          <w:color w:val="auto"/>
          <w:szCs w:val="21"/>
          <w:highlight w:val="none"/>
        </w:rPr>
        <w:t>。</w:t>
      </w:r>
    </w:p>
    <w:bookmarkEnd w:id="1641"/>
    <w:bookmarkEnd w:id="1642"/>
    <w:bookmarkEnd w:id="1643"/>
    <w:bookmarkEnd w:id="1644"/>
    <w:p>
      <w:pPr>
        <w:shd w:val="clear"/>
        <w:spacing w:line="360" w:lineRule="exact"/>
        <w:ind w:firstLine="422" w:firstLineChars="200"/>
        <w:outlineLvl w:val="9"/>
        <w:rPr>
          <w:rFonts w:hint="eastAsia" w:ascii="宋体" w:hAnsi="宋体" w:eastAsia="宋体" w:cs="宋体"/>
          <w:b/>
          <w:color w:val="auto"/>
          <w:szCs w:val="21"/>
          <w:highlight w:val="none"/>
        </w:rPr>
      </w:pPr>
      <w:bookmarkStart w:id="1860" w:name="_Toc279701261"/>
      <w:bookmarkStart w:id="1861" w:name="_Toc487900371"/>
      <w:bookmarkStart w:id="1862" w:name="_Toc259093690"/>
      <w:bookmarkStart w:id="1863" w:name="_Toc25896"/>
      <w:bookmarkStart w:id="1864" w:name="_Toc4983"/>
      <w:bookmarkStart w:id="1865" w:name="_Toc29075"/>
      <w:bookmarkStart w:id="1866" w:name="_Toc15285"/>
      <w:bookmarkStart w:id="1867" w:name="_Toc9266"/>
      <w:bookmarkStart w:id="1868" w:name="_Toc29229"/>
      <w:bookmarkStart w:id="1869" w:name="_Toc17313"/>
      <w:bookmarkStart w:id="1870" w:name="_Toc725"/>
      <w:bookmarkStart w:id="1871" w:name="_Toc26389"/>
      <w:bookmarkStart w:id="1872" w:name="_Toc26892"/>
      <w:bookmarkStart w:id="1873" w:name="_Toc8096"/>
      <w:bookmarkStart w:id="1874" w:name="_Toc19636"/>
      <w:bookmarkStart w:id="1875" w:name="_Toc10130"/>
      <w:bookmarkStart w:id="1876" w:name="_Toc17270"/>
      <w:bookmarkStart w:id="1877" w:name="_Toc25182"/>
      <w:bookmarkStart w:id="1878" w:name="_Toc11023"/>
      <w:bookmarkStart w:id="1879" w:name="_Toc2040"/>
      <w:bookmarkStart w:id="1880" w:name="_Toc12493"/>
      <w:bookmarkStart w:id="1881" w:name="_Toc21849"/>
      <w:bookmarkStart w:id="1882" w:name="_Toc14242"/>
      <w:bookmarkStart w:id="1883" w:name="_Toc19604"/>
      <w:bookmarkStart w:id="1884" w:name="_Toc26823"/>
      <w:bookmarkStart w:id="1885" w:name="_Toc24335"/>
      <w:bookmarkStart w:id="1886" w:name="_Toc1391"/>
      <w:bookmarkStart w:id="1887" w:name="_Toc29995"/>
      <w:bookmarkStart w:id="1888" w:name="_Toc11284"/>
      <w:bookmarkStart w:id="1889" w:name="_Toc19091"/>
      <w:bookmarkStart w:id="1890" w:name="_Toc15037"/>
      <w:bookmarkStart w:id="1891" w:name="_Toc11065"/>
      <w:bookmarkStart w:id="1892" w:name="_Toc13220"/>
      <w:r>
        <w:rPr>
          <w:rFonts w:hint="eastAsia" w:ascii="宋体" w:hAnsi="宋体" w:eastAsia="宋体" w:cs="宋体"/>
          <w:b/>
          <w:color w:val="auto"/>
          <w:szCs w:val="21"/>
          <w:highlight w:val="none"/>
        </w:rPr>
        <w:t>2.18 通知</w:t>
      </w:r>
      <w:bookmarkEnd w:id="1860"/>
      <w:bookmarkEnd w:id="1861"/>
      <w:bookmarkEnd w:id="1862"/>
      <w:r>
        <w:rPr>
          <w:rFonts w:hint="eastAsia" w:ascii="宋体" w:hAnsi="宋体" w:eastAsia="宋体" w:cs="宋体"/>
          <w:b/>
          <w:color w:val="auto"/>
          <w:szCs w:val="21"/>
          <w:highlight w:val="none"/>
        </w:rPr>
        <w:t>和送达</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pPr>
        <w:shd w:val="clear"/>
        <w:spacing w:line="360" w:lineRule="exact"/>
        <w:ind w:firstLine="420" w:firstLineChars="200"/>
        <w:outlineLvl w:val="9"/>
        <w:rPr>
          <w:rFonts w:hint="eastAsia" w:ascii="宋体" w:hAnsi="宋体" w:eastAsia="宋体" w:cs="宋体"/>
          <w:color w:val="auto"/>
          <w:szCs w:val="21"/>
          <w:highlight w:val="none"/>
        </w:rPr>
      </w:pPr>
      <w:bookmarkStart w:id="1893" w:name="_Toc3135"/>
      <w:bookmarkStart w:id="1894" w:name="_Toc6698"/>
      <w:bookmarkStart w:id="1895" w:name="_Toc259093691"/>
      <w:bookmarkStart w:id="1896" w:name="_Toc487900372"/>
      <w:bookmarkStart w:id="1897" w:name="_Toc279701262"/>
      <w:r>
        <w:rPr>
          <w:rFonts w:hint="eastAsia" w:ascii="宋体" w:hAnsi="宋体" w:eastAsia="宋体" w:cs="宋体"/>
          <w:color w:val="auto"/>
          <w:szCs w:val="21"/>
          <w:highlight w:val="none"/>
        </w:rPr>
        <w:t>2.18.1 任何一方因履行合同而以合同第一部分尾部所列明的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发出的所有通知、文件、材料，均视为已向对方当事人送达；任何一方变更上述送达方式或者地址的，应于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个工作日内书面通知对方当事人，在对方当事人收到有关变更通知之前，变更前的约定送达方式或者地址仍视为有效。</w:t>
      </w:r>
      <w:bookmarkEnd w:id="1893"/>
      <w:bookmarkEnd w:id="1894"/>
    </w:p>
    <w:p>
      <w:pPr>
        <w:shd w:val="clear"/>
        <w:spacing w:line="360" w:lineRule="exact"/>
        <w:ind w:firstLine="420" w:firstLineChars="200"/>
        <w:outlineLvl w:val="9"/>
        <w:rPr>
          <w:rFonts w:hint="eastAsia" w:ascii="宋体" w:hAnsi="宋体" w:eastAsia="宋体" w:cs="宋体"/>
          <w:color w:val="auto"/>
          <w:szCs w:val="21"/>
          <w:highlight w:val="none"/>
        </w:rPr>
      </w:pPr>
      <w:bookmarkStart w:id="1898" w:name="_Toc23128"/>
      <w:bookmarkStart w:id="1899" w:name="_Toc23294"/>
      <w:r>
        <w:rPr>
          <w:rFonts w:hint="eastAsia" w:ascii="宋体" w:hAnsi="宋体" w:eastAsia="宋体" w:cs="宋体"/>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98"/>
      <w:bookmarkEnd w:id="1899"/>
    </w:p>
    <w:p>
      <w:pPr>
        <w:shd w:val="clear"/>
        <w:spacing w:line="360" w:lineRule="exact"/>
        <w:ind w:firstLine="422" w:firstLineChars="200"/>
        <w:outlineLvl w:val="9"/>
        <w:rPr>
          <w:rFonts w:hint="eastAsia" w:ascii="宋体" w:hAnsi="宋体" w:eastAsia="宋体" w:cs="宋体"/>
          <w:b/>
          <w:color w:val="auto"/>
          <w:szCs w:val="21"/>
          <w:highlight w:val="none"/>
        </w:rPr>
      </w:pPr>
      <w:bookmarkStart w:id="1900" w:name="_Toc21245"/>
      <w:bookmarkStart w:id="1901" w:name="_Toc2623"/>
      <w:bookmarkStart w:id="1902" w:name="_Toc31861"/>
      <w:bookmarkStart w:id="1903" w:name="_Toc9371"/>
      <w:bookmarkStart w:id="1904" w:name="_Toc10932"/>
      <w:bookmarkStart w:id="1905" w:name="_Toc30497"/>
      <w:bookmarkStart w:id="1906" w:name="_Toc4241"/>
      <w:bookmarkStart w:id="1907" w:name="_Toc11892"/>
      <w:bookmarkStart w:id="1908" w:name="_Toc29312"/>
      <w:bookmarkStart w:id="1909" w:name="_Toc27038"/>
      <w:bookmarkStart w:id="1910" w:name="_Toc1121"/>
      <w:bookmarkStart w:id="1911" w:name="_Toc16010"/>
      <w:bookmarkStart w:id="1912" w:name="_Toc14810"/>
      <w:bookmarkStart w:id="1913" w:name="_Toc18540"/>
      <w:bookmarkStart w:id="1914" w:name="_Toc29162"/>
      <w:bookmarkStart w:id="1915" w:name="_Toc20914"/>
      <w:bookmarkStart w:id="1916" w:name="_Toc12721"/>
      <w:bookmarkStart w:id="1917" w:name="_Toc4355"/>
      <w:bookmarkStart w:id="1918" w:name="_Toc11585"/>
      <w:bookmarkStart w:id="1919" w:name="_Toc20309"/>
      <w:bookmarkStart w:id="1920" w:name="_Toc30599"/>
      <w:bookmarkStart w:id="1921" w:name="_Toc20989"/>
      <w:bookmarkStart w:id="1922" w:name="_Toc13580"/>
      <w:bookmarkStart w:id="1923" w:name="_Toc4747"/>
      <w:bookmarkStart w:id="1924" w:name="_Toc5312"/>
      <w:bookmarkStart w:id="1925" w:name="_Toc22532"/>
      <w:bookmarkStart w:id="1926" w:name="_Toc19958"/>
      <w:bookmarkStart w:id="1927" w:name="_Toc15719"/>
      <w:bookmarkStart w:id="1928" w:name="_Toc21923"/>
      <w:bookmarkStart w:id="1929" w:name="_Toc30664"/>
      <w:bookmarkStart w:id="1930" w:name="_Toc9456"/>
      <w:bookmarkStart w:id="1931" w:name="_Toc14430"/>
      <w:bookmarkStart w:id="1932" w:name="_Toc22798"/>
      <w:bookmarkStart w:id="1933" w:name="_Toc1444"/>
      <w:bookmarkStart w:id="1934" w:name="_Toc19314"/>
      <w:bookmarkStart w:id="1935" w:name="_Toc3919"/>
      <w:r>
        <w:rPr>
          <w:rFonts w:hint="eastAsia" w:ascii="宋体" w:hAnsi="宋体" w:eastAsia="宋体" w:cs="宋体"/>
          <w:b/>
          <w:color w:val="auto"/>
          <w:szCs w:val="21"/>
          <w:highlight w:val="none"/>
        </w:rPr>
        <w:t>2.19 计量单位</w:t>
      </w:r>
      <w:bookmarkEnd w:id="1895"/>
      <w:bookmarkEnd w:id="1896"/>
      <w:bookmarkEnd w:id="1897"/>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除技术规范中另有规定外,合同的计量单位均使用国家法定计量单位。</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936" w:name="_Toc28784"/>
      <w:bookmarkStart w:id="1937" w:name="_Toc18634"/>
      <w:bookmarkStart w:id="1938" w:name="_Toc23641"/>
      <w:bookmarkStart w:id="1939" w:name="_Toc11130"/>
      <w:bookmarkStart w:id="1940" w:name="_Toc19154"/>
      <w:bookmarkStart w:id="1941" w:name="_Toc12547"/>
      <w:bookmarkStart w:id="1942" w:name="_Toc1976"/>
      <w:bookmarkStart w:id="1943" w:name="_Toc15428"/>
      <w:bookmarkStart w:id="1944" w:name="_Toc487900373"/>
      <w:bookmarkStart w:id="1945" w:name="_Toc22649"/>
      <w:bookmarkStart w:id="1946" w:name="_Toc279701263"/>
      <w:bookmarkStart w:id="1947" w:name="_Toc18716"/>
      <w:bookmarkStart w:id="1948" w:name="_Toc15868"/>
      <w:bookmarkStart w:id="1949" w:name="_Toc26340"/>
      <w:bookmarkStart w:id="1950" w:name="_Toc16880"/>
      <w:bookmarkStart w:id="1951" w:name="_Toc10830"/>
      <w:bookmarkStart w:id="1952" w:name="_Toc15271"/>
      <w:bookmarkStart w:id="1953" w:name="_Toc7172"/>
      <w:bookmarkStart w:id="1954" w:name="_Toc10330"/>
      <w:bookmarkStart w:id="1955" w:name="_Toc26830"/>
      <w:bookmarkStart w:id="1956" w:name="_Toc6343"/>
      <w:bookmarkStart w:id="1957" w:name="_Toc17517"/>
      <w:bookmarkStart w:id="1958" w:name="_Toc27589"/>
      <w:bookmarkStart w:id="1959" w:name="_Toc20624"/>
      <w:bookmarkStart w:id="1960" w:name="_Toc18567"/>
      <w:bookmarkStart w:id="1961" w:name="_Toc5796"/>
      <w:bookmarkStart w:id="1962" w:name="_Toc2161"/>
      <w:bookmarkStart w:id="1963" w:name="_Toc1736"/>
      <w:bookmarkStart w:id="1964" w:name="_Toc12773"/>
      <w:bookmarkStart w:id="1965" w:name="_Toc13131"/>
      <w:bookmarkStart w:id="1966" w:name="_Toc7567"/>
      <w:bookmarkStart w:id="1967" w:name="_Toc24231"/>
      <w:bookmarkStart w:id="1968" w:name="_Toc259093692"/>
      <w:bookmarkStart w:id="1969" w:name="_Toc5133"/>
      <w:r>
        <w:rPr>
          <w:rFonts w:hint="eastAsia" w:ascii="宋体" w:hAnsi="宋体" w:eastAsia="宋体" w:cs="宋体"/>
          <w:b/>
          <w:color w:val="auto"/>
          <w:szCs w:val="21"/>
          <w:highlight w:val="none"/>
        </w:rPr>
        <w:t>2.20 合同使用的文字和适用的法律</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2.20.1 合同使用汉语书就、变更和解释；</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2.20.2 合同适用中华人民共和国法律。</w:t>
      </w:r>
    </w:p>
    <w:p>
      <w:pPr>
        <w:shd w:val="clear"/>
        <w:spacing w:line="360" w:lineRule="exact"/>
        <w:ind w:firstLine="422" w:firstLineChars="200"/>
        <w:outlineLvl w:val="9"/>
        <w:rPr>
          <w:rFonts w:hint="eastAsia" w:ascii="宋体" w:hAnsi="宋体" w:eastAsia="宋体" w:cs="宋体"/>
          <w:b/>
          <w:color w:val="auto"/>
          <w:szCs w:val="21"/>
          <w:highlight w:val="none"/>
        </w:rPr>
      </w:pPr>
      <w:bookmarkStart w:id="1970" w:name="_Toc5000"/>
      <w:bookmarkStart w:id="1971" w:name="_Toc9280"/>
      <w:bookmarkStart w:id="1972" w:name="_Toc29073"/>
      <w:bookmarkStart w:id="1973" w:name="_Toc9880"/>
      <w:bookmarkStart w:id="1974" w:name="_Toc12066"/>
      <w:bookmarkStart w:id="1975" w:name="_Toc16673"/>
      <w:bookmarkStart w:id="1976" w:name="_Toc18838"/>
      <w:bookmarkStart w:id="1977" w:name="_Toc17759"/>
      <w:bookmarkStart w:id="1978" w:name="_Toc13924"/>
      <w:bookmarkStart w:id="1979" w:name="_Toc17114"/>
      <w:bookmarkStart w:id="1980" w:name="_Toc17552"/>
      <w:bookmarkStart w:id="1981" w:name="_Toc12004"/>
      <w:bookmarkStart w:id="1982" w:name="_Toc26372"/>
      <w:bookmarkStart w:id="1983" w:name="_Toc638"/>
      <w:bookmarkStart w:id="1984" w:name="_Toc30511"/>
      <w:bookmarkStart w:id="1985" w:name="_Toc18845"/>
      <w:bookmarkStart w:id="1986" w:name="_Toc3148"/>
      <w:bookmarkStart w:id="1987" w:name="_Toc23464"/>
      <w:bookmarkStart w:id="1988" w:name="_Toc23015"/>
      <w:bookmarkStart w:id="1989" w:name="_Toc15434"/>
      <w:bookmarkStart w:id="1990" w:name="_Toc259093693"/>
      <w:bookmarkStart w:id="1991" w:name="_Toc14308"/>
      <w:bookmarkStart w:id="1992" w:name="_Toc26689"/>
      <w:bookmarkStart w:id="1993" w:name="_Toc1396"/>
      <w:bookmarkStart w:id="1994" w:name="_Toc18281"/>
      <w:bookmarkStart w:id="1995" w:name="_Toc14964"/>
      <w:bookmarkStart w:id="1996" w:name="_Toc16658"/>
      <w:bookmarkStart w:id="1997" w:name="_Toc279701264"/>
      <w:bookmarkStart w:id="1998" w:name="_Toc11628"/>
      <w:bookmarkStart w:id="1999" w:name="_Toc14504"/>
      <w:bookmarkStart w:id="2000" w:name="_Toc31790"/>
      <w:bookmarkStart w:id="2001" w:name="_Toc17743"/>
      <w:bookmarkStart w:id="2002" w:name="_Toc32497"/>
      <w:bookmarkStart w:id="2003" w:name="_Toc19409"/>
      <w:bookmarkStart w:id="2004" w:name="_Toc1670"/>
      <w:bookmarkStart w:id="2005" w:name="_Toc7270"/>
      <w:bookmarkStart w:id="2006" w:name="_Toc8602"/>
      <w:bookmarkStart w:id="2007" w:name="_Toc25551"/>
      <w:bookmarkStart w:id="2008" w:name="_Toc487900374"/>
      <w:r>
        <w:rPr>
          <w:rFonts w:hint="eastAsia" w:ascii="宋体" w:hAnsi="宋体" w:eastAsia="宋体" w:cs="宋体"/>
          <w:b/>
          <w:color w:val="auto"/>
          <w:szCs w:val="21"/>
          <w:highlight w:val="none"/>
        </w:rPr>
        <w:t>2.21 履约保证金</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 采购文件要求乙方提交履约保证金的，乙方应按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约定的方式，以支票、汇票、本票或者金融机构、担保机构出具的保函等非现金形式，提交不超过合同价10%的履约保证金；</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2.21.2  履约保证金在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约定期间内或者货物质量保证期内不予退还或者应完全有效，前述约定期间届满或者货物质量保证期届满之日起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个工作日内，甲方应将履约保证金退还乙方；</w:t>
      </w:r>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08"/>
    <w:p>
      <w:pPr>
        <w:shd w:val="clear"/>
        <w:spacing w:line="360" w:lineRule="exact"/>
        <w:ind w:firstLine="422" w:firstLineChars="200"/>
        <w:outlineLvl w:val="9"/>
        <w:rPr>
          <w:rFonts w:hint="eastAsia" w:ascii="宋体" w:hAnsi="宋体" w:eastAsia="宋体" w:cs="宋体"/>
          <w:b/>
          <w:color w:val="auto"/>
          <w:szCs w:val="21"/>
          <w:highlight w:val="none"/>
        </w:rPr>
      </w:pPr>
      <w:bookmarkStart w:id="2009" w:name="_Toc10477"/>
      <w:bookmarkStart w:id="2010" w:name="_Toc10801"/>
      <w:bookmarkStart w:id="2011" w:name="_Toc8867"/>
      <w:bookmarkStart w:id="2012" w:name="_Toc6508"/>
      <w:bookmarkStart w:id="2013" w:name="_Toc29899"/>
      <w:bookmarkStart w:id="2014" w:name="_Toc14001"/>
      <w:bookmarkStart w:id="2015" w:name="_Toc10736"/>
      <w:bookmarkStart w:id="2016" w:name="_Toc31950"/>
      <w:bookmarkStart w:id="2017" w:name="_Toc30847"/>
      <w:bookmarkStart w:id="2018" w:name="_Toc30496"/>
      <w:bookmarkStart w:id="2019" w:name="_Toc369"/>
      <w:bookmarkStart w:id="2020" w:name="_Toc2442"/>
      <w:bookmarkStart w:id="2021" w:name="_Toc27525"/>
      <w:bookmarkStart w:id="2022" w:name="_Toc3020"/>
      <w:bookmarkStart w:id="2023" w:name="_Toc11644"/>
      <w:bookmarkStart w:id="2024" w:name="_Toc2916"/>
      <w:bookmarkStart w:id="2025" w:name="_Toc25684"/>
      <w:bookmarkStart w:id="2026" w:name="_Toc22496"/>
      <w:bookmarkStart w:id="2027" w:name="_Toc32408"/>
      <w:bookmarkStart w:id="2028" w:name="_Toc12607"/>
      <w:bookmarkStart w:id="2029" w:name="_Toc20802"/>
      <w:bookmarkStart w:id="2030" w:name="_Toc19890"/>
      <w:bookmarkStart w:id="2031" w:name="_Toc11103"/>
      <w:bookmarkStart w:id="2032" w:name="_Toc31089"/>
      <w:bookmarkStart w:id="2033" w:name="_Toc23656"/>
      <w:bookmarkStart w:id="2034" w:name="_Toc12034"/>
      <w:bookmarkStart w:id="2035" w:name="_Toc25691"/>
      <w:bookmarkStart w:id="2036" w:name="_Toc8495"/>
      <w:bookmarkStart w:id="2037" w:name="_Toc27563"/>
      <w:bookmarkStart w:id="2038" w:name="_Toc13582"/>
      <w:bookmarkStart w:id="2039" w:name="_Toc28671"/>
      <w:bookmarkStart w:id="2040" w:name="_Toc2720"/>
      <w:bookmarkStart w:id="2041" w:name="_Toc27561"/>
      <w:bookmarkStart w:id="2042" w:name="_Toc24006"/>
      <w:bookmarkStart w:id="2043" w:name="_Toc22821"/>
      <w:r>
        <w:rPr>
          <w:rFonts w:hint="eastAsia" w:ascii="宋体" w:hAnsi="宋体" w:eastAsia="宋体" w:cs="宋体"/>
          <w:b/>
          <w:color w:val="auto"/>
          <w:szCs w:val="21"/>
          <w:highlight w:val="none"/>
        </w:rPr>
        <w:t>2.22 合同份数</w:t>
      </w:r>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合同份数按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规定，每份均具有同等法律效力。</w:t>
      </w:r>
    </w:p>
    <w:p>
      <w:pPr>
        <w:pStyle w:val="34"/>
        <w:shd w:val="clear"/>
        <w:spacing w:line="360" w:lineRule="exact"/>
        <w:ind w:firstLine="0"/>
        <w:jc w:val="center"/>
        <w:outlineLvl w:val="9"/>
        <w:rPr>
          <w:rFonts w:hint="eastAsia" w:ascii="宋体" w:hAnsi="宋体" w:eastAsia="宋体" w:cs="宋体"/>
          <w:b/>
          <w:color w:val="auto"/>
          <w:sz w:val="21"/>
          <w:szCs w:val="21"/>
          <w:highlight w:val="none"/>
        </w:rPr>
      </w:pPr>
      <w:bookmarkStart w:id="2044" w:name="_Toc331685784"/>
    </w:p>
    <w:p>
      <w:pPr>
        <w:pStyle w:val="34"/>
        <w:shd w:val="clear"/>
        <w:spacing w:line="360" w:lineRule="exact"/>
        <w:ind w:firstLine="0"/>
        <w:jc w:val="center"/>
        <w:outlineLvl w:val="9"/>
        <w:rPr>
          <w:rFonts w:hint="eastAsia" w:ascii="宋体" w:hAnsi="宋体" w:eastAsia="宋体" w:cs="宋体"/>
          <w:b/>
          <w:color w:val="auto"/>
          <w:sz w:val="21"/>
          <w:szCs w:val="21"/>
          <w:highlight w:val="none"/>
        </w:rPr>
      </w:pPr>
    </w:p>
    <w:p>
      <w:pPr>
        <w:pStyle w:val="34"/>
        <w:shd w:val="clear"/>
        <w:spacing w:line="360" w:lineRule="exact"/>
        <w:ind w:firstLine="0"/>
        <w:jc w:val="center"/>
        <w:outlineLvl w:val="9"/>
        <w:rPr>
          <w:rFonts w:hint="eastAsia" w:ascii="宋体" w:hAnsi="宋体" w:eastAsia="宋体" w:cs="宋体"/>
          <w:b/>
          <w:color w:val="auto"/>
          <w:sz w:val="21"/>
          <w:szCs w:val="21"/>
          <w:highlight w:val="none"/>
        </w:rPr>
      </w:pPr>
    </w:p>
    <w:p>
      <w:pPr>
        <w:pStyle w:val="34"/>
        <w:shd w:val="clear"/>
        <w:spacing w:line="360" w:lineRule="exact"/>
        <w:ind w:firstLine="0"/>
        <w:jc w:val="center"/>
        <w:outlineLvl w:val="9"/>
        <w:rPr>
          <w:rFonts w:hint="eastAsia" w:ascii="宋体" w:hAnsi="宋体" w:eastAsia="宋体" w:cs="宋体"/>
          <w:b/>
          <w:color w:val="auto"/>
          <w:sz w:val="21"/>
          <w:szCs w:val="21"/>
          <w:highlight w:val="none"/>
        </w:rPr>
      </w:pPr>
    </w:p>
    <w:p>
      <w:pPr>
        <w:pStyle w:val="34"/>
        <w:shd w:val="clear"/>
        <w:spacing w:line="360" w:lineRule="exact"/>
        <w:ind w:firstLine="0"/>
        <w:jc w:val="center"/>
        <w:outlineLvl w:val="9"/>
        <w:rPr>
          <w:rFonts w:hint="eastAsia" w:ascii="宋体" w:hAnsi="宋体" w:eastAsia="宋体" w:cs="宋体"/>
          <w:b/>
          <w:color w:val="auto"/>
          <w:sz w:val="21"/>
          <w:szCs w:val="21"/>
          <w:highlight w:val="none"/>
        </w:rPr>
      </w:pPr>
    </w:p>
    <w:p>
      <w:pPr>
        <w:pStyle w:val="34"/>
        <w:shd w:val="clear"/>
        <w:spacing w:line="360" w:lineRule="exact"/>
        <w:ind w:firstLine="0"/>
        <w:jc w:val="center"/>
        <w:outlineLvl w:val="9"/>
        <w:rPr>
          <w:rFonts w:hint="eastAsia" w:ascii="宋体" w:hAnsi="宋体" w:eastAsia="宋体" w:cs="宋体"/>
          <w:b/>
          <w:color w:val="auto"/>
          <w:sz w:val="21"/>
          <w:szCs w:val="21"/>
          <w:highlight w:val="none"/>
        </w:rPr>
      </w:pPr>
    </w:p>
    <w:p>
      <w:pP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Style w:val="34"/>
        <w:shd w:val="clear"/>
        <w:spacing w:line="360" w:lineRule="exact"/>
        <w:ind w:firstLine="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第三部分  合同专用条款</w:t>
      </w:r>
      <w:bookmarkEnd w:id="2044"/>
    </w:p>
    <w:p>
      <w:pPr>
        <w:shd w:val="clear"/>
        <w:spacing w:line="3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hd w:val="clear"/>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633" w:type="dxa"/>
            <w:vAlign w:val="center"/>
          </w:tcPr>
          <w:p>
            <w:pPr>
              <w:shd w:val="clear"/>
              <w:spacing w:line="36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outlineLvl w:val="9"/>
              <w:rPr>
                <w:rFonts w:hint="eastAsia" w:ascii="宋体" w:hAnsi="宋体" w:eastAsia="宋体" w:cs="宋体"/>
                <w:color w:val="auto"/>
                <w:szCs w:val="21"/>
                <w:highlight w:val="none"/>
              </w:rPr>
            </w:pPr>
          </w:p>
        </w:tc>
        <w:tc>
          <w:tcPr>
            <w:tcW w:w="7633" w:type="dxa"/>
            <w:vAlign w:val="center"/>
          </w:tcPr>
          <w:p>
            <w:pPr>
              <w:shd w:val="clear"/>
              <w:spacing w:line="360" w:lineRule="exact"/>
              <w:outlineLvl w:val="9"/>
              <w:rPr>
                <w:rFonts w:hint="eastAsia" w:ascii="宋体" w:hAnsi="宋体" w:eastAsia="宋体" w:cs="宋体"/>
                <w:color w:val="auto"/>
                <w:szCs w:val="21"/>
                <w:highlight w:val="none"/>
              </w:rPr>
            </w:pPr>
          </w:p>
        </w:tc>
      </w:tr>
    </w:tbl>
    <w:p>
      <w:pPr>
        <w:pStyle w:val="59"/>
        <w:jc w:val="center"/>
        <w:outlineLvl w:val="9"/>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sectPr>
      <w:headerReference r:id="rId13" w:type="default"/>
      <w:footerReference r:id="rId14" w:type="default"/>
      <w:pgSz w:w="11905" w:h="16838"/>
      <w:pgMar w:top="1440" w:right="1797" w:bottom="1440" w:left="1797" w:header="851" w:footer="992" w:gutter="0"/>
      <w:pgNumType w:fmt="decimal"/>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036"/>
        <w:tab w:val="center" w:pos="4355"/>
        <w:tab w:val="right" w:pos="8312"/>
        <w:tab w:val="right" w:pos="8950"/>
      </w:tabs>
      <w:ind w:right="360"/>
      <w:jc w:val="center"/>
    </w:pPr>
    <w:r>
      <w:rPr>
        <w:rFonts w:hint="eastAsia"/>
        <w:color w:val="FF0000"/>
      </w:rPr>
      <w:t>Add：喀什经济开发区深喀大道</w:t>
    </w:r>
    <w:r>
      <w:rPr>
        <w:rFonts w:hint="eastAsia"/>
        <w:color w:val="FF0000"/>
        <w:lang w:val="en-US" w:eastAsia="zh-CN"/>
      </w:rPr>
      <w:t>陕西大厦12楼1208室</w:t>
    </w:r>
    <w:r>
      <w:rPr>
        <w:rFonts w:hint="eastAsia"/>
        <w:color w:val="FF0000"/>
      </w:rPr>
      <w:t xml:space="preserve">        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rPr>
        <w:rFonts w:hint="default" w:eastAsia="宋体"/>
        <w:sz w:val="24"/>
        <w:szCs w:val="24"/>
        <w:lang w:val="en-US" w:eastAsia="zh-CN"/>
      </w:rPr>
    </w:pPr>
    <w:r>
      <w:rPr>
        <w:rFonts w:hint="eastAsia"/>
        <w:sz w:val="24"/>
        <w:szCs w:val="24"/>
        <w:lang w:val="en-US" w:eastAsia="zh-CN"/>
      </w:rPr>
      <w:t>喀什璟宸项目咨询管理有限公司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rPr>
        <w:rFonts w:hint="eastAsia"/>
      </w:rPr>
      <w:drawing>
        <wp:inline distT="0" distB="0" distL="0" distR="0">
          <wp:extent cx="2992755" cy="428625"/>
          <wp:effectExtent l="0" t="0" r="9525" b="13335"/>
          <wp:docPr id="11"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11" name="图片 2"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rPr>
        <w:rFonts w:hint="eastAsia"/>
        <w:sz w:val="24"/>
        <w:szCs w:val="24"/>
        <w:lang w:val="en-US" w:eastAsia="zh-CN"/>
      </w:rPr>
      <w:t>喀什璟宸项目咨询管理有限公司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rPr>
        <w:rFonts w:hint="eastAsia"/>
        <w:lang w:val="en-US" w:eastAsia="zh-CN"/>
      </w:rPr>
    </w:pPr>
    <w:r>
      <w:rPr>
        <w:rFonts w:hint="eastAsia"/>
        <w:sz w:val="24"/>
        <w:szCs w:val="24"/>
        <w:lang w:val="en-US" w:eastAsia="zh-CN"/>
      </w:rPr>
      <w:t>喀什璟宸项目咨询管理有限公司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rPr>
        <w:rFonts w:hint="eastAsia"/>
        <w:sz w:val="24"/>
        <w:szCs w:val="24"/>
        <w:lang w:val="en-US" w:eastAsia="zh-CN"/>
      </w:rPr>
      <w:t>喀什璟宸项目咨询管理有限公司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rPr>
        <w:rFonts w:hint="eastAsia"/>
        <w:sz w:val="24"/>
        <w:szCs w:val="24"/>
        <w:lang w:val="en-US" w:eastAsia="zh-CN"/>
      </w:rPr>
      <w:t>喀什璟宸项目咨询管理有限公司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rPr>
        <w:rFonts w:hint="eastAsia"/>
        <w:lang w:eastAsia="zh-CN"/>
      </w:rPr>
    </w:pPr>
    <w:r>
      <w:rPr>
        <w:rFonts w:hint="eastAsia"/>
        <w:sz w:val="24"/>
        <w:szCs w:val="24"/>
        <w:lang w:val="en-US" w:eastAsia="zh-CN"/>
      </w:rPr>
      <w:t>喀什璟宸项目咨询管理有限公司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1116A"/>
    <w:multiLevelType w:val="multilevel"/>
    <w:tmpl w:val="36E1116A"/>
    <w:lvl w:ilvl="0" w:tentative="0">
      <w:start w:val="1"/>
      <w:numFmt w:val="decimal"/>
      <w:pStyle w:val="46"/>
      <w:lvlText w:val="%1"/>
      <w:lvlJc w:val="left"/>
      <w:pPr>
        <w:widowControl/>
        <w:ind w:left="432" w:hanging="432"/>
        <w:textAlignment w:val="baseline"/>
      </w:pPr>
    </w:lvl>
    <w:lvl w:ilvl="1" w:tentative="0">
      <w:start w:val="1"/>
      <w:numFmt w:val="decimal"/>
      <w:pStyle w:val="48"/>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abstractNum w:abstractNumId="1">
    <w:nsid w:val="47D96D2E"/>
    <w:multiLevelType w:val="singleLevel"/>
    <w:tmpl w:val="47D96D2E"/>
    <w:lvl w:ilvl="0" w:tentative="0">
      <w:start w:val="1"/>
      <w:numFmt w:val="decimal"/>
      <w:suff w:val="nothing"/>
      <w:lvlText w:val="%1、"/>
      <w:lvlJc w:val="left"/>
    </w:lvl>
  </w:abstractNum>
  <w:abstractNum w:abstractNumId="2">
    <w:nsid w:val="502A8B5B"/>
    <w:multiLevelType w:val="singleLevel"/>
    <w:tmpl w:val="502A8B5B"/>
    <w:lvl w:ilvl="0" w:tentative="0">
      <w:start w:val="1"/>
      <w:numFmt w:val="decimal"/>
      <w:suff w:val="nothing"/>
      <w:lvlText w:val="%1、"/>
      <w:lvlJc w:val="left"/>
    </w:lvl>
  </w:abstractNum>
  <w:abstractNum w:abstractNumId="3">
    <w:nsid w:val="5299DD22"/>
    <w:multiLevelType w:val="singleLevel"/>
    <w:tmpl w:val="5299DD22"/>
    <w:lvl w:ilvl="0" w:tentative="0">
      <w:start w:val="1"/>
      <w:numFmt w:val="decimal"/>
      <w:suff w:val="nothing"/>
      <w:lvlText w:val="%1、"/>
      <w:lvlJc w:val="left"/>
    </w:lvl>
  </w:abstractNum>
  <w:abstractNum w:abstractNumId="4">
    <w:nsid w:val="5596B94E"/>
    <w:multiLevelType w:val="singleLevel"/>
    <w:tmpl w:val="5596B94E"/>
    <w:lvl w:ilvl="0" w:tentative="0">
      <w:start w:val="5"/>
      <w:numFmt w:val="decimal"/>
      <w:lvlText w:val="%1."/>
      <w:lvlJc w:val="left"/>
      <w:pPr>
        <w:tabs>
          <w:tab w:val="left" w:pos="312"/>
        </w:tabs>
      </w:pPr>
    </w:lvl>
  </w:abstractNum>
  <w:abstractNum w:abstractNumId="5">
    <w:nsid w:val="56F0A3C0"/>
    <w:multiLevelType w:val="singleLevel"/>
    <w:tmpl w:val="56F0A3C0"/>
    <w:lvl w:ilvl="0" w:tentative="0">
      <w:start w:val="1"/>
      <w:numFmt w:val="decimal"/>
      <w:suff w:val="nothing"/>
      <w:lvlText w:val="（%1）"/>
      <w:lvlJc w:val="left"/>
    </w:lvl>
  </w:abstractNum>
  <w:abstractNum w:abstractNumId="6">
    <w:nsid w:val="5B4DC6C2"/>
    <w:multiLevelType w:val="singleLevel"/>
    <w:tmpl w:val="5B4DC6C2"/>
    <w:lvl w:ilvl="0" w:tentative="0">
      <w:start w:val="1"/>
      <w:numFmt w:val="decimal"/>
      <w:lvlText w:val="%1."/>
      <w:lvlJc w:val="left"/>
      <w:pPr>
        <w:tabs>
          <w:tab w:val="left" w:pos="312"/>
        </w:tabs>
      </w:pPr>
    </w:lvl>
  </w:abstractNum>
  <w:abstractNum w:abstractNumId="7">
    <w:nsid w:val="6005F10E"/>
    <w:multiLevelType w:val="singleLevel"/>
    <w:tmpl w:val="6005F10E"/>
    <w:lvl w:ilvl="0" w:tentative="0">
      <w:start w:val="15"/>
      <w:numFmt w:val="decimal"/>
      <w:suff w:val="space"/>
      <w:lvlText w:val="%1."/>
      <w:lvlJc w:val="left"/>
    </w:lvl>
  </w:abstractNum>
  <w:abstractNum w:abstractNumId="8">
    <w:nsid w:val="63BCDCD8"/>
    <w:multiLevelType w:val="singleLevel"/>
    <w:tmpl w:val="63BCDCD8"/>
    <w:lvl w:ilvl="0" w:tentative="0">
      <w:start w:val="1"/>
      <w:numFmt w:val="decimal"/>
      <w:suff w:val="nothing"/>
      <w:lvlText w:val="%1、"/>
      <w:lvlJc w:val="left"/>
    </w:lvl>
  </w:abstractNum>
  <w:num w:numId="1">
    <w:abstractNumId w:val="0"/>
  </w:num>
  <w:num w:numId="2">
    <w:abstractNumId w:val="7"/>
  </w:num>
  <w:num w:numId="3">
    <w:abstractNumId w:val="6"/>
  </w:num>
  <w:num w:numId="4">
    <w:abstractNumId w:val="4"/>
  </w:num>
  <w:num w:numId="5">
    <w:abstractNumId w:val="5"/>
  </w:num>
  <w:num w:numId="6">
    <w:abstractNumId w:val="8"/>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YWMzNjk3Zjg2YjQxMGUzOTdhZmRkNThlY2RmYjEifQ=="/>
  </w:docVars>
  <w:rsids>
    <w:rsidRoot w:val="4E9B67BC"/>
    <w:rsid w:val="00076B15"/>
    <w:rsid w:val="00125DB3"/>
    <w:rsid w:val="00202BA0"/>
    <w:rsid w:val="002726EE"/>
    <w:rsid w:val="00340A80"/>
    <w:rsid w:val="003A7815"/>
    <w:rsid w:val="003E5316"/>
    <w:rsid w:val="004C3054"/>
    <w:rsid w:val="00501EE6"/>
    <w:rsid w:val="00510400"/>
    <w:rsid w:val="00610CAD"/>
    <w:rsid w:val="006B4D0F"/>
    <w:rsid w:val="006B4F71"/>
    <w:rsid w:val="00763B64"/>
    <w:rsid w:val="00853197"/>
    <w:rsid w:val="00C11035"/>
    <w:rsid w:val="00C80F19"/>
    <w:rsid w:val="00D65B2D"/>
    <w:rsid w:val="00DD4EA4"/>
    <w:rsid w:val="00E73F57"/>
    <w:rsid w:val="00F55B83"/>
    <w:rsid w:val="017604FA"/>
    <w:rsid w:val="018F17E7"/>
    <w:rsid w:val="01943527"/>
    <w:rsid w:val="019E64FB"/>
    <w:rsid w:val="01A53393"/>
    <w:rsid w:val="01A87AFF"/>
    <w:rsid w:val="01AB7941"/>
    <w:rsid w:val="01BF6EF9"/>
    <w:rsid w:val="01C94168"/>
    <w:rsid w:val="01EE19B6"/>
    <w:rsid w:val="01FC71B0"/>
    <w:rsid w:val="020016E9"/>
    <w:rsid w:val="020715D6"/>
    <w:rsid w:val="02BB465C"/>
    <w:rsid w:val="02C205D8"/>
    <w:rsid w:val="02C74346"/>
    <w:rsid w:val="02D52FF9"/>
    <w:rsid w:val="02E132C9"/>
    <w:rsid w:val="02F96F18"/>
    <w:rsid w:val="03137D7A"/>
    <w:rsid w:val="031414D5"/>
    <w:rsid w:val="032D143B"/>
    <w:rsid w:val="03334901"/>
    <w:rsid w:val="03691CED"/>
    <w:rsid w:val="036C34DA"/>
    <w:rsid w:val="03764359"/>
    <w:rsid w:val="03822CFE"/>
    <w:rsid w:val="039A7B48"/>
    <w:rsid w:val="039C163C"/>
    <w:rsid w:val="03C261E6"/>
    <w:rsid w:val="03CB7A9E"/>
    <w:rsid w:val="040556DD"/>
    <w:rsid w:val="040D2765"/>
    <w:rsid w:val="045649DA"/>
    <w:rsid w:val="045D1075"/>
    <w:rsid w:val="048402BB"/>
    <w:rsid w:val="04A07FF8"/>
    <w:rsid w:val="04B172D6"/>
    <w:rsid w:val="04E822B5"/>
    <w:rsid w:val="04F06D02"/>
    <w:rsid w:val="0507196E"/>
    <w:rsid w:val="056C042B"/>
    <w:rsid w:val="05D91524"/>
    <w:rsid w:val="05FA70D2"/>
    <w:rsid w:val="05FF513E"/>
    <w:rsid w:val="062F4971"/>
    <w:rsid w:val="064D5B1C"/>
    <w:rsid w:val="06550CE5"/>
    <w:rsid w:val="069D4B6B"/>
    <w:rsid w:val="06CE51BA"/>
    <w:rsid w:val="06DE343A"/>
    <w:rsid w:val="06E40ABE"/>
    <w:rsid w:val="071E532B"/>
    <w:rsid w:val="07211EDF"/>
    <w:rsid w:val="073736D8"/>
    <w:rsid w:val="07442078"/>
    <w:rsid w:val="07496D8C"/>
    <w:rsid w:val="07801315"/>
    <w:rsid w:val="07B463DA"/>
    <w:rsid w:val="07DE755A"/>
    <w:rsid w:val="07F910B5"/>
    <w:rsid w:val="081957CD"/>
    <w:rsid w:val="08267B7E"/>
    <w:rsid w:val="08580825"/>
    <w:rsid w:val="08591AD2"/>
    <w:rsid w:val="08A00680"/>
    <w:rsid w:val="08B1155B"/>
    <w:rsid w:val="08E104C7"/>
    <w:rsid w:val="0924515A"/>
    <w:rsid w:val="0927393C"/>
    <w:rsid w:val="09513AEA"/>
    <w:rsid w:val="095C1FA1"/>
    <w:rsid w:val="09885D9B"/>
    <w:rsid w:val="099E3EED"/>
    <w:rsid w:val="09B70E66"/>
    <w:rsid w:val="09B90AFC"/>
    <w:rsid w:val="09E44647"/>
    <w:rsid w:val="0A037FB9"/>
    <w:rsid w:val="0AAC240E"/>
    <w:rsid w:val="0AB55DA2"/>
    <w:rsid w:val="0AD26657"/>
    <w:rsid w:val="0AD96F7B"/>
    <w:rsid w:val="0AE045B7"/>
    <w:rsid w:val="0B0410FE"/>
    <w:rsid w:val="0B0D365A"/>
    <w:rsid w:val="0B305EC4"/>
    <w:rsid w:val="0B4E1717"/>
    <w:rsid w:val="0BB05F2E"/>
    <w:rsid w:val="0BB155A1"/>
    <w:rsid w:val="0BE9677F"/>
    <w:rsid w:val="0C493BA6"/>
    <w:rsid w:val="0C4F01D1"/>
    <w:rsid w:val="0C7A3B49"/>
    <w:rsid w:val="0CAC7FA3"/>
    <w:rsid w:val="0CC33E28"/>
    <w:rsid w:val="0CC57122"/>
    <w:rsid w:val="0CFE4A83"/>
    <w:rsid w:val="0D1A0C7D"/>
    <w:rsid w:val="0D3A658D"/>
    <w:rsid w:val="0D43158C"/>
    <w:rsid w:val="0D54223D"/>
    <w:rsid w:val="0D642C52"/>
    <w:rsid w:val="0D82059D"/>
    <w:rsid w:val="0D8860AE"/>
    <w:rsid w:val="0DA87B2D"/>
    <w:rsid w:val="0DB33E73"/>
    <w:rsid w:val="0DBD57D4"/>
    <w:rsid w:val="0DC15569"/>
    <w:rsid w:val="0DDF0F54"/>
    <w:rsid w:val="0DF8713D"/>
    <w:rsid w:val="0E011897"/>
    <w:rsid w:val="0E2B3460"/>
    <w:rsid w:val="0E320976"/>
    <w:rsid w:val="0E3A5F83"/>
    <w:rsid w:val="0EBC26DF"/>
    <w:rsid w:val="0ECC4F70"/>
    <w:rsid w:val="0ECE01CA"/>
    <w:rsid w:val="0EF56A7A"/>
    <w:rsid w:val="0F20705B"/>
    <w:rsid w:val="0F3155D8"/>
    <w:rsid w:val="0F367867"/>
    <w:rsid w:val="0F4166EC"/>
    <w:rsid w:val="0F887B3F"/>
    <w:rsid w:val="0FA07A02"/>
    <w:rsid w:val="0FC22610"/>
    <w:rsid w:val="0FCA771C"/>
    <w:rsid w:val="0FDC4EB3"/>
    <w:rsid w:val="0FEA38D7"/>
    <w:rsid w:val="0FF97C3C"/>
    <w:rsid w:val="10153D18"/>
    <w:rsid w:val="10310440"/>
    <w:rsid w:val="103B4960"/>
    <w:rsid w:val="10437371"/>
    <w:rsid w:val="106043C7"/>
    <w:rsid w:val="106519DD"/>
    <w:rsid w:val="106A366C"/>
    <w:rsid w:val="10742BBD"/>
    <w:rsid w:val="108F0F3F"/>
    <w:rsid w:val="10914983"/>
    <w:rsid w:val="10D17AEF"/>
    <w:rsid w:val="10E77350"/>
    <w:rsid w:val="10EC17B7"/>
    <w:rsid w:val="111357E9"/>
    <w:rsid w:val="11261718"/>
    <w:rsid w:val="115B6A10"/>
    <w:rsid w:val="116412EF"/>
    <w:rsid w:val="11730B34"/>
    <w:rsid w:val="11BB462E"/>
    <w:rsid w:val="11BB6A83"/>
    <w:rsid w:val="11C908BB"/>
    <w:rsid w:val="11CA7FC4"/>
    <w:rsid w:val="11DE16C3"/>
    <w:rsid w:val="11E73E84"/>
    <w:rsid w:val="11FE37AE"/>
    <w:rsid w:val="12080872"/>
    <w:rsid w:val="125735A8"/>
    <w:rsid w:val="127C300E"/>
    <w:rsid w:val="128375CC"/>
    <w:rsid w:val="12903B44"/>
    <w:rsid w:val="12CC6309"/>
    <w:rsid w:val="12D165F3"/>
    <w:rsid w:val="12DE26FE"/>
    <w:rsid w:val="13496D93"/>
    <w:rsid w:val="13525B1D"/>
    <w:rsid w:val="138D0E77"/>
    <w:rsid w:val="13C71C86"/>
    <w:rsid w:val="13FD3CDB"/>
    <w:rsid w:val="140E6D1D"/>
    <w:rsid w:val="141D25CF"/>
    <w:rsid w:val="14411E19"/>
    <w:rsid w:val="14587163"/>
    <w:rsid w:val="14651540"/>
    <w:rsid w:val="14681A9C"/>
    <w:rsid w:val="147F2942"/>
    <w:rsid w:val="14922675"/>
    <w:rsid w:val="14D42F61"/>
    <w:rsid w:val="14E37374"/>
    <w:rsid w:val="15401F58"/>
    <w:rsid w:val="15811E5B"/>
    <w:rsid w:val="15833C8A"/>
    <w:rsid w:val="15A25376"/>
    <w:rsid w:val="15C3785F"/>
    <w:rsid w:val="15E95DC2"/>
    <w:rsid w:val="16271F76"/>
    <w:rsid w:val="162C32E2"/>
    <w:rsid w:val="163F4A71"/>
    <w:rsid w:val="16592972"/>
    <w:rsid w:val="16922E00"/>
    <w:rsid w:val="16B919FC"/>
    <w:rsid w:val="16C17241"/>
    <w:rsid w:val="16C4115D"/>
    <w:rsid w:val="16CE74DF"/>
    <w:rsid w:val="173340D0"/>
    <w:rsid w:val="17B1375A"/>
    <w:rsid w:val="18054367"/>
    <w:rsid w:val="184F70CC"/>
    <w:rsid w:val="189305FF"/>
    <w:rsid w:val="18C47C3E"/>
    <w:rsid w:val="18ED2570"/>
    <w:rsid w:val="194C74C1"/>
    <w:rsid w:val="19510A53"/>
    <w:rsid w:val="19836FA6"/>
    <w:rsid w:val="19BE215E"/>
    <w:rsid w:val="19D61F5A"/>
    <w:rsid w:val="19EC175E"/>
    <w:rsid w:val="1A084A4F"/>
    <w:rsid w:val="1A170EA3"/>
    <w:rsid w:val="1A4E33FF"/>
    <w:rsid w:val="1A616198"/>
    <w:rsid w:val="1A675266"/>
    <w:rsid w:val="1B03683B"/>
    <w:rsid w:val="1B395F40"/>
    <w:rsid w:val="1B5E1503"/>
    <w:rsid w:val="1B6B12FD"/>
    <w:rsid w:val="1B6B269C"/>
    <w:rsid w:val="1BCF525B"/>
    <w:rsid w:val="1BD364C3"/>
    <w:rsid w:val="1C0E338C"/>
    <w:rsid w:val="1C23374F"/>
    <w:rsid w:val="1C345C07"/>
    <w:rsid w:val="1C521039"/>
    <w:rsid w:val="1C80306C"/>
    <w:rsid w:val="1C813293"/>
    <w:rsid w:val="1CA83281"/>
    <w:rsid w:val="1CD35F20"/>
    <w:rsid w:val="1CEB6DC6"/>
    <w:rsid w:val="1CFA525B"/>
    <w:rsid w:val="1D047715"/>
    <w:rsid w:val="1D307E07"/>
    <w:rsid w:val="1DA07640"/>
    <w:rsid w:val="1E116D00"/>
    <w:rsid w:val="1E132F5C"/>
    <w:rsid w:val="1E52526A"/>
    <w:rsid w:val="1E5903C3"/>
    <w:rsid w:val="1E84244A"/>
    <w:rsid w:val="1EC9373C"/>
    <w:rsid w:val="1F346096"/>
    <w:rsid w:val="1F7B4EE6"/>
    <w:rsid w:val="1F88755A"/>
    <w:rsid w:val="1F944AF4"/>
    <w:rsid w:val="1F9C7317"/>
    <w:rsid w:val="1FA47FC0"/>
    <w:rsid w:val="1FF30812"/>
    <w:rsid w:val="1FF43F7F"/>
    <w:rsid w:val="20234AC9"/>
    <w:rsid w:val="202569A9"/>
    <w:rsid w:val="20547378"/>
    <w:rsid w:val="20AE4CDA"/>
    <w:rsid w:val="20E91BE2"/>
    <w:rsid w:val="20F205CC"/>
    <w:rsid w:val="20FD356C"/>
    <w:rsid w:val="212862A1"/>
    <w:rsid w:val="214571DB"/>
    <w:rsid w:val="21695377"/>
    <w:rsid w:val="216E282D"/>
    <w:rsid w:val="217C77B1"/>
    <w:rsid w:val="218C132D"/>
    <w:rsid w:val="21937664"/>
    <w:rsid w:val="219439F4"/>
    <w:rsid w:val="21B31EBE"/>
    <w:rsid w:val="21CD2F3E"/>
    <w:rsid w:val="21CD510A"/>
    <w:rsid w:val="21D20555"/>
    <w:rsid w:val="21E729B4"/>
    <w:rsid w:val="22416C93"/>
    <w:rsid w:val="225A5A56"/>
    <w:rsid w:val="228C4409"/>
    <w:rsid w:val="22A743E5"/>
    <w:rsid w:val="2309269C"/>
    <w:rsid w:val="23184AF7"/>
    <w:rsid w:val="23241284"/>
    <w:rsid w:val="23887A65"/>
    <w:rsid w:val="238D5F1B"/>
    <w:rsid w:val="239046FC"/>
    <w:rsid w:val="23933D5B"/>
    <w:rsid w:val="239776CF"/>
    <w:rsid w:val="23B40D7E"/>
    <w:rsid w:val="23EA146F"/>
    <w:rsid w:val="240C6D4F"/>
    <w:rsid w:val="241C3A86"/>
    <w:rsid w:val="246102B6"/>
    <w:rsid w:val="247B1749"/>
    <w:rsid w:val="249141CD"/>
    <w:rsid w:val="249413D2"/>
    <w:rsid w:val="24D4440C"/>
    <w:rsid w:val="253A6F43"/>
    <w:rsid w:val="25543DB1"/>
    <w:rsid w:val="255C7774"/>
    <w:rsid w:val="25A741DD"/>
    <w:rsid w:val="25C31EE3"/>
    <w:rsid w:val="25F34F3E"/>
    <w:rsid w:val="260D5FFF"/>
    <w:rsid w:val="26372CEA"/>
    <w:rsid w:val="26A1499A"/>
    <w:rsid w:val="26C27944"/>
    <w:rsid w:val="26D00778"/>
    <w:rsid w:val="26D034EA"/>
    <w:rsid w:val="26D237B8"/>
    <w:rsid w:val="26E222DC"/>
    <w:rsid w:val="27076EF2"/>
    <w:rsid w:val="277D0157"/>
    <w:rsid w:val="278C3BAB"/>
    <w:rsid w:val="27B40458"/>
    <w:rsid w:val="27CF71E8"/>
    <w:rsid w:val="28667F0C"/>
    <w:rsid w:val="288A0F5F"/>
    <w:rsid w:val="29015BC3"/>
    <w:rsid w:val="29166294"/>
    <w:rsid w:val="292F7C85"/>
    <w:rsid w:val="2940049A"/>
    <w:rsid w:val="29447335"/>
    <w:rsid w:val="29746395"/>
    <w:rsid w:val="297E2AE9"/>
    <w:rsid w:val="29960197"/>
    <w:rsid w:val="299A404E"/>
    <w:rsid w:val="29C76E0D"/>
    <w:rsid w:val="29D10D6B"/>
    <w:rsid w:val="29EC794F"/>
    <w:rsid w:val="2A0D3DFC"/>
    <w:rsid w:val="2A2878AC"/>
    <w:rsid w:val="2A5333AB"/>
    <w:rsid w:val="2A6149C8"/>
    <w:rsid w:val="2A9F7442"/>
    <w:rsid w:val="2AB133DB"/>
    <w:rsid w:val="2ADD75D8"/>
    <w:rsid w:val="2ADF1AC3"/>
    <w:rsid w:val="2BD2113B"/>
    <w:rsid w:val="2C5B7F75"/>
    <w:rsid w:val="2C660F58"/>
    <w:rsid w:val="2C6F4AD6"/>
    <w:rsid w:val="2C7D1A05"/>
    <w:rsid w:val="2C7D49E2"/>
    <w:rsid w:val="2C9D0B2A"/>
    <w:rsid w:val="2CAE0793"/>
    <w:rsid w:val="2CCA7E9F"/>
    <w:rsid w:val="2CCB0888"/>
    <w:rsid w:val="2CD35AD8"/>
    <w:rsid w:val="2CE865EB"/>
    <w:rsid w:val="2D8E3661"/>
    <w:rsid w:val="2E213A49"/>
    <w:rsid w:val="2E4A5917"/>
    <w:rsid w:val="2E4B2AB6"/>
    <w:rsid w:val="2E730855"/>
    <w:rsid w:val="2E7D3AB3"/>
    <w:rsid w:val="2E88384B"/>
    <w:rsid w:val="2E8B0406"/>
    <w:rsid w:val="2F6C023B"/>
    <w:rsid w:val="2F9E1A6C"/>
    <w:rsid w:val="2FB05E47"/>
    <w:rsid w:val="2FB21D8F"/>
    <w:rsid w:val="2FE34801"/>
    <w:rsid w:val="2FE53B49"/>
    <w:rsid w:val="2FF1050E"/>
    <w:rsid w:val="302312BF"/>
    <w:rsid w:val="30354AD0"/>
    <w:rsid w:val="30490022"/>
    <w:rsid w:val="306A7DB6"/>
    <w:rsid w:val="307A6ED8"/>
    <w:rsid w:val="30843145"/>
    <w:rsid w:val="308C1E8F"/>
    <w:rsid w:val="30961F94"/>
    <w:rsid w:val="30B654E5"/>
    <w:rsid w:val="30E3277E"/>
    <w:rsid w:val="30F3628A"/>
    <w:rsid w:val="30FD1934"/>
    <w:rsid w:val="311F44DC"/>
    <w:rsid w:val="31705223"/>
    <w:rsid w:val="31A737AC"/>
    <w:rsid w:val="31B05B0C"/>
    <w:rsid w:val="31C003CA"/>
    <w:rsid w:val="31D87CF4"/>
    <w:rsid w:val="31DB1086"/>
    <w:rsid w:val="31EB6C4B"/>
    <w:rsid w:val="31F63CCE"/>
    <w:rsid w:val="31FD2462"/>
    <w:rsid w:val="32141C05"/>
    <w:rsid w:val="322A1CDE"/>
    <w:rsid w:val="32333393"/>
    <w:rsid w:val="32346191"/>
    <w:rsid w:val="32456A35"/>
    <w:rsid w:val="32511749"/>
    <w:rsid w:val="327D55FF"/>
    <w:rsid w:val="328D515C"/>
    <w:rsid w:val="32B55B54"/>
    <w:rsid w:val="32DC2DD8"/>
    <w:rsid w:val="32E97DF4"/>
    <w:rsid w:val="32F20F99"/>
    <w:rsid w:val="32F27783"/>
    <w:rsid w:val="32F30491"/>
    <w:rsid w:val="33010656"/>
    <w:rsid w:val="332F3F54"/>
    <w:rsid w:val="333412E2"/>
    <w:rsid w:val="33376964"/>
    <w:rsid w:val="333B7242"/>
    <w:rsid w:val="334119DE"/>
    <w:rsid w:val="334943EF"/>
    <w:rsid w:val="336F7772"/>
    <w:rsid w:val="337C47C4"/>
    <w:rsid w:val="33C00B55"/>
    <w:rsid w:val="33C543BD"/>
    <w:rsid w:val="33D208B5"/>
    <w:rsid w:val="33D36AC6"/>
    <w:rsid w:val="340E037E"/>
    <w:rsid w:val="34525525"/>
    <w:rsid w:val="34563E84"/>
    <w:rsid w:val="348F22D5"/>
    <w:rsid w:val="34AF401B"/>
    <w:rsid w:val="34C24459"/>
    <w:rsid w:val="34CF6B76"/>
    <w:rsid w:val="34D369F8"/>
    <w:rsid w:val="35171FDA"/>
    <w:rsid w:val="35172534"/>
    <w:rsid w:val="3521444F"/>
    <w:rsid w:val="355F4F59"/>
    <w:rsid w:val="35BC6F9E"/>
    <w:rsid w:val="35CA3350"/>
    <w:rsid w:val="35CE486B"/>
    <w:rsid w:val="35FF1E65"/>
    <w:rsid w:val="360D00F6"/>
    <w:rsid w:val="369B7657"/>
    <w:rsid w:val="36AA5C59"/>
    <w:rsid w:val="36B53385"/>
    <w:rsid w:val="36BD75CE"/>
    <w:rsid w:val="36D51EC2"/>
    <w:rsid w:val="36F823B4"/>
    <w:rsid w:val="371A451C"/>
    <w:rsid w:val="371B42F4"/>
    <w:rsid w:val="377F0D27"/>
    <w:rsid w:val="378A207C"/>
    <w:rsid w:val="378B147A"/>
    <w:rsid w:val="37C37463"/>
    <w:rsid w:val="37D66CAB"/>
    <w:rsid w:val="37EE5B1B"/>
    <w:rsid w:val="3842422E"/>
    <w:rsid w:val="38432180"/>
    <w:rsid w:val="384A49E5"/>
    <w:rsid w:val="38630255"/>
    <w:rsid w:val="38D80852"/>
    <w:rsid w:val="391E6C20"/>
    <w:rsid w:val="394F316D"/>
    <w:rsid w:val="395E00D8"/>
    <w:rsid w:val="398F764F"/>
    <w:rsid w:val="39A9208B"/>
    <w:rsid w:val="39C04884"/>
    <w:rsid w:val="3A002717"/>
    <w:rsid w:val="3A18017C"/>
    <w:rsid w:val="3A275949"/>
    <w:rsid w:val="3A5F40D4"/>
    <w:rsid w:val="3A7973FC"/>
    <w:rsid w:val="3A8C7DE7"/>
    <w:rsid w:val="3A9C62F1"/>
    <w:rsid w:val="3AA00D92"/>
    <w:rsid w:val="3AB473B4"/>
    <w:rsid w:val="3AFB18FD"/>
    <w:rsid w:val="3B246374"/>
    <w:rsid w:val="3B3B1F84"/>
    <w:rsid w:val="3B5444BC"/>
    <w:rsid w:val="3B85197C"/>
    <w:rsid w:val="3B995CAC"/>
    <w:rsid w:val="3BC81962"/>
    <w:rsid w:val="3BCF7530"/>
    <w:rsid w:val="3BD02B1C"/>
    <w:rsid w:val="3BE92C13"/>
    <w:rsid w:val="3BFC254A"/>
    <w:rsid w:val="3C0B2F5E"/>
    <w:rsid w:val="3C2B4038"/>
    <w:rsid w:val="3C3230C8"/>
    <w:rsid w:val="3C5B3EEB"/>
    <w:rsid w:val="3C5C6808"/>
    <w:rsid w:val="3C680446"/>
    <w:rsid w:val="3CAC7CF3"/>
    <w:rsid w:val="3CBB144D"/>
    <w:rsid w:val="3D446734"/>
    <w:rsid w:val="3D5C5280"/>
    <w:rsid w:val="3D6A74A7"/>
    <w:rsid w:val="3DA176FD"/>
    <w:rsid w:val="3DEC2546"/>
    <w:rsid w:val="3DEC3C01"/>
    <w:rsid w:val="3DF77869"/>
    <w:rsid w:val="3DF8713D"/>
    <w:rsid w:val="3E0D2A11"/>
    <w:rsid w:val="3E4650A8"/>
    <w:rsid w:val="3E782BEC"/>
    <w:rsid w:val="3E78493B"/>
    <w:rsid w:val="3E887A2E"/>
    <w:rsid w:val="3E9C5D1B"/>
    <w:rsid w:val="3EA43358"/>
    <w:rsid w:val="3EC534AE"/>
    <w:rsid w:val="3F2C0A1A"/>
    <w:rsid w:val="3F79605C"/>
    <w:rsid w:val="3F9E7CED"/>
    <w:rsid w:val="3FC34E91"/>
    <w:rsid w:val="3FD01F04"/>
    <w:rsid w:val="40136772"/>
    <w:rsid w:val="4021297B"/>
    <w:rsid w:val="40425CC8"/>
    <w:rsid w:val="40546965"/>
    <w:rsid w:val="40583EC3"/>
    <w:rsid w:val="40AB763F"/>
    <w:rsid w:val="40CE4847"/>
    <w:rsid w:val="414053B1"/>
    <w:rsid w:val="41A30B63"/>
    <w:rsid w:val="41AA69A0"/>
    <w:rsid w:val="41F67E38"/>
    <w:rsid w:val="42057C91"/>
    <w:rsid w:val="420A6C8A"/>
    <w:rsid w:val="420C28DA"/>
    <w:rsid w:val="422E7A08"/>
    <w:rsid w:val="423C432C"/>
    <w:rsid w:val="425B0CF1"/>
    <w:rsid w:val="42A97C45"/>
    <w:rsid w:val="42D52715"/>
    <w:rsid w:val="42DF4380"/>
    <w:rsid w:val="42ED7226"/>
    <w:rsid w:val="430E6249"/>
    <w:rsid w:val="43117016"/>
    <w:rsid w:val="43307A9B"/>
    <w:rsid w:val="43553283"/>
    <w:rsid w:val="435851BE"/>
    <w:rsid w:val="43760CA2"/>
    <w:rsid w:val="44081505"/>
    <w:rsid w:val="443C2FF5"/>
    <w:rsid w:val="4460072E"/>
    <w:rsid w:val="44703ED1"/>
    <w:rsid w:val="44991EDC"/>
    <w:rsid w:val="44C65159"/>
    <w:rsid w:val="45014B29"/>
    <w:rsid w:val="450A1050"/>
    <w:rsid w:val="45557DF1"/>
    <w:rsid w:val="45575091"/>
    <w:rsid w:val="455E3D2A"/>
    <w:rsid w:val="458B0897"/>
    <w:rsid w:val="45CF2E79"/>
    <w:rsid w:val="45E61751"/>
    <w:rsid w:val="45E65C7A"/>
    <w:rsid w:val="45EA58D8"/>
    <w:rsid w:val="462413C5"/>
    <w:rsid w:val="468529C2"/>
    <w:rsid w:val="469419FB"/>
    <w:rsid w:val="46A46B0C"/>
    <w:rsid w:val="46B832C1"/>
    <w:rsid w:val="474A0FBF"/>
    <w:rsid w:val="476C3D13"/>
    <w:rsid w:val="476E3272"/>
    <w:rsid w:val="47E9772A"/>
    <w:rsid w:val="47F82BB1"/>
    <w:rsid w:val="480769DF"/>
    <w:rsid w:val="482057DA"/>
    <w:rsid w:val="48396CD0"/>
    <w:rsid w:val="4857754D"/>
    <w:rsid w:val="48892425"/>
    <w:rsid w:val="48BD16AF"/>
    <w:rsid w:val="48DA50B4"/>
    <w:rsid w:val="48FB17AC"/>
    <w:rsid w:val="492C65D4"/>
    <w:rsid w:val="493C4382"/>
    <w:rsid w:val="49542040"/>
    <w:rsid w:val="496714FE"/>
    <w:rsid w:val="49681DDE"/>
    <w:rsid w:val="49804BB7"/>
    <w:rsid w:val="49D308F9"/>
    <w:rsid w:val="49E50EBD"/>
    <w:rsid w:val="49FB5D3F"/>
    <w:rsid w:val="49FD7ED0"/>
    <w:rsid w:val="4A2507D0"/>
    <w:rsid w:val="4AA913F2"/>
    <w:rsid w:val="4AAB0447"/>
    <w:rsid w:val="4ADB406F"/>
    <w:rsid w:val="4B2302FD"/>
    <w:rsid w:val="4B2C18FC"/>
    <w:rsid w:val="4B4D7AEB"/>
    <w:rsid w:val="4BD9672F"/>
    <w:rsid w:val="4C0513A3"/>
    <w:rsid w:val="4C4F003A"/>
    <w:rsid w:val="4C6B0617"/>
    <w:rsid w:val="4C981319"/>
    <w:rsid w:val="4C9818B5"/>
    <w:rsid w:val="4CB05284"/>
    <w:rsid w:val="4CB67988"/>
    <w:rsid w:val="4CBE371D"/>
    <w:rsid w:val="4CC96EDD"/>
    <w:rsid w:val="4CD04A15"/>
    <w:rsid w:val="4CDB2AB8"/>
    <w:rsid w:val="4D043409"/>
    <w:rsid w:val="4D0A3E08"/>
    <w:rsid w:val="4D0D7D70"/>
    <w:rsid w:val="4D161DBB"/>
    <w:rsid w:val="4D61115C"/>
    <w:rsid w:val="4D6A2DDD"/>
    <w:rsid w:val="4D88319C"/>
    <w:rsid w:val="4D8C3B2A"/>
    <w:rsid w:val="4D9F5447"/>
    <w:rsid w:val="4DA70238"/>
    <w:rsid w:val="4DD02F4B"/>
    <w:rsid w:val="4DFE0029"/>
    <w:rsid w:val="4E2D1F6C"/>
    <w:rsid w:val="4E846870"/>
    <w:rsid w:val="4E9B67BC"/>
    <w:rsid w:val="4EB224F0"/>
    <w:rsid w:val="4EE239D8"/>
    <w:rsid w:val="4F042515"/>
    <w:rsid w:val="4F532425"/>
    <w:rsid w:val="4F6C798B"/>
    <w:rsid w:val="4FB4321E"/>
    <w:rsid w:val="4FD256F1"/>
    <w:rsid w:val="4FDA078E"/>
    <w:rsid w:val="4FDC241B"/>
    <w:rsid w:val="4FF625BD"/>
    <w:rsid w:val="50034FBA"/>
    <w:rsid w:val="50067A26"/>
    <w:rsid w:val="500E7ECC"/>
    <w:rsid w:val="505632FC"/>
    <w:rsid w:val="50B044CF"/>
    <w:rsid w:val="50F47A0B"/>
    <w:rsid w:val="513368EC"/>
    <w:rsid w:val="51477D68"/>
    <w:rsid w:val="51551D75"/>
    <w:rsid w:val="518656A6"/>
    <w:rsid w:val="51955765"/>
    <w:rsid w:val="51C105F9"/>
    <w:rsid w:val="51C94C21"/>
    <w:rsid w:val="52075749"/>
    <w:rsid w:val="524C24BC"/>
    <w:rsid w:val="526A759C"/>
    <w:rsid w:val="529D5C8E"/>
    <w:rsid w:val="52C35822"/>
    <w:rsid w:val="52D63A99"/>
    <w:rsid w:val="530C1B08"/>
    <w:rsid w:val="5320688E"/>
    <w:rsid w:val="537233AA"/>
    <w:rsid w:val="53A41EEB"/>
    <w:rsid w:val="53AA427E"/>
    <w:rsid w:val="53BD388D"/>
    <w:rsid w:val="53FE0A5A"/>
    <w:rsid w:val="54065CB8"/>
    <w:rsid w:val="54134879"/>
    <w:rsid w:val="542720D3"/>
    <w:rsid w:val="54613836"/>
    <w:rsid w:val="546B0211"/>
    <w:rsid w:val="546E1CC1"/>
    <w:rsid w:val="548B08B3"/>
    <w:rsid w:val="550765AD"/>
    <w:rsid w:val="553538A2"/>
    <w:rsid w:val="555C38D4"/>
    <w:rsid w:val="55874323"/>
    <w:rsid w:val="55A44EAB"/>
    <w:rsid w:val="55C20305"/>
    <w:rsid w:val="55E81A73"/>
    <w:rsid w:val="56180EB4"/>
    <w:rsid w:val="56293CBF"/>
    <w:rsid w:val="562A13FE"/>
    <w:rsid w:val="56446F6C"/>
    <w:rsid w:val="56466CFB"/>
    <w:rsid w:val="565D55F9"/>
    <w:rsid w:val="565F2E7F"/>
    <w:rsid w:val="5668109E"/>
    <w:rsid w:val="567F0E22"/>
    <w:rsid w:val="568430D7"/>
    <w:rsid w:val="56BA5480"/>
    <w:rsid w:val="573D4A5D"/>
    <w:rsid w:val="57563EB4"/>
    <w:rsid w:val="579664CC"/>
    <w:rsid w:val="57AB0DA5"/>
    <w:rsid w:val="57DD4F82"/>
    <w:rsid w:val="57EB29F2"/>
    <w:rsid w:val="57F64A30"/>
    <w:rsid w:val="57F70204"/>
    <w:rsid w:val="583008DF"/>
    <w:rsid w:val="587B2BC7"/>
    <w:rsid w:val="58911275"/>
    <w:rsid w:val="58B3282B"/>
    <w:rsid w:val="59133F81"/>
    <w:rsid w:val="59301F80"/>
    <w:rsid w:val="594828CF"/>
    <w:rsid w:val="595220CA"/>
    <w:rsid w:val="5975743C"/>
    <w:rsid w:val="59A02B41"/>
    <w:rsid w:val="59EF3692"/>
    <w:rsid w:val="5A04713E"/>
    <w:rsid w:val="5A812565"/>
    <w:rsid w:val="5A8A7C62"/>
    <w:rsid w:val="5A991F91"/>
    <w:rsid w:val="5AAB0B54"/>
    <w:rsid w:val="5AC96837"/>
    <w:rsid w:val="5AF05E01"/>
    <w:rsid w:val="5B1939D9"/>
    <w:rsid w:val="5B244EB1"/>
    <w:rsid w:val="5B600C6F"/>
    <w:rsid w:val="5B7A5691"/>
    <w:rsid w:val="5B863B83"/>
    <w:rsid w:val="5B8D191B"/>
    <w:rsid w:val="5B9A4E6A"/>
    <w:rsid w:val="5BD13EE4"/>
    <w:rsid w:val="5BDA6742"/>
    <w:rsid w:val="5BF76172"/>
    <w:rsid w:val="5C0B5E1C"/>
    <w:rsid w:val="5C0C43E6"/>
    <w:rsid w:val="5C4D63D8"/>
    <w:rsid w:val="5C5771DC"/>
    <w:rsid w:val="5C6A7000"/>
    <w:rsid w:val="5C7C6623"/>
    <w:rsid w:val="5CB62246"/>
    <w:rsid w:val="5CF21854"/>
    <w:rsid w:val="5D1217CA"/>
    <w:rsid w:val="5D2D2508"/>
    <w:rsid w:val="5D3D7004"/>
    <w:rsid w:val="5D8F1ECE"/>
    <w:rsid w:val="5D8F31C2"/>
    <w:rsid w:val="5DCE15B8"/>
    <w:rsid w:val="5DD05414"/>
    <w:rsid w:val="5E0B7922"/>
    <w:rsid w:val="5E1324F6"/>
    <w:rsid w:val="5E766130"/>
    <w:rsid w:val="5E856502"/>
    <w:rsid w:val="5EBC649C"/>
    <w:rsid w:val="5EC93B52"/>
    <w:rsid w:val="5EE4550A"/>
    <w:rsid w:val="5F36141C"/>
    <w:rsid w:val="5F577D10"/>
    <w:rsid w:val="5F6340B0"/>
    <w:rsid w:val="5F963B95"/>
    <w:rsid w:val="5FE20D54"/>
    <w:rsid w:val="5FFB5969"/>
    <w:rsid w:val="6020520C"/>
    <w:rsid w:val="60453A0D"/>
    <w:rsid w:val="608A299F"/>
    <w:rsid w:val="60A0523E"/>
    <w:rsid w:val="60B57D15"/>
    <w:rsid w:val="60E43825"/>
    <w:rsid w:val="60EE6C94"/>
    <w:rsid w:val="61073D37"/>
    <w:rsid w:val="610C0686"/>
    <w:rsid w:val="61412A26"/>
    <w:rsid w:val="6153376C"/>
    <w:rsid w:val="61584C21"/>
    <w:rsid w:val="617E77D6"/>
    <w:rsid w:val="619C08C2"/>
    <w:rsid w:val="61AA0BE8"/>
    <w:rsid w:val="628726BA"/>
    <w:rsid w:val="628F33F4"/>
    <w:rsid w:val="62A2324F"/>
    <w:rsid w:val="62B706C7"/>
    <w:rsid w:val="63012912"/>
    <w:rsid w:val="630F26B0"/>
    <w:rsid w:val="63316ACA"/>
    <w:rsid w:val="634C03F1"/>
    <w:rsid w:val="634E1FB8"/>
    <w:rsid w:val="636B6C93"/>
    <w:rsid w:val="637B4714"/>
    <w:rsid w:val="63B81330"/>
    <w:rsid w:val="640912D0"/>
    <w:rsid w:val="646D0802"/>
    <w:rsid w:val="64EF4547"/>
    <w:rsid w:val="64F53A18"/>
    <w:rsid w:val="65343DE0"/>
    <w:rsid w:val="6569254B"/>
    <w:rsid w:val="66103D73"/>
    <w:rsid w:val="6635242D"/>
    <w:rsid w:val="663C11D8"/>
    <w:rsid w:val="663C1604"/>
    <w:rsid w:val="668062FC"/>
    <w:rsid w:val="66821CF9"/>
    <w:rsid w:val="66970CB2"/>
    <w:rsid w:val="66AA5B84"/>
    <w:rsid w:val="66BC4927"/>
    <w:rsid w:val="66C80737"/>
    <w:rsid w:val="66DF7335"/>
    <w:rsid w:val="66FA215B"/>
    <w:rsid w:val="67132B98"/>
    <w:rsid w:val="671A2F6C"/>
    <w:rsid w:val="671A4ED2"/>
    <w:rsid w:val="67275EB4"/>
    <w:rsid w:val="673D4B92"/>
    <w:rsid w:val="67734C0B"/>
    <w:rsid w:val="6798320E"/>
    <w:rsid w:val="67A1534C"/>
    <w:rsid w:val="67B17D2B"/>
    <w:rsid w:val="67CC136F"/>
    <w:rsid w:val="67CD7156"/>
    <w:rsid w:val="67F87BB6"/>
    <w:rsid w:val="680B58AB"/>
    <w:rsid w:val="680D4692"/>
    <w:rsid w:val="685459C4"/>
    <w:rsid w:val="685E210F"/>
    <w:rsid w:val="68793FCA"/>
    <w:rsid w:val="687F340A"/>
    <w:rsid w:val="68AE0222"/>
    <w:rsid w:val="68D34E91"/>
    <w:rsid w:val="68DB7F4E"/>
    <w:rsid w:val="690B6C28"/>
    <w:rsid w:val="690F3409"/>
    <w:rsid w:val="691D5B26"/>
    <w:rsid w:val="693615C1"/>
    <w:rsid w:val="69726A55"/>
    <w:rsid w:val="697F530A"/>
    <w:rsid w:val="699B063E"/>
    <w:rsid w:val="69B22968"/>
    <w:rsid w:val="69B55FD4"/>
    <w:rsid w:val="6A0942FC"/>
    <w:rsid w:val="6A0C66BF"/>
    <w:rsid w:val="6A184F47"/>
    <w:rsid w:val="6A3E1DE9"/>
    <w:rsid w:val="6A42336B"/>
    <w:rsid w:val="6A6B0B13"/>
    <w:rsid w:val="6A786D8C"/>
    <w:rsid w:val="6ADC25E1"/>
    <w:rsid w:val="6AEC13C1"/>
    <w:rsid w:val="6AEC76D4"/>
    <w:rsid w:val="6AF6662F"/>
    <w:rsid w:val="6B2430E0"/>
    <w:rsid w:val="6B5259F4"/>
    <w:rsid w:val="6B574BF4"/>
    <w:rsid w:val="6B5F5FD1"/>
    <w:rsid w:val="6B601D3B"/>
    <w:rsid w:val="6B6327F6"/>
    <w:rsid w:val="6B65142C"/>
    <w:rsid w:val="6B702C80"/>
    <w:rsid w:val="6B874741"/>
    <w:rsid w:val="6BA37E39"/>
    <w:rsid w:val="6BB16C12"/>
    <w:rsid w:val="6BD116D9"/>
    <w:rsid w:val="6BD70D54"/>
    <w:rsid w:val="6C783074"/>
    <w:rsid w:val="6C8B2DA7"/>
    <w:rsid w:val="6CA675F8"/>
    <w:rsid w:val="6CB565B3"/>
    <w:rsid w:val="6CB70040"/>
    <w:rsid w:val="6CC07156"/>
    <w:rsid w:val="6CC67CC3"/>
    <w:rsid w:val="6CCA77E4"/>
    <w:rsid w:val="6CE24195"/>
    <w:rsid w:val="6CE842B7"/>
    <w:rsid w:val="6D00196C"/>
    <w:rsid w:val="6D0D7C60"/>
    <w:rsid w:val="6D184DC4"/>
    <w:rsid w:val="6D82301E"/>
    <w:rsid w:val="6DBC51E2"/>
    <w:rsid w:val="6E364F94"/>
    <w:rsid w:val="6E7962A5"/>
    <w:rsid w:val="6EE40EB5"/>
    <w:rsid w:val="6F164DD9"/>
    <w:rsid w:val="6F18352C"/>
    <w:rsid w:val="6F260AE5"/>
    <w:rsid w:val="6F2F210F"/>
    <w:rsid w:val="6F594325"/>
    <w:rsid w:val="6F5E4972"/>
    <w:rsid w:val="6FA843BB"/>
    <w:rsid w:val="70081340"/>
    <w:rsid w:val="7012670B"/>
    <w:rsid w:val="701267C9"/>
    <w:rsid w:val="70656CAF"/>
    <w:rsid w:val="70756D77"/>
    <w:rsid w:val="7080520C"/>
    <w:rsid w:val="70DD7A9D"/>
    <w:rsid w:val="7101329C"/>
    <w:rsid w:val="710A4CD9"/>
    <w:rsid w:val="711456B4"/>
    <w:rsid w:val="711C4FBD"/>
    <w:rsid w:val="71381023"/>
    <w:rsid w:val="7148395C"/>
    <w:rsid w:val="71566079"/>
    <w:rsid w:val="71593474"/>
    <w:rsid w:val="718801FD"/>
    <w:rsid w:val="71CF18CE"/>
    <w:rsid w:val="720262D4"/>
    <w:rsid w:val="726C71D7"/>
    <w:rsid w:val="727953E3"/>
    <w:rsid w:val="72D948CC"/>
    <w:rsid w:val="73104D96"/>
    <w:rsid w:val="73387EC0"/>
    <w:rsid w:val="73393E4E"/>
    <w:rsid w:val="735A34D3"/>
    <w:rsid w:val="73601522"/>
    <w:rsid w:val="737F2F3A"/>
    <w:rsid w:val="73854EF4"/>
    <w:rsid w:val="738F4179"/>
    <w:rsid w:val="738F7621"/>
    <w:rsid w:val="73BF0CA0"/>
    <w:rsid w:val="73EA666A"/>
    <w:rsid w:val="73FD53D5"/>
    <w:rsid w:val="740D50D2"/>
    <w:rsid w:val="742D2854"/>
    <w:rsid w:val="746C3BA2"/>
    <w:rsid w:val="7479348D"/>
    <w:rsid w:val="7483764E"/>
    <w:rsid w:val="74842EFD"/>
    <w:rsid w:val="74B142F1"/>
    <w:rsid w:val="74C0380A"/>
    <w:rsid w:val="74EA2BF3"/>
    <w:rsid w:val="74EA5A04"/>
    <w:rsid w:val="75020BE3"/>
    <w:rsid w:val="750740F3"/>
    <w:rsid w:val="750C1956"/>
    <w:rsid w:val="754C14DB"/>
    <w:rsid w:val="7567769F"/>
    <w:rsid w:val="756D6306"/>
    <w:rsid w:val="758051DE"/>
    <w:rsid w:val="758B30EE"/>
    <w:rsid w:val="758D1184"/>
    <w:rsid w:val="75BD30D1"/>
    <w:rsid w:val="75C8506C"/>
    <w:rsid w:val="75DA12C4"/>
    <w:rsid w:val="75EF6B1F"/>
    <w:rsid w:val="75F406CA"/>
    <w:rsid w:val="76273FDD"/>
    <w:rsid w:val="7633519A"/>
    <w:rsid w:val="763B55AB"/>
    <w:rsid w:val="764E2556"/>
    <w:rsid w:val="7662101C"/>
    <w:rsid w:val="76960CC6"/>
    <w:rsid w:val="769A48E2"/>
    <w:rsid w:val="76DB492B"/>
    <w:rsid w:val="76DF2562"/>
    <w:rsid w:val="76F459ED"/>
    <w:rsid w:val="77277B70"/>
    <w:rsid w:val="772C1565"/>
    <w:rsid w:val="7748215F"/>
    <w:rsid w:val="77693BAF"/>
    <w:rsid w:val="776B20CD"/>
    <w:rsid w:val="7790430F"/>
    <w:rsid w:val="77F54189"/>
    <w:rsid w:val="78215C39"/>
    <w:rsid w:val="782A0928"/>
    <w:rsid w:val="784D0730"/>
    <w:rsid w:val="78CF04BF"/>
    <w:rsid w:val="78E57CE3"/>
    <w:rsid w:val="791635B4"/>
    <w:rsid w:val="79165DCC"/>
    <w:rsid w:val="791E4FA3"/>
    <w:rsid w:val="792B1718"/>
    <w:rsid w:val="798300E6"/>
    <w:rsid w:val="799E2066"/>
    <w:rsid w:val="79A36298"/>
    <w:rsid w:val="79B43CE3"/>
    <w:rsid w:val="79CC129B"/>
    <w:rsid w:val="7A461F6A"/>
    <w:rsid w:val="7A756E44"/>
    <w:rsid w:val="7A9529FB"/>
    <w:rsid w:val="7AA6067E"/>
    <w:rsid w:val="7AAD55AE"/>
    <w:rsid w:val="7AB63E59"/>
    <w:rsid w:val="7ABB1638"/>
    <w:rsid w:val="7AEA5833"/>
    <w:rsid w:val="7AEB4950"/>
    <w:rsid w:val="7B017D5F"/>
    <w:rsid w:val="7B6A7B36"/>
    <w:rsid w:val="7B82584B"/>
    <w:rsid w:val="7B8E4662"/>
    <w:rsid w:val="7BAE260E"/>
    <w:rsid w:val="7BE65803"/>
    <w:rsid w:val="7BEE3F3E"/>
    <w:rsid w:val="7BFA5853"/>
    <w:rsid w:val="7C2428D0"/>
    <w:rsid w:val="7C653EF3"/>
    <w:rsid w:val="7C6B7F1F"/>
    <w:rsid w:val="7C8D1E2F"/>
    <w:rsid w:val="7CCE22DA"/>
    <w:rsid w:val="7CE75DB4"/>
    <w:rsid w:val="7D1275F9"/>
    <w:rsid w:val="7D1B5538"/>
    <w:rsid w:val="7D7816F0"/>
    <w:rsid w:val="7D814B58"/>
    <w:rsid w:val="7DDA593C"/>
    <w:rsid w:val="7DE47D98"/>
    <w:rsid w:val="7DF30B59"/>
    <w:rsid w:val="7E7D02A1"/>
    <w:rsid w:val="7EBB34BE"/>
    <w:rsid w:val="7EBD4CBE"/>
    <w:rsid w:val="7ED06A9B"/>
    <w:rsid w:val="7F2D1C7C"/>
    <w:rsid w:val="7F3564AC"/>
    <w:rsid w:val="7F376FF3"/>
    <w:rsid w:val="7F3B065C"/>
    <w:rsid w:val="7F403EC5"/>
    <w:rsid w:val="7F6E24A2"/>
    <w:rsid w:val="7FB046FA"/>
    <w:rsid w:val="7FED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2">
    <w:name w:val="heading 3"/>
    <w:basedOn w:val="1"/>
    <w:next w:val="1"/>
    <w:qFormat/>
    <w:uiPriority w:val="0"/>
    <w:pPr>
      <w:spacing w:before="360" w:after="120"/>
      <w:jc w:val="left"/>
      <w:outlineLvl w:val="2"/>
    </w:pPr>
    <w:rPr>
      <w:rFonts w:ascii="宋体" w:hAnsi="Times New Roman" w:eastAsia="宋体"/>
      <w:b/>
      <w:sz w:val="24"/>
      <w:u w:val="single"/>
    </w:rPr>
  </w:style>
  <w:style w:type="paragraph" w:styleId="5">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6">
    <w:name w:val="heading 5"/>
    <w:basedOn w:val="1"/>
    <w:next w:val="1"/>
    <w:qFormat/>
    <w:uiPriority w:val="1"/>
    <w:pPr>
      <w:spacing w:before="2"/>
      <w:outlineLvl w:val="5"/>
    </w:pPr>
    <w:rPr>
      <w:rFonts w:ascii="仿宋" w:hAnsi="仿宋" w:eastAsia="仿宋" w:cs="仿宋"/>
      <w:b/>
      <w:bCs/>
      <w:sz w:val="24"/>
      <w:szCs w:val="24"/>
      <w:lang w:val="zh-CN" w:eastAsia="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szCs w:val="24"/>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next w:val="7"/>
    <w:qFormat/>
    <w:uiPriority w:val="0"/>
    <w:pPr>
      <w:ind w:firstLine="420" w:firstLineChars="200"/>
    </w:pPr>
    <w:rPr>
      <w:rFonts w:ascii="Times New Roman" w:hAnsi="Times New Roman" w:eastAsia="宋体" w:cs="Times New Roman"/>
      <w:szCs w:val="24"/>
    </w:rPr>
  </w:style>
  <w:style w:type="paragraph" w:styleId="12">
    <w:name w:val="toc 3"/>
    <w:basedOn w:val="1"/>
    <w:next w:val="1"/>
    <w:qFormat/>
    <w:uiPriority w:val="0"/>
    <w:pPr>
      <w:ind w:left="840" w:leftChars="400"/>
    </w:pPr>
  </w:style>
  <w:style w:type="paragraph" w:styleId="13">
    <w:name w:val="Plain Text"/>
    <w:basedOn w:val="1"/>
    <w:next w:val="14"/>
    <w:qFormat/>
    <w:uiPriority w:val="0"/>
    <w:rPr>
      <w:rFonts w:ascii="宋体" w:hAnsi="Courier New"/>
      <w:szCs w:val="20"/>
    </w:rPr>
  </w:style>
  <w:style w:type="paragraph" w:styleId="14">
    <w:name w:val="index 7"/>
    <w:basedOn w:val="1"/>
    <w:next w:val="1"/>
    <w:qFormat/>
    <w:uiPriority w:val="0"/>
    <w:pPr>
      <w:ind w:left="2520"/>
    </w:pPr>
  </w:style>
  <w:style w:type="paragraph" w:styleId="15">
    <w:name w:val="Date"/>
    <w:basedOn w:val="1"/>
    <w:next w:val="1"/>
    <w:qFormat/>
    <w:uiPriority w:val="0"/>
    <w:rPr>
      <w:color w:val="000000"/>
      <w:kern w:val="0"/>
      <w:sz w:val="30"/>
    </w:r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rFonts w:ascii="Times New Roman" w:hAnsi="Times New Roman" w:eastAsia="宋体" w:cs="Times New Roman"/>
      <w:sz w:val="18"/>
    </w:rPr>
  </w:style>
  <w:style w:type="paragraph" w:styleId="20">
    <w:name w:val="toc 2"/>
    <w:basedOn w:val="1"/>
    <w:next w:val="1"/>
    <w:qFormat/>
    <w:uiPriority w:val="0"/>
    <w:pPr>
      <w:ind w:left="420" w:leftChars="200"/>
    </w:pPr>
  </w:style>
  <w:style w:type="paragraph" w:styleId="21">
    <w:name w:val="Body Text 2"/>
    <w:basedOn w:val="1"/>
    <w:qFormat/>
    <w:uiPriority w:val="99"/>
    <w:pPr>
      <w:spacing w:after="120" w:afterLines="0" w:line="480" w:lineRule="auto"/>
    </w:pPr>
  </w:style>
  <w:style w:type="paragraph" w:styleId="22">
    <w:name w:val="Normal (Web)"/>
    <w:basedOn w:val="1"/>
    <w:qFormat/>
    <w:uiPriority w:val="0"/>
    <w:pPr>
      <w:spacing w:before="100" w:beforeAutospacing="1" w:after="100" w:afterAutospacing="1"/>
      <w:jc w:val="left"/>
    </w:pPr>
    <w:rPr>
      <w:rFonts w:ascii="Calibri" w:hAnsi="Calibri"/>
      <w:kern w:val="0"/>
      <w:sz w:val="24"/>
    </w:rPr>
  </w:style>
  <w:style w:type="paragraph" w:styleId="23">
    <w:name w:val="Title"/>
    <w:basedOn w:val="1"/>
    <w:next w:val="1"/>
    <w:qFormat/>
    <w:uiPriority w:val="10"/>
    <w:pPr>
      <w:jc w:val="center"/>
      <w:outlineLvl w:val="0"/>
    </w:pPr>
    <w:rPr>
      <w:rFonts w:ascii="Cambria" w:hAnsi="Cambria"/>
      <w:b/>
      <w:bCs/>
      <w:kern w:val="28"/>
      <w:szCs w:val="32"/>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9"/>
    <w:qFormat/>
    <w:uiPriority w:val="0"/>
    <w:rPr>
      <w:rFonts w:ascii="Times New Roman" w:hAnsi="Times New Roman" w:eastAsia="宋体" w:cs="Times New Roman"/>
    </w:rPr>
  </w:style>
  <w:style w:type="character" w:customStyle="1" w:styleId="29">
    <w:name w:val="默认段落字体1"/>
    <w:qFormat/>
    <w:uiPriority w:val="0"/>
  </w:style>
  <w:style w:type="character" w:styleId="30">
    <w:name w:val="Hyperlink"/>
    <w:basedOn w:val="26"/>
    <w:qFormat/>
    <w:uiPriority w:val="0"/>
    <w:rPr>
      <w:color w:val="0000FF"/>
      <w:u w:val="single"/>
    </w:rPr>
  </w:style>
  <w:style w:type="character" w:styleId="31">
    <w:name w:val="HTML Sample"/>
    <w:basedOn w:val="26"/>
    <w:qFormat/>
    <w:uiPriority w:val="0"/>
    <w:rPr>
      <w:rFonts w:ascii="Courier New" w:hAnsi="Courier New"/>
    </w:rPr>
  </w:style>
  <w:style w:type="paragraph" w:customStyle="1" w:styleId="32">
    <w:name w:val="Default"/>
    <w:next w:val="14"/>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3">
    <w:name w:val="标题 1 字符"/>
    <w:link w:val="3"/>
    <w:qFormat/>
    <w:uiPriority w:val="0"/>
    <w:rPr>
      <w:rFonts w:ascii="宋体" w:hAnsi="Times New Roman" w:eastAsia="宋体" w:cs="Times New Roman"/>
      <w:b/>
      <w:kern w:val="44"/>
      <w:sz w:val="32"/>
      <w:szCs w:val="20"/>
    </w:rPr>
  </w:style>
  <w:style w:type="paragraph" w:customStyle="1" w:styleId="3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5">
    <w:name w:val="索引 11"/>
    <w:basedOn w:val="1"/>
    <w:next w:val="1"/>
    <w:qFormat/>
    <w:uiPriority w:val="0"/>
    <w:pPr>
      <w:spacing w:line="360" w:lineRule="auto"/>
    </w:pPr>
    <w:rPr>
      <w:rFonts w:ascii="仿宋_GB2312" w:eastAsia="仿宋_GB2312"/>
      <w:sz w:val="24"/>
      <w:szCs w:val="20"/>
    </w:rPr>
  </w:style>
  <w:style w:type="paragraph" w:customStyle="1" w:styleId="36">
    <w:name w:val="纯文本1"/>
    <w:basedOn w:val="1"/>
    <w:qFormat/>
    <w:uiPriority w:val="0"/>
    <w:rPr>
      <w:rFonts w:ascii="宋体" w:hAnsi="Courier New"/>
      <w:kern w:val="0"/>
      <w:sz w:val="20"/>
      <w:szCs w:val="20"/>
    </w:rPr>
  </w:style>
  <w:style w:type="character" w:customStyle="1" w:styleId="37">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8">
    <w:name w:val="UserStyle_44"/>
    <w:basedOn w:val="1"/>
    <w:qFormat/>
    <w:uiPriority w:val="0"/>
    <w:pPr>
      <w:spacing w:before="120" w:after="120" w:line="360" w:lineRule="auto"/>
      <w:jc w:val="center"/>
    </w:pPr>
    <w:rPr>
      <w:rFonts w:eastAsia="仿宋_GB2312"/>
      <w:b/>
      <w:sz w:val="24"/>
    </w:rPr>
  </w:style>
  <w:style w:type="paragraph" w:customStyle="1" w:styleId="39">
    <w:name w:val="NormalIndent"/>
    <w:basedOn w:val="1"/>
    <w:qFormat/>
    <w:uiPriority w:val="0"/>
    <w:pPr>
      <w:ind w:firstLine="420"/>
      <w:jc w:val="left"/>
    </w:pPr>
    <w:rPr>
      <w:rFonts w:ascii="宋体"/>
      <w:kern w:val="0"/>
      <w:sz w:val="24"/>
      <w:szCs w:val="20"/>
    </w:rPr>
  </w:style>
  <w:style w:type="paragraph" w:customStyle="1" w:styleId="40">
    <w:name w:val="图例"/>
    <w:basedOn w:val="1"/>
    <w:qFormat/>
    <w:uiPriority w:val="0"/>
    <w:pPr>
      <w:spacing w:before="120" w:beforeLines="0" w:after="120" w:afterLines="0" w:line="360" w:lineRule="auto"/>
      <w:jc w:val="center"/>
    </w:pPr>
    <w:rPr>
      <w:rFonts w:eastAsia="仿宋_GB2312"/>
      <w:b/>
      <w:sz w:val="24"/>
    </w:rPr>
  </w:style>
  <w:style w:type="character" w:customStyle="1" w:styleId="41">
    <w:name w:val="font11"/>
    <w:basedOn w:val="26"/>
    <w:qFormat/>
    <w:uiPriority w:val="0"/>
    <w:rPr>
      <w:rFonts w:hint="eastAsia" w:ascii="宋体" w:hAnsi="宋体" w:eastAsia="宋体" w:cs="宋体"/>
      <w:color w:val="FF0000"/>
      <w:sz w:val="16"/>
      <w:szCs w:val="16"/>
      <w:u w:val="none"/>
    </w:rPr>
  </w:style>
  <w:style w:type="character" w:customStyle="1" w:styleId="42">
    <w:name w:val="font21"/>
    <w:basedOn w:val="26"/>
    <w:qFormat/>
    <w:uiPriority w:val="0"/>
    <w:rPr>
      <w:rFonts w:hint="eastAsia" w:ascii="宋体" w:hAnsi="宋体" w:eastAsia="宋体" w:cs="宋体"/>
      <w:color w:val="000000"/>
      <w:sz w:val="16"/>
      <w:szCs w:val="16"/>
      <w:u w:val="none"/>
    </w:rPr>
  </w:style>
  <w:style w:type="character" w:customStyle="1" w:styleId="43">
    <w:name w:val="style23"/>
    <w:basedOn w:val="26"/>
    <w:qFormat/>
    <w:uiPriority w:val="0"/>
  </w:style>
  <w:style w:type="paragraph" w:customStyle="1" w:styleId="44">
    <w:name w:val="表格文字"/>
    <w:basedOn w:val="1"/>
    <w:qFormat/>
    <w:uiPriority w:val="0"/>
    <w:pPr>
      <w:spacing w:before="25" w:after="25"/>
      <w:jc w:val="left"/>
    </w:pPr>
    <w:rPr>
      <w:bCs/>
      <w:spacing w:val="10"/>
      <w:kern w:val="0"/>
      <w:sz w:val="24"/>
    </w:rPr>
  </w:style>
  <w:style w:type="paragraph" w:styleId="45">
    <w:name w:val="List Paragraph"/>
    <w:basedOn w:val="1"/>
    <w:qFormat/>
    <w:uiPriority w:val="34"/>
    <w:pPr>
      <w:ind w:firstLine="420" w:firstLineChars="200"/>
    </w:pPr>
  </w:style>
  <w:style w:type="paragraph" w:customStyle="1" w:styleId="46">
    <w:name w:val="Heading1"/>
    <w:basedOn w:val="1"/>
    <w:next w:val="1"/>
    <w:qFormat/>
    <w:uiPriority w:val="0"/>
    <w:pPr>
      <w:keepNext/>
      <w:numPr>
        <w:ilvl w:val="0"/>
        <w:numId w:val="1"/>
      </w:numPr>
      <w:spacing w:before="240" w:after="60"/>
      <w:ind w:left="100" w:firstLine="0"/>
      <w:contextualSpacing/>
      <w:jc w:val="left"/>
    </w:pPr>
    <w:rPr>
      <w:rFonts w:ascii="Cambria" w:hAnsi="Cambria" w:eastAsia="宋体" w:cs="Times New Roman"/>
      <w:bCs/>
      <w:iCs/>
      <w:kern w:val="32"/>
      <w:sz w:val="24"/>
      <w:szCs w:val="32"/>
      <w:lang w:eastAsia="en-US"/>
    </w:rPr>
  </w:style>
  <w:style w:type="paragraph" w:customStyle="1" w:styleId="47">
    <w:name w:val="UserStyle_15"/>
    <w:basedOn w:val="48"/>
    <w:qFormat/>
    <w:uiPriority w:val="0"/>
    <w:pPr>
      <w:spacing w:before="100" w:beforeAutospacing="1" w:after="100" w:afterAutospacing="1"/>
      <w:ind w:right="100" w:rightChars="100"/>
    </w:pPr>
    <w:rPr>
      <w:sz w:val="21"/>
    </w:rPr>
  </w:style>
  <w:style w:type="paragraph" w:customStyle="1" w:styleId="48">
    <w:name w:val="Heading2"/>
    <w:basedOn w:val="1"/>
    <w:next w:val="1"/>
    <w:qFormat/>
    <w:uiPriority w:val="0"/>
    <w:pPr>
      <w:keepNext/>
      <w:numPr>
        <w:ilvl w:val="1"/>
        <w:numId w:val="1"/>
      </w:numPr>
      <w:spacing w:before="240" w:after="60"/>
      <w:jc w:val="left"/>
    </w:pPr>
    <w:rPr>
      <w:rFonts w:ascii="Cambria" w:hAnsi="Cambria" w:eastAsia="宋体" w:cs="Times New Roman"/>
      <w:b/>
      <w:bCs/>
      <w:i/>
      <w:iCs/>
      <w:kern w:val="0"/>
      <w:sz w:val="28"/>
      <w:szCs w:val="28"/>
      <w:lang w:eastAsia="en-US"/>
    </w:rPr>
  </w:style>
  <w:style w:type="paragraph" w:customStyle="1" w:styleId="49">
    <w:name w:val="列出段落1"/>
    <w:basedOn w:val="1"/>
    <w:qFormat/>
    <w:uiPriority w:val="34"/>
    <w:pPr>
      <w:ind w:firstLine="420" w:firstLineChars="200"/>
    </w:pPr>
  </w:style>
  <w:style w:type="paragraph" w:customStyle="1" w:styleId="50">
    <w:name w:val="章标题"/>
    <w:next w:val="1"/>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51">
    <w:name w:val="font31"/>
    <w:basedOn w:val="26"/>
    <w:qFormat/>
    <w:uiPriority w:val="0"/>
    <w:rPr>
      <w:rFonts w:hint="eastAsia" w:ascii="宋体" w:hAnsi="宋体" w:eastAsia="宋体" w:cs="宋体"/>
      <w:color w:val="000000"/>
      <w:sz w:val="24"/>
      <w:szCs w:val="24"/>
      <w:u w:val="none"/>
    </w:rPr>
  </w:style>
  <w:style w:type="paragraph" w:customStyle="1" w:styleId="5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53">
    <w:name w:val="p0"/>
    <w:basedOn w:val="1"/>
    <w:qFormat/>
    <w:uiPriority w:val="0"/>
    <w:pPr>
      <w:widowControl/>
    </w:pPr>
    <w:rPr>
      <w:kern w:val="0"/>
      <w:szCs w:val="21"/>
    </w:rPr>
  </w:style>
  <w:style w:type="paragraph" w:customStyle="1" w:styleId="54">
    <w:name w:val="Normal"/>
    <w:qFormat/>
    <w:uiPriority w:val="0"/>
    <w:rPr>
      <w:rFonts w:ascii="Times New Roman" w:hAnsi="Times New Roman" w:eastAsia="Times New Roman" w:cs="Times New Roman"/>
      <w:sz w:val="24"/>
      <w:szCs w:val="24"/>
      <w:lang w:bidi="ar-SA"/>
    </w:rPr>
  </w:style>
  <w:style w:type="paragraph" w:customStyle="1" w:styleId="55">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56">
    <w:name w:val="Heading3"/>
    <w:basedOn w:val="1"/>
    <w:next w:val="1"/>
    <w:qFormat/>
    <w:uiPriority w:val="0"/>
    <w:pPr>
      <w:keepNext/>
      <w:keepLines/>
      <w:widowControl/>
      <w:spacing w:before="260" w:after="260" w:line="416" w:lineRule="auto"/>
      <w:textAlignment w:val="baseline"/>
    </w:pPr>
    <w:rPr>
      <w:sz w:val="32"/>
      <w:szCs w:val="32"/>
    </w:rPr>
  </w:style>
  <w:style w:type="paragraph" w:customStyle="1" w:styleId="5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rPr>
  </w:style>
  <w:style w:type="paragraph" w:customStyle="1" w:styleId="58">
    <w:name w:val="Table Paragraph"/>
    <w:basedOn w:val="1"/>
    <w:qFormat/>
    <w:uiPriority w:val="1"/>
    <w:rPr>
      <w:rFonts w:ascii="仿宋" w:hAnsi="仿宋" w:eastAsia="仿宋" w:cs="仿宋"/>
      <w:lang w:val="zh-CN" w:eastAsia="zh-CN" w:bidi="zh-CN"/>
    </w:rPr>
  </w:style>
  <w:style w:type="paragraph" w:customStyle="1" w:styleId="59">
    <w:name w:val="No Spacing_3b93350b-94da-44fa-8143-641484b951a0"/>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5D67E-5CBE-48FE-9A1E-7C47A02B0BD7}">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38232</Words>
  <Characters>41421</Characters>
  <Lines>303</Lines>
  <Paragraphs>85</Paragraphs>
  <TotalTime>219</TotalTime>
  <ScaleCrop>false</ScaleCrop>
  <LinksUpToDate>false</LinksUpToDate>
  <CharactersWithSpaces>46022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指尖的阳光</cp:lastModifiedBy>
  <cp:lastPrinted>2021-08-25T10:33:00Z</cp:lastPrinted>
  <dcterms:modified xsi:type="dcterms:W3CDTF">2023-08-04T03:03:18Z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4E73D06E7DC1442CB3459FB64602A12B</vt:lpwstr>
  </property>
</Properties>
</file>