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spacing w:line="360" w:lineRule="auto"/>
        <w:ind w:right="1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widowControl/>
        <w:shd w:val="clear" w:color="auto"/>
        <w:spacing w:line="360" w:lineRule="atLeast"/>
        <w:ind w:firstLine="540"/>
        <w:jc w:val="center"/>
        <w:rPr>
          <w:rFonts w:asciiTheme="minorEastAsia" w:hAnsiTheme="minorEastAsia" w:eastAsiaTheme="minorEastAsia" w:cstheme="minorEastAsia"/>
          <w:bCs/>
          <w:sz w:val="44"/>
          <w:szCs w:val="44"/>
          <w:highlight w:val="none"/>
        </w:rPr>
      </w:pPr>
    </w:p>
    <w:p>
      <w:pPr>
        <w:widowControl/>
        <w:shd w:val="clear" w:color="auto"/>
        <w:spacing w:line="360" w:lineRule="atLeast"/>
        <w:ind w:firstLine="540"/>
        <w:jc w:val="center"/>
        <w:rPr>
          <w:rFonts w:asciiTheme="minorEastAsia" w:hAnsiTheme="minorEastAsia" w:eastAsiaTheme="minorEastAsia" w:cstheme="minorEastAsia"/>
          <w:b/>
          <w:kern w:val="0"/>
          <w:sz w:val="72"/>
          <w:szCs w:val="72"/>
          <w:highlight w:val="none"/>
          <w:shd w:val="clear" w:color="auto" w:fill="FFFFFF"/>
        </w:rPr>
      </w:pPr>
    </w:p>
    <w:p>
      <w:pPr>
        <w:shd w:val="clear"/>
        <w:snapToGrid w:val="0"/>
        <w:spacing w:line="360" w:lineRule="auto"/>
        <w:ind w:right="17"/>
        <w:jc w:val="center"/>
        <w:rPr>
          <w:rFonts w:asciiTheme="minorEastAsia" w:hAnsiTheme="minorEastAsia" w:eastAsiaTheme="minorEastAsia" w:cstheme="minorEastAsia"/>
          <w:b/>
          <w:spacing w:val="60"/>
          <w:sz w:val="84"/>
          <w:szCs w:val="84"/>
          <w:highlight w:val="none"/>
        </w:rPr>
      </w:pPr>
      <w:r>
        <w:rPr>
          <w:rFonts w:hint="eastAsia" w:asciiTheme="minorEastAsia" w:hAnsiTheme="minorEastAsia" w:eastAsiaTheme="minorEastAsia" w:cstheme="minorEastAsia"/>
          <w:b/>
          <w:spacing w:val="60"/>
          <w:sz w:val="84"/>
          <w:szCs w:val="84"/>
          <w:highlight w:val="none"/>
        </w:rPr>
        <w:t>竞争性磋商文件</w:t>
      </w:r>
    </w:p>
    <w:p>
      <w:pPr>
        <w:shd w:val="clear"/>
        <w:snapToGrid w:val="0"/>
        <w:spacing w:line="360" w:lineRule="auto"/>
        <w:ind w:right="17"/>
        <w:jc w:val="left"/>
        <w:rPr>
          <w:rFonts w:asciiTheme="minorEastAsia" w:hAnsiTheme="minorEastAsia" w:eastAsiaTheme="minorEastAsia" w:cstheme="minorEastAsia"/>
          <w:bCs/>
          <w:sz w:val="30"/>
          <w:szCs w:val="30"/>
          <w:highlight w:val="none"/>
        </w:rPr>
      </w:pPr>
    </w:p>
    <w:p>
      <w:pPr>
        <w:shd w:val="clear"/>
        <w:snapToGrid w:val="0"/>
        <w:spacing w:line="360" w:lineRule="auto"/>
        <w:ind w:left="1400" w:right="17" w:hanging="1400" w:hangingChars="500"/>
        <w:jc w:val="left"/>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项目名称：新疆科技学院新工科背景下化工实验实训平台（二期）采购项目</w:t>
      </w:r>
    </w:p>
    <w:p>
      <w:pPr>
        <w:shd w:val="clear"/>
        <w:snapToGrid w:val="0"/>
        <w:spacing w:line="360" w:lineRule="auto"/>
        <w:ind w:right="17"/>
        <w:jc w:val="left"/>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采购项目编号：XJHS-2023Y-003</w:t>
      </w:r>
    </w:p>
    <w:p>
      <w:pPr>
        <w:pStyle w:val="23"/>
        <w:shd w:val="clear"/>
        <w:tabs>
          <w:tab w:val="left" w:pos="8460"/>
        </w:tabs>
        <w:snapToGrid w:val="0"/>
        <w:spacing w:line="360" w:lineRule="auto"/>
        <w:ind w:right="-334" w:rightChars="-159"/>
        <w:rPr>
          <w:rFonts w:asciiTheme="minorEastAsia" w:hAnsiTheme="minorEastAsia" w:eastAsiaTheme="minorEastAsia" w:cstheme="minorEastAsia"/>
          <w:b/>
          <w:bCs/>
          <w:sz w:val="30"/>
          <w:szCs w:val="30"/>
          <w:highlight w:val="none"/>
        </w:rPr>
      </w:pPr>
    </w:p>
    <w:p>
      <w:pPr>
        <w:pStyle w:val="23"/>
        <w:shd w:val="clear"/>
        <w:tabs>
          <w:tab w:val="left" w:pos="8460"/>
        </w:tabs>
        <w:snapToGrid w:val="0"/>
        <w:spacing w:line="360" w:lineRule="auto"/>
        <w:ind w:right="-334" w:rightChars="-159"/>
        <w:rPr>
          <w:rFonts w:asciiTheme="minorEastAsia" w:hAnsiTheme="minorEastAsia" w:eastAsiaTheme="minorEastAsia" w:cstheme="minorEastAsia"/>
          <w:b/>
          <w:bCs/>
          <w:sz w:val="30"/>
          <w:szCs w:val="30"/>
          <w:highlight w:val="none"/>
        </w:rPr>
      </w:pP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采购人：</w:t>
      </w:r>
      <w:r>
        <w:rPr>
          <w:rFonts w:hint="eastAsia" w:asciiTheme="minorEastAsia" w:hAnsiTheme="minorEastAsia" w:eastAsiaTheme="minorEastAsia" w:cstheme="minorEastAsia"/>
          <w:bCs/>
          <w:sz w:val="28"/>
          <w:szCs w:val="28"/>
          <w:highlight w:val="none"/>
        </w:rPr>
        <w:t>新疆科技学院</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联系人：谢老师</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联系电话：15276259599</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地址：库尔勒经济技术开发区金河路360号</w:t>
      </w:r>
    </w:p>
    <w:p>
      <w:pPr>
        <w:shd w:val="clear"/>
        <w:snapToGrid w:val="0"/>
        <w:spacing w:line="360" w:lineRule="auto"/>
        <w:jc w:val="left"/>
        <w:rPr>
          <w:rFonts w:asciiTheme="minorEastAsia" w:hAnsiTheme="minorEastAsia" w:eastAsiaTheme="minorEastAsia" w:cstheme="minorEastAsia"/>
          <w:sz w:val="28"/>
          <w:szCs w:val="28"/>
          <w:highlight w:val="none"/>
        </w:rPr>
      </w:pP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代理机构：新疆华域建设工程项目管理咨询有限公司</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联系人：黄工</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联系电话：15609913520</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地址：新疆乌鲁木齐市水磨沟区五星北路194号新地园大厦1401</w:t>
      </w:r>
    </w:p>
    <w:p>
      <w:pPr>
        <w:shd w:val="clear"/>
        <w:snapToGrid w:val="0"/>
        <w:spacing w:line="360" w:lineRule="auto"/>
        <w:ind w:right="17" w:firstLine="980" w:firstLineChars="350"/>
        <w:jc w:val="left"/>
        <w:rPr>
          <w:rFonts w:asciiTheme="minorEastAsia" w:hAnsiTheme="minorEastAsia" w:eastAsiaTheme="minorEastAsia" w:cstheme="minorEastAsia"/>
          <w:sz w:val="28"/>
          <w:szCs w:val="28"/>
          <w:highlight w:val="none"/>
        </w:rPr>
      </w:pPr>
    </w:p>
    <w:p>
      <w:pPr>
        <w:pStyle w:val="15"/>
        <w:shd w:val="clear"/>
        <w:snapToGrid w:val="0"/>
        <w:spacing w:line="360" w:lineRule="auto"/>
        <w:jc w:val="center"/>
        <w:rPr>
          <w:rFonts w:asciiTheme="minorEastAsia" w:hAnsiTheme="minorEastAsia" w:eastAsiaTheme="minorEastAsia" w:cstheme="minorEastAsia"/>
          <w:sz w:val="30"/>
          <w:szCs w:val="30"/>
          <w:highlight w:val="none"/>
        </w:rPr>
      </w:pPr>
    </w:p>
    <w:p>
      <w:pPr>
        <w:pStyle w:val="15"/>
        <w:shd w:val="clear"/>
        <w:snapToGrid w:val="0"/>
        <w:spacing w:line="360" w:lineRule="auto"/>
        <w:jc w:val="center"/>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sz w:val="30"/>
          <w:szCs w:val="30"/>
          <w:highlight w:val="none"/>
        </w:rPr>
        <w:t>二〇二三年</w:t>
      </w:r>
      <w:r>
        <w:rPr>
          <w:rFonts w:hint="eastAsia" w:asciiTheme="minorEastAsia" w:hAnsiTheme="minorEastAsia" w:eastAsiaTheme="minorEastAsia" w:cstheme="minorEastAsia"/>
          <w:sz w:val="30"/>
          <w:szCs w:val="30"/>
          <w:highlight w:val="none"/>
          <w:lang w:val="en-US" w:eastAsia="zh-CN"/>
        </w:rPr>
        <w:t>八</w:t>
      </w:r>
      <w:r>
        <w:rPr>
          <w:rFonts w:hint="eastAsia" w:asciiTheme="minorEastAsia" w:hAnsiTheme="minorEastAsia" w:eastAsiaTheme="minorEastAsia" w:cstheme="minorEastAsia"/>
          <w:sz w:val="30"/>
          <w:szCs w:val="30"/>
          <w:highlight w:val="none"/>
        </w:rPr>
        <w:t>月</w:t>
      </w:r>
    </w:p>
    <w:p>
      <w:pPr>
        <w:shd w:val="clear"/>
        <w:snapToGrid w:val="0"/>
        <w:spacing w:line="360" w:lineRule="auto"/>
        <w:jc w:val="center"/>
        <w:rPr>
          <w:rFonts w:asciiTheme="minorEastAsia" w:hAnsiTheme="minorEastAsia" w:eastAsiaTheme="minorEastAsia" w:cstheme="minorEastAsia"/>
          <w:b/>
          <w:sz w:val="32"/>
          <w:szCs w:val="32"/>
          <w:highlight w:val="none"/>
        </w:rPr>
        <w:sectPr>
          <w:footerReference r:id="rId3" w:type="default"/>
          <w:pgSz w:w="11911" w:h="16838"/>
          <w:pgMar w:top="1440" w:right="1633" w:bottom="1440" w:left="1633" w:header="0" w:footer="879" w:gutter="0"/>
          <w:cols w:space="720" w:num="1"/>
        </w:sectPr>
      </w:pPr>
    </w:p>
    <w:p>
      <w:pPr>
        <w:shd w:val="clear"/>
        <w:rPr>
          <w:rFonts w:asciiTheme="minorEastAsia" w:hAnsiTheme="minorEastAsia" w:eastAsiaTheme="minorEastAsia" w:cstheme="minorEastAsia"/>
          <w:highlight w:val="none"/>
        </w:rPr>
      </w:pPr>
    </w:p>
    <w:p>
      <w:pPr>
        <w:shd w:val="clear"/>
        <w:snapToGrid w:val="0"/>
        <w:spacing w:line="360" w:lineRule="auto"/>
        <w:jc w:val="center"/>
        <w:outlineLvl w:val="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目 录</w:t>
      </w:r>
    </w:p>
    <w:p>
      <w:pPr>
        <w:pStyle w:val="8"/>
        <w:shd w:val="clear"/>
        <w:ind w:firstLine="0"/>
        <w:rPr>
          <w:rFonts w:asciiTheme="minorEastAsia" w:hAnsiTheme="minorEastAsia" w:eastAsiaTheme="minorEastAsia" w:cstheme="minorEastAsia"/>
          <w:color w:val="auto"/>
          <w:highlight w:val="none"/>
        </w:rPr>
      </w:pPr>
    </w:p>
    <w:p>
      <w:pPr>
        <w:pStyle w:val="94"/>
        <w:shd w:val="clear"/>
        <w:tabs>
          <w:tab w:val="right" w:leader="dot" w:pos="8305"/>
        </w:tabs>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TOC \o "1-1" \h \u </w:instrText>
      </w:r>
      <w:r>
        <w:rPr>
          <w:rFonts w:hint="eastAsia" w:asciiTheme="minorEastAsia" w:hAnsiTheme="minorEastAsia" w:eastAsiaTheme="minorEastAsia" w:cstheme="minorEastAsia"/>
          <w:szCs w:val="24"/>
          <w:highlight w:val="none"/>
        </w:rPr>
        <w:fldChar w:fldCharType="separate"/>
      </w:r>
    </w:p>
    <w:p>
      <w:pPr>
        <w:pStyle w:val="94"/>
        <w:shd w:val="clear"/>
        <w:tabs>
          <w:tab w:val="right" w:leader="dot" w:pos="8305"/>
        </w:tabs>
        <w:spacing w:line="480" w:lineRule="auto"/>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"_Toc22261" </w:instrText>
      </w:r>
      <w:r>
        <w:rPr>
          <w:highlight w:val="none"/>
        </w:rPr>
        <w:fldChar w:fldCharType="separate"/>
      </w:r>
      <w:r>
        <w:rPr>
          <w:rFonts w:hint="eastAsia" w:asciiTheme="minorEastAsia" w:hAnsiTheme="minorEastAsia" w:eastAsiaTheme="minorEastAsia" w:cstheme="minorEastAsia"/>
          <w:sz w:val="28"/>
          <w:szCs w:val="28"/>
          <w:highlight w:val="none"/>
        </w:rPr>
        <w:t>第一部分  竞争性磋商公告</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_Toc22261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- 1 -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4"/>
        <w:shd w:val="clear"/>
        <w:tabs>
          <w:tab w:val="right" w:leader="dot" w:pos="8305"/>
        </w:tabs>
        <w:spacing w:line="480" w:lineRule="auto"/>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"_Toc24415" </w:instrText>
      </w:r>
      <w:r>
        <w:rPr>
          <w:highlight w:val="none"/>
        </w:rPr>
        <w:fldChar w:fldCharType="separate"/>
      </w:r>
      <w:r>
        <w:rPr>
          <w:rFonts w:hint="eastAsia" w:asciiTheme="minorEastAsia" w:hAnsiTheme="minorEastAsia" w:eastAsiaTheme="minorEastAsia" w:cstheme="minorEastAsia"/>
          <w:sz w:val="28"/>
          <w:szCs w:val="28"/>
          <w:highlight w:val="none"/>
        </w:rPr>
        <w:t>第二部分  供应商须知前附表</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_Toc24415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- 4 -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4"/>
        <w:shd w:val="clear"/>
        <w:tabs>
          <w:tab w:val="right" w:leader="dot" w:pos="8305"/>
        </w:tabs>
        <w:spacing w:line="480" w:lineRule="auto"/>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"_Toc3729" </w:instrText>
      </w:r>
      <w:r>
        <w:rPr>
          <w:highlight w:val="none"/>
        </w:rPr>
        <w:fldChar w:fldCharType="separate"/>
      </w:r>
      <w:r>
        <w:rPr>
          <w:rFonts w:hint="eastAsia" w:asciiTheme="minorEastAsia" w:hAnsiTheme="minorEastAsia" w:eastAsiaTheme="minorEastAsia" w:cstheme="minorEastAsia"/>
          <w:sz w:val="28"/>
          <w:szCs w:val="28"/>
          <w:highlight w:val="none"/>
        </w:rPr>
        <w:t>第三部分  采购合同</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_Toc3729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- 30 -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4"/>
        <w:shd w:val="clear"/>
        <w:tabs>
          <w:tab w:val="right" w:leader="dot" w:pos="8305"/>
        </w:tabs>
        <w:spacing w:line="480" w:lineRule="auto"/>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"_Toc9739" </w:instrText>
      </w:r>
      <w:r>
        <w:rPr>
          <w:highlight w:val="none"/>
        </w:rPr>
        <w:fldChar w:fldCharType="separate"/>
      </w:r>
      <w:r>
        <w:rPr>
          <w:rFonts w:hint="eastAsia" w:asciiTheme="minorEastAsia" w:hAnsiTheme="minorEastAsia" w:eastAsiaTheme="minorEastAsia" w:cstheme="minorEastAsia"/>
          <w:sz w:val="28"/>
          <w:szCs w:val="28"/>
          <w:highlight w:val="none"/>
        </w:rPr>
        <w:t>第四部分  采购需求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_Toc9739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- 3</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4"/>
        <w:shd w:val="clear"/>
        <w:tabs>
          <w:tab w:val="right" w:leader="dot" w:pos="8305"/>
        </w:tabs>
        <w:spacing w:line="480" w:lineRule="auto"/>
        <w:rPr>
          <w:rFonts w:asciiTheme="minorEastAsia" w:hAnsiTheme="minorEastAsia" w:eastAsiaTheme="minorEastAsia" w:cstheme="minorEastAsia"/>
          <w:b/>
          <w:bCs/>
          <w:sz w:val="28"/>
          <w:szCs w:val="28"/>
          <w:highlight w:val="none"/>
        </w:rPr>
      </w:pPr>
      <w:r>
        <w:rPr>
          <w:highlight w:val="none"/>
        </w:rPr>
        <w:fldChar w:fldCharType="begin"/>
      </w:r>
      <w:r>
        <w:rPr>
          <w:highlight w:val="none"/>
        </w:rPr>
        <w:instrText xml:space="preserve"> HYPERLINK \l "_Toc20810" </w:instrText>
      </w:r>
      <w:r>
        <w:rPr>
          <w:highlight w:val="none"/>
        </w:rPr>
        <w:fldChar w:fldCharType="separate"/>
      </w:r>
      <w:r>
        <w:rPr>
          <w:rFonts w:hint="eastAsia" w:asciiTheme="minorEastAsia" w:hAnsiTheme="minorEastAsia" w:eastAsiaTheme="minorEastAsia" w:cstheme="minorEastAsia"/>
          <w:sz w:val="28"/>
          <w:szCs w:val="28"/>
          <w:highlight w:val="none"/>
        </w:rPr>
        <w:t>第五部分  磋商响应文件格式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_Toc20810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- 4</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4"/>
        <w:shd w:val="clear"/>
        <w:tabs>
          <w:tab w:val="right" w:leader="dot" w:pos="8305"/>
        </w:tabs>
        <w:rPr>
          <w:rFonts w:asciiTheme="minorEastAsia" w:hAnsiTheme="minorEastAsia" w:eastAsiaTheme="minorEastAsia" w:cstheme="minorEastAsia"/>
          <w:highlight w:val="none"/>
        </w:rPr>
      </w:pPr>
    </w:p>
    <w:p>
      <w:pPr>
        <w:pStyle w:val="94"/>
        <w:shd w:val="clear"/>
        <w:tabs>
          <w:tab w:val="right" w:leader="dot" w:pos="8305"/>
        </w:tabs>
        <w:rPr>
          <w:rFonts w:asciiTheme="minorEastAsia" w:hAnsiTheme="minorEastAsia" w:eastAsiaTheme="minorEastAsia" w:cstheme="minorEastAsia"/>
          <w:highlight w:val="none"/>
        </w:rPr>
      </w:pPr>
    </w:p>
    <w:p>
      <w:pPr>
        <w:shd w:val="clea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fldChar w:fldCharType="end"/>
      </w:r>
    </w:p>
    <w:p>
      <w:pPr>
        <w:shd w:val="clear"/>
        <w:rPr>
          <w:rFonts w:asciiTheme="minorEastAsia" w:hAnsiTheme="minorEastAsia" w:eastAsiaTheme="minorEastAsia" w:cstheme="minorEastAsia"/>
          <w:highlight w:val="none"/>
        </w:rPr>
      </w:pPr>
    </w:p>
    <w:p>
      <w:pPr>
        <w:shd w:val="clear"/>
        <w:rPr>
          <w:rFonts w:asciiTheme="minorEastAsia" w:hAnsiTheme="minorEastAsia" w:eastAsiaTheme="minorEastAsia" w:cstheme="minorEastAsia"/>
          <w:highlight w:val="none"/>
        </w:rPr>
      </w:pPr>
    </w:p>
    <w:p>
      <w:pPr>
        <w:shd w:val="clear"/>
        <w:snapToGrid w:val="0"/>
        <w:spacing w:line="360" w:lineRule="auto"/>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b/>
      </w:r>
    </w:p>
    <w:p>
      <w:pPr>
        <w:shd w:val="clear"/>
        <w:snapToGrid w:val="0"/>
        <w:spacing w:line="360" w:lineRule="auto"/>
        <w:rPr>
          <w:rFonts w:asciiTheme="minorEastAsia" w:hAnsiTheme="minorEastAsia" w:eastAsiaTheme="minorEastAsia" w:cstheme="minorEastAsia"/>
          <w:bCs/>
          <w:sz w:val="36"/>
          <w:szCs w:val="36"/>
          <w:highlight w:val="none"/>
        </w:rPr>
      </w:pPr>
    </w:p>
    <w:p>
      <w:pPr>
        <w:shd w:val="clear"/>
        <w:snapToGrid w:val="0"/>
        <w:spacing w:line="360" w:lineRule="auto"/>
        <w:rPr>
          <w:rFonts w:asciiTheme="minorEastAsia" w:hAnsiTheme="minorEastAsia" w:eastAsiaTheme="minorEastAsia" w:cstheme="minorEastAsia"/>
          <w:bCs/>
          <w:sz w:val="36"/>
          <w:szCs w:val="36"/>
          <w:highlight w:val="none"/>
        </w:rPr>
      </w:pPr>
    </w:p>
    <w:p>
      <w:pPr>
        <w:shd w:val="clear"/>
        <w:snapToGrid w:val="0"/>
        <w:spacing w:line="360" w:lineRule="auto"/>
        <w:rPr>
          <w:rFonts w:asciiTheme="minorEastAsia" w:hAnsiTheme="minorEastAsia" w:eastAsiaTheme="minorEastAsia" w:cstheme="minorEastAsia"/>
          <w:bCs/>
          <w:sz w:val="36"/>
          <w:szCs w:val="36"/>
          <w:highlight w:val="none"/>
        </w:rPr>
      </w:pPr>
    </w:p>
    <w:p>
      <w:pPr>
        <w:shd w:val="clear"/>
        <w:snapToGrid w:val="0"/>
        <w:spacing w:line="360" w:lineRule="auto"/>
        <w:jc w:val="center"/>
        <w:outlineLvl w:val="0"/>
        <w:rPr>
          <w:rFonts w:asciiTheme="minorEastAsia" w:hAnsiTheme="minorEastAsia" w:eastAsiaTheme="minorEastAsia" w:cstheme="minorEastAsia"/>
          <w:b/>
          <w:sz w:val="30"/>
          <w:szCs w:val="30"/>
          <w:highlight w:val="none"/>
        </w:rPr>
        <w:sectPr>
          <w:headerReference r:id="rId5" w:type="first"/>
          <w:footerReference r:id="rId7" w:type="first"/>
          <w:headerReference r:id="rId4" w:type="default"/>
          <w:footerReference r:id="rId6" w:type="default"/>
          <w:pgSz w:w="11911" w:h="16838"/>
          <w:pgMar w:top="1440" w:right="1633" w:bottom="1440" w:left="1633" w:header="0" w:footer="879" w:gutter="0"/>
          <w:pgNumType w:fmt="numberInDash" w:start="1"/>
          <w:cols w:space="720" w:num="1"/>
          <w:docGrid w:linePitch="312" w:charSpace="0"/>
        </w:sectPr>
      </w:pPr>
      <w:bookmarkStart w:id="0" w:name="_Toc22261"/>
      <w:bookmarkStart w:id="1" w:name="_Toc21101"/>
    </w:p>
    <w:p>
      <w:pPr>
        <w:shd w:val="clear"/>
        <w:snapToGrid w:val="0"/>
        <w:spacing w:line="360" w:lineRule="auto"/>
        <w:jc w:val="center"/>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30"/>
          <w:szCs w:val="30"/>
          <w:highlight w:val="none"/>
        </w:rPr>
        <w:t>第一部分   竞争性磋商公告</w:t>
      </w:r>
      <w:bookmarkEnd w:id="0"/>
      <w:bookmarkEnd w:id="1"/>
    </w:p>
    <w:p>
      <w:pPr>
        <w:pStyle w:val="5"/>
        <w:widowControl/>
        <w:shd w:val="clear"/>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新疆科技学院新工科背景下化工实验实训平台（二期）采购项目竞争性磋商公告</w:t>
      </w:r>
    </w:p>
    <w:p>
      <w:pPr>
        <w:widowControl/>
        <w:shd w:val="clear"/>
        <w:spacing w:before="100" w:beforeAutospacing="1" w:after="100" w:afterAutospacing="1"/>
        <w:ind w:right="72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项目概况</w:t>
      </w:r>
    </w:p>
    <w:p>
      <w:pPr>
        <w:widowControl/>
        <w:shd w:val="clear"/>
        <w:spacing w:before="100" w:beforeAutospacing="1" w:after="100" w:afterAutospacing="1" w:line="360" w:lineRule="auto"/>
        <w:ind w:right="720"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新疆科技学院新工科背景下化工实验实训平台（二期）采购项目采购项目的潜在供应商应在线上获取采购文件，并于</w:t>
      </w:r>
      <w:r>
        <w:rPr>
          <w:rFonts w:hint="eastAsia" w:asciiTheme="minorEastAsia" w:hAnsiTheme="minorEastAsia" w:eastAsiaTheme="minorEastAsia" w:cstheme="minorEastAsia"/>
          <w:kern w:val="0"/>
          <w:sz w:val="24"/>
          <w:szCs w:val="24"/>
          <w:highlight w:val="none"/>
          <w:lang w:eastAsia="zh-CN"/>
        </w:rPr>
        <w:t>2023年8月16日11点00分</w:t>
      </w:r>
      <w:r>
        <w:rPr>
          <w:rFonts w:hint="eastAsia" w:asciiTheme="minorEastAsia" w:hAnsiTheme="minorEastAsia" w:eastAsiaTheme="minorEastAsia" w:cstheme="minorEastAsia"/>
          <w:kern w:val="0"/>
          <w:sz w:val="24"/>
          <w:szCs w:val="24"/>
          <w:highlight w:val="none"/>
        </w:rPr>
        <w:t>（北京时间）前提交响应文件。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一、项目基本情况</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项目编号：XJHS-2023Y-003</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项目名称：新疆科技学院新工科背景下化工实验实训平台（二期）采购项目</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采购方式：竞争性磋商</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预算金额（元）：1000000</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最高限价（元）：1000000</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采购需求：详见磋商文件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合同履行期限：详见磋商文件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本项目(不接受)联合体投标。</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二、申请人的资格要求：</w:t>
      </w:r>
    </w:p>
    <w:p>
      <w:p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p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2.落实政府采购政策需满足的资格要求：供应商为中小企业</w:t>
      </w:r>
    </w:p>
    <w:p>
      <w:pPr>
        <w:numPr>
          <w:ilvl w:val="0"/>
          <w:numId w:val="1"/>
        </w:num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本项目的特定资格要求：</w:t>
      </w:r>
    </w:p>
    <w:p>
      <w:p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（1）、供应商须是中华人民共和国境内注册的，具有有效的营业执照；</w:t>
      </w:r>
    </w:p>
    <w:p>
      <w:p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三、获取招标文件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时间：2023年</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日至2023年</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日，每天上午</w:t>
      </w:r>
      <w:r>
        <w:rPr>
          <w:rFonts w:hint="eastAsia" w:asciiTheme="minorEastAsia" w:hAnsiTheme="minorEastAsia" w:eastAsiaTheme="minorEastAsia" w:cstheme="minorEastAsia"/>
          <w:kern w:val="0"/>
          <w:sz w:val="24"/>
          <w:szCs w:val="24"/>
          <w:highlight w:val="none"/>
          <w:lang w:val="en-US" w:eastAsia="zh-CN"/>
        </w:rPr>
        <w:t>00</w:t>
      </w:r>
      <w:r>
        <w:rPr>
          <w:rFonts w:hint="eastAsia" w:asciiTheme="minorEastAsia" w:hAnsiTheme="minorEastAsia" w:eastAsiaTheme="minorEastAsia" w:cstheme="minorEastAsia"/>
          <w:kern w:val="0"/>
          <w:sz w:val="24"/>
          <w:szCs w:val="24"/>
          <w:highlight w:val="none"/>
        </w:rPr>
        <w:t>:00至1</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:00，下午1</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:00至</w:t>
      </w:r>
      <w:r>
        <w:rPr>
          <w:rFonts w:hint="eastAsia" w:asciiTheme="minorEastAsia" w:hAnsiTheme="minorEastAsia" w:eastAsiaTheme="minorEastAsia" w:cstheme="minorEastAsia"/>
          <w:kern w:val="0"/>
          <w:sz w:val="24"/>
          <w:szCs w:val="24"/>
          <w:highlight w:val="none"/>
          <w:lang w:val="en-US" w:eastAsia="zh-CN"/>
        </w:rPr>
        <w:t>23</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val="en-US" w:eastAsia="zh-CN"/>
        </w:rPr>
        <w:t>59</w:t>
      </w:r>
      <w:r>
        <w:rPr>
          <w:rFonts w:hint="eastAsia" w:asciiTheme="minorEastAsia" w:hAnsiTheme="minorEastAsia" w:eastAsiaTheme="minorEastAsia" w:cstheme="minorEastAsia"/>
          <w:kern w:val="0"/>
          <w:sz w:val="24"/>
          <w:szCs w:val="24"/>
          <w:highlight w:val="none"/>
        </w:rPr>
        <w:t>。（北京时间，法定节假日除外）</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地点：政采云平台（https://www.zcygov.cn/）</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方式：供应商登陆政采云平台 https://www.zcygov.cn/进入“项目采购”栏目，在获取磋商文件菜单中选择所要投标的项目，申请获取磋商文件。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售价：0</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四、响应文件提交</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截止时间：</w:t>
      </w:r>
      <w:r>
        <w:rPr>
          <w:rFonts w:hint="eastAsia" w:asciiTheme="minorEastAsia" w:hAnsiTheme="minorEastAsia" w:eastAsiaTheme="minorEastAsia" w:cstheme="minorEastAsia"/>
          <w:kern w:val="0"/>
          <w:sz w:val="24"/>
          <w:szCs w:val="24"/>
          <w:highlight w:val="none"/>
          <w:lang w:eastAsia="zh-CN"/>
        </w:rPr>
        <w:t>2023年8月16日11点00分</w:t>
      </w:r>
      <w:r>
        <w:rPr>
          <w:rFonts w:hint="eastAsia" w:asciiTheme="minorEastAsia" w:hAnsiTheme="minorEastAsia" w:eastAsiaTheme="minorEastAsia" w:cstheme="minorEastAsia"/>
          <w:kern w:val="0"/>
          <w:sz w:val="24"/>
          <w:szCs w:val="24"/>
          <w:highlight w:val="none"/>
        </w:rPr>
        <w:t>（北京时间）</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地点：政采云平台（https://www.zcygov.cn/）</w:t>
      </w:r>
    </w:p>
    <w:p>
      <w:pPr>
        <w:widowControl/>
        <w:numPr>
          <w:ilvl w:val="0"/>
          <w:numId w:val="2"/>
        </w:numPr>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响应文件开启</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开启时间：</w:t>
      </w:r>
      <w:r>
        <w:rPr>
          <w:rFonts w:hint="eastAsia" w:asciiTheme="minorEastAsia" w:hAnsiTheme="minorEastAsia" w:eastAsiaTheme="minorEastAsia" w:cstheme="minorEastAsia"/>
          <w:kern w:val="0"/>
          <w:sz w:val="24"/>
          <w:szCs w:val="24"/>
          <w:highlight w:val="none"/>
          <w:lang w:eastAsia="zh-CN"/>
        </w:rPr>
        <w:t>2023年8月16日11点00分</w:t>
      </w:r>
      <w:r>
        <w:rPr>
          <w:rFonts w:hint="eastAsia" w:asciiTheme="minorEastAsia" w:hAnsiTheme="minorEastAsia" w:eastAsiaTheme="minorEastAsia" w:cstheme="minorEastAsia"/>
          <w:kern w:val="0"/>
          <w:sz w:val="24"/>
          <w:szCs w:val="24"/>
          <w:highlight w:val="none"/>
        </w:rPr>
        <w:t>（北京时间）</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地点：政采云平台（https://www.zcygov.cn/）</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六、公告期限</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自本公告发布之日起5个工作日</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七、其他补充事宜</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1、请投标单位随时关注本项目的澄清、答疑、变更事项。</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2、本项目实行电子招投标，供应商须登录政采云平台申请获取磋商文件，并通过政采云电子投标客户端制作投标文件，同时自行承担与投标有关的一切费用。</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3、各供应商应在开标前应确保成为政采云平台供应商，并完成 CA 数字证书(符合国密标准)申领。因未注册入库、未办理CA数字证书等原因造成无法投标或投标失败等后果由供应商自行承担。</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0991-2819290。</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八、凡对本次采购提出询问，请按以下方式联系。</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1.采购人信息</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称：新疆科技学院</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址：库尔勒经济技术开发区金河路360号</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联系方式：谢老师 15276259599</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2.采购代理机构信息</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称：新疆华域建设工程项目管理咨询有限公司</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址：新疆乌鲁木齐市水磨沟区五星北路194号新地园大厦1401</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3.项目联系方式</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项目联系人：黄工</w:t>
      </w:r>
    </w:p>
    <w:p>
      <w:pPr>
        <w:shd w:val="clear"/>
        <w:spacing w:line="360" w:lineRule="auto"/>
        <w:ind w:firstLine="240" w:firstLineChars="10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电 话：15609913520</w:t>
      </w:r>
    </w:p>
    <w:p>
      <w:pPr>
        <w:shd w:val="clear"/>
        <w:snapToGrid w:val="0"/>
        <w:spacing w:line="360" w:lineRule="auto"/>
        <w:jc w:val="center"/>
        <w:outlineLvl w:val="0"/>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bCs/>
          <w:sz w:val="24"/>
          <w:szCs w:val="24"/>
          <w:highlight w:val="none"/>
        </w:rPr>
        <w:br w:type="page"/>
      </w:r>
      <w:bookmarkStart w:id="2" w:name="_Toc24415"/>
      <w:bookmarkStart w:id="3" w:name="_Toc9179"/>
      <w:r>
        <w:rPr>
          <w:rFonts w:hint="eastAsia" w:asciiTheme="minorEastAsia" w:hAnsiTheme="minorEastAsia" w:eastAsiaTheme="minorEastAsia" w:cstheme="minorEastAsia"/>
          <w:b/>
          <w:sz w:val="30"/>
          <w:szCs w:val="30"/>
          <w:highlight w:val="none"/>
        </w:rPr>
        <w:t>第二部分   供应商须知前附表</w:t>
      </w:r>
      <w:bookmarkEnd w:id="2"/>
      <w:bookmarkEnd w:id="3"/>
    </w:p>
    <w:tbl>
      <w:tblPr>
        <w:tblStyle w:val="26"/>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1" w:type="dxa"/>
            <w:vAlign w:val="center"/>
          </w:tcPr>
          <w:p>
            <w:pPr>
              <w:shd w:val="clear"/>
              <w:snapToGrid w:val="0"/>
              <w:spacing w:line="360" w:lineRule="auto"/>
              <w:ind w:right="105" w:rightChars="5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项目</w:t>
            </w:r>
          </w:p>
        </w:tc>
        <w:tc>
          <w:tcPr>
            <w:tcW w:w="9245" w:type="dxa"/>
            <w:vAlign w:val="center"/>
          </w:tcPr>
          <w:p>
            <w:pPr>
              <w:shd w:val="clear"/>
              <w:snapToGrid w:val="0"/>
              <w:spacing w:line="360" w:lineRule="auto"/>
              <w:ind w:right="105" w:rightChars="5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9245" w:type="dxa"/>
            <w:vAlign w:val="center"/>
          </w:tcPr>
          <w:p>
            <w:pPr>
              <w:shd w:val="clear"/>
              <w:autoSpaceDE w:val="0"/>
              <w:autoSpaceDN w:val="0"/>
              <w:adjustRightInd w:val="0"/>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项目名称：新疆科技学院新工科背景下化工实验实训平台（二期）采购项目</w:t>
            </w:r>
          </w:p>
          <w:p>
            <w:pPr>
              <w:shd w:val="clear"/>
              <w:autoSpaceDE w:val="0"/>
              <w:autoSpaceDN w:val="0"/>
              <w:adjustRightInd w:val="0"/>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采购项目编号：XJHS-2023Y-003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采购内容：包含磋商文件、补充答疑文件、采购需求等全部采购及服务内容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9245" w:type="dxa"/>
            <w:vAlign w:val="center"/>
          </w:tcPr>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磋商供应商资格要求：</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1.满足《中华人民共和国政府采购法》第二十二条规定；</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2.落实政府采购政策需满足的资格要求：供应商为中小企业</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本项目为专门面向中小企业采购项目，必须在响应文件中提供《中小企业声明函》，其投标报价不进行扣除优惠政策。</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3.本项目的特定资格要求：</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（1）、供应商须是中华人民共和国境内注册的，具有有效的营业执照；</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信用查询时间:磋商响应文件提交截止时间前一天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竞争性磋商文件费用：0元。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9245" w:type="dxa"/>
            <w:vAlign w:val="center"/>
          </w:tcPr>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投标保证金的金额：人民币1</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000元</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于</w:t>
            </w:r>
            <w:r>
              <w:rPr>
                <w:rFonts w:hint="eastAsia" w:asciiTheme="minorEastAsia" w:hAnsiTheme="minorEastAsia" w:eastAsiaTheme="minorEastAsia" w:cstheme="minorEastAsia"/>
                <w:highlight w:val="none"/>
                <w:lang w:eastAsia="zh-CN"/>
              </w:rPr>
              <w:t>2023年8月16日11点00分</w:t>
            </w:r>
            <w:r>
              <w:rPr>
                <w:rFonts w:hint="eastAsia" w:asciiTheme="minorEastAsia" w:hAnsiTheme="minorEastAsia" w:eastAsiaTheme="minorEastAsia" w:cstheme="minorEastAsia"/>
                <w:highlight w:val="none"/>
              </w:rPr>
              <w:t>前（北京时间，以到账时间为准)从供应商基本账户以支票、银行电汇、网银形式汇至指定账户，供应商递交投标保证金应充分考虑资金在途时间。</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开户单位名称：新疆华域建设工程项目管理咨询有限公司</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开户银行：中国银行乌鲁木齐市南湖东路支行</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开户行行号：104881006151</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账号：107083025521</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投标保证金的形式：银行电汇、网银</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汇款后请把汇款凭证复印件放在投标文件中，无需到公司换取收据。</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注：供应商递交磋商保证金时，须注明所投项目名称及采购项目编号。</w:t>
            </w:r>
          </w:p>
          <w:p>
            <w:pPr>
              <w:pStyle w:val="23"/>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退还投标保证金找磋商文件中的项目负责人办理。退还投标保证金时，请将法人授权委托书及委托人的身份证复印件（加盖公章及法人章）、汇款凭证复印件（加盖公章）、基本户信息复印件（加盖公章），彩色扫描件PDF版发送1506064139@qq.com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采购预算：1000000元（大写：壹佰万元整）</w:t>
            </w:r>
            <w:r>
              <w:rPr>
                <w:rFonts w:hint="eastAsia" w:asciiTheme="minorEastAsia" w:hAnsiTheme="minorEastAsia" w:eastAsiaTheme="minorEastAsia" w:cstheme="minorEastAsia"/>
                <w:b/>
                <w:bCs/>
                <w:sz w:val="24"/>
                <w:szCs w:val="24"/>
                <w:highlight w:val="none"/>
              </w:rPr>
              <w:t>供应商的投标报价不得高于此限价，否则按无效投标处理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9245" w:type="dxa"/>
            <w:vAlign w:val="center"/>
          </w:tcPr>
          <w:p>
            <w:pPr>
              <w:numPr>
                <w:ilvl w:val="0"/>
                <w:numId w:val="3"/>
              </w:numPr>
              <w:shd w:val="clear"/>
              <w:spacing w:line="360" w:lineRule="auto"/>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电子投标文件递交：供应商应于</w:t>
            </w:r>
            <w:r>
              <w:rPr>
                <w:rFonts w:hint="eastAsia" w:asciiTheme="minorEastAsia" w:hAnsiTheme="minorEastAsia" w:eastAsiaTheme="minorEastAsia" w:cstheme="minorEastAsia"/>
                <w:bCs/>
                <w:sz w:val="24"/>
                <w:szCs w:val="24"/>
                <w:highlight w:val="none"/>
                <w:lang w:eastAsia="zh-CN"/>
              </w:rPr>
              <w:t>2023年8月16日11点00分</w:t>
            </w:r>
            <w:r>
              <w:rPr>
                <w:rFonts w:hint="eastAsia" w:asciiTheme="minorEastAsia" w:hAnsiTheme="minorEastAsia" w:eastAsiaTheme="minorEastAsia" w:cstheme="minorEastAsia"/>
                <w:bCs/>
                <w:sz w:val="24"/>
                <w:szCs w:val="24"/>
                <w:highlight w:val="none"/>
              </w:rPr>
              <w:t>之前将电子投标文件上传到“政采云”平台。应按照本项目磋商文件和政采云平台的要求编制、加密传输投标文件。供应商对不见面开评标系统的技术操作咨询，可通过https://edu.zcygov.cn/luban/xinjiang-e-biding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 作指南，同时对自助查询无法解决的问题可通过钉钉群及政采云在线客服获取服务支持。</w:t>
            </w:r>
          </w:p>
          <w:p>
            <w:pPr>
              <w:shd w:val="clear"/>
              <w:spacing w:line="360" w:lineRule="auto"/>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（2）投标现场无需递交投标文件，中标单位公示完之后需提供：</w:t>
            </w:r>
          </w:p>
          <w:p>
            <w:pPr>
              <w:shd w:val="clear"/>
              <w:spacing w:line="360" w:lineRule="auto"/>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纸质版投标文件：正本一份、副本四份。</w:t>
            </w:r>
          </w:p>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投标文件电子版：以u盘为介质的投标文件电子版一份。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9245" w:type="dxa"/>
            <w:vAlign w:val="center"/>
          </w:tcPr>
          <w:p>
            <w:pPr>
              <w:shd w:val="clear"/>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本项目实行网上投标，采用电子投标文件。若供应商参与投标，自行承担投标一切费用。</w:t>
            </w:r>
          </w:p>
          <w:p>
            <w:pPr>
              <w:shd w:val="clear"/>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shd w:val="clear"/>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磋商报价：供应商的报价应为所确定的招标范围内的全部工作内容的价格体现。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vAlign w:val="center"/>
          </w:tcPr>
          <w:p>
            <w:pPr>
              <w:shd w:val="clea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磋商响应文件的递交截止时间：</w:t>
            </w:r>
            <w:r>
              <w:rPr>
                <w:rFonts w:hint="eastAsia" w:asciiTheme="minorEastAsia" w:hAnsiTheme="minorEastAsia" w:eastAsiaTheme="minorEastAsia" w:cstheme="minorEastAsia"/>
                <w:sz w:val="24"/>
                <w:szCs w:val="24"/>
                <w:highlight w:val="none"/>
                <w:lang w:eastAsia="zh-CN"/>
              </w:rPr>
              <w:t>2023年8月16日11点00分</w:t>
            </w:r>
            <w:r>
              <w:rPr>
                <w:rFonts w:hint="eastAsia" w:asciiTheme="minorEastAsia" w:hAnsiTheme="minorEastAsia" w:eastAsiaTheme="minorEastAsia" w:cstheme="minorEastAsia"/>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磋商响应文件递交地点：</w:t>
            </w:r>
            <w:r>
              <w:rPr>
                <w:rFonts w:hint="eastAsia" w:asciiTheme="minorEastAsia" w:hAnsiTheme="minorEastAsia" w:eastAsiaTheme="minorEastAsia" w:cstheme="minorEastAsia"/>
                <w:kern w:val="0"/>
                <w:sz w:val="24"/>
                <w:szCs w:val="24"/>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磋商响应时间：</w:t>
            </w:r>
            <w:r>
              <w:rPr>
                <w:rFonts w:hint="eastAsia" w:asciiTheme="minorEastAsia" w:hAnsiTheme="minorEastAsia" w:eastAsiaTheme="minorEastAsia" w:cstheme="minorEastAsia"/>
                <w:sz w:val="24"/>
                <w:szCs w:val="24"/>
                <w:highlight w:val="none"/>
                <w:lang w:eastAsia="zh-CN"/>
              </w:rPr>
              <w:t>2023年8月16日11点00分</w:t>
            </w:r>
            <w:r>
              <w:rPr>
                <w:rFonts w:hint="eastAsia" w:asciiTheme="minorEastAsia" w:hAnsiTheme="minorEastAsia" w:eastAsiaTheme="minorEastAsia" w:cstheme="minorEastAsia"/>
                <w:sz w:val="24"/>
                <w:szCs w:val="24"/>
                <w:highlight w:val="none"/>
              </w:rPr>
              <w:t>（北京时间）</w:t>
            </w:r>
          </w:p>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磋商地点：</w:t>
            </w:r>
            <w:r>
              <w:rPr>
                <w:rFonts w:hint="eastAsia" w:asciiTheme="minorEastAsia" w:hAnsiTheme="minorEastAsia" w:eastAsiaTheme="minorEastAsia" w:cstheme="minorEastAsia"/>
                <w:kern w:val="0"/>
                <w:sz w:val="24"/>
                <w:szCs w:val="24"/>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成交原则：依据提交最后报价的供应商，由磋商小组采用综合评分法对提交最后报价的供应商的磋商响应文件和最后报价进行综合评分。</w:t>
            </w:r>
          </w:p>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综合评分法，是指磋商响应文件满足磋商文件全部实质性要求且按评审因素的量化指标评审得分最高的供应商为成交候选供应商的评审方法。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磋商小组的组建：由采购人代表和评审专家共3人以上单数组成，其中评审专家人数不得少于磋商小组成员总数的2/3。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p>
        </w:tc>
        <w:tc>
          <w:tcPr>
            <w:tcW w:w="9245" w:type="dxa"/>
            <w:vAlign w:val="center"/>
          </w:tcPr>
          <w:p>
            <w:pPr>
              <w:shd w:val="clear"/>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政府采购政策支持：</w:t>
            </w:r>
          </w:p>
          <w:p>
            <w:pPr>
              <w:shd w:val="clear"/>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1、本项目为非专门面向中小企业（含中型、小型、微型企业）</w:t>
            </w:r>
            <w:r>
              <w:rPr>
                <w:rFonts w:hint="eastAsia" w:asciiTheme="minorEastAsia" w:hAnsiTheme="minorEastAsia" w:eastAsiaTheme="minorEastAsia" w:cstheme="minorEastAsia"/>
                <w:sz w:val="24"/>
                <w:highlight w:val="none"/>
              </w:rPr>
              <w:t>采购项目，根据《政府采购促进中小企业发展暂行办法》（财库[2011]181号）的规定，评标时将给予此类企业进行价格10%的优惠，监狱企业、残疾人福利性单位视同为小微企业，用优惠后的价格参与评审。</w:t>
            </w:r>
          </w:p>
          <w:p>
            <w:pPr>
              <w:shd w:val="clear"/>
              <w:spacing w:line="46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2、落实其他政府采购政策条款。具体办法详见评分办法。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供货期：自合同签订之日起30日内供货并安装调试完毕</w:t>
            </w:r>
          </w:p>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质保期：5年</w:t>
            </w:r>
          </w:p>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供货地点：采购人指定地点</w:t>
            </w:r>
          </w:p>
          <w:p>
            <w:pPr>
              <w:shd w:val="clear"/>
              <w:spacing w:line="460" w:lineRule="exact"/>
              <w:jc w:val="left"/>
              <w:rPr>
                <w:highlight w:val="none"/>
              </w:rPr>
            </w:pPr>
            <w:r>
              <w:rPr>
                <w:rFonts w:hint="eastAsia" w:asciiTheme="minorEastAsia" w:hAnsiTheme="minorEastAsia" w:eastAsiaTheme="minorEastAsia" w:cstheme="minorEastAsia"/>
                <w:sz w:val="24"/>
                <w:szCs w:val="24"/>
                <w:highlight w:val="none"/>
              </w:rPr>
              <w:t>是否单一产品：否，核心产品为多功能特殊精馏实验装置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合同签订后支付合同总额的30%，设备安装调试完成并验收合格后支付合同总额的70%（具体付款时间以合同签订内容为准）。乙方应当在申请付款前，开具符合甲方要求的足额发票，否则甲方有权延期付款且不承担逾期付款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履约保证金：合同金额的10%，以支票、汇票、本票或者金融机构、担保机构出具的保函等非现金形式。在合同签订七日内提交至财务处，在验收合格后无息退还。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要求：因乙方提供产品质量等原因而导致甲方验收不合格，乙方负责继续完善，并承担所产生的费用，如乙方拒绝完善或完善后仍不符合标准的，甲方有权解除合同，乙方按合同总额的20%的标准向甲方支付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是否允许提交备选方案：不允许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踏勘现场：采购人不组织踏勘现场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公告发布媒体：新疆政府采购网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磋商文件的澄清和修改：</w:t>
            </w:r>
          </w:p>
          <w:p>
            <w:pPr>
              <w:shd w:val="clea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采购代理服务费：成交供应商应向政府采购代理机构缴纳代理服务费，</w:t>
            </w:r>
            <w:r>
              <w:rPr>
                <w:rFonts w:hint="eastAsia" w:asciiTheme="minorEastAsia" w:hAnsiTheme="minorEastAsia" w:eastAsiaTheme="minorEastAsia" w:cstheme="minorEastAsia"/>
                <w:bCs/>
                <w:sz w:val="24"/>
                <w:szCs w:val="24"/>
                <w:highlight w:val="none"/>
              </w:rPr>
              <w:t>政府采购代理服务费按</w:t>
            </w:r>
            <w:r>
              <w:rPr>
                <w:rFonts w:hint="eastAsia" w:asciiTheme="minorEastAsia" w:hAnsiTheme="minorEastAsia" w:eastAsiaTheme="minorEastAsia" w:cstheme="minorEastAsia"/>
                <w:sz w:val="24"/>
                <w:szCs w:val="24"/>
                <w:highlight w:val="none"/>
              </w:rPr>
              <w:t>国家发改委计价格[2002]1980号文、</w:t>
            </w:r>
            <w:r>
              <w:rPr>
                <w:rFonts w:hint="eastAsia" w:asciiTheme="minorEastAsia" w:hAnsiTheme="minorEastAsia" w:eastAsiaTheme="minorEastAsia" w:cstheme="minorEastAsia"/>
                <w:sz w:val="24"/>
                <w:highlight w:val="none"/>
              </w:rPr>
              <w:t>发改办价格[2003]857号文计取</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磋商有效期：磋商响应文件截止之日起90天。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highlight w:val="none"/>
              </w:rPr>
              <w:t>备注：</w:t>
            </w:r>
            <w:r>
              <w:rPr>
                <w:rFonts w:hint="eastAsia" w:asciiTheme="minorEastAsia" w:hAnsiTheme="minorEastAsia" w:eastAsiaTheme="minorEastAsia" w:cstheme="minorEastAsia"/>
                <w:sz w:val="24"/>
                <w:szCs w:val="24"/>
                <w:highlight w:val="none"/>
              </w:rPr>
              <w:t>（1）供应商所报服务等同或不得低于磋商文件要求的服务要求。任何对磋商文件的忽略或误解不能作为响应文件存在缺陷或瑕疵的理由，其风险由供应商承担。（2）供应商应保证，在中华人民共和国境内使用投标成果、服务或其任何一部分时，不会产生因第三方提出侵犯其专利权或其它知识产权而引起的法律和经济纠纷。</w:t>
            </w:r>
          </w:p>
        </w:tc>
      </w:tr>
    </w:tbl>
    <w:p>
      <w:pPr>
        <w:shd w:val="clear"/>
        <w:snapToGrid w:val="0"/>
        <w:spacing w:line="500" w:lineRule="exact"/>
        <w:jc w:val="left"/>
        <w:outlineLvl w:val="1"/>
        <w:rPr>
          <w:rFonts w:asciiTheme="minorEastAsia" w:hAnsiTheme="minorEastAsia" w:eastAsiaTheme="minorEastAsia" w:cstheme="minorEastAsia"/>
          <w:b/>
          <w:sz w:val="24"/>
          <w:szCs w:val="24"/>
          <w:highlight w:val="none"/>
        </w:rPr>
      </w:pPr>
      <w:bookmarkStart w:id="4" w:name="_Toc27351"/>
      <w:r>
        <w:rPr>
          <w:rFonts w:hint="eastAsia" w:asciiTheme="minorEastAsia" w:hAnsiTheme="minorEastAsia" w:eastAsiaTheme="minorEastAsia" w:cstheme="minorEastAsia"/>
          <w:b/>
          <w:sz w:val="24"/>
          <w:szCs w:val="24"/>
          <w:highlight w:val="none"/>
        </w:rPr>
        <w:t>说明:当正文中的内容与前附表规定的内容不一致时，以前附表的规定为准。</w:t>
      </w:r>
    </w:p>
    <w:p>
      <w:pPr>
        <w:shd w:val="clear"/>
        <w:snapToGrid w:val="0"/>
        <w:spacing w:line="500" w:lineRule="exact"/>
        <w:jc w:val="left"/>
        <w:outlineLvl w:val="1"/>
        <w:rPr>
          <w:rFonts w:asciiTheme="minorEastAsia" w:hAnsiTheme="minorEastAsia" w:eastAsiaTheme="minorEastAsia" w:cstheme="minorEastAsia"/>
          <w:b/>
          <w:sz w:val="24"/>
          <w:szCs w:val="24"/>
          <w:highlight w:val="none"/>
        </w:rPr>
      </w:pPr>
    </w:p>
    <w:p>
      <w:pPr>
        <w:pageBreakBefore/>
        <w:shd w:val="clear"/>
        <w:snapToGrid w:val="0"/>
        <w:spacing w:line="500" w:lineRule="exact"/>
        <w:jc w:val="center"/>
        <w:outlineLvl w:val="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一、总则</w:t>
      </w:r>
      <w:bookmarkEnd w:id="4"/>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（一）总则</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项目说明</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本项目的说明详见供应商须知前附表（以下简称“前附表”）所述。</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本招标项目已经批准，采购单位为</w:t>
      </w:r>
      <w:r>
        <w:rPr>
          <w:rFonts w:hint="eastAsia" w:asciiTheme="minorEastAsia" w:hAnsiTheme="minorEastAsia" w:eastAsiaTheme="minorEastAsia" w:cstheme="minorEastAsia"/>
          <w:sz w:val="24"/>
          <w:szCs w:val="24"/>
          <w:highlight w:val="none"/>
          <w:u w:val="single"/>
        </w:rPr>
        <w:t>新疆科技学院</w:t>
      </w:r>
      <w:r>
        <w:rPr>
          <w:rFonts w:hint="eastAsia" w:asciiTheme="minorEastAsia" w:hAnsiTheme="minorEastAsia" w:eastAsiaTheme="minorEastAsia" w:cstheme="minorEastAsia"/>
          <w:sz w:val="24"/>
          <w:szCs w:val="24"/>
          <w:highlight w:val="none"/>
        </w:rPr>
        <w:t>，该项目已具备招标条件。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1.3参加竞标的供应商必须符合供应商须知前附表说明，通过资格后审的供应商为合格的供应商。合格的供应商必须符合磋商文件中对供应商的规定，且具备独立完成本项目的能力，</w:t>
      </w:r>
      <w:r>
        <w:rPr>
          <w:rFonts w:hint="eastAsia" w:asciiTheme="minorEastAsia" w:hAnsiTheme="minorEastAsia" w:eastAsiaTheme="minorEastAsia" w:cstheme="minorEastAsia"/>
          <w:b/>
          <w:sz w:val="24"/>
          <w:szCs w:val="24"/>
          <w:highlight w:val="none"/>
        </w:rPr>
        <w:t>成交后不允许转包、违法分包</w:t>
      </w:r>
      <w:r>
        <w:rPr>
          <w:rFonts w:hint="eastAsia" w:asciiTheme="minorEastAsia" w:hAnsiTheme="minorEastAsia" w:eastAsiaTheme="minorEastAsia" w:cstheme="minorEastAsia"/>
          <w:sz w:val="24"/>
          <w:szCs w:val="24"/>
          <w:highlight w:val="none"/>
        </w:rPr>
        <w:t>。</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资格后审包括下列的内容</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供应商须满足“前附表”规定的资格要求 ；</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磋商响应文件有要求供应商法定代表人或其授权代表签字或盖章和加盖供应商公章要求的，供应商须按要求盖章或签字；</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1.4.3供货期、质保期符合磋商文件要求；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 磋商地点符合磋商文件规定；</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 磋商内容、质量满足磋商文件要求；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1.4.6 磋商响应文件中所提条件均符合采购人的要求；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 符合磋商文件中规定的其他实质性要求；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 无法律、法规和规章禁止的其他情况。</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（二）采购方式</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本项目采取</w:t>
      </w:r>
      <w:r>
        <w:rPr>
          <w:rFonts w:hint="eastAsia" w:asciiTheme="minorEastAsia" w:hAnsiTheme="minorEastAsia" w:eastAsiaTheme="minorEastAsia" w:cstheme="minorEastAsia"/>
          <w:sz w:val="24"/>
          <w:szCs w:val="24"/>
          <w:highlight w:val="none"/>
          <w:u w:val="single"/>
        </w:rPr>
        <w:t>竞争性磋商方式</w:t>
      </w:r>
      <w:r>
        <w:rPr>
          <w:rFonts w:hint="eastAsia" w:asciiTheme="minorEastAsia" w:hAnsiTheme="minorEastAsia" w:eastAsiaTheme="minorEastAsia" w:cstheme="minorEastAsia"/>
          <w:sz w:val="24"/>
          <w:szCs w:val="24"/>
          <w:highlight w:val="none"/>
        </w:rPr>
        <w:t>采购。</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（三）合格的供应商</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合格的供应商必须是有能力按照本竞争性磋商文件规定的要求提供货物、服务，且具有独立承担民事等法律责任的法人或其它经济组织，本次磋商不接受联合体投标。</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 供应商应按照磋商文件的要求编制磋商响应文件。磋商响应文件应当对磋商文件提出的要求和条件做出实质性响应。</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3.3已按规定交纳磋商保证金。</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3.4单位负责人为同一人或者存在直接控股、管理关系的不同供应商，不得参加同一合同项下的政府采购活动。</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 为采购项目提供整体设计、规范编制或者项目管理、监理、检测等服务的供应商，不得再参加本项目的采购活动。</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（四）适用法律</w:t>
      </w:r>
    </w:p>
    <w:p>
      <w:pPr>
        <w:pStyle w:val="17"/>
        <w:shd w:val="clear"/>
        <w:snapToGrid w:val="0"/>
        <w:spacing w:line="500" w:lineRule="exact"/>
        <w:ind w:left="0" w:leftChars="0" w:firstLine="240" w:firstLineChars="1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val="0"/>
          <w:szCs w:val="24"/>
          <w:highlight w:val="none"/>
          <w:u w:val="none"/>
        </w:rPr>
        <w:t>4.1</w:t>
      </w:r>
      <w:r>
        <w:rPr>
          <w:rFonts w:hint="eastAsia" w:asciiTheme="minorEastAsia" w:hAnsiTheme="minorEastAsia" w:eastAsiaTheme="minorEastAsia" w:cstheme="minorEastAsia"/>
          <w:szCs w:val="24"/>
          <w:highlight w:val="none"/>
          <w:u w:val="none"/>
        </w:rPr>
        <w:t xml:space="preserve"> </w:t>
      </w:r>
      <w:r>
        <w:rPr>
          <w:rFonts w:hint="eastAsia" w:asciiTheme="minorEastAsia" w:hAnsiTheme="minorEastAsia" w:eastAsiaTheme="minorEastAsia" w:cstheme="minorEastAsia"/>
          <w:szCs w:val="24"/>
          <w:highlight w:val="none"/>
        </w:rPr>
        <w:t>本次磋商及由本次磋商产生的合同受中华人民共和国的相关法律、法规制约和保护。</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（五）竞争性磋商费用</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 供应商应自行承担所有参加磋商有关的费用。</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（六）竞争性磋商文件的约束力</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供应商一旦报名参加本项目竞标，即被认为接受了本竞争性磋商文件中的所有条件和规定。</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5" w:name="_Toc31468"/>
      <w:r>
        <w:rPr>
          <w:rFonts w:hint="eastAsia" w:asciiTheme="minorEastAsia" w:hAnsiTheme="minorEastAsia" w:eastAsiaTheme="minorEastAsia" w:cstheme="minorEastAsia"/>
          <w:b/>
          <w:sz w:val="24"/>
          <w:szCs w:val="24"/>
          <w:highlight w:val="none"/>
        </w:rPr>
        <w:t>二、竞争性磋商文件</w:t>
      </w:r>
      <w:bookmarkEnd w:id="5"/>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（七）竞争性磋商文件构成</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7.1 竞争性磋商文件包括内容：</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7.1.1竞争性磋商公告；</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7.1.2供应商须知前附表及须知；</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7.1.3采购合同；</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7.1.4采购需求 ；</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7.1.5磋商响应文件格式。</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 供应商获取竞争性磋商文件后，应仔细检查竞争性磋商文件页数和附件数量，如发现有缺漏，请即时与采购代理机构联系补全。如果供应商不按上述要求操作而造成不良后果，采购人及采购代理机构不承担责任。</w:t>
      </w:r>
    </w:p>
    <w:p>
      <w:pPr>
        <w:shd w:val="clear"/>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（八）竞争性磋商文件的澄清</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 任何要求对竞争性磋商文件澄清的供应商，均应当在提交首次响应文件截止时间5日前按公告中的通讯地址，以书面形式（加盖公章）递交给采购代理机构，采购代理机构对规定时间内收到的澄清要求以书面形式予以答复，答复不包括问题的来源。</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（九）竞争性磋商文件的修改</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9.1 </w:t>
      </w:r>
      <w:r>
        <w:rPr>
          <w:rFonts w:hint="eastAsia" w:asciiTheme="minorEastAsia" w:hAnsiTheme="minorEastAsia" w:eastAsiaTheme="minorEastAsia" w:cstheme="minorEastAsia"/>
          <w:bCs/>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 竞争性磋商文件的修改将以书面形式通知所有已报名供应商，并对竞标供应商具有约束力。</w:t>
      </w:r>
      <w:r>
        <w:rPr>
          <w:rFonts w:hint="eastAsia" w:asciiTheme="minorEastAsia" w:hAnsiTheme="minorEastAsia" w:eastAsiaTheme="minorEastAsia" w:cstheme="minorEastAsia"/>
          <w:b/>
          <w:sz w:val="24"/>
          <w:szCs w:val="24"/>
          <w:highlight w:val="none"/>
          <w:u w:val="single"/>
        </w:rPr>
        <w:t>供应商收到修改文件后，应于1日内回复采购人，逾期不回的，视同已收。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9.3 为使供应商有充分的时间对竞争性磋商文件的修改部分进行分析、研究，采购人有权推迟磋商响应文件接收截止日期和磋商时间，并将此变更书面通知所有购买竞争性磋商文件的供应商。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9.4 采购人发出的所有补充、修改和变更文件均作为竞争性磋商文件的组成部分，与竞争性磋商文件具有同等法律效力。</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6" w:name="_Toc1863"/>
      <w:r>
        <w:rPr>
          <w:rFonts w:hint="eastAsia" w:asciiTheme="minorEastAsia" w:hAnsiTheme="minorEastAsia" w:eastAsiaTheme="minorEastAsia" w:cstheme="minorEastAsia"/>
          <w:b/>
          <w:sz w:val="24"/>
          <w:szCs w:val="24"/>
          <w:highlight w:val="none"/>
        </w:rPr>
        <w:t>三、磋商响应文件的编制</w:t>
      </w:r>
      <w:bookmarkEnd w:id="6"/>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（十）磋商响应文件的编制要求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 供应商应仔细阅读“竞争性磋商文件”的所有内容，按“竞争性磋商文件”的要求编制“磋商响应文件”，并保证所提供的全部资料的真实性、完整性及有效性，并对“竞争性磋商文件”做出实质性响应。否则，可能被拒绝。</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（十一）磋商响应文件构成</w:t>
      </w:r>
    </w:p>
    <w:p>
      <w:pPr>
        <w:shd w:val="clear"/>
        <w:spacing w:line="5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11.1</w:t>
      </w:r>
      <w:r>
        <w:rPr>
          <w:rFonts w:hint="eastAsia" w:asciiTheme="minorEastAsia" w:hAnsiTheme="minorEastAsia" w:eastAsiaTheme="minorEastAsia" w:cstheme="minorEastAsia"/>
          <w:sz w:val="24"/>
          <w:szCs w:val="24"/>
          <w:highlight w:val="none"/>
        </w:rPr>
        <w:t>磋商响应书</w:t>
      </w:r>
    </w:p>
    <w:p>
      <w:pPr>
        <w:shd w:val="clear"/>
        <w:spacing w:line="5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11.2开标一览表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11.3政策适用性说明（符合要求填写）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11.4供应商基本情况表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11.5法定代表人身份证明书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11.6法定代表人授权委托书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11.7关于《中华人民共和国政府采购法》第二十二条的承诺书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11.8</w:t>
      </w:r>
      <w:r>
        <w:rPr>
          <w:rFonts w:hint="eastAsia" w:ascii="宋体" w:hAnsi="宋体"/>
          <w:sz w:val="24"/>
          <w:szCs w:val="24"/>
          <w:highlight w:val="none"/>
        </w:rPr>
        <w:t>廉洁投标承诺书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11.9供应商的资格声明</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11.10供应商资格要求</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11.11采购需求响应偏离表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11.12供应商类似项目业绩表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11.13节能、环境标志产品优惠明细表(若有，请如实填写)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11.14节能、环境标志产品证明材料(若有，请如实填写)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11.15小微企业生产或销售的产品优惠明细表(若有，请如实填写)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11.16中小微企业声明函（符合本声明函填写）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11.17监狱企业声明函（符合本声明函填写）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11.18残疾人福利性单位声明函（符合本声明函填写）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11.19评审中所需资料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11.20供应商认为有必要提供的其他资料</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（十二）磋商响应文件格式</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供应商需按照上述磋商响应文件构成顺序编制磋商响应文件，并编制目录、页码，并按竞争性磋商文件中提供的格式填写、签署。措施文件未提供格式的，供应商可自行拓展。</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（十三）竞标报价</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本招标项目使用的货币为</w:t>
      </w:r>
      <w:r>
        <w:rPr>
          <w:rFonts w:hint="eastAsia" w:asciiTheme="minorEastAsia" w:hAnsiTheme="minorEastAsia" w:eastAsiaTheme="minorEastAsia" w:cstheme="minorEastAsia"/>
          <w:sz w:val="24"/>
          <w:szCs w:val="24"/>
          <w:highlight w:val="none"/>
          <w:u w:val="single"/>
        </w:rPr>
        <w:t xml:space="preserve"> 人民币 </w:t>
      </w:r>
      <w:r>
        <w:rPr>
          <w:rFonts w:hint="eastAsia" w:asciiTheme="minorEastAsia" w:hAnsiTheme="minorEastAsia" w:eastAsiaTheme="minorEastAsia" w:cstheme="minorEastAsia"/>
          <w:sz w:val="24"/>
          <w:szCs w:val="24"/>
          <w:highlight w:val="none"/>
        </w:rPr>
        <w:t xml:space="preserve">，实施时亦以 </w:t>
      </w:r>
      <w:r>
        <w:rPr>
          <w:rFonts w:hint="eastAsia" w:asciiTheme="minorEastAsia" w:hAnsiTheme="minorEastAsia" w:eastAsiaTheme="minorEastAsia" w:cstheme="minorEastAsia"/>
          <w:sz w:val="24"/>
          <w:szCs w:val="24"/>
          <w:highlight w:val="none"/>
          <w:u w:val="single"/>
        </w:rPr>
        <w:t xml:space="preserve">人民币 </w:t>
      </w:r>
      <w:r>
        <w:rPr>
          <w:rFonts w:hint="eastAsia" w:asciiTheme="minorEastAsia" w:hAnsiTheme="minorEastAsia" w:eastAsiaTheme="minorEastAsia" w:cstheme="minorEastAsia"/>
          <w:sz w:val="24"/>
          <w:szCs w:val="24"/>
          <w:highlight w:val="none"/>
        </w:rPr>
        <w:t>支付。</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竞标报价为供应商的报价应为所确定的招标范围内的全部工作内容的价格体现。任何有选择的报价将不予接受（除非采购人另有约定），否则，在评标时将其视为无效投标。</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 开标一览表（报价表）标明的价格在签订合同及合同执行过程中是固定不变的，不得以任何理由予以变更（除非采购人另有约定）。</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开标时，磋商响应文件中开标一览表（报价表）内容与磋商响应文件中分项报价表内容不一致的，以开标一览表（报价表）为准。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供应商拒不接受前述修正，将有可能导致投标无效。</w:t>
      </w:r>
    </w:p>
    <w:p>
      <w:pPr>
        <w:shd w:val="clear"/>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（十四）磋商保证金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磋商保证金是为了保护采购人和招标机构免遭因供应商的违规、违约行为而引起的风险，采购人/招标机构在受到损害时可根据本须知的有关规定没收供应商的磋商保证金。成交供应商如未能按磋商文件要求与采购人签署项目合同并提交履约担保的，视为成交供应商违约，则采购人有权提取成交供应商磋商保证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供应商应提交磋商保证金，并作为其竞标的一部分。磋商文件前附表规定交纳磋商保证金的，供应商应按磋商文件前附表规定的要求提交保证金，磋商保证金有效期应与磋商文件规定的磋商有效期一致。供应商未按照磋商文件要求提交磋商保证金的，政府采购代理机构应当拒绝接收供应商的磋商响应文件或磋商小组在评标时将其视为无效竞标。</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 磋商保证金不接受银行保函。凡未提交磋商保证金的投标，将被视为非实质性响应性投标而被拒绝。</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 联合体投标的，可以由联合体中的一方或者共同提交磋商保证金。以一方名义提交磋商保证金的，对联合体各方均具有约束力。</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 未成交供应商的磋商保证金，将在成交通知书发出5个工作日内退还。因违反规定被没收的磋商保证金不予退回。</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14.6 成交供应商的磋商保证金，须按磋商要求与采购人签订合同并缴纳履约担保，提供与采购签署的合同复印件（须加盖成交供应商公章）、及按磋商要求向采购人提交履约担保证明资料（加盖成交供应商公章），向招标机构付清政府采购代理服务费后5个工作日内予以退还。</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 下列任何情况发生时，磋商保证金将可能被没收：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14.7.1 供应商在规定的磋商有效期内撤回其投标；</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14.7.2 成交供应商无正当理由拒绝按规定与采购人签订合同或未能在规定期限内签署合同的或未按采购文件要求提交履约保证金的；</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 供应商办理磋商保证金退款申请手续须提供以下资料：</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14.8.1 供应商给代理机构开具的收款收据（收款单位开具并加盖收款单位财务章）；同时须提供清晰的开户银行名称、银行账号及收款单位名称。</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14.8.2 退还成交供应商方磋商保证金时，成交供应商方还须提供与采购人签订的合同原件一份（原件核查无误后退还）和已加盖成交方公章的合同全本复印件一份（代理机构存档备查）。</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（十五）磋商有效期</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 磋商有效期为竞争性磋商文件规定的供应商提交磋商响应文件截止之日起</w:t>
      </w:r>
      <w:r>
        <w:rPr>
          <w:rFonts w:hint="eastAsia" w:asciiTheme="minorEastAsia" w:hAnsiTheme="minorEastAsia" w:eastAsiaTheme="minorEastAsia" w:cstheme="minorEastAsia"/>
          <w:sz w:val="24"/>
          <w:szCs w:val="24"/>
          <w:highlight w:val="none"/>
          <w:u w:val="single"/>
        </w:rPr>
        <w:t>90</w:t>
      </w:r>
      <w:r>
        <w:rPr>
          <w:rFonts w:hint="eastAsia" w:asciiTheme="minorEastAsia" w:hAnsiTheme="minorEastAsia" w:eastAsiaTheme="minorEastAsia" w:cstheme="minorEastAsia"/>
          <w:sz w:val="24"/>
          <w:szCs w:val="24"/>
          <w:highlight w:val="none"/>
        </w:rPr>
        <w:t>天。磋商有效期不满足竞争性磋商文件要求的将视为非响应性文件而予以拒绝。</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 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磋商响应文件。第十四条有关磋商保证金的没收和退还的规定在延长期内继续有效。</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（十六）磋商响应文件份数</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 响应文件的组成（投标现场无需递交投标文件，中标单位公示完之后需提供）:</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纸质版投标文件：一式四份，其中正本一份，副本三份，需编制目录及页码，在每一份响应文件上要明确注明“正本”或“副本”字样，如正、副本之间有差异，以正本为准。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投标文件电子版：以u盘为介质投标文件的电子版一份。</w:t>
      </w:r>
    </w:p>
    <w:p>
      <w:pPr>
        <w:shd w:val="clear"/>
        <w:snapToGrid w:val="0"/>
        <w:spacing w:line="500" w:lineRule="exact"/>
        <w:ind w:firstLine="480" w:firstLineChars="200"/>
        <w:jc w:val="lef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b/>
          <w:sz w:val="24"/>
          <w:szCs w:val="24"/>
          <w:highlight w:val="none"/>
        </w:rPr>
        <w:t>说明：上传证件、证书等资料须是原件的扫描件，供应商应如实提供资料，并保证真实可靠，不得弄虚作假。如供应商隐瞒事实真相、弄虚作假，一经查实，取消该供应商的磋商资格，若成交的，取消其成交资格。</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（十七）磋商响应文件格式</w:t>
      </w:r>
    </w:p>
    <w:p>
      <w:pPr>
        <w:shd w:val="clear"/>
        <w:snapToGrid w:val="0"/>
        <w:spacing w:line="500" w:lineRule="exact"/>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17.1 供应商应按磋商文件提供的格式编写。</w:t>
      </w:r>
    </w:p>
    <w:p>
      <w:pPr>
        <w:shd w:val="clear"/>
        <w:snapToGrid w:val="0"/>
        <w:spacing w:line="500" w:lineRule="exact"/>
        <w:ind w:firstLine="482" w:firstLineChars="200"/>
        <w:rPr>
          <w:rFonts w:asciiTheme="minorEastAsia" w:hAnsiTheme="minorEastAsia" w:eastAsiaTheme="minorEastAsia" w:cstheme="minorEastAsia"/>
          <w:b/>
          <w:sz w:val="24"/>
          <w:szCs w:val="24"/>
          <w:highlight w:val="none"/>
        </w:rPr>
      </w:pP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7" w:name="_Toc10581"/>
      <w:r>
        <w:rPr>
          <w:rFonts w:hint="eastAsia" w:asciiTheme="minorEastAsia" w:hAnsiTheme="minorEastAsia" w:eastAsiaTheme="minorEastAsia" w:cstheme="minorEastAsia"/>
          <w:b/>
          <w:sz w:val="24"/>
          <w:szCs w:val="24"/>
          <w:highlight w:val="none"/>
        </w:rPr>
        <w:t>四、磋商响应文件的递交</w:t>
      </w:r>
      <w:bookmarkEnd w:id="7"/>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（十八）磋商响应文件递交截止日期及方式</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 所有磋商响应文件都必须在竞争性磋商文件规定的递交截止时间前上传政采云平台。</w:t>
      </w:r>
    </w:p>
    <w:p>
      <w:pPr>
        <w:shd w:val="clear"/>
        <w:snapToGrid w:val="0"/>
        <w:spacing w:line="500" w:lineRule="exact"/>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18.2 采购代理机构将在竞争性磋商文件规定的时间和地点组织磋商会议</w:t>
      </w:r>
      <w:r>
        <w:rPr>
          <w:rFonts w:hint="eastAsia" w:asciiTheme="minorEastAsia" w:hAnsiTheme="minorEastAsia" w:eastAsiaTheme="minorEastAsia" w:cstheme="minorEastAsia"/>
          <w:b/>
          <w:sz w:val="24"/>
          <w:szCs w:val="24"/>
          <w:highlight w:val="none"/>
        </w:rPr>
        <w:t>。</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（十九）迟交的磋商响应文件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 采购人将拒绝接收在规定的截止日期后递交的任何磋商响应文件。</w:t>
      </w:r>
      <w:bookmarkStart w:id="8" w:name="_Toc213839733"/>
    </w:p>
    <w:p>
      <w:pPr>
        <w:shd w:val="clear"/>
        <w:snapToGrid w:val="0"/>
        <w:spacing w:line="50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（二十）磋商响应文件的修改</w:t>
      </w:r>
      <w:bookmarkEnd w:id="8"/>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20.1 供应商在递交磋商响应文件截止时间之前，对所递交的磋商响应文件可以以书面形式补充、修改或撤回已提交的磋商响应文件，补充、修改的内容为磋商响应文件的组成部分，对供应商具有约束力。</w:t>
      </w:r>
      <w:bookmarkStart w:id="9" w:name="_Toc213839734"/>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20.2供应商对磋商响应文件的补充、修改或撤回，应按本磋商文件的规定编制、标识和提交。</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10" w:name="_Toc14072"/>
      <w:r>
        <w:rPr>
          <w:rFonts w:hint="eastAsia" w:asciiTheme="minorEastAsia" w:hAnsiTheme="minorEastAsia" w:eastAsiaTheme="minorEastAsia" w:cstheme="minorEastAsia"/>
          <w:b/>
          <w:sz w:val="24"/>
          <w:szCs w:val="24"/>
          <w:highlight w:val="none"/>
        </w:rPr>
        <w:t>五、无效标、废标条款</w:t>
      </w:r>
      <w:bookmarkEnd w:id="10"/>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（二十一）无效竞标条款</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1" w:name="_Toc520282245"/>
      <w:r>
        <w:rPr>
          <w:rFonts w:hint="eastAsia" w:asciiTheme="minorEastAsia" w:hAnsiTheme="minorEastAsia" w:eastAsiaTheme="minorEastAsia" w:cstheme="minorEastAsia"/>
          <w:sz w:val="24"/>
          <w:szCs w:val="24"/>
          <w:highlight w:val="none"/>
        </w:rPr>
        <w:t>21.1</w:t>
      </w:r>
      <w:r>
        <w:rPr>
          <w:rFonts w:hint="eastAsia" w:asciiTheme="minorEastAsia" w:hAnsiTheme="minorEastAsia" w:eastAsiaTheme="minorEastAsia" w:cstheme="minorEastAsia"/>
          <w:sz w:val="24"/>
          <w:szCs w:val="24"/>
          <w:highlight w:val="none"/>
          <w:lang w:val="zh-CN"/>
        </w:rPr>
        <w:t>未按竞争性磋商文件规定的形式和金额交纳磋商保证金的；</w:t>
      </w:r>
      <w:bookmarkEnd w:id="11"/>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2" w:name="_Toc520282246"/>
      <w:r>
        <w:rPr>
          <w:rFonts w:hint="eastAsia" w:asciiTheme="minorEastAsia" w:hAnsiTheme="minorEastAsia" w:eastAsiaTheme="minorEastAsia" w:cstheme="minorEastAsia"/>
          <w:sz w:val="24"/>
          <w:szCs w:val="24"/>
          <w:highlight w:val="none"/>
        </w:rPr>
        <w:t>21.2</w:t>
      </w:r>
      <w:r>
        <w:rPr>
          <w:rFonts w:hint="eastAsia" w:asciiTheme="minorEastAsia" w:hAnsiTheme="minorEastAsia" w:eastAsiaTheme="minorEastAsia" w:cstheme="minorEastAsia"/>
          <w:sz w:val="24"/>
          <w:szCs w:val="24"/>
          <w:highlight w:val="none"/>
          <w:lang w:val="zh-CN"/>
        </w:rPr>
        <w:t>未按照竞争性磋商文件规定要求签署、盖章的；</w:t>
      </w:r>
      <w:bookmarkEnd w:id="12"/>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bookmarkStart w:id="13" w:name="_Toc520282247"/>
      <w:r>
        <w:rPr>
          <w:rFonts w:hint="eastAsia" w:asciiTheme="minorEastAsia" w:hAnsiTheme="minorEastAsia" w:eastAsiaTheme="minorEastAsia" w:cstheme="minorEastAsia"/>
          <w:sz w:val="24"/>
          <w:szCs w:val="24"/>
          <w:highlight w:val="none"/>
        </w:rPr>
        <w:t>21.3</w:t>
      </w:r>
      <w:r>
        <w:rPr>
          <w:rFonts w:hint="eastAsia" w:asciiTheme="minorEastAsia" w:hAnsiTheme="minorEastAsia" w:eastAsiaTheme="minorEastAsia" w:cstheme="minorEastAsia"/>
          <w:sz w:val="24"/>
          <w:szCs w:val="24"/>
          <w:highlight w:val="none"/>
          <w:lang w:val="zh-CN"/>
        </w:rPr>
        <w:t>未满足</w:t>
      </w:r>
      <w:r>
        <w:rPr>
          <w:rFonts w:hint="eastAsia" w:asciiTheme="minorEastAsia" w:hAnsiTheme="minorEastAsia" w:eastAsiaTheme="minorEastAsia" w:cstheme="minorEastAsia"/>
          <w:sz w:val="24"/>
          <w:szCs w:val="24"/>
          <w:highlight w:val="none"/>
        </w:rPr>
        <w:t>竞争性磋商文件规定资格要求的；</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21.4未满足“投标须知”规定的实质性要求的；</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21.5同一供应商提交两个以上不同的磋商响应文件或者竞标报价的（竞争性磋商文件要求允许提交备选方案的除外）；</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21.6磋商响应文件载明的磋商响应内容小于竞争性磋商文件规定的采购内容的(缺漏竞争性磋商文件所要求的内容)；</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21.7磋商有效期</w:t>
      </w:r>
      <w:r>
        <w:rPr>
          <w:rFonts w:hint="eastAsia" w:asciiTheme="minorEastAsia" w:hAnsiTheme="minorEastAsia" w:eastAsiaTheme="minorEastAsia" w:cstheme="minorEastAsia"/>
          <w:sz w:val="24"/>
          <w:szCs w:val="24"/>
          <w:highlight w:val="none"/>
          <w:lang w:val="zh-CN"/>
        </w:rPr>
        <w:t>不满足要求</w:t>
      </w:r>
      <w:r>
        <w:rPr>
          <w:rFonts w:hint="eastAsia" w:asciiTheme="minorEastAsia" w:hAnsiTheme="minorEastAsia" w:eastAsiaTheme="minorEastAsia" w:cstheme="minorEastAsia"/>
          <w:sz w:val="24"/>
          <w:szCs w:val="24"/>
          <w:highlight w:val="none"/>
        </w:rPr>
        <w:t>的；</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21.8</w:t>
      </w:r>
      <w:r>
        <w:rPr>
          <w:rFonts w:hint="eastAsia" w:asciiTheme="minorEastAsia" w:hAnsiTheme="minorEastAsia" w:eastAsiaTheme="minorEastAsia" w:cstheme="minorEastAsia"/>
          <w:sz w:val="24"/>
          <w:szCs w:val="24"/>
          <w:highlight w:val="none"/>
          <w:lang w:val="zh-CN"/>
        </w:rPr>
        <w:t>未满足竞争性磋商文件中商务及技术条款的实质性要求；</w:t>
      </w:r>
      <w:bookmarkEnd w:id="13"/>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4" w:name="_Toc520282248"/>
      <w:r>
        <w:rPr>
          <w:rFonts w:hint="eastAsia" w:asciiTheme="minorEastAsia" w:hAnsiTheme="minorEastAsia" w:eastAsiaTheme="minorEastAsia" w:cstheme="minorEastAsia"/>
          <w:sz w:val="24"/>
          <w:szCs w:val="24"/>
          <w:highlight w:val="none"/>
        </w:rPr>
        <w:t>21.9</w:t>
      </w:r>
      <w:r>
        <w:rPr>
          <w:rFonts w:hint="eastAsia" w:asciiTheme="minorEastAsia" w:hAnsiTheme="minorEastAsia" w:eastAsiaTheme="minorEastAsia" w:cstheme="minorEastAsia"/>
          <w:sz w:val="24"/>
          <w:szCs w:val="24"/>
          <w:highlight w:val="none"/>
          <w:lang w:val="zh-CN"/>
        </w:rPr>
        <w:t>与其他供应商串通投标，或者与采购人串通投标妨碍其他供应商竞争行为，损害采购人或者其他供应商合法权益的；</w:t>
      </w:r>
      <w:bookmarkEnd w:id="14"/>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5" w:name="_Toc520282249"/>
      <w:r>
        <w:rPr>
          <w:rFonts w:hint="eastAsia" w:asciiTheme="minorEastAsia" w:hAnsiTheme="minorEastAsia" w:eastAsiaTheme="minorEastAsia" w:cstheme="minorEastAsia"/>
          <w:sz w:val="24"/>
          <w:szCs w:val="24"/>
          <w:highlight w:val="none"/>
        </w:rPr>
        <w:t>21.10</w:t>
      </w:r>
      <w:r>
        <w:rPr>
          <w:rFonts w:hint="eastAsia" w:asciiTheme="minorEastAsia" w:hAnsiTheme="minorEastAsia" w:eastAsiaTheme="minorEastAsia" w:cstheme="minorEastAsia"/>
          <w:sz w:val="24"/>
          <w:szCs w:val="24"/>
          <w:highlight w:val="none"/>
          <w:lang w:val="zh-CN"/>
        </w:rPr>
        <w:t>属于竞争性磋商文件规定的其他无效投标情形；</w:t>
      </w:r>
      <w:bookmarkEnd w:id="15"/>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6" w:name="_Toc520282250"/>
      <w:r>
        <w:rPr>
          <w:rFonts w:hint="eastAsia" w:asciiTheme="minorEastAsia" w:hAnsiTheme="minorEastAsia" w:eastAsiaTheme="minorEastAsia" w:cstheme="minorEastAsia"/>
          <w:sz w:val="24"/>
          <w:szCs w:val="24"/>
          <w:highlight w:val="none"/>
        </w:rPr>
        <w:t>21.11</w:t>
      </w:r>
      <w:r>
        <w:rPr>
          <w:rFonts w:hint="eastAsia" w:asciiTheme="minorEastAsia" w:hAnsiTheme="minorEastAsia" w:eastAsiaTheme="minorEastAsia" w:cstheme="minorEastAsia"/>
          <w:sz w:val="24"/>
          <w:szCs w:val="24"/>
          <w:highlight w:val="none"/>
          <w:lang w:val="zh-CN"/>
        </w:rPr>
        <w:t>评标委员会认为供应商的价格明显低于其他通过符合性检查供应商的按价格，有可能影响履约的，且供应商未按照规定证明其报价合理性的；</w:t>
      </w:r>
      <w:bookmarkEnd w:id="16"/>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7" w:name="_Toc520282251"/>
      <w:r>
        <w:rPr>
          <w:rFonts w:hint="eastAsia" w:asciiTheme="minorEastAsia" w:hAnsiTheme="minorEastAsia" w:eastAsiaTheme="minorEastAsia" w:cstheme="minorEastAsia"/>
          <w:sz w:val="24"/>
          <w:szCs w:val="24"/>
          <w:highlight w:val="none"/>
        </w:rPr>
        <w:t>21.12</w:t>
      </w:r>
      <w:r>
        <w:rPr>
          <w:rFonts w:hint="eastAsia" w:asciiTheme="minorEastAsia" w:hAnsiTheme="minorEastAsia" w:eastAsiaTheme="minorEastAsia" w:cstheme="minorEastAsia"/>
          <w:sz w:val="24"/>
          <w:szCs w:val="24"/>
          <w:highlight w:val="none"/>
          <w:lang w:val="zh-CN"/>
        </w:rPr>
        <w:t>磋商响应文件含有采购人不能接受的附加条件的；</w:t>
      </w:r>
      <w:bookmarkEnd w:id="17"/>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bookmarkStart w:id="18" w:name="_Toc520282252"/>
      <w:r>
        <w:rPr>
          <w:rFonts w:hint="eastAsia" w:asciiTheme="minorEastAsia" w:hAnsiTheme="minorEastAsia" w:eastAsiaTheme="minorEastAsia" w:cstheme="minorEastAsia"/>
          <w:sz w:val="24"/>
          <w:szCs w:val="24"/>
          <w:highlight w:val="none"/>
        </w:rPr>
        <w:t>21.13</w:t>
      </w:r>
      <w:r>
        <w:rPr>
          <w:rFonts w:hint="eastAsia" w:asciiTheme="minorEastAsia" w:hAnsiTheme="minorEastAsia" w:eastAsiaTheme="minorEastAsia" w:cstheme="minorEastAsia"/>
          <w:sz w:val="24"/>
          <w:szCs w:val="24"/>
          <w:highlight w:val="none"/>
          <w:lang w:val="zh-CN"/>
        </w:rPr>
        <w:t>不符合法规和竞争性磋商文件中规定的其他实质性要求的。</w:t>
      </w:r>
      <w:bookmarkEnd w:id="18"/>
    </w:p>
    <w:p>
      <w:pPr>
        <w:shd w:val="clear"/>
        <w:snapToGrid w:val="0"/>
        <w:spacing w:line="50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（二十二）废标条款</w:t>
      </w:r>
    </w:p>
    <w:p>
      <w:pPr>
        <w:shd w:val="clear"/>
        <w:snapToGrid w:val="0"/>
        <w:spacing w:line="500" w:lineRule="exact"/>
        <w:ind w:firstLine="480" w:firstLineChars="200"/>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22.1 开标后，符合专业条件的供应商或者对竞争性磋商文件作实质响应的供应商不足三家的；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 出现影响采购公正的违法、违规行为的；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 供应商的报价均超过了采购预算，采购人不能支付的；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 因重大变故，采购任务取消的。</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（二十三）参与供应商不得少于三家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 根据《政府采购竞争性磋商采购方式管理暂行办法》的规定，参与项目的供应商不得少于三家。</w:t>
      </w:r>
    </w:p>
    <w:p>
      <w:pPr>
        <w:shd w:val="clear"/>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（二十四）取消成交候选人资格条款</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 提供虚假材料谋取成交的；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24.2 采取不正当手段诋毁、排挤其他供应商的；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24.3 与采购人、其他供应商或者采购代理机构恶意串通的；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24.4 向采购人、采购代理机构行贿或者提供其他不正当利益的；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24.5 在规定的时间内未按磋商要求与采购人签订采购合同或未按采购文件要求提交履约担保的；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24.6 法律、法规规定的其他情况。</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19" w:name="_Toc5909"/>
      <w:r>
        <w:rPr>
          <w:rFonts w:hint="eastAsia" w:asciiTheme="minorEastAsia" w:hAnsiTheme="minorEastAsia" w:eastAsiaTheme="minorEastAsia" w:cstheme="minorEastAsia"/>
          <w:b/>
          <w:sz w:val="24"/>
          <w:szCs w:val="24"/>
          <w:highlight w:val="none"/>
        </w:rPr>
        <w:t>六、磋商程序及最终报价</w:t>
      </w:r>
      <w:bookmarkEnd w:id="9"/>
      <w:bookmarkEnd w:id="19"/>
    </w:p>
    <w:p>
      <w:pPr>
        <w:shd w:val="clear"/>
        <w:snapToGrid w:val="0"/>
        <w:spacing w:line="500" w:lineRule="exact"/>
        <w:ind w:firstLine="472" w:firstLineChars="196"/>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（二十五）磋商原则</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评、定标依据《中华人民共和国政府采购法》、《政府采购竞争性磋商采购方式管理暂行办法》等相关规定，遵循公开、公平、公正、竞争的原则。</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25.1 严格执行《中华人民共和国政府采购法》及自治区有关法规、政策、维护采购人、供应商的合法权益，选择对采购人最为有利的供应商或候选供应商。</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25.2 磋商小组所有成员应当集中与单一供应商分别进行磋商，并给予所有参加磋商的供应商平等的磋商机会。不应谈及与供应商所提供的服务质量、技术、价格等无关的话题。</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25.4 坚持价格合理、综合评优的原则，不以最低报价作为中标唯一标准。</w:t>
      </w:r>
    </w:p>
    <w:p>
      <w:pPr>
        <w:shd w:val="clear"/>
        <w:adjustRightInd w:val="0"/>
        <w:snapToGrid w:val="0"/>
        <w:spacing w:line="50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（二十六）</w:t>
      </w:r>
      <w:r>
        <w:rPr>
          <w:rFonts w:hint="eastAsia" w:asciiTheme="minorEastAsia" w:hAnsiTheme="minorEastAsia" w:eastAsiaTheme="minorEastAsia" w:cstheme="minorEastAsia"/>
          <w:b/>
          <w:sz w:val="24"/>
          <w:szCs w:val="24"/>
          <w:highlight w:val="none"/>
        </w:rPr>
        <w:t>磋商小组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26.1 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26.2 磋商小组在监督部门的监督下独立完成磋商工作，负责对磋商响应文件进行审查、质询、评审、推选成交候选供应商。</w:t>
      </w:r>
    </w:p>
    <w:p>
      <w:pPr>
        <w:shd w:val="clear"/>
        <w:tabs>
          <w:tab w:val="left" w:pos="5744"/>
        </w:tabs>
        <w:snapToGrid w:val="0"/>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（二十七）磋商程序</w:t>
      </w:r>
      <w:r>
        <w:rPr>
          <w:rFonts w:hint="eastAsia" w:asciiTheme="minorEastAsia" w:hAnsiTheme="minorEastAsia" w:eastAsiaTheme="minorEastAsia" w:cstheme="minorEastAsia"/>
          <w:b/>
          <w:bCs/>
          <w:sz w:val="24"/>
          <w:szCs w:val="24"/>
          <w:highlight w:val="none"/>
        </w:rPr>
        <w:tab/>
      </w:r>
    </w:p>
    <w:p>
      <w:pPr>
        <w:widowControl/>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 代理机构按竞争性磋商文件规定的时间、地点组织开标、磋商。采购单位代表及有关工作人员参加，政府采购监管部门视情况参与。</w:t>
      </w:r>
    </w:p>
    <w:p>
      <w:pPr>
        <w:widowControl/>
        <w:shd w:val="clear"/>
        <w:snapToGrid w:val="0"/>
        <w:spacing w:line="500" w:lineRule="exact"/>
        <w:ind w:firstLine="480" w:firstLineChars="200"/>
        <w:rPr>
          <w:rFonts w:asciiTheme="minorEastAsia" w:hAnsiTheme="minorEastAsia" w:eastAsiaTheme="minorEastAsia" w:cstheme="minorEastAsia"/>
          <w:b/>
          <w:sz w:val="24"/>
          <w:szCs w:val="24"/>
          <w:highlight w:val="none"/>
          <w:u w:val="single"/>
        </w:rPr>
      </w:pPr>
      <w:r>
        <w:rPr>
          <w:rFonts w:hint="eastAsia" w:asciiTheme="minorEastAsia" w:hAnsiTheme="minorEastAsia" w:eastAsiaTheme="minorEastAsia" w:cstheme="minorEastAsia"/>
          <w:sz w:val="24"/>
          <w:szCs w:val="24"/>
          <w:highlight w:val="none"/>
        </w:rPr>
        <w:t>27.2 招标会将于供应商须知前附表规定的时间和地点召开，邀请供应商参加。磋商小组成员不得参加开标活动。</w:t>
      </w:r>
      <w:r>
        <w:rPr>
          <w:rFonts w:hint="eastAsia" w:asciiTheme="minorEastAsia" w:hAnsiTheme="minorEastAsia" w:eastAsiaTheme="minorEastAsia" w:cstheme="minorEastAsia"/>
          <w:b/>
          <w:sz w:val="24"/>
          <w:szCs w:val="24"/>
          <w:highlight w:val="none"/>
        </w:rPr>
        <w:t>在开标截止时间前不得解密磋商响应文件。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27.3 开标会议由代理机构主持。合格供应商不足3家的，不得评标。对检查未通过的，采购人将拒绝并原封退回其磋商响应文件。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27.4. 在本项目竞争性磋商文件规定的查询时间之外，网站信息发生的任何变更均不作为资格审查依据。</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27.5 供应商代表对开标过程和开标记录有疑义，以及认为采购人、采购代理机构相关工作人员有需要回避的情形的，应当场提出询问或者回避申请。供应商未参加开标的，视同认可开标结果。</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27.6 磋商会议由磋商小组组长主持。磋商小组首先对各磋商响应文件进行初步审查，初步审查包括资格性审查和符合性审查，未通过审查的为无效标。</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⑴资格性检查：磋商小组将根据法律法规和竞争性磋商文件的规定，对磋商响应文件的资格证明文件、磋商保证金等进行审查，以确定供应商是否具备竞争性磋商资格。</w:t>
      </w:r>
    </w:p>
    <w:p>
      <w:pPr>
        <w:widowControl/>
        <w:shd w:val="clear"/>
        <w:tabs>
          <w:tab w:val="left" w:pos="54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数量、服务期等和服务明显不能满足竞争性磋商文件要求。</w:t>
      </w:r>
      <w:r>
        <w:rPr>
          <w:rFonts w:hint="eastAsia" w:asciiTheme="minorEastAsia" w:hAnsiTheme="minorEastAsia" w:eastAsiaTheme="minorEastAsia" w:cstheme="minorEastAsia"/>
          <w:sz w:val="24"/>
          <w:szCs w:val="24"/>
          <w:highlight w:val="none"/>
          <w:u w:val="single"/>
        </w:rPr>
        <w:t>磋商小组成员对需要共同认定的事项存在争议的，应当按照少数服从多数的原则作出结论。持不同意见的磋商小组成员应当在评标报告上签署不同意见及理由，否则视为同意评标报告。</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27.7 磋商小组判断“磋商响应文件”的响应性，仅基于“磋商响应文件”本身而不靠外部证据。对非实质性响应的磋商响应文件，供应商不能通过修正或撤销不符之处，而使其成为实质性响应。</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27.8 磋商小组根据竞争性磋商文件要求，讨论、通过磋商工作流程和磋商要点。</w:t>
      </w:r>
    </w:p>
    <w:p>
      <w:pPr>
        <w:pStyle w:val="15"/>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27.9 采购人按照供应商签到时间顺序通知有效供应商磋商。</w:t>
      </w:r>
    </w:p>
    <w:p>
      <w:pPr>
        <w:pStyle w:val="15"/>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参与二次及多次报价及服务承诺的人员须是供应商法定代表人或其授权代表人。供应商未及时参与磋商或多次报价的，视为自动放弃参与磋商的资格。</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27.10</w:t>
      </w:r>
      <w:r>
        <w:rPr>
          <w:rFonts w:hint="eastAsia" w:asciiTheme="minorEastAsia" w:hAnsiTheme="minorEastAsia" w:eastAsiaTheme="minorEastAsia" w:cstheme="minorEastAsia"/>
          <w:b/>
          <w:bCs/>
          <w:sz w:val="24"/>
          <w:szCs w:val="24"/>
          <w:highlight w:val="none"/>
        </w:rPr>
        <w:t>第一轮磋商：</w:t>
      </w:r>
      <w:r>
        <w:rPr>
          <w:rFonts w:hint="eastAsia" w:asciiTheme="minorEastAsia" w:hAnsiTheme="minorEastAsia" w:eastAsiaTheme="minorEastAsia" w:cstheme="minorEastAsia"/>
          <w:sz w:val="24"/>
          <w:szCs w:val="24"/>
          <w:highlight w:val="none"/>
        </w:rPr>
        <w:t>磋商小组所有成员集中按已确定的磋商顺序，与单一供应商分别就符合采购需求、质量、服务等进行磋商，并了解其报价组成情况。</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27.11</w:t>
      </w:r>
      <w:r>
        <w:rPr>
          <w:rFonts w:hint="eastAsia" w:asciiTheme="minorEastAsia" w:hAnsiTheme="minorEastAsia" w:eastAsiaTheme="minorEastAsia" w:cstheme="minorEastAsia"/>
          <w:b/>
          <w:bCs/>
          <w:sz w:val="24"/>
          <w:szCs w:val="24"/>
          <w:highlight w:val="none"/>
        </w:rPr>
        <w:t>磋商文件修正：</w:t>
      </w:r>
      <w:r>
        <w:rPr>
          <w:rFonts w:hint="eastAsia" w:asciiTheme="minorEastAsia" w:hAnsiTheme="minorEastAsia" w:eastAsiaTheme="minorEastAsia" w:cstheme="minorEastAsia"/>
          <w:sz w:val="24"/>
          <w:szCs w:val="24"/>
          <w:highlight w:val="none"/>
        </w:rPr>
        <w:t>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根据磋商情况和磋商文件修改书面通知，对原磋商响应文件进行修正，并在规定时间内将修正文件由供应商或其授权委托人签字或盖章后上传至系统。逾时未交的，视同放弃磋商。修正文件与磋商响应文件同具法律效力。</w:t>
      </w:r>
    </w:p>
    <w:p>
      <w:pPr>
        <w:pStyle w:val="15"/>
        <w:shd w:val="clear"/>
        <w:tabs>
          <w:tab w:val="left" w:pos="1260"/>
        </w:tabs>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27.12第二轮磋商：</w:t>
      </w:r>
      <w:r>
        <w:rPr>
          <w:rFonts w:hint="eastAsia" w:asciiTheme="minorEastAsia" w:hAnsiTheme="minorEastAsia" w:eastAsiaTheme="minorEastAsia" w:cstheme="minorEastAsia"/>
          <w:sz w:val="24"/>
          <w:szCs w:val="24"/>
          <w:highlight w:val="none"/>
        </w:rPr>
        <w:t>磋商小组就修正后的磋商响应文件与磋商响应供应商分别进行磋商。如未实质性提高采购需求中的技术、服务要求以及合同草案条款情况下，供应商第二轮磋商总报价及分项报价均不得超过第一轮报价，否则其本次报价无效并以其前一轮的报价为有效报价。</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第二轮磋商后磋商小组未能确定成交候选人的，按27.11磋商文件修正的要求，对磋商文件修正后进行第三轮磋商。</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27.13</w:t>
      </w:r>
      <w:r>
        <w:rPr>
          <w:rFonts w:hint="eastAsia" w:asciiTheme="minorEastAsia" w:hAnsiTheme="minorEastAsia" w:eastAsiaTheme="minorEastAsia" w:cstheme="minorEastAsia"/>
          <w:b/>
          <w:bCs/>
          <w:sz w:val="24"/>
          <w:szCs w:val="24"/>
          <w:highlight w:val="none"/>
        </w:rPr>
        <w:t>最终报价：</w:t>
      </w:r>
      <w:r>
        <w:rPr>
          <w:rFonts w:hint="eastAsia" w:asciiTheme="minorEastAsia" w:hAnsiTheme="minorEastAsia" w:eastAsiaTheme="minorEastAsia" w:cstheme="minorEastAsia"/>
          <w:sz w:val="24"/>
          <w:szCs w:val="24"/>
          <w:highlight w:val="none"/>
        </w:rPr>
        <w:t>最终的磋商结束后，所有磋商响应供应商作最终报价，在规定时间内递交磋商小组，最终报价是供应商磋商响应文件的有效组成部分。由磋商小组采用综合评分法对提交最后报价的供应商的响应文件和最后报价进行综合评分。</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27.14磋商文件能够详细列明采购标的的技术、服务要求的，磋商结束后，磋商小组应当要求所有实质性响应的供应商在规定时间内提交最后报价，提交最后报价的供应商不得少于3家。</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pPr>
        <w:pStyle w:val="15"/>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27.15已提交响应文件的供应商，在提交最后报价之前，可以根据磋商情况退出磋商。采购人、采购代理机构应当退还退出磋商的供应商的磋商保证金。   </w:t>
      </w:r>
    </w:p>
    <w:p>
      <w:pPr>
        <w:shd w:val="clear"/>
        <w:snapToGrid w:val="0"/>
        <w:spacing w:line="500" w:lineRule="exact"/>
        <w:ind w:firstLine="472" w:firstLineChars="197"/>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27.16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hd w:val="clear"/>
        <w:snapToGrid w:val="0"/>
        <w:spacing w:line="500" w:lineRule="exact"/>
        <w:ind w:firstLine="472" w:firstLineChars="197"/>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27.17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pStyle w:val="15"/>
        <w:shd w:val="clear"/>
        <w:snapToGrid w:val="0"/>
        <w:spacing w:line="500" w:lineRule="exact"/>
        <w:ind w:firstLine="354" w:firstLineChars="147"/>
        <w:rPr>
          <w:rFonts w:asciiTheme="minorEastAsia" w:hAnsiTheme="minorEastAsia" w:eastAsiaTheme="minorEastAsia" w:cstheme="minorEastAsia"/>
          <w:b/>
          <w:sz w:val="24"/>
          <w:szCs w:val="24"/>
          <w:highlight w:val="none"/>
        </w:rPr>
      </w:pPr>
      <w:bookmarkStart w:id="20" w:name="_Toc213839741"/>
      <w:r>
        <w:rPr>
          <w:rFonts w:hint="eastAsia" w:asciiTheme="minorEastAsia" w:hAnsiTheme="minorEastAsia" w:eastAsiaTheme="minorEastAsia" w:cstheme="minorEastAsia"/>
          <w:b/>
          <w:sz w:val="24"/>
          <w:szCs w:val="24"/>
          <w:highlight w:val="none"/>
        </w:rPr>
        <w:t>（二十八）最终报价</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28.1 磋商结束后，磋商小组将要求所有有效供应商在规定时间内提交最终报价及服务承诺。</w:t>
      </w:r>
    </w:p>
    <w:p>
      <w:pPr>
        <w:shd w:val="clear"/>
        <w:snapToGrid w:val="0"/>
        <w:spacing w:line="500" w:lineRule="exact"/>
        <w:ind w:firstLine="354" w:firstLineChars="147"/>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（二十九）确定成交候选供应商</w:t>
      </w:r>
    </w:p>
    <w:p>
      <w:pPr>
        <w:shd w:val="clear"/>
        <w:snapToGrid w:val="0"/>
        <w:spacing w:line="500" w:lineRule="exact"/>
        <w:ind w:firstLine="472" w:firstLineChars="197"/>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29.1 经磋商确定最终采购需求和提交最后报价的供应商后，由磋商小组采用综合评分法对提交最后报价的供应商的磋商响应文件和最后报价进行综合评分。</w:t>
      </w:r>
    </w:p>
    <w:p>
      <w:pPr>
        <w:shd w:val="clear"/>
        <w:snapToGrid w:val="0"/>
        <w:spacing w:line="500" w:lineRule="exact"/>
        <w:ind w:firstLine="472" w:firstLineChars="197"/>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shd w:val="clear"/>
        <w:snapToGrid w:val="0"/>
        <w:spacing w:line="50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（三十）磋商过程</w:t>
      </w:r>
      <w:bookmarkEnd w:id="20"/>
      <w:r>
        <w:rPr>
          <w:rFonts w:hint="eastAsia" w:asciiTheme="minorEastAsia" w:hAnsiTheme="minorEastAsia" w:eastAsiaTheme="minorEastAsia" w:cstheme="minorEastAsia"/>
          <w:b/>
          <w:sz w:val="24"/>
          <w:szCs w:val="24"/>
          <w:highlight w:val="none"/>
        </w:rPr>
        <w:t>保密</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30.1 在宣布成交结果之前，凡属于审查、澄清、评价、比较竞争性磋商文件等有关信息，相关当事人均不得泄露给任何磋商供应商或与磋商工作无关的人员。</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30.2 供应商不得探听上述信息，不得以任何行为影响磋商过程，否则其磋商响应文件将被作为无效磋商响应文件。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30.3 在磋商期间，代理机构有专门工作人员与供应商进行联络。</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30.4 采购人和磋商小组不向未成交的供应商解释未成交原因，也不对磋商过程中的细节问题进行公布。</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bookmarkStart w:id="21" w:name="_Toc28256"/>
      <w:r>
        <w:rPr>
          <w:rFonts w:hint="eastAsia" w:asciiTheme="minorEastAsia" w:hAnsiTheme="minorEastAsia" w:eastAsiaTheme="minorEastAsia" w:cstheme="minorEastAsia"/>
          <w:b/>
          <w:sz w:val="24"/>
          <w:szCs w:val="24"/>
          <w:highlight w:val="none"/>
        </w:rPr>
        <w:t>七、评标办法</w:t>
      </w:r>
      <w:bookmarkEnd w:id="21"/>
    </w:p>
    <w:p>
      <w:pPr>
        <w:shd w:val="clear"/>
        <w:snapToGrid w:val="0"/>
        <w:spacing w:line="44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（三十一）</w:t>
      </w:r>
      <w:r>
        <w:rPr>
          <w:rFonts w:hint="eastAsia" w:asciiTheme="minorEastAsia" w:hAnsiTheme="minorEastAsia" w:eastAsiaTheme="minorEastAsia" w:cstheme="minorEastAsia"/>
          <w:b/>
          <w:bCs/>
          <w:sz w:val="24"/>
          <w:szCs w:val="24"/>
          <w:highlight w:val="none"/>
        </w:rPr>
        <w:t>初步</w:t>
      </w:r>
      <w:r>
        <w:rPr>
          <w:rFonts w:hint="eastAsia" w:asciiTheme="minorEastAsia" w:hAnsiTheme="minorEastAsia" w:eastAsiaTheme="minorEastAsia" w:cstheme="minorEastAsia"/>
          <w:b/>
          <w:sz w:val="24"/>
          <w:szCs w:val="24"/>
          <w:highlight w:val="none"/>
        </w:rPr>
        <w:t>评审</w:t>
      </w:r>
    </w:p>
    <w:p>
      <w:pPr>
        <w:shd w:val="clear"/>
        <w:snapToGrid w:val="0"/>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初步评审（资格审查标准）</w:t>
      </w:r>
    </w:p>
    <w:tbl>
      <w:tblPr>
        <w:tblStyle w:val="2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序号</w:t>
            </w:r>
          </w:p>
        </w:tc>
        <w:tc>
          <w:tcPr>
            <w:tcW w:w="5780"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评审内容及标准</w:t>
            </w:r>
          </w:p>
        </w:tc>
        <w:tc>
          <w:tcPr>
            <w:tcW w:w="854"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供应商1</w:t>
            </w:r>
          </w:p>
        </w:tc>
        <w:tc>
          <w:tcPr>
            <w:tcW w:w="85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供应商2</w:t>
            </w:r>
          </w:p>
        </w:tc>
        <w:tc>
          <w:tcPr>
            <w:tcW w:w="851"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供应商3</w:t>
            </w:r>
          </w:p>
        </w:tc>
        <w:tc>
          <w:tcPr>
            <w:tcW w:w="79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2" w:type="dxa"/>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5780" w:type="dxa"/>
            <w:vAlign w:val="center"/>
          </w:tcPr>
          <w:p>
            <w:pPr>
              <w:shd w:val="clear" w:color="auto"/>
              <w:spacing w:line="3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满足《中华人民共和国政府采购法》第二十二条规定；</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02" w:type="dxa"/>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5780" w:type="dxa"/>
            <w:vAlign w:val="center"/>
          </w:tcPr>
          <w:p>
            <w:pPr>
              <w:shd w:val="clear" w:color="auto"/>
              <w:spacing w:line="3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本项目专门面向中小企业，供应商按磋商文件要求的提供中小企业声明函；</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5780" w:type="dxa"/>
            <w:vAlign w:val="center"/>
          </w:tcPr>
          <w:p>
            <w:pPr>
              <w:shd w:val="clear" w:color="auto"/>
              <w:spacing w:line="3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供应商须是中华人民共和国境内注册的，具有有效的营业执照；</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5780" w:type="dxa"/>
            <w:vAlign w:val="center"/>
          </w:tcPr>
          <w:p>
            <w:pPr>
              <w:shd w:val="clear" w:color="auto"/>
              <w:spacing w:line="3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bCs/>
                <w:sz w:val="24"/>
                <w:szCs w:val="24"/>
                <w:highlight w:val="none"/>
              </w:rPr>
              <w:t>。</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82" w:type="dxa"/>
            <w:gridSpan w:val="2"/>
            <w:vAlign w:val="center"/>
          </w:tcPr>
          <w:p>
            <w:pPr>
              <w:shd w:val="clear" w:color="auto"/>
              <w:spacing w:line="3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结论：是否通过</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Cs/>
                <w:sz w:val="24"/>
                <w:szCs w:val="24"/>
                <w:highlight w:val="none"/>
              </w:rPr>
              <w:t>资格审查</w:t>
            </w:r>
            <w:r>
              <w:rPr>
                <w:rFonts w:hint="eastAsia" w:asciiTheme="minorEastAsia" w:hAnsiTheme="minorEastAsia" w:eastAsiaTheme="minorEastAsia" w:cstheme="minorEastAsia"/>
                <w:sz w:val="24"/>
                <w:szCs w:val="24"/>
                <w:highlight w:val="none"/>
              </w:rPr>
              <w:t>合格后方可进入符合性审查阶段</w:t>
            </w:r>
            <w:r>
              <w:rPr>
                <w:rFonts w:hint="eastAsia" w:asciiTheme="minorEastAsia" w:hAnsiTheme="minorEastAsia" w:eastAsiaTheme="minorEastAsia" w:cstheme="minorEastAsia"/>
                <w:b/>
                <w:sz w:val="24"/>
                <w:szCs w:val="24"/>
                <w:highlight w:val="none"/>
              </w:rPr>
              <w:t>）</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6"/>
            <w:vAlign w:val="center"/>
          </w:tcPr>
          <w:p>
            <w:pPr>
              <w:shd w:val="clear" w:color="auto"/>
              <w:spacing w:line="3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备注：如果投标文件中有一项未通过上述审查标准，评标委员会将认定整个投标文件不响应磋商文件而予以投标无效，并且不允许供应商通过修改或撤销其不符合要求的差异或保留，使之成为具有响应性的投标。通过审核的以“√”标记；未通过的以“×”标记，并予以说明。</w:t>
            </w:r>
          </w:p>
        </w:tc>
      </w:tr>
    </w:tbl>
    <w:p>
      <w:pPr>
        <w:pageBreakBefore/>
        <w:shd w:val="clear"/>
        <w:snapToGrid w:val="0"/>
        <w:spacing w:line="44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初步评审（符合性审查）</w:t>
      </w:r>
    </w:p>
    <w:tbl>
      <w:tblPr>
        <w:tblStyle w:val="26"/>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45"/>
        <w:gridCol w:w="4163"/>
        <w:gridCol w:w="806"/>
        <w:gridCol w:w="806"/>
        <w:gridCol w:w="80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928"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项目</w:t>
            </w:r>
          </w:p>
        </w:tc>
        <w:tc>
          <w:tcPr>
            <w:tcW w:w="4708" w:type="dxa"/>
            <w:gridSpan w:val="2"/>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  审  内  容</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供应商1</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供应商2</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供应商3</w:t>
            </w:r>
          </w:p>
        </w:tc>
        <w:tc>
          <w:tcPr>
            <w:tcW w:w="807"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28" w:type="dxa"/>
            <w:vMerge w:val="restart"/>
            <w:vAlign w:val="center"/>
          </w:tcPr>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初</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步</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审</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符合性审查</w:t>
            </w:r>
          </w:p>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w:t>
            </w: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4163" w:type="dxa"/>
            <w:vAlign w:val="center"/>
          </w:tcPr>
          <w:p>
            <w:pPr>
              <w:shd w:val="clear" w:color="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投标报价是否按照磋商文件格式填写，投标报价是否唯一；</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2</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是否提供磋商响应书且</w:t>
            </w:r>
            <w:r>
              <w:rPr>
                <w:rFonts w:hint="eastAsia" w:asciiTheme="minorEastAsia" w:hAnsiTheme="minorEastAsia" w:eastAsiaTheme="minorEastAsia" w:cstheme="minorEastAsia"/>
                <w:sz w:val="24"/>
                <w:szCs w:val="24"/>
                <w:highlight w:val="none"/>
                <w:lang w:val="zh-CN"/>
              </w:rPr>
              <w:t>按照竞争性磋商文件规定格式完整提供</w:t>
            </w:r>
            <w:r>
              <w:rPr>
                <w:rFonts w:hint="eastAsia" w:asciiTheme="minorEastAsia" w:hAnsiTheme="minorEastAsia" w:eastAsiaTheme="minorEastAsia" w:cstheme="minorEastAsia"/>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lang w:val="zh-CN"/>
              </w:rPr>
              <w:t>磋商响应文件中法定代表人身份证明书是否按竞争性磋商文件规定格式完整提供</w:t>
            </w:r>
            <w:r>
              <w:rPr>
                <w:rFonts w:hint="eastAsia" w:asciiTheme="minorEastAsia" w:hAnsiTheme="minorEastAsia" w:eastAsiaTheme="minorEastAsia" w:cstheme="minorEastAsia"/>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lang w:val="zh-CN"/>
              </w:rPr>
              <w:t>磋商响应文件中法定代表人授权委托书是否按竞争性磋商文件规定格式完整提供</w:t>
            </w:r>
            <w:r>
              <w:rPr>
                <w:rFonts w:hint="eastAsia" w:asciiTheme="minorEastAsia" w:hAnsiTheme="minorEastAsia" w:eastAsiaTheme="minorEastAsia" w:cstheme="minorEastAsia"/>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磋商响应文件是否按竞争性磋商文件要求盖章或签字；</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磋商保证金的缴纳主体是否与供应商一致、提供投标担保符合竞争性磋商文件要求；</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磋商响应文件的供货期、质保期是否满足竞争性磋商文件规定期限；</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磋商有效期是否满足竞争性磋商文件要求的；</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磋商响应文件是否附有采购人不能接受的条件；</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是否满足竞争性磋商文件实质性要求的其他情形。</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861" w:type="dxa"/>
            <w:gridSpan w:val="7"/>
            <w:vAlign w:val="center"/>
          </w:tcPr>
          <w:p>
            <w:pPr>
              <w:shd w:val="clear" w:color="auto"/>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结论：是否通过初步评审</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rPr>
              <w:t>初步评审合格后方可进入详细评审阶段</w:t>
            </w:r>
            <w:r>
              <w:rPr>
                <w:rFonts w:hint="eastAsia" w:asciiTheme="minorEastAsia" w:hAnsiTheme="minorEastAsia" w:eastAsiaTheme="minorEastAsia" w:cstheme="minorEastAsia"/>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861" w:type="dxa"/>
            <w:gridSpan w:val="7"/>
            <w:vAlign w:val="center"/>
          </w:tcPr>
          <w:p>
            <w:pPr>
              <w:shd w:val="clear" w:color="auto"/>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pPr>
        <w:pStyle w:val="91"/>
        <w:numPr>
          <w:ilvl w:val="0"/>
          <w:numId w:val="4"/>
        </w:numPr>
        <w:shd w:val="clear" w:color="auto"/>
        <w:spacing w:line="44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bookmarkStart w:id="22" w:name="_Hlk521877884"/>
      <w:r>
        <w:rPr>
          <w:rFonts w:hint="eastAsia" w:asciiTheme="minorEastAsia" w:hAnsiTheme="minorEastAsia" w:eastAsiaTheme="minorEastAsia" w:cstheme="minorEastAsia"/>
          <w:b/>
          <w:sz w:val="24"/>
          <w:szCs w:val="24"/>
          <w:highlight w:val="none"/>
        </w:rPr>
        <w:t>详细评审</w:t>
      </w:r>
      <w:bookmarkEnd w:id="22"/>
      <w:r>
        <w:rPr>
          <w:rFonts w:hint="eastAsia" w:asciiTheme="minorEastAsia" w:hAnsiTheme="minorEastAsia" w:eastAsiaTheme="minorEastAsia" w:cstheme="minorEastAsia"/>
          <w:b/>
          <w:sz w:val="24"/>
          <w:szCs w:val="24"/>
          <w:highlight w:val="none"/>
        </w:rPr>
        <w:t xml:space="preserve">  </w:t>
      </w:r>
    </w:p>
    <w:tbl>
      <w:tblPr>
        <w:tblStyle w:val="26"/>
        <w:tblW w:w="928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58"/>
        <w:gridCol w:w="1576"/>
        <w:gridCol w:w="5555"/>
        <w:gridCol w:w="79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358"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评标项目</w:t>
            </w: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评标分项</w:t>
            </w:r>
          </w:p>
        </w:tc>
        <w:tc>
          <w:tcPr>
            <w:tcW w:w="5555"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评标分项</w:t>
            </w:r>
          </w:p>
        </w:tc>
        <w:tc>
          <w:tcPr>
            <w:tcW w:w="799"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价格部分（30分）</w:t>
            </w: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w:t>
            </w:r>
          </w:p>
        </w:tc>
        <w:tc>
          <w:tcPr>
            <w:tcW w:w="5555" w:type="dxa"/>
            <w:vAlign w:val="center"/>
          </w:tcPr>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采用低价优先法计算，即满足磋商文件要求且投标报价最低的价格为评标基准价，其价格分为满分。其他供应商的价格分统一按照下列公式计算：</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投标报价得分=（评标基准价／投标报价）×价格权值×100（小数点保留两位）。项目评审过程中，不得去掉投标报价中的最高报价和最低报价。</w:t>
            </w:r>
          </w:p>
        </w:tc>
        <w:tc>
          <w:tcPr>
            <w:tcW w:w="799"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Merge w:val="restart"/>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商务部分（10分）</w:t>
            </w:r>
          </w:p>
          <w:p>
            <w:pPr>
              <w:pStyle w:val="103"/>
              <w:shd w:val="clear"/>
              <w:rPr>
                <w:rFonts w:asciiTheme="minorEastAsia" w:hAnsiTheme="minorEastAsia" w:eastAsiaTheme="minorEastAsia" w:cstheme="minorEastAsia"/>
                <w:sz w:val="24"/>
                <w:szCs w:val="24"/>
                <w:highlight w:val="none"/>
              </w:rPr>
            </w:pP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类似项目业绩</w:t>
            </w:r>
          </w:p>
        </w:tc>
        <w:tc>
          <w:tcPr>
            <w:tcW w:w="5555" w:type="dxa"/>
            <w:vAlign w:val="center"/>
          </w:tcPr>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近三年（2020年1月1日至今）已完成类似项目业绩，以供应商业绩为准，业绩证明材料为：合同或中标通知书复印件，每提供1项有效业绩得2分，本项最多得6分；未提供业绩证明材料或是经评标委员会认定为无效业绩的，本项不得分。</w:t>
            </w:r>
          </w:p>
        </w:tc>
        <w:tc>
          <w:tcPr>
            <w:tcW w:w="799"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Merge w:val="continue"/>
            <w:vAlign w:val="center"/>
          </w:tcPr>
          <w:p>
            <w:pPr>
              <w:pStyle w:val="103"/>
              <w:shd w:val="clear"/>
              <w:rPr>
                <w:rFonts w:asciiTheme="minorEastAsia" w:hAnsiTheme="minorEastAsia" w:eastAsiaTheme="minorEastAsia" w:cstheme="minorEastAsia"/>
                <w:sz w:val="24"/>
                <w:szCs w:val="24"/>
                <w:highlight w:val="none"/>
              </w:rPr>
            </w:pP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highlight w:val="none"/>
              </w:rPr>
              <w:t>本地售后服务</w:t>
            </w:r>
          </w:p>
        </w:tc>
        <w:tc>
          <w:tcPr>
            <w:tcW w:w="5555" w:type="dxa"/>
            <w:vAlign w:val="center"/>
          </w:tcPr>
          <w:p>
            <w:pPr>
              <w:pStyle w:val="103"/>
              <w:shd w:val="clear"/>
              <w:jc w:val="left"/>
              <w:rPr>
                <w:rFonts w:asciiTheme="minorEastAsia" w:hAnsiTheme="minorEastAsia" w:eastAsiaTheme="minorEastAsia" w:cstheme="minorEastAsia"/>
                <w:kern w:val="1"/>
                <w:sz w:val="24"/>
                <w:szCs w:val="24"/>
                <w:highlight w:val="none"/>
              </w:rPr>
            </w:pPr>
            <w:r>
              <w:rPr>
                <w:rFonts w:hint="eastAsia" w:ascii="宋体" w:hAnsi="宋体" w:cs="Arial"/>
                <w:sz w:val="24"/>
                <w:szCs w:val="24"/>
                <w:highlight w:val="none"/>
              </w:rPr>
              <w:t>本地售后服务情况的承诺。承诺中需体现具备安装、维修等服务的能力，以及如中标后能提供本地售后服务或委托有本地售后服务公司的证明材料。有承诺得</w:t>
            </w:r>
            <w:r>
              <w:rPr>
                <w:rFonts w:hint="eastAsia" w:ascii="宋体" w:hAnsi="宋体" w:cs="Arial"/>
                <w:sz w:val="24"/>
                <w:szCs w:val="24"/>
                <w:highlight w:val="none"/>
                <w:lang w:val="en-US" w:eastAsia="zh-CN"/>
              </w:rPr>
              <w:t>4</w:t>
            </w:r>
            <w:r>
              <w:rPr>
                <w:rFonts w:hint="eastAsia" w:ascii="宋体" w:hAnsi="宋体" w:cs="Arial"/>
                <w:sz w:val="24"/>
                <w:szCs w:val="24"/>
                <w:highlight w:val="none"/>
              </w:rPr>
              <w:t>分，否则不得分。</w:t>
            </w:r>
          </w:p>
        </w:tc>
        <w:tc>
          <w:tcPr>
            <w:tcW w:w="799" w:type="dxa"/>
            <w:vAlign w:val="center"/>
          </w:tcPr>
          <w:p>
            <w:pPr>
              <w:pStyle w:val="103"/>
              <w:shd w:val="clea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0" w:hRule="atLeast"/>
          <w:jc w:val="center"/>
        </w:trPr>
        <w:tc>
          <w:tcPr>
            <w:tcW w:w="1358" w:type="dxa"/>
            <w:vMerge w:val="restart"/>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技术部分（60分）</w:t>
            </w: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技术响应</w:t>
            </w:r>
          </w:p>
        </w:tc>
        <w:tc>
          <w:tcPr>
            <w:tcW w:w="5555" w:type="dxa"/>
            <w:vAlign w:val="center"/>
          </w:tcPr>
          <w:p>
            <w:pPr>
              <w:pStyle w:val="103"/>
              <w:shd w:val="clear"/>
              <w:jc w:val="left"/>
              <w:rPr>
                <w:rFonts w:ascii="宋体" w:hAnsi="宋体" w:cs="Arial"/>
                <w:sz w:val="24"/>
                <w:szCs w:val="24"/>
                <w:highlight w:val="none"/>
              </w:rPr>
            </w:pPr>
            <w:r>
              <w:rPr>
                <w:rFonts w:hint="eastAsia" w:ascii="宋体" w:hAnsi="宋体" w:cs="Arial"/>
                <w:sz w:val="24"/>
                <w:szCs w:val="24"/>
                <w:highlight w:val="none"/>
              </w:rPr>
              <w:t>所投产品技术参数完全符合磋商文件采购需求的要求，得30分。</w:t>
            </w:r>
          </w:p>
          <w:p>
            <w:pPr>
              <w:pStyle w:val="103"/>
              <w:shd w:val="clear"/>
              <w:jc w:val="left"/>
              <w:rPr>
                <w:rFonts w:ascii="宋体" w:hAnsi="宋体" w:cs="Arial"/>
                <w:sz w:val="24"/>
                <w:szCs w:val="24"/>
                <w:highlight w:val="none"/>
              </w:rPr>
            </w:pPr>
            <w:r>
              <w:rPr>
                <w:rFonts w:hint="eastAsia" w:ascii="宋体" w:hAnsi="宋体" w:cs="Arial"/>
                <w:sz w:val="24"/>
                <w:szCs w:val="24"/>
                <w:highlight w:val="none"/>
              </w:rPr>
              <w:t>标“*”号技术参数须完全满足，有一项不满足此项不得分。其他技术参数有一项不满足扣3分，扣完为止。</w:t>
            </w:r>
          </w:p>
          <w:p>
            <w:pPr>
              <w:pStyle w:val="103"/>
              <w:shd w:val="clear"/>
              <w:jc w:val="left"/>
              <w:rPr>
                <w:rFonts w:ascii="宋体" w:hAnsi="宋体" w:cs="Arial"/>
                <w:sz w:val="24"/>
                <w:szCs w:val="24"/>
                <w:highlight w:val="none"/>
              </w:rPr>
            </w:pPr>
            <w:r>
              <w:rPr>
                <w:rFonts w:hint="eastAsia" w:ascii="宋体" w:hAnsi="宋体" w:cs="Arial"/>
                <w:sz w:val="24"/>
                <w:szCs w:val="24"/>
                <w:highlight w:val="none"/>
              </w:rPr>
              <w:t>注：标注“*”与未标注“*”技术参数，投标时提供对应的证明材料（证明材料为厂家出具的对应产品的白皮书加盖厂家公章，第三方检测机构出具完整的检测报告，技术规格彩页），若未提供有效证明材料则该参数将被视为负偏离。</w:t>
            </w:r>
          </w:p>
          <w:p>
            <w:pPr>
              <w:pStyle w:val="103"/>
              <w:shd w:val="clear"/>
              <w:jc w:val="left"/>
              <w:rPr>
                <w:rFonts w:asciiTheme="minorEastAsia" w:hAnsiTheme="minorEastAsia" w:eastAsiaTheme="minorEastAsia" w:cstheme="minorEastAsia"/>
                <w:sz w:val="24"/>
                <w:szCs w:val="24"/>
                <w:highlight w:val="none"/>
              </w:rPr>
            </w:pPr>
            <w:r>
              <w:rPr>
                <w:rFonts w:hint="eastAsia" w:ascii="宋体" w:hAnsi="宋体" w:cs="Arial"/>
                <w:sz w:val="24"/>
                <w:szCs w:val="24"/>
                <w:highlight w:val="none"/>
              </w:rPr>
              <w:t>具有履行合同所必需的设备和专业技术能力（需提供加盖公章的声明书）。</w:t>
            </w:r>
          </w:p>
        </w:tc>
        <w:tc>
          <w:tcPr>
            <w:tcW w:w="799"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358" w:type="dxa"/>
            <w:vMerge w:val="continue"/>
            <w:vAlign w:val="center"/>
          </w:tcPr>
          <w:p>
            <w:pPr>
              <w:pStyle w:val="103"/>
              <w:shd w:val="clear"/>
              <w:rPr>
                <w:rFonts w:asciiTheme="minorEastAsia" w:hAnsiTheme="minorEastAsia" w:eastAsiaTheme="minorEastAsia" w:cstheme="minorEastAsia"/>
                <w:sz w:val="24"/>
                <w:szCs w:val="24"/>
                <w:highlight w:val="none"/>
              </w:rPr>
            </w:pP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供货及安装方案</w:t>
            </w:r>
          </w:p>
        </w:tc>
        <w:tc>
          <w:tcPr>
            <w:tcW w:w="5555" w:type="dxa"/>
            <w:vAlign w:val="center"/>
          </w:tcPr>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供应商提供切实可行的供货方案、运行保障方案、风险管控方案、项目试运行及验收方案，完全响应磋商文件中的要求，根据供应商提供方案的质量、完整性、可操作性综合评分：</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1.方案详细可行，针对性强，进度控制准确，效率高，人员安排合理、项目难点及要点分析准确，质量控制、安全、文明施工管理科学合理的得1</w:t>
            </w:r>
            <w:r>
              <w:rPr>
                <w:rFonts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rPr>
              <w:t>分；</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2.方案基本可行，针对性一般，进度控制、人员安排、项目难点及要点分析基本准确，质量控制、安全、文明施工管理一般的得</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分；</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3.方案较差或与实际实施有较大差距的得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4.不提供此项内容的不得分。</w:t>
            </w:r>
          </w:p>
        </w:tc>
        <w:tc>
          <w:tcPr>
            <w:tcW w:w="799"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358" w:type="dxa"/>
            <w:vMerge w:val="continue"/>
            <w:vAlign w:val="center"/>
          </w:tcPr>
          <w:p>
            <w:pPr>
              <w:pStyle w:val="103"/>
              <w:shd w:val="clear"/>
              <w:rPr>
                <w:rFonts w:asciiTheme="minorEastAsia" w:hAnsiTheme="minorEastAsia" w:eastAsiaTheme="minorEastAsia" w:cstheme="minorEastAsia"/>
                <w:sz w:val="24"/>
                <w:szCs w:val="24"/>
                <w:highlight w:val="none"/>
              </w:rPr>
            </w:pP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售后服务方案</w:t>
            </w:r>
          </w:p>
        </w:tc>
        <w:tc>
          <w:tcPr>
            <w:tcW w:w="5555" w:type="dxa"/>
            <w:vAlign w:val="center"/>
          </w:tcPr>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供应商提供完善的售后服务保障措施，完全响应磋商文件中的服务内容，根据供应商提供售后服务方案中的服务范围、服务管理体系、重点业务保障、应急事件响应管理等进行综合评分：</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1.供应商具有完善的售后服务方案，切实可行的售后服务计划，服务队伍建设规范，技术服务人员综合素质高，且具有从事类似项目的经历，熟练掌握本项目建设和维护技能的，得10分；</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2.售后服务方案基本可行，售后服务计划针对性一般，服务队伍建设基本到位，技术服务人员综合素质一般，较熟悉类似项目建设和维护技能的，得7分；</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3.售后服务方案一般或售后服务计划不切实际或服务队伍建设不到位或无类似项目和维护经验的得3分；</w:t>
            </w:r>
          </w:p>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4.不提供此项内容的不得分。</w:t>
            </w:r>
          </w:p>
        </w:tc>
        <w:tc>
          <w:tcPr>
            <w:tcW w:w="799"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358" w:type="dxa"/>
            <w:vMerge w:val="continue"/>
            <w:vAlign w:val="center"/>
          </w:tcPr>
          <w:p>
            <w:pPr>
              <w:pStyle w:val="103"/>
              <w:shd w:val="clear"/>
              <w:rPr>
                <w:rFonts w:asciiTheme="minorEastAsia" w:hAnsiTheme="minorEastAsia" w:eastAsiaTheme="minorEastAsia" w:cstheme="minorEastAsia"/>
                <w:sz w:val="24"/>
                <w:szCs w:val="24"/>
                <w:highlight w:val="none"/>
              </w:rPr>
            </w:pP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培训方案</w:t>
            </w:r>
          </w:p>
        </w:tc>
        <w:tc>
          <w:tcPr>
            <w:tcW w:w="5555" w:type="dxa"/>
            <w:vAlign w:val="center"/>
          </w:tcPr>
          <w:p>
            <w:pPr>
              <w:pStyle w:val="103"/>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根据培训方案（包括但不限于：培训方案、培训时间、培训计划及培训人员等）的完整性、可行性、科学性等方面进行综合评审；优得5分，一般得3分，差不得分。</w:t>
            </w:r>
          </w:p>
        </w:tc>
        <w:tc>
          <w:tcPr>
            <w:tcW w:w="799" w:type="dxa"/>
            <w:vAlign w:val="center"/>
          </w:tcPr>
          <w:p>
            <w:pPr>
              <w:pStyle w:val="103"/>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8" w:hRule="atLeast"/>
          <w:jc w:val="center"/>
        </w:trPr>
        <w:tc>
          <w:tcPr>
            <w:tcW w:w="1358" w:type="dxa"/>
            <w:vMerge w:val="continue"/>
            <w:vAlign w:val="center"/>
          </w:tcPr>
          <w:p>
            <w:pPr>
              <w:pStyle w:val="103"/>
              <w:shd w:val="clear"/>
              <w:rPr>
                <w:rFonts w:asciiTheme="minorEastAsia" w:hAnsiTheme="minorEastAsia" w:eastAsiaTheme="minorEastAsia" w:cstheme="minorEastAsia"/>
                <w:sz w:val="24"/>
                <w:szCs w:val="24"/>
                <w:highlight w:val="none"/>
              </w:rPr>
            </w:pPr>
          </w:p>
        </w:tc>
        <w:tc>
          <w:tcPr>
            <w:tcW w:w="1576" w:type="dxa"/>
            <w:vAlign w:val="center"/>
          </w:tcPr>
          <w:p>
            <w:pPr>
              <w:pStyle w:val="103"/>
              <w:shd w:val="clear"/>
              <w:rPr>
                <w:rFonts w:asciiTheme="minorEastAsia" w:hAnsiTheme="minorEastAsia" w:eastAsiaTheme="minorEastAsia" w:cstheme="minorEastAsia"/>
                <w:sz w:val="24"/>
                <w:szCs w:val="24"/>
                <w:highlight w:val="none"/>
              </w:rPr>
            </w:pPr>
            <w:r>
              <w:rPr>
                <w:rFonts w:hint="eastAsia" w:ascii="宋体" w:hAnsi="宋体" w:cs="Arial"/>
                <w:sz w:val="24"/>
                <w:szCs w:val="24"/>
                <w:highlight w:val="none"/>
              </w:rPr>
              <w:t>政策性得分</w:t>
            </w:r>
          </w:p>
        </w:tc>
        <w:tc>
          <w:tcPr>
            <w:tcW w:w="5555" w:type="dxa"/>
            <w:vAlign w:val="center"/>
          </w:tcPr>
          <w:p>
            <w:pPr>
              <w:shd w:val="clear"/>
              <w:rPr>
                <w:rFonts w:ascii="宋体" w:hAnsi="宋体" w:cs="Arial"/>
                <w:kern w:val="0"/>
                <w:sz w:val="24"/>
                <w:szCs w:val="24"/>
                <w:highlight w:val="none"/>
              </w:rPr>
            </w:pPr>
            <w:r>
              <w:rPr>
                <w:rFonts w:hint="eastAsia" w:ascii="宋体" w:hAnsi="宋体" w:cs="Arial"/>
                <w:kern w:val="0"/>
                <w:sz w:val="24"/>
                <w:szCs w:val="24"/>
                <w:highlight w:val="none"/>
              </w:rPr>
              <w:t>投标产品依据国家确定的认证机构出具的、处于有效期之内的节能产品、环境标志产品认证证书，有一款得1分，最多得</w:t>
            </w:r>
            <w:r>
              <w:rPr>
                <w:rFonts w:hint="eastAsia" w:ascii="宋体" w:hAnsi="宋体" w:cs="Arial"/>
                <w:kern w:val="0"/>
                <w:sz w:val="24"/>
                <w:szCs w:val="24"/>
                <w:highlight w:val="none"/>
                <w:lang w:val="en-US" w:eastAsia="zh-CN"/>
              </w:rPr>
              <w:t>5</w:t>
            </w:r>
            <w:r>
              <w:rPr>
                <w:rFonts w:hint="eastAsia" w:ascii="宋体" w:hAnsi="宋体" w:cs="Arial"/>
                <w:kern w:val="0"/>
                <w:sz w:val="24"/>
                <w:szCs w:val="24"/>
                <w:highlight w:val="none"/>
              </w:rPr>
              <w:t>分</w:t>
            </w:r>
          </w:p>
          <w:p>
            <w:pPr>
              <w:shd w:val="clear"/>
              <w:rPr>
                <w:rFonts w:ascii="宋体" w:hAnsi="宋体" w:cs="Arial"/>
                <w:kern w:val="0"/>
                <w:sz w:val="24"/>
                <w:szCs w:val="24"/>
                <w:highlight w:val="none"/>
              </w:rPr>
            </w:pPr>
            <w:r>
              <w:rPr>
                <w:rFonts w:hint="eastAsia" w:ascii="宋体" w:hAnsi="宋体" w:cs="Arial"/>
                <w:kern w:val="0"/>
                <w:sz w:val="24"/>
                <w:szCs w:val="24"/>
                <w:highlight w:val="none"/>
              </w:rPr>
              <w:t>说明：</w:t>
            </w:r>
          </w:p>
          <w:p>
            <w:pPr>
              <w:pStyle w:val="103"/>
              <w:shd w:val="clear"/>
              <w:jc w:val="left"/>
              <w:rPr>
                <w:rFonts w:asciiTheme="minorEastAsia" w:hAnsiTheme="minorEastAsia" w:eastAsiaTheme="minorEastAsia" w:cstheme="minorEastAsia"/>
                <w:sz w:val="24"/>
                <w:szCs w:val="24"/>
                <w:highlight w:val="none"/>
              </w:rPr>
            </w:pPr>
            <w:r>
              <w:rPr>
                <w:rFonts w:hint="eastAsia" w:ascii="宋体" w:hAnsi="宋体" w:cs="Arial"/>
                <w:sz w:val="24"/>
                <w:szCs w:val="24"/>
                <w:highlight w:val="none"/>
              </w:rPr>
              <w:t>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c>
          <w:tcPr>
            <w:tcW w:w="799" w:type="dxa"/>
            <w:vAlign w:val="center"/>
          </w:tcPr>
          <w:p>
            <w:pPr>
              <w:pStyle w:val="103"/>
              <w:shd w:val="clea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p>
        </w:tc>
      </w:tr>
    </w:tbl>
    <w:p>
      <w:pPr>
        <w:shd w:val="clear"/>
        <w:snapToGrid w:val="0"/>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特别提醒：</w:t>
      </w:r>
      <w:r>
        <w:rPr>
          <w:rFonts w:hint="eastAsia" w:asciiTheme="minorEastAsia" w:hAnsiTheme="minorEastAsia" w:eastAsiaTheme="minorEastAsia" w:cstheme="minorEastAsia"/>
          <w:sz w:val="24"/>
          <w:szCs w:val="24"/>
          <w:highlight w:val="none"/>
        </w:rPr>
        <w:t>因落实政府采购政策进行价格调整的，以调整后的价格计算磋商基准价和磋商报价。磋商小组将根据政府采购政策支持对最后报价进行价格折扣，折扣的价格将作为评审价格。</w:t>
      </w:r>
      <w:r>
        <w:rPr>
          <w:rFonts w:hint="eastAsia" w:asciiTheme="minorEastAsia" w:hAnsiTheme="minorEastAsia" w:eastAsiaTheme="minorEastAsia" w:cstheme="minorEastAsia"/>
          <w:sz w:val="24"/>
          <w:szCs w:val="24"/>
          <w:highlight w:val="none"/>
          <w:lang w:val="zh-CN"/>
        </w:rPr>
        <w:t>供应商的评审</w:t>
      </w:r>
      <w:r>
        <w:rPr>
          <w:rFonts w:hint="eastAsia" w:asciiTheme="minorEastAsia" w:hAnsiTheme="minorEastAsia" w:eastAsiaTheme="minorEastAsia" w:cstheme="minorEastAsia"/>
          <w:sz w:val="24"/>
          <w:szCs w:val="24"/>
          <w:highlight w:val="none"/>
        </w:rPr>
        <w:t>价格由供应商代表签字确认。</w:t>
      </w:r>
    </w:p>
    <w:tbl>
      <w:tblPr>
        <w:tblStyle w:val="26"/>
        <w:tblpPr w:leftFromText="180" w:rightFromText="180" w:vertAnchor="text" w:horzAnchor="page" w:tblpX="1674" w:tblpY="440"/>
        <w:tblOverlap w:val="never"/>
        <w:tblW w:w="88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61" w:type="dxa"/>
            <w:tcBorders>
              <w:top w:val="single" w:color="auto" w:sz="4" w:space="0"/>
              <w:bottom w:val="single" w:color="auto" w:sz="4" w:space="0"/>
            </w:tcBorders>
            <w:vAlign w:val="center"/>
          </w:tcPr>
          <w:p>
            <w:pPr>
              <w:shd w:val="clear"/>
              <w:snapToGrid w:val="0"/>
              <w:spacing w:line="440" w:lineRule="exact"/>
              <w:ind w:firstLine="360" w:firstLine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sz w:val="24"/>
                <w:szCs w:val="24"/>
                <w:highlight w:val="none"/>
              </w:rPr>
              <w:t>属于中小企业</w:t>
            </w:r>
            <w:r>
              <w:rPr>
                <w:rFonts w:hint="eastAsia" w:asciiTheme="minorEastAsia" w:hAnsiTheme="minorEastAsia" w:eastAsiaTheme="minorEastAsia" w:cstheme="minorEastAsia"/>
                <w:sz w:val="24"/>
                <w:szCs w:val="24"/>
                <w:highlight w:val="none"/>
              </w:rPr>
              <w:t>评审优惠内容及幅度如下：</w:t>
            </w:r>
          </w:p>
          <w:p>
            <w:pPr>
              <w:shd w:val="clear"/>
              <w:snapToGrid w:val="0"/>
              <w:spacing w:line="440" w:lineRule="exact"/>
              <w:ind w:firstLine="241"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w:t>
            </w:r>
            <w:r>
              <w:rPr>
                <w:rFonts w:hint="eastAsia" w:asciiTheme="minorEastAsia" w:hAnsiTheme="minorEastAsia" w:eastAsiaTheme="minorEastAsia" w:cstheme="minorEastAsia"/>
                <w:sz w:val="24"/>
                <w:szCs w:val="24"/>
                <w:highlight w:val="none"/>
              </w:rPr>
              <w:t>中小企业（含中型、小型、微型企业）应当</w:t>
            </w:r>
            <w:r>
              <w:rPr>
                <w:rFonts w:hint="eastAsia" w:asciiTheme="minorEastAsia" w:hAnsiTheme="minorEastAsia" w:eastAsiaTheme="minorEastAsia" w:cstheme="minorEastAsia"/>
                <w:b/>
                <w:sz w:val="24"/>
                <w:szCs w:val="24"/>
                <w:highlight w:val="none"/>
              </w:rPr>
              <w:t>同时符合</w:t>
            </w:r>
            <w:r>
              <w:rPr>
                <w:rFonts w:hint="eastAsia" w:asciiTheme="minorEastAsia" w:hAnsiTheme="minorEastAsia" w:eastAsiaTheme="minorEastAsia" w:cstheme="minorEastAsia"/>
                <w:sz w:val="24"/>
                <w:szCs w:val="24"/>
                <w:highlight w:val="none"/>
              </w:rPr>
              <w:t>以下条件：</w:t>
            </w:r>
          </w:p>
          <w:p>
            <w:pPr>
              <w:pStyle w:val="97"/>
              <w:shd w:val="clear"/>
              <w:spacing w:line="440" w:lineRule="exact"/>
              <w:ind w:left="846" w:leftChars="40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①符合中小企业划分标准（按《关于印发中小企业划型标准规定的通知》（工信部联企业〔2011〕300号）执行）；</w:t>
            </w:r>
          </w:p>
          <w:p>
            <w:pPr>
              <w:pStyle w:val="97"/>
              <w:shd w:val="clear"/>
              <w:spacing w:line="440" w:lineRule="exact"/>
              <w:ind w:left="846" w:leftChars="40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②提供本企业制造的货物、承担的项目或者服务，或者提供其他中小企业制造的货物。本项所称货物不包括使用大型企业注册商标的货物；</w:t>
            </w:r>
          </w:p>
          <w:p>
            <w:pPr>
              <w:pStyle w:val="97"/>
              <w:shd w:val="clear"/>
              <w:spacing w:line="440" w:lineRule="exact"/>
              <w:ind w:left="846" w:leftChars="40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③小型、微型企业提供中型企业制造的货物的，视同为中型企业。</w:t>
            </w:r>
          </w:p>
          <w:p>
            <w:pPr>
              <w:shd w:val="clear"/>
              <w:snapToGrid w:val="0"/>
              <w:spacing w:line="440" w:lineRule="exact"/>
              <w:ind w:firstLine="361" w:firstLine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w:t>
            </w:r>
            <w:r>
              <w:rPr>
                <w:rFonts w:hint="eastAsia" w:asciiTheme="minorEastAsia" w:hAnsiTheme="minorEastAsia" w:eastAsiaTheme="minorEastAsia" w:cstheme="minorEastAsia"/>
                <w:sz w:val="24"/>
                <w:szCs w:val="24"/>
                <w:highlight w:val="none"/>
              </w:rPr>
              <w:t>价格扣除办法：</w:t>
            </w:r>
          </w:p>
          <w:p>
            <w:pPr>
              <w:pStyle w:val="97"/>
              <w:shd w:val="clear"/>
              <w:spacing w:line="440" w:lineRule="exact"/>
              <w:ind w:left="657" w:leftChars="313"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 1 \* GB3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①</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t>对于非专门面向中小企业的项目，对小型和微型企业（或联合体各方均为小型、微型企业的，残疾人福利性单位、监狱企业视为小微企业）产品的价格给予10%的扣除，用扣除后的价格参与价格的评审。</w:t>
            </w:r>
          </w:p>
          <w:p>
            <w:pPr>
              <w:shd w:val="clear"/>
              <w:snapToGrid w:val="0"/>
              <w:spacing w:line="440" w:lineRule="exact"/>
              <w:ind w:firstLine="361" w:firstLine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w:t>
            </w:r>
            <w:r>
              <w:rPr>
                <w:rFonts w:hint="eastAsia" w:asciiTheme="minorEastAsia" w:hAnsiTheme="minorEastAsia" w:eastAsiaTheme="minorEastAsia" w:cstheme="minorEastAsia"/>
                <w:sz w:val="24"/>
                <w:szCs w:val="24"/>
                <w:highlight w:val="none"/>
              </w:rPr>
              <w:t>小型和微型企业适用价格扣除办法时应提供的相关资料：</w:t>
            </w:r>
          </w:p>
          <w:p>
            <w:pPr>
              <w:pStyle w:val="97"/>
              <w:shd w:val="clear"/>
              <w:spacing w:line="440" w:lineRule="exact"/>
              <w:ind w:left="8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 1 \* GB3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①</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t>供应商《中小企业声明函》或残疾人福利性单位声明函；</w:t>
            </w:r>
          </w:p>
          <w:p>
            <w:pPr>
              <w:pStyle w:val="97"/>
              <w:shd w:val="clear"/>
              <w:spacing w:line="440" w:lineRule="exact"/>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供应商应同时提供以上材料，否则将不给予价格扣除。若所供应产品为进口产品的，不适用《政府采购促进中小企业发展暂行办法》。残疾人福利性单位仅需提供声明函，不须要提供其他证明材料。</w:t>
            </w:r>
          </w:p>
        </w:tc>
      </w:tr>
    </w:tbl>
    <w:p>
      <w:pPr>
        <w:pStyle w:val="91"/>
        <w:shd w:val="clear" w:color="auto"/>
        <w:spacing w:line="440" w:lineRule="exact"/>
        <w:rPr>
          <w:rFonts w:asciiTheme="minorEastAsia" w:hAnsiTheme="minorEastAsia" w:eastAsiaTheme="minorEastAsia" w:cstheme="minorEastAsia"/>
          <w:sz w:val="24"/>
          <w:szCs w:val="24"/>
          <w:highlight w:val="none"/>
        </w:rPr>
      </w:pP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23" w:name="_Toc32023"/>
      <w:r>
        <w:rPr>
          <w:rFonts w:hint="eastAsia" w:asciiTheme="minorEastAsia" w:hAnsiTheme="minorEastAsia" w:eastAsiaTheme="minorEastAsia" w:cstheme="minorEastAsia"/>
          <w:b/>
          <w:sz w:val="24"/>
          <w:szCs w:val="24"/>
          <w:highlight w:val="none"/>
        </w:rPr>
        <w:t>八、成交及合同签订</w:t>
      </w:r>
      <w:bookmarkEnd w:id="23"/>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（三十二）成交供应商</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根据磋商小组对各供应商满足竞争性磋商文件实质性响应（所谓实质性响应，是指文件应与竞争性磋商文件的所有实质性条款、条件和要求相符，无显著差异或保留（由磋商小组确定）；经磋商确定最终采购需求和提交最后报价的供应商中由磋商小组采用综合评分法对提交最后报价的供应商的磋商响应文件和最后报价进行综合评分，并以综合评分由高到低选取三名成交候选人推荐给采购人（评分相同时，按最后报价由低到高的顺序推荐；评审得分和最后报价相同的，按照技术指标优劣顺序推荐）。</w:t>
      </w:r>
    </w:p>
    <w:p>
      <w:pPr>
        <w:shd w:val="clear"/>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（三十三）资格条件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 采购人若发现成交候选供应商在竞标过程中提供虚假证明文件，故意隐瞒公司不良信誉和财务状况，以及存在可能对合同圆满履行造成风险的其他因素等，则按规定取消其成交资格，监管部门依法进行处理。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33.3 如果成交候选供应商被确认为不具备执行合同的能力，采购人将考虑按同样的程序审查下一个成交候选供应商。</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（三十四）成交通知书</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34.1 成交结果在原磋商公告发布媒体上发布后，公示期1个工作日，采购人将同时向成交供应商发出成交通知书。</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34.2 成交人应及时到政府采购人领取成交通知书，成交通知书是签订合同的依据和组成部分。</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（三十五）签订合同</w:t>
      </w:r>
    </w:p>
    <w:p>
      <w:pPr>
        <w:shd w:val="clear"/>
        <w:snapToGrid w:val="0"/>
        <w:spacing w:line="500" w:lineRule="exact"/>
        <w:ind w:firstLine="480" w:firstLineChars="200"/>
        <w:jc w:val="lef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35.1 成交供应商应在规定的时间、地点与采购人签订合同，竞争性磋商文件、成交人的磋商响应文件、分次报价及服务承诺文件以及评标过程中有关澄清文件均作为合同附件，</w:t>
      </w:r>
      <w:r>
        <w:rPr>
          <w:rFonts w:hint="eastAsia" w:asciiTheme="minorEastAsia" w:hAnsiTheme="minorEastAsia" w:eastAsiaTheme="minorEastAsia" w:cstheme="minorEastAsia"/>
          <w:bCs/>
          <w:sz w:val="24"/>
          <w:szCs w:val="24"/>
          <w:highlight w:val="none"/>
        </w:rPr>
        <w:t>合同经采购人、成交供应商双方审核盖章后实施。</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成交供应商无正当理由未在规定时间内与采购人签订合同的或未按磋商文件要求提交履约担保的，采购人有权建议取消其成交资格，并报请监管部门将对其依法处理。</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（三十六）政府采购代理服务费和履约保证金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36.1成交供应商应向政府采购代理机构缴纳代理服务费，</w:t>
      </w:r>
      <w:r>
        <w:rPr>
          <w:rFonts w:hint="eastAsia" w:asciiTheme="minorEastAsia" w:hAnsiTheme="minorEastAsia" w:eastAsiaTheme="minorEastAsia" w:cstheme="minorEastAsia"/>
          <w:bCs/>
          <w:sz w:val="24"/>
          <w:szCs w:val="24"/>
          <w:highlight w:val="none"/>
        </w:rPr>
        <w:t>政府采购代理服务费按</w:t>
      </w:r>
      <w:r>
        <w:rPr>
          <w:rFonts w:hint="eastAsia" w:asciiTheme="minorEastAsia" w:hAnsiTheme="minorEastAsia" w:eastAsiaTheme="minorEastAsia" w:cstheme="minorEastAsia"/>
          <w:sz w:val="24"/>
          <w:szCs w:val="24"/>
          <w:highlight w:val="none"/>
        </w:rPr>
        <w:t>国家发改委计价格[2002]1980号文、</w:t>
      </w:r>
      <w:r>
        <w:rPr>
          <w:rFonts w:hint="eastAsia" w:asciiTheme="minorEastAsia" w:hAnsiTheme="minorEastAsia" w:eastAsiaTheme="minorEastAsia" w:cstheme="minorEastAsia"/>
          <w:sz w:val="24"/>
          <w:highlight w:val="none"/>
        </w:rPr>
        <w:t>发改办价格[2003]857号文计取。</w:t>
      </w:r>
    </w:p>
    <w:p>
      <w:pPr>
        <w:shd w:val="clear"/>
        <w:snapToGrid w:val="0"/>
        <w:spacing w:line="500" w:lineRule="exact"/>
        <w:ind w:left="359" w:leftChars="171"/>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36.2 成交供应商需在签订合同时需按磋商文件要求向采购人提交履约担保。</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24" w:name="_Toc6848"/>
      <w:r>
        <w:rPr>
          <w:rFonts w:hint="eastAsia" w:asciiTheme="minorEastAsia" w:hAnsiTheme="minorEastAsia" w:eastAsiaTheme="minorEastAsia" w:cstheme="minorEastAsia"/>
          <w:b/>
          <w:sz w:val="24"/>
          <w:szCs w:val="24"/>
          <w:highlight w:val="none"/>
        </w:rPr>
        <w:t>九、验收及付款</w:t>
      </w:r>
      <w:bookmarkEnd w:id="24"/>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（三十七）验收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37.1 采购单位组建验收小组，验收小组由采购单位三人以上组成，按</w:t>
      </w:r>
      <w:r>
        <w:rPr>
          <w:rFonts w:hint="eastAsia" w:asciiTheme="minorEastAsia" w:hAnsiTheme="minorEastAsia" w:eastAsiaTheme="minorEastAsia" w:cstheme="minorEastAsia"/>
          <w:bCs/>
          <w:sz w:val="24"/>
          <w:szCs w:val="24"/>
          <w:highlight w:val="none"/>
        </w:rPr>
        <w:t>采购合同约定的时间组织验收。</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（三十八）项目办结及付款</w:t>
      </w:r>
    </w:p>
    <w:p>
      <w:pPr>
        <w:shd w:val="clear"/>
        <w:snapToGrid w:val="0"/>
        <w:spacing w:line="500" w:lineRule="exact"/>
        <w:ind w:firstLine="480"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38.1 采购人凭项目合同、验收报告和提供采购人要求的发票原件后，在合同约定的时间内办理采购款支付手续。</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25" w:name="_Toc17033"/>
      <w:r>
        <w:rPr>
          <w:rFonts w:hint="eastAsia" w:asciiTheme="minorEastAsia" w:hAnsiTheme="minorEastAsia" w:eastAsiaTheme="minorEastAsia" w:cstheme="minorEastAsia"/>
          <w:b/>
          <w:sz w:val="24"/>
          <w:szCs w:val="24"/>
          <w:highlight w:val="none"/>
        </w:rPr>
        <w:t>十、质疑与投诉</w:t>
      </w:r>
      <w:bookmarkEnd w:id="25"/>
    </w:p>
    <w:p>
      <w:pPr>
        <w:shd w:val="clear"/>
        <w:snapToGrid w:val="0"/>
        <w:spacing w:line="500" w:lineRule="exact"/>
        <w:ind w:firstLine="472" w:firstLineChars="196"/>
        <w:outlineLvl w:val="0"/>
        <w:rPr>
          <w:rFonts w:asciiTheme="minorEastAsia" w:hAnsiTheme="minorEastAsia" w:eastAsiaTheme="minorEastAsia" w:cstheme="minorEastAsia"/>
          <w:b/>
          <w:bCs/>
          <w:sz w:val="24"/>
          <w:szCs w:val="24"/>
          <w:highlight w:val="none"/>
        </w:rPr>
      </w:pPr>
      <w:bookmarkStart w:id="26" w:name="_Toc19410"/>
      <w:bookmarkStart w:id="27" w:name="_Toc8717"/>
      <w:r>
        <w:rPr>
          <w:rFonts w:hint="eastAsia" w:asciiTheme="minorEastAsia" w:hAnsiTheme="minorEastAsia" w:eastAsiaTheme="minorEastAsia" w:cstheme="minorEastAsia"/>
          <w:b/>
          <w:bCs/>
          <w:sz w:val="24"/>
          <w:szCs w:val="24"/>
          <w:highlight w:val="none"/>
        </w:rPr>
        <w:t>（三十九）质疑与投诉</w:t>
      </w:r>
      <w:bookmarkEnd w:id="26"/>
      <w:bookmarkEnd w:id="27"/>
    </w:p>
    <w:p>
      <w:pPr>
        <w:shd w:val="clear"/>
        <w:snapToGrid w:val="0"/>
        <w:spacing w:line="500" w:lineRule="exact"/>
        <w:ind w:firstLine="482" w:firstLineChars="200"/>
        <w:outlineLvl w:val="0"/>
        <w:rPr>
          <w:rFonts w:asciiTheme="minorEastAsia" w:hAnsiTheme="minorEastAsia" w:eastAsiaTheme="minorEastAsia" w:cstheme="minorEastAsia"/>
          <w:sz w:val="24"/>
          <w:szCs w:val="24"/>
          <w:highlight w:val="none"/>
        </w:rPr>
      </w:pPr>
      <w:bookmarkStart w:id="28" w:name="_Toc25914"/>
      <w:bookmarkStart w:id="29" w:name="_Toc30957"/>
      <w:r>
        <w:rPr>
          <w:rFonts w:hint="eastAsia" w:asciiTheme="minorEastAsia" w:hAnsiTheme="minorEastAsia" w:eastAsiaTheme="minorEastAsia" w:cstheme="minorEastAsia"/>
          <w:b/>
          <w:bCs/>
          <w:sz w:val="24"/>
          <w:szCs w:val="24"/>
          <w:highlight w:val="none"/>
        </w:rPr>
        <w:t>39.1 质疑的提出</w:t>
      </w:r>
      <w:bookmarkEnd w:id="28"/>
      <w:bookmarkEnd w:id="29"/>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1）供应商认为竞磋文件、招标过程和中标、成交结果使自己的权益受到损害的，可以在知道或者应知其权益受到损害之日起七个工作日内，以书面形式向采购人提出质疑。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2）质疑函的必备内容</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①供应商提交的质疑函必须注明单位名称、详细地址、可供查询的单位和法定代表人的电话号码；</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②所参加项目的具体质疑事项及事实依据；</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③提起质疑的日期；</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④质疑函须加盖单位公章和法定代表人签章。</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3）质疑应符合下列条件：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①质疑人是参与所质疑项目的招标活动供应商；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②质疑函内容符合相关的规定；</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③在规定的有效期限内提起质疑；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④招投标监管部门规定的其他条件。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4）采购人在收到供应商的书面质疑后七个工作日内作出答复，并以书面形式通知质疑供应商和其他有关供应商，但答复的内容不涉及商业秘密。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snapToGrid w:val="0"/>
        <w:spacing w:line="500" w:lineRule="exact"/>
        <w:jc w:val="lef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附表一</w:t>
      </w:r>
    </w:p>
    <w:p>
      <w:pPr>
        <w:shd w:val="clear"/>
        <w:snapToGrid w:val="0"/>
        <w:spacing w:line="44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质 疑 书</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(政府采购代理机构名称)：</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依据《中华人民共和国政府采购法》第五十二条规定，认为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项目的采购活动中有几个内容损害了我公司的权益，现以书面原件形式提出质疑。并根据《中华人民共和国政府采购法实施条例》第五十五条规定，提出以下请求和提供必要的证明材料。质疑的事实和理由：</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u w:val="single"/>
        </w:rPr>
        <w:t xml:space="preserve">  (事宜经过)            </w:t>
      </w:r>
      <w:r>
        <w:rPr>
          <w:rFonts w:hint="eastAsia" w:asciiTheme="minorEastAsia" w:hAnsiTheme="minorEastAsia" w:eastAsiaTheme="minorEastAsia" w:cstheme="minorEastAsia"/>
          <w:bCs/>
          <w:sz w:val="24"/>
          <w:szCs w:val="24"/>
          <w:highlight w:val="none"/>
        </w:rPr>
        <w:t>；2、</w:t>
      </w:r>
      <w:r>
        <w:rPr>
          <w:rFonts w:hint="eastAsia" w:asciiTheme="minorEastAsia" w:hAnsiTheme="minorEastAsia" w:eastAsiaTheme="minorEastAsia" w:cstheme="minorEastAsia"/>
          <w:bCs/>
          <w:sz w:val="24"/>
          <w:szCs w:val="24"/>
          <w:highlight w:val="none"/>
          <w:u w:val="single"/>
        </w:rPr>
        <w:t xml:space="preserve">  (事宜经过)            </w:t>
      </w:r>
      <w:r>
        <w:rPr>
          <w:rFonts w:hint="eastAsia" w:asciiTheme="minorEastAsia" w:hAnsiTheme="minorEastAsia" w:eastAsiaTheme="minorEastAsia" w:cstheme="minorEastAsia"/>
          <w:bCs/>
          <w:sz w:val="24"/>
          <w:szCs w:val="24"/>
          <w:highlight w:val="none"/>
        </w:rPr>
        <w:t>；……</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我们认为，以上几项，违背了政府采购法规的有关规定，其中第1项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违背《</w:t>
      </w:r>
      <w:r>
        <w:rPr>
          <w:rFonts w:hint="eastAsia" w:asciiTheme="minorEastAsia" w:hAnsiTheme="minorEastAsia" w:eastAsiaTheme="minorEastAsia" w:cstheme="minorEastAsia"/>
          <w:bCs/>
          <w:sz w:val="24"/>
          <w:szCs w:val="24"/>
          <w:highlight w:val="none"/>
          <w:u w:val="single"/>
        </w:rPr>
        <w:t xml:space="preserve">           法</w:t>
      </w:r>
      <w:r>
        <w:rPr>
          <w:rFonts w:hint="eastAsia" w:asciiTheme="minorEastAsia" w:hAnsiTheme="minorEastAsia" w:eastAsiaTheme="minorEastAsia" w:cstheme="minorEastAsia"/>
          <w:bCs/>
          <w:sz w:val="24"/>
          <w:szCs w:val="24"/>
          <w:highlight w:val="none"/>
        </w:rPr>
        <w:t>》第</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条的“</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”规定，第2项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违背《</w:t>
      </w:r>
      <w:r>
        <w:rPr>
          <w:rFonts w:hint="eastAsia" w:asciiTheme="minorEastAsia" w:hAnsiTheme="minorEastAsia" w:eastAsiaTheme="minorEastAsia" w:cstheme="minorEastAsia"/>
          <w:bCs/>
          <w:sz w:val="24"/>
          <w:szCs w:val="24"/>
          <w:highlight w:val="none"/>
          <w:u w:val="single"/>
        </w:rPr>
        <w:t xml:space="preserve">              法</w:t>
      </w:r>
      <w:r>
        <w:rPr>
          <w:rFonts w:hint="eastAsia" w:asciiTheme="minorEastAsia" w:hAnsiTheme="minorEastAsia" w:eastAsiaTheme="minorEastAsia" w:cstheme="minorEastAsia"/>
          <w:bCs/>
          <w:sz w:val="24"/>
          <w:szCs w:val="24"/>
          <w:highlight w:val="none"/>
        </w:rPr>
        <w:t>》第</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条的规定，请予审查纠正为盼。</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质疑人(全称并加</w:t>
      </w:r>
      <w:r>
        <w:rPr>
          <w:rFonts w:hint="eastAsia" w:asciiTheme="minorEastAsia" w:hAnsiTheme="minorEastAsia" w:eastAsiaTheme="minorEastAsia" w:cstheme="minorEastAsia"/>
          <w:bCs/>
          <w:sz w:val="24"/>
          <w:szCs w:val="24"/>
          <w:highlight w:val="none"/>
          <w:u w:val="single"/>
        </w:rPr>
        <w:t>盖</w:t>
      </w:r>
      <w:r>
        <w:rPr>
          <w:rFonts w:hint="eastAsia" w:asciiTheme="minorEastAsia" w:hAnsiTheme="minorEastAsia" w:eastAsiaTheme="minorEastAsia" w:cstheme="minorEastAsia"/>
          <w:bCs/>
          <w:sz w:val="24"/>
          <w:szCs w:val="24"/>
          <w:highlight w:val="none"/>
        </w:rPr>
        <w:t>公章)：</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法定代表人签字：</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委托人签字：</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                             地址：</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联系电话：</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                             邮编：</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传真：</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                             日期：</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注：质疑人提供的资料应包括但不限于以下内容：</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1、加盖供应商单位公章法定代表人授权书；</w:t>
      </w:r>
    </w:p>
    <w:p>
      <w:pPr>
        <w:shd w:val="clear"/>
        <w:snapToGrid w:val="0"/>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2、明确的请求和供应商单位加盖公章证明材料。</w:t>
      </w:r>
    </w:p>
    <w:p>
      <w:pPr>
        <w:shd w:val="clear"/>
        <w:snapToGrid w:val="0"/>
        <w:spacing w:line="440" w:lineRule="exact"/>
        <w:rPr>
          <w:rFonts w:asciiTheme="minorEastAsia" w:hAnsiTheme="minorEastAsia" w:eastAsiaTheme="minorEastAsia" w:cstheme="minorEastAsia"/>
          <w:sz w:val="24"/>
          <w:szCs w:val="24"/>
          <w:highlight w:val="none"/>
        </w:rPr>
      </w:pPr>
    </w:p>
    <w:p>
      <w:pPr>
        <w:shd w:val="clear"/>
        <w:snapToGrid w:val="0"/>
        <w:spacing w:line="440" w:lineRule="exact"/>
        <w:rPr>
          <w:rFonts w:asciiTheme="minorEastAsia" w:hAnsiTheme="minorEastAsia" w:eastAsiaTheme="minorEastAsia" w:cstheme="minorEastAsia"/>
          <w:b/>
          <w:sz w:val="24"/>
          <w:szCs w:val="24"/>
          <w:highlight w:val="none"/>
        </w:rPr>
      </w:pPr>
    </w:p>
    <w:p>
      <w:pPr>
        <w:shd w:val="clear"/>
        <w:snapToGrid w:val="0"/>
        <w:spacing w:line="440" w:lineRule="exact"/>
        <w:rPr>
          <w:rFonts w:asciiTheme="minorEastAsia" w:hAnsiTheme="minorEastAsia" w:eastAsiaTheme="minorEastAsia" w:cstheme="minorEastAsia"/>
          <w:b/>
          <w:sz w:val="24"/>
          <w:szCs w:val="24"/>
          <w:highlight w:val="none"/>
        </w:rPr>
      </w:pPr>
    </w:p>
    <w:p>
      <w:pPr>
        <w:shd w:val="clear"/>
        <w:snapToGrid w:val="0"/>
        <w:spacing w:line="440" w:lineRule="exact"/>
        <w:rPr>
          <w:rFonts w:asciiTheme="minorEastAsia" w:hAnsiTheme="minorEastAsia" w:eastAsiaTheme="minorEastAsia" w:cstheme="minorEastAsia"/>
          <w:b/>
          <w:sz w:val="24"/>
          <w:szCs w:val="24"/>
          <w:highlight w:val="none"/>
        </w:rPr>
      </w:pPr>
    </w:p>
    <w:p>
      <w:pPr>
        <w:shd w:val="clear"/>
        <w:snapToGrid w:val="0"/>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r>
        <w:rPr>
          <w:rFonts w:hint="eastAsia" w:asciiTheme="minorEastAsia" w:hAnsiTheme="minorEastAsia" w:eastAsiaTheme="minorEastAsia" w:cstheme="minorEastAsia"/>
          <w:b/>
          <w:sz w:val="24"/>
          <w:szCs w:val="24"/>
          <w:highlight w:val="none"/>
        </w:rPr>
        <w:t>附表二</w:t>
      </w:r>
    </w:p>
    <w:p>
      <w:pPr>
        <w:shd w:val="clear"/>
        <w:snapToGrid w:val="0"/>
        <w:spacing w:line="440" w:lineRule="exact"/>
        <w:ind w:firstLine="482" w:firstLineChars="200"/>
        <w:jc w:val="center"/>
        <w:outlineLvl w:val="0"/>
        <w:rPr>
          <w:rFonts w:asciiTheme="minorEastAsia" w:hAnsiTheme="minorEastAsia" w:eastAsiaTheme="minorEastAsia" w:cstheme="minorEastAsia"/>
          <w:sz w:val="24"/>
          <w:szCs w:val="24"/>
          <w:highlight w:val="none"/>
        </w:rPr>
      </w:pPr>
      <w:bookmarkStart w:id="30" w:name="_Toc16258"/>
      <w:bookmarkStart w:id="31" w:name="_Toc5031"/>
      <w:r>
        <w:rPr>
          <w:rFonts w:hint="eastAsia" w:asciiTheme="minorEastAsia" w:hAnsiTheme="minorEastAsia" w:eastAsiaTheme="minorEastAsia" w:cstheme="minorEastAsia"/>
          <w:b/>
          <w:bCs/>
          <w:sz w:val="24"/>
          <w:szCs w:val="24"/>
          <w:highlight w:val="none"/>
        </w:rPr>
        <w:t>质疑内容</w:t>
      </w:r>
      <w:bookmarkEnd w:id="30"/>
      <w:bookmarkEnd w:id="31"/>
    </w:p>
    <w:tbl>
      <w:tblPr>
        <w:tblStyle w:val="26"/>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32" w:name="_Toc2338"/>
            <w:bookmarkStart w:id="33" w:name="_Toc21078"/>
            <w:r>
              <w:rPr>
                <w:rFonts w:hint="eastAsia" w:asciiTheme="minorEastAsia" w:hAnsiTheme="minorEastAsia" w:eastAsiaTheme="minorEastAsia" w:cstheme="minorEastAsia"/>
                <w:sz w:val="24"/>
                <w:szCs w:val="24"/>
                <w:highlight w:val="none"/>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34" w:name="_Toc5211"/>
            <w:bookmarkStart w:id="35" w:name="_Toc19856"/>
            <w:r>
              <w:rPr>
                <w:rFonts w:hint="eastAsia" w:asciiTheme="minorEastAsia" w:hAnsiTheme="minorEastAsia" w:eastAsiaTheme="minorEastAsia" w:cstheme="minorEastAsia"/>
                <w:sz w:val="24"/>
                <w:szCs w:val="24"/>
                <w:highlight w:val="none"/>
              </w:rPr>
              <w:t>采购项目编号</w:t>
            </w:r>
            <w:bookmarkEnd w:id="34"/>
            <w:bookmarkEnd w:id="35"/>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36" w:name="_Toc9705"/>
            <w:bookmarkStart w:id="37" w:name="_Toc19055"/>
            <w:r>
              <w:rPr>
                <w:rFonts w:hint="eastAsia" w:asciiTheme="minorEastAsia" w:hAnsiTheme="minorEastAsia" w:eastAsiaTheme="minorEastAsia" w:cstheme="minorEastAsia"/>
                <w:sz w:val="24"/>
                <w:szCs w:val="24"/>
                <w:highlight w:val="none"/>
              </w:rPr>
              <w:t>具体的质疑事项及事实依据</w:t>
            </w:r>
            <w:bookmarkEnd w:id="36"/>
            <w:bookmarkEnd w:id="37"/>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shd w:val="clear"/>
              <w:snapToGrid w:val="0"/>
              <w:spacing w:line="276" w:lineRule="auto"/>
              <w:ind w:firstLine="482" w:firstLineChars="200"/>
              <w:outlineLvl w:val="0"/>
              <w:rPr>
                <w:rFonts w:asciiTheme="minorEastAsia" w:hAnsiTheme="minorEastAsia" w:eastAsiaTheme="minorEastAsia" w:cstheme="minorEastAsia"/>
                <w:sz w:val="24"/>
                <w:szCs w:val="24"/>
                <w:highlight w:val="none"/>
              </w:rPr>
            </w:pPr>
            <w:bookmarkStart w:id="38" w:name="_Toc13573"/>
            <w:bookmarkStart w:id="39" w:name="_Toc11039"/>
            <w:r>
              <w:rPr>
                <w:rFonts w:hint="eastAsia" w:asciiTheme="minorEastAsia" w:hAnsiTheme="minorEastAsia" w:eastAsiaTheme="minorEastAsia" w:cstheme="minorEastAsia"/>
                <w:b/>
                <w:bCs/>
                <w:sz w:val="24"/>
                <w:szCs w:val="24"/>
                <w:highlight w:val="none"/>
              </w:rPr>
              <w:t>一、质疑事项1：</w:t>
            </w:r>
            <w:bookmarkEnd w:id="38"/>
            <w:bookmarkEnd w:id="39"/>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40" w:name="_Toc23129"/>
            <w:bookmarkStart w:id="41" w:name="_Toc25614"/>
            <w:r>
              <w:rPr>
                <w:rFonts w:hint="eastAsia" w:asciiTheme="minorEastAsia" w:hAnsiTheme="minorEastAsia" w:eastAsiaTheme="minorEastAsia" w:cstheme="minorEastAsia"/>
                <w:sz w:val="24"/>
                <w:szCs w:val="24"/>
                <w:highlight w:val="none"/>
              </w:rPr>
              <w:t>主要内容：</w:t>
            </w:r>
            <w:bookmarkEnd w:id="40"/>
            <w:bookmarkEnd w:id="41"/>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42" w:name="_Toc4921"/>
            <w:bookmarkStart w:id="43" w:name="_Toc2762"/>
            <w:r>
              <w:rPr>
                <w:rFonts w:hint="eastAsia" w:asciiTheme="minorEastAsia" w:hAnsiTheme="minorEastAsia" w:eastAsiaTheme="minorEastAsia" w:cstheme="minorEastAsia"/>
                <w:sz w:val="24"/>
                <w:szCs w:val="24"/>
                <w:highlight w:val="none"/>
              </w:rPr>
              <w:t>事实依据：</w:t>
            </w:r>
            <w:bookmarkEnd w:id="42"/>
            <w:bookmarkEnd w:id="43"/>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44" w:name="_Toc9636"/>
            <w:bookmarkStart w:id="45" w:name="_Toc24639"/>
            <w:r>
              <w:rPr>
                <w:rFonts w:hint="eastAsia" w:asciiTheme="minorEastAsia" w:hAnsiTheme="minorEastAsia" w:eastAsiaTheme="minorEastAsia" w:cstheme="minorEastAsia"/>
                <w:sz w:val="24"/>
                <w:szCs w:val="24"/>
                <w:highlight w:val="none"/>
              </w:rPr>
              <w:t>适应法规条款：</w:t>
            </w:r>
            <w:bookmarkEnd w:id="44"/>
            <w:bookmarkEnd w:id="45"/>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46" w:name="_Toc17715"/>
            <w:bookmarkStart w:id="47" w:name="_Toc4949"/>
            <w:r>
              <w:rPr>
                <w:rFonts w:hint="eastAsia" w:asciiTheme="minorEastAsia" w:hAnsiTheme="minorEastAsia" w:eastAsiaTheme="minorEastAsia" w:cstheme="minorEastAsia"/>
                <w:sz w:val="24"/>
                <w:szCs w:val="24"/>
                <w:highlight w:val="none"/>
              </w:rPr>
              <w:t>佐证材料：</w:t>
            </w:r>
            <w:bookmarkEnd w:id="46"/>
            <w:bookmarkEnd w:id="47"/>
          </w:p>
          <w:p>
            <w:pPr>
              <w:shd w:val="clear"/>
              <w:snapToGrid w:val="0"/>
              <w:spacing w:line="276" w:lineRule="auto"/>
              <w:ind w:firstLine="482" w:firstLineChars="200"/>
              <w:outlineLvl w:val="0"/>
              <w:rPr>
                <w:rFonts w:asciiTheme="minorEastAsia" w:hAnsiTheme="minorEastAsia" w:eastAsiaTheme="minorEastAsia" w:cstheme="minorEastAsia"/>
                <w:sz w:val="24"/>
                <w:szCs w:val="24"/>
                <w:highlight w:val="none"/>
              </w:rPr>
            </w:pPr>
            <w:bookmarkStart w:id="48" w:name="_Toc28263"/>
            <w:bookmarkStart w:id="49" w:name="_Toc30791"/>
            <w:r>
              <w:rPr>
                <w:rFonts w:hint="eastAsia" w:asciiTheme="minorEastAsia" w:hAnsiTheme="minorEastAsia" w:eastAsiaTheme="minorEastAsia" w:cstheme="minorEastAsia"/>
                <w:b/>
                <w:bCs/>
                <w:sz w:val="24"/>
                <w:szCs w:val="24"/>
                <w:highlight w:val="none"/>
              </w:rPr>
              <w:t>二、质疑事项2：</w:t>
            </w:r>
            <w:bookmarkEnd w:id="48"/>
            <w:bookmarkEnd w:id="49"/>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50" w:name="_Toc10041"/>
            <w:bookmarkStart w:id="51" w:name="_Toc5157"/>
            <w:r>
              <w:rPr>
                <w:rFonts w:hint="eastAsia" w:asciiTheme="minorEastAsia" w:hAnsiTheme="minorEastAsia" w:eastAsiaTheme="minorEastAsia" w:cstheme="minorEastAsia"/>
                <w:sz w:val="24"/>
                <w:szCs w:val="24"/>
                <w:highlight w:val="none"/>
              </w:rPr>
              <w:t>主要内容：</w:t>
            </w:r>
            <w:bookmarkEnd w:id="50"/>
            <w:bookmarkEnd w:id="51"/>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52" w:name="_Toc2440"/>
            <w:bookmarkStart w:id="53" w:name="_Toc576"/>
            <w:r>
              <w:rPr>
                <w:rFonts w:hint="eastAsia" w:asciiTheme="minorEastAsia" w:hAnsiTheme="minorEastAsia" w:eastAsiaTheme="minorEastAsia" w:cstheme="minorEastAsia"/>
                <w:sz w:val="24"/>
                <w:szCs w:val="24"/>
                <w:highlight w:val="none"/>
              </w:rPr>
              <w:t>事实依据：</w:t>
            </w:r>
            <w:bookmarkEnd w:id="52"/>
            <w:bookmarkEnd w:id="53"/>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54" w:name="_Toc19804"/>
            <w:bookmarkStart w:id="55" w:name="_Toc32283"/>
            <w:r>
              <w:rPr>
                <w:rFonts w:hint="eastAsia" w:asciiTheme="minorEastAsia" w:hAnsiTheme="minorEastAsia" w:eastAsiaTheme="minorEastAsia" w:cstheme="minorEastAsia"/>
                <w:sz w:val="24"/>
                <w:szCs w:val="24"/>
                <w:highlight w:val="none"/>
              </w:rPr>
              <w:t>适应法规条款：</w:t>
            </w:r>
            <w:bookmarkEnd w:id="54"/>
            <w:bookmarkEnd w:id="55"/>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56" w:name="_Toc21267"/>
            <w:bookmarkStart w:id="57" w:name="_Toc20847"/>
            <w:r>
              <w:rPr>
                <w:rFonts w:hint="eastAsia" w:asciiTheme="minorEastAsia" w:hAnsiTheme="minorEastAsia" w:eastAsiaTheme="minorEastAsia" w:cstheme="minorEastAsia"/>
                <w:sz w:val="24"/>
                <w:szCs w:val="24"/>
                <w:highlight w:val="none"/>
              </w:rPr>
              <w:t>佐证材料： </w:t>
            </w:r>
            <w:bookmarkEnd w:id="56"/>
            <w:bookmarkEnd w:id="57"/>
          </w:p>
          <w:p>
            <w:pPr>
              <w:shd w:val="clear"/>
              <w:snapToGrid w:val="0"/>
              <w:spacing w:line="276" w:lineRule="auto"/>
              <w:ind w:firstLine="482" w:firstLineChars="200"/>
              <w:outlineLvl w:val="0"/>
              <w:rPr>
                <w:rFonts w:asciiTheme="minorEastAsia" w:hAnsiTheme="minorEastAsia" w:eastAsiaTheme="minorEastAsia" w:cstheme="minorEastAsia"/>
                <w:sz w:val="24"/>
                <w:szCs w:val="24"/>
                <w:highlight w:val="none"/>
              </w:rPr>
            </w:pPr>
            <w:bookmarkStart w:id="58" w:name="_Toc27781"/>
            <w:bookmarkStart w:id="59" w:name="_Toc25584"/>
            <w:r>
              <w:rPr>
                <w:rFonts w:hint="eastAsia" w:asciiTheme="minorEastAsia" w:hAnsiTheme="minorEastAsia" w:eastAsiaTheme="minorEastAsia" w:cstheme="minorEastAsia"/>
                <w:b/>
                <w:bCs/>
                <w:sz w:val="24"/>
                <w:szCs w:val="24"/>
                <w:highlight w:val="none"/>
              </w:rPr>
              <w:t>三、同上</w:t>
            </w:r>
            <w:bookmarkEnd w:id="58"/>
            <w:bookmarkEnd w:id="59"/>
          </w:p>
        </w:tc>
      </w:tr>
    </w:tbl>
    <w:p>
      <w:pPr>
        <w:shd w:val="clear"/>
        <w:snapToGrid w:val="0"/>
        <w:spacing w:line="440" w:lineRule="exact"/>
        <w:ind w:firstLine="482" w:firstLineChars="200"/>
        <w:outlineLvl w:val="0"/>
        <w:rPr>
          <w:rFonts w:asciiTheme="minorEastAsia" w:hAnsiTheme="minorEastAsia" w:eastAsiaTheme="minorEastAsia" w:cstheme="minorEastAsia"/>
          <w:b/>
          <w:bCs/>
          <w:sz w:val="24"/>
          <w:szCs w:val="24"/>
          <w:highlight w:val="none"/>
        </w:rPr>
      </w:pPr>
      <w:bookmarkStart w:id="60" w:name="_Toc1484"/>
      <w:bookmarkStart w:id="61" w:name="_Toc9069"/>
      <w:r>
        <w:rPr>
          <w:rFonts w:hint="eastAsia" w:asciiTheme="minorEastAsia" w:hAnsiTheme="minorEastAsia" w:eastAsiaTheme="minorEastAsia" w:cstheme="minorEastAsia"/>
          <w:b/>
          <w:bCs/>
          <w:sz w:val="24"/>
          <w:szCs w:val="24"/>
          <w:highlight w:val="none"/>
        </w:rPr>
        <w:t>质疑人（盖公章）：</w:t>
      </w:r>
      <w:bookmarkEnd w:id="60"/>
      <w:bookmarkEnd w:id="61"/>
    </w:p>
    <w:p>
      <w:pPr>
        <w:shd w:val="clear"/>
        <w:snapToGrid w:val="0"/>
        <w:spacing w:line="440" w:lineRule="exact"/>
        <w:ind w:firstLine="482" w:firstLineChars="200"/>
        <w:outlineLvl w:val="0"/>
        <w:rPr>
          <w:rFonts w:asciiTheme="minorEastAsia" w:hAnsiTheme="minorEastAsia" w:eastAsiaTheme="minorEastAsia" w:cstheme="minorEastAsia"/>
          <w:b/>
          <w:bCs/>
          <w:sz w:val="24"/>
          <w:szCs w:val="24"/>
          <w:highlight w:val="none"/>
        </w:rPr>
      </w:pPr>
      <w:bookmarkStart w:id="62" w:name="_Toc15635"/>
      <w:bookmarkStart w:id="63" w:name="_Toc18025"/>
      <w:r>
        <w:rPr>
          <w:rFonts w:hint="eastAsia" w:asciiTheme="minorEastAsia" w:hAnsiTheme="minorEastAsia" w:eastAsiaTheme="minorEastAsia" w:cstheme="minorEastAsia"/>
          <w:b/>
          <w:bCs/>
          <w:sz w:val="24"/>
          <w:szCs w:val="24"/>
          <w:highlight w:val="none"/>
        </w:rPr>
        <w:t>法定发表人（签字、盖章）：</w:t>
      </w:r>
      <w:bookmarkEnd w:id="62"/>
      <w:bookmarkEnd w:id="63"/>
    </w:p>
    <w:p>
      <w:pPr>
        <w:shd w:val="clear"/>
        <w:snapToGrid w:val="0"/>
        <w:spacing w:line="440" w:lineRule="exact"/>
        <w:ind w:firstLine="482" w:firstLineChars="200"/>
        <w:outlineLvl w:val="0"/>
        <w:rPr>
          <w:rFonts w:asciiTheme="minorEastAsia" w:hAnsiTheme="minorEastAsia" w:eastAsiaTheme="minorEastAsia" w:cstheme="minorEastAsia"/>
          <w:b/>
          <w:bCs/>
          <w:sz w:val="24"/>
          <w:szCs w:val="24"/>
          <w:highlight w:val="none"/>
        </w:rPr>
      </w:pPr>
      <w:bookmarkStart w:id="64" w:name="_Toc12827"/>
      <w:bookmarkStart w:id="65" w:name="_Toc9674"/>
      <w:r>
        <w:rPr>
          <w:rFonts w:hint="eastAsia" w:asciiTheme="minorEastAsia" w:hAnsiTheme="minorEastAsia" w:eastAsiaTheme="minorEastAsia" w:cstheme="minorEastAsia"/>
          <w:b/>
          <w:bCs/>
          <w:sz w:val="24"/>
          <w:szCs w:val="24"/>
          <w:highlight w:val="none"/>
        </w:rPr>
        <w:t>授权代理人（签字）：</w:t>
      </w:r>
      <w:bookmarkEnd w:id="64"/>
      <w:bookmarkEnd w:id="65"/>
    </w:p>
    <w:p>
      <w:pPr>
        <w:shd w:val="clear"/>
        <w:snapToGrid w:val="0"/>
        <w:spacing w:line="440" w:lineRule="exact"/>
        <w:ind w:firstLine="482" w:firstLineChars="200"/>
        <w:outlineLvl w:val="0"/>
        <w:rPr>
          <w:rFonts w:asciiTheme="minorEastAsia" w:hAnsiTheme="minorEastAsia" w:eastAsiaTheme="minorEastAsia" w:cstheme="minorEastAsia"/>
          <w:b/>
          <w:bCs/>
          <w:sz w:val="24"/>
          <w:szCs w:val="24"/>
          <w:highlight w:val="none"/>
        </w:rPr>
      </w:pPr>
      <w:bookmarkStart w:id="66" w:name="_Toc10390"/>
      <w:bookmarkStart w:id="67" w:name="_Toc21978"/>
      <w:r>
        <w:rPr>
          <w:rFonts w:hint="eastAsia" w:asciiTheme="minorEastAsia" w:hAnsiTheme="minorEastAsia" w:eastAsiaTheme="minorEastAsia" w:cstheme="minorEastAsia"/>
          <w:b/>
          <w:bCs/>
          <w:sz w:val="24"/>
          <w:szCs w:val="24"/>
          <w:highlight w:val="none"/>
        </w:rPr>
        <w:t>日期：年  月 日</w:t>
      </w:r>
      <w:bookmarkEnd w:id="66"/>
      <w:bookmarkEnd w:id="67"/>
    </w:p>
    <w:p>
      <w:pPr>
        <w:shd w:val="clear"/>
        <w:snapToGrid w:val="0"/>
        <w:spacing w:line="440" w:lineRule="exact"/>
        <w:ind w:firstLine="482" w:firstLineChars="200"/>
        <w:outlineLvl w:val="0"/>
        <w:rPr>
          <w:rFonts w:asciiTheme="minorEastAsia" w:hAnsiTheme="minorEastAsia" w:eastAsiaTheme="minorEastAsia" w:cstheme="minorEastAsia"/>
          <w:sz w:val="24"/>
          <w:szCs w:val="24"/>
          <w:highlight w:val="none"/>
        </w:rPr>
      </w:pPr>
      <w:bookmarkStart w:id="68" w:name="_Toc10187"/>
      <w:bookmarkStart w:id="69" w:name="_Toc3990"/>
      <w:r>
        <w:rPr>
          <w:rFonts w:hint="eastAsia" w:asciiTheme="minorEastAsia" w:hAnsiTheme="minorEastAsia" w:eastAsiaTheme="minorEastAsia" w:cstheme="minorEastAsia"/>
          <w:b/>
          <w:bCs/>
          <w:sz w:val="24"/>
          <w:szCs w:val="24"/>
          <w:highlight w:val="none"/>
        </w:rPr>
        <w:t>备注：</w:t>
      </w:r>
      <w:bookmarkEnd w:id="68"/>
      <w:bookmarkEnd w:id="69"/>
    </w:p>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70" w:name="_Toc21980"/>
      <w:bookmarkStart w:id="71" w:name="_Toc26970"/>
      <w:r>
        <w:rPr>
          <w:rFonts w:hint="eastAsia" w:asciiTheme="minorEastAsia" w:hAnsiTheme="minorEastAsia" w:eastAsiaTheme="minorEastAsia" w:cstheme="minorEastAsia"/>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70"/>
      <w:bookmarkEnd w:id="71"/>
    </w:p>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72" w:name="_Toc29109"/>
      <w:bookmarkStart w:id="73" w:name="_Toc29931"/>
      <w:r>
        <w:rPr>
          <w:rFonts w:hint="eastAsia" w:asciiTheme="minorEastAsia" w:hAnsiTheme="minorEastAsia" w:eastAsiaTheme="minorEastAsia" w:cstheme="minorEastAsia"/>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2"/>
      <w:bookmarkEnd w:id="73"/>
    </w:p>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74" w:name="_Toc22283"/>
      <w:bookmarkStart w:id="75" w:name="_Toc22526"/>
      <w:r>
        <w:rPr>
          <w:rFonts w:hint="eastAsia" w:asciiTheme="minorEastAsia" w:hAnsiTheme="minorEastAsia" w:eastAsiaTheme="minorEastAsia" w:cstheme="minorEastAsia"/>
          <w:sz w:val="24"/>
          <w:szCs w:val="24"/>
          <w:highlight w:val="none"/>
        </w:rPr>
        <w:t>3、“具体的质疑事项及事实依据”一栏填写不下时，质疑人可另附页（A4），但附纸要求加盖质疑人公章。</w:t>
      </w:r>
      <w:bookmarkEnd w:id="74"/>
      <w:bookmarkEnd w:id="75"/>
    </w:p>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76" w:name="_Toc13249"/>
      <w:bookmarkStart w:id="77" w:name="_Toc29680"/>
      <w:r>
        <w:rPr>
          <w:rFonts w:hint="eastAsia" w:asciiTheme="minorEastAsia" w:hAnsiTheme="minorEastAsia" w:eastAsiaTheme="minorEastAsia" w:cstheme="minorEastAsia"/>
          <w:sz w:val="24"/>
          <w:szCs w:val="24"/>
          <w:highlight w:val="none"/>
        </w:rPr>
        <w:t>4、与质疑事项有关的材料应与质疑函合并装订。</w:t>
      </w:r>
      <w:bookmarkEnd w:id="76"/>
      <w:bookmarkEnd w:id="77"/>
    </w:p>
    <w:p>
      <w:pPr>
        <w:shd w:val="clear"/>
        <w:snapToGrid w:val="0"/>
        <w:spacing w:line="440" w:lineRule="exact"/>
        <w:ind w:firstLine="480"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b/>
          <w:bCs/>
          <w:sz w:val="24"/>
          <w:szCs w:val="24"/>
          <w:highlight w:val="none"/>
        </w:rPr>
        <w:t>质疑函一式三份。</w:t>
      </w:r>
    </w:p>
    <w:p>
      <w:pPr>
        <w:pStyle w:val="4"/>
        <w:shd w:val="clear"/>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sz w:val="24"/>
          <w:szCs w:val="24"/>
          <w:highlight w:val="none"/>
        </w:rPr>
        <w:br w:type="page"/>
      </w:r>
      <w:bookmarkStart w:id="78" w:name="_Toc4069"/>
      <w:bookmarkStart w:id="79" w:name="_Toc3729"/>
      <w:r>
        <w:rPr>
          <w:rFonts w:hint="eastAsia" w:asciiTheme="minorEastAsia" w:hAnsiTheme="minorEastAsia" w:eastAsiaTheme="minorEastAsia" w:cstheme="minorEastAsia"/>
          <w:sz w:val="28"/>
          <w:szCs w:val="28"/>
          <w:highlight w:val="none"/>
        </w:rPr>
        <w:t>第三部分 采购合同</w:t>
      </w:r>
    </w:p>
    <w:bookmarkEnd w:id="78"/>
    <w:bookmarkEnd w:id="79"/>
    <w:p>
      <w:pPr>
        <w:shd w:val="clear"/>
        <w:spacing w:line="360" w:lineRule="auto"/>
        <w:jc w:val="center"/>
        <w:rPr>
          <w:rFonts w:hint="eastAsia" w:asciiTheme="minorEastAsia" w:hAnsiTheme="minorEastAsia" w:eastAsiaTheme="minorEastAsia" w:cstheme="minorEastAsia"/>
          <w:b/>
          <w:bCs/>
          <w:color w:val="000000"/>
          <w:sz w:val="32"/>
          <w:szCs w:val="32"/>
          <w:highlight w:val="none"/>
        </w:rPr>
      </w:pPr>
      <w:r>
        <w:rPr>
          <w:rFonts w:hint="eastAsia" w:asciiTheme="minorEastAsia" w:hAnsiTheme="minorEastAsia" w:eastAsiaTheme="minorEastAsia" w:cstheme="minorEastAsia"/>
          <w:b/>
          <w:bCs/>
          <w:color w:val="000000"/>
          <w:sz w:val="32"/>
          <w:szCs w:val="32"/>
          <w:highlight w:val="none"/>
        </w:rPr>
        <w:t>新疆科技学院(设备类招标采购）供货合同</w:t>
      </w:r>
    </w:p>
    <w:p>
      <w:pPr>
        <w:shd w:val="clear"/>
        <w:spacing w:line="360" w:lineRule="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color w:val="000000"/>
          <w:sz w:val="24"/>
          <w:szCs w:val="24"/>
          <w:highlight w:val="none"/>
        </w:rPr>
        <w:t>甲   方：</w:t>
      </w:r>
      <w:r>
        <w:rPr>
          <w:rFonts w:hint="eastAsia" w:asciiTheme="minorEastAsia" w:hAnsiTheme="minorEastAsia" w:eastAsiaTheme="minorEastAsia" w:cstheme="minorEastAsia"/>
          <w:b/>
          <w:bCs/>
          <w:color w:val="000000"/>
          <w:sz w:val="24"/>
          <w:szCs w:val="24"/>
          <w:highlight w:val="none"/>
        </w:rPr>
        <w:t>新疆科技学院</w:t>
      </w:r>
    </w:p>
    <w:p>
      <w:pPr>
        <w:shd w:val="clea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乙   方：       </w:t>
      </w:r>
    </w:p>
    <w:p>
      <w:pPr>
        <w:shd w:val="clea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按照</w:t>
      </w:r>
      <w:r>
        <w:rPr>
          <w:rFonts w:hint="eastAsia" w:asciiTheme="minorEastAsia" w:hAnsiTheme="minorEastAsia" w:eastAsiaTheme="minorEastAsia" w:cstheme="minorEastAsia"/>
          <w:sz w:val="24"/>
          <w:szCs w:val="24"/>
          <w:highlight w:val="none"/>
        </w:rPr>
        <w:t xml:space="preserve">20  年  月   </w:t>
      </w:r>
      <w:r>
        <w:rPr>
          <w:rFonts w:hint="eastAsia" w:asciiTheme="minorEastAsia" w:hAnsiTheme="minorEastAsia" w:eastAsiaTheme="minorEastAsia" w:cstheme="minorEastAsia"/>
          <w:color w:val="000000"/>
          <w:sz w:val="24"/>
          <w:szCs w:val="24"/>
          <w:highlight w:val="none"/>
        </w:rPr>
        <w:t>日组织的招标文件编号为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的</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项目，经评定，乙方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为</w:t>
      </w:r>
      <w:r>
        <w:rPr>
          <w:rFonts w:hint="eastAsia" w:asciiTheme="minorEastAsia" w:hAnsiTheme="minorEastAsia" w:eastAsiaTheme="minorEastAsia" w:cstheme="minorEastAsia"/>
          <w:color w:val="000000"/>
          <w:sz w:val="24"/>
          <w:szCs w:val="24"/>
          <w:highlight w:val="none"/>
          <w:u w:val="single"/>
        </w:rPr>
        <w:t>第     项目</w:t>
      </w:r>
      <w:r>
        <w:rPr>
          <w:rFonts w:hint="eastAsia" w:asciiTheme="minorEastAsia" w:hAnsiTheme="minorEastAsia" w:eastAsiaTheme="minorEastAsia" w:cstheme="minorEastAsia"/>
          <w:color w:val="000000"/>
          <w:sz w:val="24"/>
          <w:szCs w:val="24"/>
          <w:highlight w:val="none"/>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5"/>
        </w:numPr>
        <w:shd w:val="clea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设备名称、型号、数量及价格</w:t>
      </w:r>
    </w:p>
    <w:tbl>
      <w:tblPr>
        <w:tblStyle w:val="26"/>
        <w:tblW w:w="8517" w:type="dxa"/>
        <w:tblInd w:w="0" w:type="dxa"/>
        <w:tblLayout w:type="fixed"/>
        <w:tblCellMar>
          <w:top w:w="0" w:type="dxa"/>
          <w:left w:w="108" w:type="dxa"/>
          <w:bottom w:w="0" w:type="dxa"/>
          <w:right w:w="108" w:type="dxa"/>
        </w:tblCellMar>
      </w:tblPr>
      <w:tblGrid>
        <w:gridCol w:w="1029"/>
        <w:gridCol w:w="1475"/>
        <w:gridCol w:w="1877"/>
        <w:gridCol w:w="1376"/>
        <w:gridCol w:w="751"/>
        <w:gridCol w:w="1000"/>
        <w:gridCol w:w="1009"/>
      </w:tblGrid>
      <w:tr>
        <w:tblPrEx>
          <w:tblCellMar>
            <w:top w:w="0" w:type="dxa"/>
            <w:left w:w="108" w:type="dxa"/>
            <w:bottom w:w="0" w:type="dxa"/>
            <w:right w:w="108" w:type="dxa"/>
          </w:tblCellMar>
        </w:tblPrEx>
        <w:trPr>
          <w:trHeight w:val="751" w:hRule="exact"/>
        </w:trPr>
        <w:tc>
          <w:tcPr>
            <w:tcW w:w="102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475"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877"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376"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751"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000"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009"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trHeight w:val="665" w:hRule="exact"/>
        </w:trPr>
        <w:tc>
          <w:tcPr>
            <w:tcW w:w="1029" w:type="dxa"/>
            <w:tcBorders>
              <w:top w:val="nil"/>
              <w:left w:val="single" w:color="auto" w:sz="4" w:space="0"/>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475"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 </w:t>
            </w:r>
          </w:p>
        </w:tc>
        <w:tc>
          <w:tcPr>
            <w:tcW w:w="1877"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c>
          <w:tcPr>
            <w:tcW w:w="1376"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c>
          <w:tcPr>
            <w:tcW w:w="751"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c>
          <w:tcPr>
            <w:tcW w:w="1000"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c>
          <w:tcPr>
            <w:tcW w:w="1009"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r>
      <w:tr>
        <w:tblPrEx>
          <w:tblCellMar>
            <w:top w:w="0" w:type="dxa"/>
            <w:left w:w="108" w:type="dxa"/>
            <w:bottom w:w="0" w:type="dxa"/>
            <w:right w:w="108" w:type="dxa"/>
          </w:tblCellMar>
        </w:tblPrEx>
        <w:trPr>
          <w:trHeight w:val="1300" w:hRule="exact"/>
        </w:trPr>
        <w:tc>
          <w:tcPr>
            <w:tcW w:w="8517" w:type="dxa"/>
            <w:gridSpan w:val="7"/>
            <w:tcBorders>
              <w:top w:val="single" w:color="auto" w:sz="4" w:space="0"/>
              <w:left w:val="single" w:color="auto" w:sz="4" w:space="0"/>
              <w:bottom w:val="single" w:color="auto" w:sz="4" w:space="0"/>
              <w:right w:val="single" w:color="auto" w:sz="4" w:space="0"/>
            </w:tcBorders>
            <w:vAlign w:val="center"/>
          </w:tcPr>
          <w:p>
            <w:pPr>
              <w:shd w:val="clea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总计：大写人民币</w:t>
            </w:r>
            <w:r>
              <w:rPr>
                <w:rFonts w:hint="eastAsia" w:asciiTheme="minorEastAsia" w:hAnsiTheme="minorEastAsia" w:eastAsiaTheme="minorEastAsia" w:cstheme="minorEastAsia"/>
                <w:color w:val="000000"/>
                <w:kern w:val="0"/>
                <w:sz w:val="24"/>
                <w:szCs w:val="24"/>
                <w:highlight w:val="none"/>
                <w:u w:val="single"/>
              </w:rPr>
              <w:t xml:space="preserve">       元整</w:t>
            </w:r>
            <w:r>
              <w:rPr>
                <w:rFonts w:hint="eastAsia" w:asciiTheme="minorEastAsia" w:hAnsiTheme="minorEastAsia" w:eastAsiaTheme="minorEastAsia" w:cstheme="minorEastAsia"/>
                <w:color w:val="000000"/>
                <w:sz w:val="24"/>
                <w:szCs w:val="24"/>
                <w:highlight w:val="none"/>
              </w:rPr>
              <w:t>，小写</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元</w:t>
            </w:r>
            <w:r>
              <w:rPr>
                <w:rFonts w:hint="eastAsia" w:asciiTheme="minorEastAsia" w:hAnsiTheme="minorEastAsia" w:eastAsiaTheme="minorEastAsia" w:cstheme="minorEastAsia"/>
                <w:color w:val="000000"/>
                <w:sz w:val="24"/>
                <w:szCs w:val="24"/>
                <w:highlight w:val="none"/>
              </w:rPr>
              <w:t>（包括但不限于运输费、保险费及所配套的土建、吊装就位，培训、安装、调试等所有相关费用）</w:t>
            </w:r>
          </w:p>
        </w:tc>
      </w:tr>
    </w:tbl>
    <w:p>
      <w:pPr>
        <w:shd w:val="clea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二、报价币种、合同总价</w:t>
      </w:r>
    </w:p>
    <w:p>
      <w:pPr>
        <w:shd w:val="clea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1、本合同总金额为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元，大写人民币</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元整</w:t>
      </w:r>
      <w:r>
        <w:rPr>
          <w:rFonts w:hint="eastAsia" w:asciiTheme="minorEastAsia" w:hAnsiTheme="minorEastAsia" w:eastAsiaTheme="minorEastAsia" w:cstheme="minorEastAsia"/>
          <w:color w:val="000000"/>
          <w:sz w:val="24"/>
          <w:szCs w:val="24"/>
          <w:highlight w:val="none"/>
        </w:rPr>
        <w:t>，含税及运费、安装、调试等所有相关费用。</w:t>
      </w:r>
    </w:p>
    <w:p>
      <w:pPr>
        <w:shd w:val="clea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三、付款方式</w:t>
      </w:r>
    </w:p>
    <w:p>
      <w:pPr>
        <w:shd w:val="clea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付款方式：合同签订后支付合同总额的30%，设备安装调试完成并验收合格后支付合同总额的70%（具体付款时间以合同签订内容为准）。乙方应当在申请付款前，开具符合甲方要求的足额发票，否则甲方有权延期付款且不承担逾期付款的违约责任。质保期自甲方书面验收合格之日起计算。</w:t>
      </w:r>
    </w:p>
    <w:p>
      <w:pPr>
        <w:shd w:val="clea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2、履约保证金：合同金额的10%，以支票、汇票、本票或者金融机构、担保机构出具的保函等非现金形式。在合同签订后7日内向新疆科技学院财务处提供，在验收合格后无息退还。</w:t>
      </w:r>
    </w:p>
    <w:p>
      <w:pPr>
        <w:shd w:val="clear"/>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乙方账户信息如下：</w:t>
      </w:r>
    </w:p>
    <w:p>
      <w:pPr>
        <w:shd w:val="clear"/>
        <w:spacing w:line="360" w:lineRule="auto"/>
        <w:ind w:firstLine="482" w:firstLineChars="200"/>
        <w:rPr>
          <w:rFonts w:hint="eastAsia" w:asciiTheme="minorEastAsia" w:hAnsiTheme="minorEastAsia" w:eastAsiaTheme="minorEastAsia" w:cstheme="minorEastAsia"/>
          <w:b/>
          <w:kern w:val="0"/>
          <w:sz w:val="24"/>
          <w:szCs w:val="24"/>
          <w:highlight w:val="none"/>
          <w:u w:val="single"/>
        </w:rPr>
      </w:pPr>
      <w:r>
        <w:rPr>
          <w:rFonts w:hint="eastAsia" w:asciiTheme="minorEastAsia" w:hAnsiTheme="minorEastAsia" w:eastAsiaTheme="minorEastAsia" w:cstheme="minorEastAsia"/>
          <w:b/>
          <w:kern w:val="0"/>
          <w:sz w:val="24"/>
          <w:szCs w:val="24"/>
          <w:highlight w:val="none"/>
        </w:rPr>
        <w:t>开户名称：</w:t>
      </w:r>
      <w:r>
        <w:rPr>
          <w:rFonts w:hint="eastAsia" w:asciiTheme="minorEastAsia" w:hAnsiTheme="minorEastAsia" w:eastAsiaTheme="minorEastAsia" w:cstheme="minorEastAsia"/>
          <w:b/>
          <w:kern w:val="0"/>
          <w:sz w:val="24"/>
          <w:szCs w:val="24"/>
          <w:highlight w:val="none"/>
          <w:u w:val="single"/>
        </w:rPr>
        <w:t xml:space="preserve">                              </w:t>
      </w:r>
    </w:p>
    <w:p>
      <w:pPr>
        <w:shd w:val="clear"/>
        <w:spacing w:line="360" w:lineRule="auto"/>
        <w:ind w:firstLine="482" w:firstLineChars="200"/>
        <w:rPr>
          <w:rFonts w:hint="eastAsia" w:asciiTheme="minorEastAsia" w:hAnsiTheme="minorEastAsia" w:eastAsiaTheme="minorEastAsia" w:cstheme="minorEastAsia"/>
          <w:b/>
          <w:kern w:val="0"/>
          <w:sz w:val="24"/>
          <w:szCs w:val="24"/>
          <w:highlight w:val="none"/>
          <w:u w:val="single"/>
        </w:rPr>
      </w:pPr>
      <w:r>
        <w:rPr>
          <w:rFonts w:hint="eastAsia" w:asciiTheme="minorEastAsia" w:hAnsiTheme="minorEastAsia" w:eastAsiaTheme="minorEastAsia" w:cstheme="minorEastAsia"/>
          <w:b/>
          <w:kern w:val="0"/>
          <w:sz w:val="24"/>
          <w:szCs w:val="24"/>
          <w:highlight w:val="none"/>
        </w:rPr>
        <w:t>账    号：</w:t>
      </w:r>
      <w:r>
        <w:rPr>
          <w:rFonts w:hint="eastAsia" w:asciiTheme="minorEastAsia" w:hAnsiTheme="minorEastAsia" w:eastAsiaTheme="minorEastAsia" w:cstheme="minorEastAsia"/>
          <w:b/>
          <w:kern w:val="0"/>
          <w:sz w:val="24"/>
          <w:szCs w:val="24"/>
          <w:highlight w:val="none"/>
          <w:u w:val="single"/>
        </w:rPr>
        <w:t xml:space="preserve">                             </w:t>
      </w:r>
    </w:p>
    <w:p>
      <w:pPr>
        <w:shd w:val="clear"/>
        <w:spacing w:line="360" w:lineRule="auto"/>
        <w:ind w:firstLine="482" w:firstLineChars="200"/>
        <w:rPr>
          <w:rFonts w:hint="eastAsia" w:asciiTheme="minorEastAsia" w:hAnsiTheme="minorEastAsia" w:eastAsiaTheme="minorEastAsia" w:cstheme="minorEastAsia"/>
          <w:b/>
          <w:kern w:val="0"/>
          <w:sz w:val="24"/>
          <w:szCs w:val="24"/>
          <w:highlight w:val="none"/>
          <w:u w:val="single"/>
        </w:rPr>
      </w:pPr>
      <w:r>
        <w:rPr>
          <w:rFonts w:hint="eastAsia" w:asciiTheme="minorEastAsia" w:hAnsiTheme="minorEastAsia" w:eastAsiaTheme="minorEastAsia" w:cstheme="minorEastAsia"/>
          <w:b/>
          <w:kern w:val="0"/>
          <w:sz w:val="24"/>
          <w:szCs w:val="24"/>
          <w:highlight w:val="none"/>
        </w:rPr>
        <w:t>开 户 行：</w:t>
      </w:r>
      <w:r>
        <w:rPr>
          <w:rFonts w:hint="eastAsia" w:asciiTheme="minorEastAsia" w:hAnsiTheme="minorEastAsia" w:eastAsiaTheme="minorEastAsia" w:cstheme="minorEastAsia"/>
          <w:b/>
          <w:kern w:val="0"/>
          <w:sz w:val="24"/>
          <w:szCs w:val="24"/>
          <w:highlight w:val="none"/>
          <w:u w:val="single"/>
        </w:rPr>
        <w:t xml:space="preserve">                              </w:t>
      </w:r>
    </w:p>
    <w:p>
      <w:pPr>
        <w:shd w:val="clear"/>
        <w:spacing w:line="360" w:lineRule="auto"/>
        <w:ind w:firstLine="480" w:firstLineChars="200"/>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color w:val="000000"/>
          <w:sz w:val="24"/>
          <w:szCs w:val="24"/>
          <w:highlight w:val="none"/>
        </w:rPr>
        <w:t>2. 本合同约定价款为含税价，乙方应在甲方付款前提供符合甲方财务做账需求的等额增值税专用发票，否则甲方有权拒付款项且不承担违约责任。</w:t>
      </w:r>
    </w:p>
    <w:p>
      <w:pPr>
        <w:shd w:val="clea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四、交货地点、时间</w:t>
      </w:r>
    </w:p>
    <w:p>
      <w:pPr>
        <w:pStyle w:val="96"/>
        <w:shd w:val="clear"/>
        <w:spacing w:line="360" w:lineRule="auto"/>
        <w:ind w:firstLine="470" w:firstLineChars="196"/>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甲方指定的地点：库尔勒市北京路新疆科技学院（学院/部门名称：    ）；具体以甲方通知时指定交货地点为准。 </w:t>
      </w:r>
    </w:p>
    <w:p>
      <w:pPr>
        <w:pStyle w:val="11"/>
        <w:shd w:val="clea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交货时间：自合同签订之日起</w:t>
      </w:r>
      <w:r>
        <w:rPr>
          <w:rFonts w:hint="eastAsia" w:asciiTheme="minorEastAsia" w:hAnsiTheme="minorEastAsia" w:eastAsiaTheme="minorEastAsia" w:cstheme="minorEastAsia"/>
          <w:color w:val="000000"/>
          <w:sz w:val="24"/>
          <w:szCs w:val="24"/>
          <w:highlight w:val="none"/>
          <w:lang w:val="en-US" w:eastAsia="zh-CN"/>
        </w:rPr>
        <w:t>30</w:t>
      </w:r>
      <w:r>
        <w:rPr>
          <w:rFonts w:hint="eastAsia" w:asciiTheme="minorEastAsia" w:hAnsiTheme="minorEastAsia" w:eastAsiaTheme="minorEastAsia" w:cstheme="minorEastAsia"/>
          <w:color w:val="000000"/>
          <w:sz w:val="24"/>
          <w:szCs w:val="24"/>
          <w:highlight w:val="none"/>
        </w:rPr>
        <w:t>日内供货并安装调试完毕并通过甲方书面验收。</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五、产品质量保证</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1、乙方保证提供的</w:t>
      </w:r>
      <w:r>
        <w:rPr>
          <w:rFonts w:hint="eastAsia" w:asciiTheme="minorEastAsia" w:hAnsiTheme="minorEastAsia" w:eastAsiaTheme="minorEastAsia" w:cstheme="minorEastAsia"/>
          <w:sz w:val="24"/>
          <w:szCs w:val="24"/>
          <w:highlight w:val="none"/>
          <w:u w:val="thick"/>
        </w:rPr>
        <w:t>合同内全部产品</w:t>
      </w:r>
      <w:r>
        <w:rPr>
          <w:rFonts w:hint="eastAsia" w:asciiTheme="minorEastAsia" w:hAnsiTheme="minorEastAsia" w:eastAsiaTheme="minorEastAsia" w:cstheme="minorEastAsia"/>
          <w:sz w:val="24"/>
          <w:szCs w:val="24"/>
          <w:highlight w:val="none"/>
        </w:rPr>
        <w:t>为全新的产品。</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2、乙方所提供的</w:t>
      </w:r>
      <w:r>
        <w:rPr>
          <w:rFonts w:hint="eastAsia" w:asciiTheme="minorEastAsia" w:hAnsiTheme="minorEastAsia" w:eastAsiaTheme="minorEastAsia" w:cstheme="minorEastAsia"/>
          <w:sz w:val="24"/>
          <w:szCs w:val="24"/>
          <w:highlight w:val="none"/>
          <w:u w:val="thick"/>
        </w:rPr>
        <w:t>合同内全部产品</w:t>
      </w:r>
      <w:r>
        <w:rPr>
          <w:rFonts w:hint="eastAsia" w:asciiTheme="minorEastAsia" w:hAnsiTheme="minorEastAsia" w:eastAsiaTheme="minorEastAsia" w:cstheme="minorEastAsia"/>
          <w:sz w:val="24"/>
          <w:szCs w:val="24"/>
          <w:highlight w:val="none"/>
        </w:rPr>
        <w:t>的型号、数量、规格及技术、质量标准、售后服务必须满足招标文件要求。</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3、乙方保证提供的合同内全部产品设备按国家标准要求制作，质量完全满足用户的要求并能满足甲方的使用需求。</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六、质量保证期</w:t>
      </w:r>
    </w:p>
    <w:p>
      <w:pPr>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1、合同内设备质保期至少为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年，具体质保期以相关产品生产厂家提供的质保期为准。生产厂家提供的质保期少于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年的，以</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年为准；生产厂家提供的质保期长于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七、技术资料</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乙方需向甲方提供下述资料：</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所供设备的型号、规格、数量及生产厂家的产品检验证书、出厂检验报告、使用说明书等。</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八、包装及验收</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1、所提供设备必须进行包装，免收包装费，包装物不回收。</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2、因包装原因造成合同标的物在运输过程中丢失的、损坏的，乙方承担全部责任。</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4、验收期限：甲方需在乙方交货、安装调试完毕后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日内完成验收，如遇特殊情况，双方应另行协商确定验收时间。</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5、设备风险自通过甲方书面验收并交付甲方之后转移。</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九、甲、乙双方的权利及义务</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1、若甲方对订购的设备有任何更改，包括设备的型号、品种、规格、数量、颜色、交货期等事宜，应书面通知乙方，交货期从变更之日起顺延。若乙方接到通知后不予更改，由此造成的甲方损失，由乙方承担。</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2、若乙方在交货时，由于甲方的原因或要求，不能及时将设备送达指定地点和验收时，则乙方可按甲方要求延期交货，甲方向乙方出具书面确认书。</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3、若甲方在验收后的质量保证期内，发现设备内有部分出现质量问题，应及时通知乙方，若需要更换时，乙方应在接到通知后10天内给予更换。</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4、乙方须按合同要求提供质量合格的设备，如期交付至甲方指定的交货地点。合同标的物需安装调试的，乙方提供免费的安装调试。</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5、乙方对售予甲方的设备提供的质量保证期的质量保证范围，不包括意外事件、不可抗力原因及甲方的违规使用。</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十、合同变更、违约及其它</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2、乙方必须在本合同规定的时间内按时交货，否则由乙方负责承担全部责任。乙方逾期交货的，按日承担合同总额千分之五的违约金；逾期交货超过【 15 】天的，甲方有权单方解除合同，乙方除退还货款外还应当</w:t>
      </w:r>
      <w:r>
        <w:rPr>
          <w:rFonts w:hint="eastAsia" w:asciiTheme="minorEastAsia" w:hAnsiTheme="minorEastAsia" w:eastAsiaTheme="minorEastAsia" w:cstheme="minorEastAsia"/>
          <w:color w:val="000000"/>
          <w:sz w:val="24"/>
          <w:szCs w:val="24"/>
          <w:highlight w:val="none"/>
        </w:rPr>
        <w:t>另行</w:t>
      </w:r>
      <w:r>
        <w:rPr>
          <w:rFonts w:hint="eastAsia" w:asciiTheme="minorEastAsia" w:hAnsiTheme="minorEastAsia" w:eastAsiaTheme="minorEastAsia" w:cstheme="minorEastAsia"/>
          <w:sz w:val="24"/>
          <w:szCs w:val="24"/>
          <w:highlight w:val="none"/>
        </w:rPr>
        <w:t>承担合同总额【 20】%的违约金。</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pStyle w:val="96"/>
        <w:shd w:val="clea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hint="eastAsia" w:asciiTheme="minorEastAsia" w:hAnsiTheme="minorEastAsia" w:eastAsiaTheme="minorEastAsia" w:cstheme="minorEastAsia"/>
          <w:color w:val="auto"/>
          <w:sz w:val="24"/>
          <w:szCs w:val="24"/>
          <w:highlight w:val="none"/>
        </w:rPr>
        <w:t>违约金数额不得超过应付未付金额的10%</w:t>
      </w:r>
      <w:r>
        <w:rPr>
          <w:rFonts w:hint="eastAsia" w:asciiTheme="minorEastAsia" w:hAnsiTheme="minorEastAsia" w:eastAsiaTheme="minorEastAsia" w:cstheme="minorEastAsia"/>
          <w:sz w:val="24"/>
          <w:szCs w:val="24"/>
          <w:highlight w:val="none"/>
        </w:rPr>
        <w:t>。</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5、合同文本不得涂改，如需修改应在合同附件中注明。经甲、乙双方协商达成一致修改意见，需经甲、乙双方代表共同签署此附件，方能生效。</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6、招标文件、投标文件、询价文件、报价文件及谈判会议上的答疑记录等均作为合同的附件，是本合同不可分割的组成部分，均与本合同具有同等法律效力，本合同未述及和不详之处，以附件为准。</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7、合同经甲、乙双方法定代表人或授权代理人签字（盖章）并加盖单位公章后立即生效。</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8、甲、乙双方发生争议时，应先协商解决，经协商不能达成协议时，任何一方均可向</w:t>
      </w:r>
      <w:r>
        <w:rPr>
          <w:rFonts w:hint="eastAsia" w:asciiTheme="minorEastAsia" w:hAnsiTheme="minorEastAsia" w:eastAsiaTheme="minorEastAsia" w:cstheme="minorEastAsia"/>
          <w:sz w:val="24"/>
          <w:szCs w:val="24"/>
          <w:highlight w:val="none"/>
          <w:u w:val="single"/>
        </w:rPr>
        <w:t>甲方所在地</w:t>
      </w:r>
      <w:r>
        <w:rPr>
          <w:rFonts w:hint="eastAsia" w:asciiTheme="minorEastAsia" w:hAnsiTheme="minorEastAsia" w:eastAsiaTheme="minorEastAsia" w:cstheme="minorEastAsia"/>
          <w:sz w:val="24"/>
          <w:szCs w:val="24"/>
          <w:highlight w:val="none"/>
        </w:rPr>
        <w:t>人民法院提起诉讼。</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9、合同一式陆份，甲方执叁份，乙方执叁份。</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10、乙方向甲方提供专业的售后服务工程师并提供专人长期驻扎甲方（发生的所有相关费用均由乙方自行承担），保证第一时间解决问题。</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11、一方违约，还应赔偿守约方因此遭受的其他损失，包括为主张权益所支付的律师费、交通费、公证费、鉴定费、评估费等全部费用。</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12、乙方违约的，甲方有权将相应违约金从应给乙方支付的货款中直接予以扣除。</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13、本合同尾部载明的双方地址、电话等信息，系双方有效联系方式，如发生变更，应提前书面通知另一方，否则依该联系方式送达相关文书的，视为送达成功。</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15、未经另外一方的事先书面同意，任何一方均不得向第三方或其关联企业转让本协议项下的权利义务。</w:t>
      </w:r>
    </w:p>
    <w:tbl>
      <w:tblPr>
        <w:tblStyle w:val="26"/>
        <w:tblW w:w="8519" w:type="dxa"/>
        <w:jc w:val="center"/>
        <w:tblLayout w:type="fixed"/>
        <w:tblCellMar>
          <w:top w:w="0" w:type="dxa"/>
          <w:left w:w="108" w:type="dxa"/>
          <w:bottom w:w="0" w:type="dxa"/>
          <w:right w:w="108" w:type="dxa"/>
        </w:tblCellMar>
      </w:tblPr>
      <w:tblGrid>
        <w:gridCol w:w="1226"/>
        <w:gridCol w:w="2543"/>
        <w:gridCol w:w="1360"/>
        <w:gridCol w:w="3390"/>
      </w:tblGrid>
      <w:tr>
        <w:tblPrEx>
          <w:tblCellMar>
            <w:top w:w="0" w:type="dxa"/>
            <w:left w:w="108" w:type="dxa"/>
            <w:bottom w:w="0" w:type="dxa"/>
            <w:right w:w="108" w:type="dxa"/>
          </w:tblCellMar>
        </w:tblPrEx>
        <w:trPr>
          <w:trHeight w:val="590" w:hRule="atLeast"/>
          <w:jc w:val="center"/>
        </w:trPr>
        <w:tc>
          <w:tcPr>
            <w:tcW w:w="1226"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360"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26"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p>
        </w:tc>
        <w:tc>
          <w:tcPr>
            <w:tcW w:w="2543" w:type="dxa"/>
            <w:vAlign w:val="center"/>
          </w:tcPr>
          <w:p>
            <w:pPr>
              <w:pStyle w:val="96"/>
              <w:shd w:val="clear"/>
              <w:spacing w:line="520" w:lineRule="exact"/>
              <w:ind w:right="-260" w:rightChars="-1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新疆科技学院</w:t>
            </w:r>
          </w:p>
        </w:tc>
        <w:tc>
          <w:tcPr>
            <w:tcW w:w="1360"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单位名称: </w:t>
            </w:r>
          </w:p>
        </w:tc>
        <w:tc>
          <w:tcPr>
            <w:tcW w:w="3390" w:type="dxa"/>
            <w:vAlign w:val="center"/>
          </w:tcPr>
          <w:p>
            <w:pPr>
              <w:pStyle w:val="96"/>
              <w:shd w:val="clear"/>
              <w:spacing w:line="520" w:lineRule="exact"/>
              <w:ind w:right="-260" w:rightChars="-1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公章：</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96"/>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公章:</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3769" w:type="dxa"/>
            <w:gridSpan w:val="2"/>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rPr>
              <w:t>法定代表人或授权代理人签字：</w:t>
            </w:r>
          </w:p>
        </w:tc>
        <w:tc>
          <w:tcPr>
            <w:tcW w:w="4750" w:type="dxa"/>
            <w:gridSpan w:val="2"/>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rPr>
              <w:t>法定代表人或授权代理人签字：</w:t>
            </w: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2543"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3390" w:type="dxa"/>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2543"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3390" w:type="dxa"/>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2543"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360"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 </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通讯地址:    </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tc>
        <w:tc>
          <w:tcPr>
            <w:tcW w:w="3390" w:type="dxa"/>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开户银行:                  </w:t>
            </w:r>
          </w:p>
        </w:tc>
        <w:tc>
          <w:tcPr>
            <w:tcW w:w="2543"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4"/>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帐  号：            </w:t>
            </w:r>
          </w:p>
        </w:tc>
        <w:tc>
          <w:tcPr>
            <w:tcW w:w="2543" w:type="dxa"/>
            <w:vAlign w:val="center"/>
          </w:tcPr>
          <w:p>
            <w:pPr>
              <w:pStyle w:val="96"/>
              <w:shd w:val="clear"/>
              <w:spacing w:line="520" w:lineRule="exact"/>
              <w:rPr>
                <w:rFonts w:hint="eastAsia" w:asciiTheme="minorEastAsia" w:hAnsiTheme="minorEastAsia" w:eastAsiaTheme="minorEastAsia" w:cstheme="minorEastAsia"/>
                <w:sz w:val="24"/>
                <w:szCs w:val="24"/>
                <w:highlight w:val="none"/>
              </w:rPr>
            </w:pPr>
          </w:p>
        </w:tc>
        <w:tc>
          <w:tcPr>
            <w:tcW w:w="1360" w:type="dxa"/>
            <w:vAlign w:val="center"/>
          </w:tcPr>
          <w:p>
            <w:pPr>
              <w:pStyle w:val="44"/>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    号：</w:t>
            </w:r>
          </w:p>
        </w:tc>
        <w:tc>
          <w:tcPr>
            <w:tcW w:w="3390" w:type="dxa"/>
            <w:vAlign w:val="center"/>
          </w:tcPr>
          <w:p>
            <w:pPr>
              <w:pStyle w:val="96"/>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bl>
    <w:p>
      <w:pPr>
        <w:pStyle w:val="8"/>
        <w:shd w:val="clear"/>
        <w:rPr>
          <w:rFonts w:hint="eastAsia" w:asciiTheme="minorEastAsia" w:hAnsiTheme="minorEastAsia" w:eastAsiaTheme="minorEastAsia" w:cstheme="minorEastAsia"/>
          <w:sz w:val="24"/>
          <w:szCs w:val="24"/>
          <w:highlight w:val="none"/>
          <w:lang w:val="zh-CN"/>
        </w:rPr>
      </w:pPr>
    </w:p>
    <w:p>
      <w:pPr>
        <w:shd w:val="clear"/>
        <w:rPr>
          <w:rFonts w:hint="eastAsia" w:asciiTheme="minorEastAsia" w:hAnsiTheme="minorEastAsia" w:eastAsiaTheme="minorEastAsia" w:cstheme="minorEastAsia"/>
          <w:color w:val="FF0000"/>
          <w:sz w:val="24"/>
          <w:szCs w:val="24"/>
          <w:highlight w:val="none"/>
        </w:rPr>
      </w:pPr>
    </w:p>
    <w:p>
      <w:pPr>
        <w:pStyle w:val="8"/>
        <w:shd w:val="clear"/>
        <w:ind w:left="0" w:leftChars="0" w:firstLine="0" w:firstLineChars="0"/>
        <w:jc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sz w:val="24"/>
          <w:szCs w:val="24"/>
          <w:highlight w:val="none"/>
        </w:rPr>
        <w:t>以上为合同模板，具体以实际签订为准</w:t>
      </w:r>
      <w:r>
        <w:rPr>
          <w:rFonts w:ascii="仿宋" w:hAnsi="仿宋" w:eastAsia="仿宋" w:cs="仿宋_GB2312"/>
          <w:b/>
          <w:bCs/>
          <w:highlight w:val="none"/>
        </w:rPr>
        <w:br w:type="page"/>
      </w:r>
    </w:p>
    <w:p>
      <w:pPr>
        <w:shd w:val="clear"/>
        <w:snapToGrid w:val="0"/>
        <w:spacing w:line="360" w:lineRule="auto"/>
        <w:jc w:val="center"/>
        <w:outlineLvl w:val="0"/>
        <w:rPr>
          <w:rFonts w:asciiTheme="minorEastAsia" w:hAnsiTheme="minorEastAsia" w:eastAsiaTheme="minorEastAsia" w:cstheme="minorEastAsia"/>
          <w:b/>
          <w:sz w:val="24"/>
          <w:szCs w:val="24"/>
          <w:highlight w:val="none"/>
        </w:rPr>
      </w:pPr>
      <w:bookmarkStart w:id="80" w:name="_Toc28365"/>
      <w:bookmarkStart w:id="81" w:name="_Toc9739"/>
      <w:r>
        <w:rPr>
          <w:rFonts w:hint="eastAsia" w:asciiTheme="minorEastAsia" w:hAnsiTheme="minorEastAsia" w:eastAsiaTheme="minorEastAsia" w:cstheme="minorEastAsia"/>
          <w:b/>
          <w:sz w:val="32"/>
          <w:szCs w:val="32"/>
          <w:highlight w:val="none"/>
        </w:rPr>
        <w:t>第四部分 采购需求</w:t>
      </w:r>
      <w:bookmarkEnd w:id="80"/>
      <w:bookmarkEnd w:id="8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074"/>
        <w:gridCol w:w="6325"/>
        <w:gridCol w:w="487"/>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仪器名称</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技术参数</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数量</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板式精馏塔性能的测定实验装置</w:t>
            </w:r>
          </w:p>
        </w:tc>
        <w:tc>
          <w:tcPr>
            <w:tcW w:w="0" w:type="auto"/>
          </w:tcPr>
          <w:p>
            <w:pPr>
              <w:shd w:val="clear"/>
              <w:adjustRightIn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1、塔体：高硼硅玻璃及304不锈钢，筛板塔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，开孔率≥7%，原料处理量≥50mL/min</w:t>
            </w:r>
          </w:p>
          <w:p>
            <w:pPr>
              <w:shd w:val="clear"/>
              <w:adjustRightIn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2、塔釜：不锈钢304，容积≤13L，加热功率3kW，连续可调</w:t>
            </w:r>
          </w:p>
          <w:p>
            <w:pPr>
              <w:shd w:val="clear"/>
              <w:tabs>
                <w:tab w:val="left" w:pos="1560"/>
              </w:tabs>
              <w:adjustRightIn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3、塔顶全凝器：不锈钢304</w:t>
            </w:r>
          </w:p>
          <w:p>
            <w:pPr>
              <w:shd w:val="clear"/>
              <w:tabs>
                <w:tab w:val="left" w:pos="1560"/>
              </w:tabs>
              <w:adjustRightIn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流量计：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转子</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流量计，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透明可视，3个</w:t>
            </w:r>
          </w:p>
          <w:p>
            <w:pPr>
              <w:shd w:val="clear"/>
              <w:tabs>
                <w:tab w:val="left" w:pos="1560"/>
              </w:tabs>
              <w:adjustRightIn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原料罐：≥4L，液位可视</w:t>
            </w:r>
          </w:p>
          <w:p>
            <w:pPr>
              <w:shd w:val="clear"/>
              <w:tabs>
                <w:tab w:val="left" w:pos="1560"/>
              </w:tabs>
              <w:adjustRightIn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6、产品罐：≤4L，液位可视，带放净阀门</w:t>
            </w:r>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7、进料泵：蠕动泵，转速范围0.1～200rpm，流转比：≥1mL/r，液体流量可计量。</w:t>
            </w:r>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8、回流泵：蠕动泵，转速范围0.1～200rpm，流转比：≥1mL/r，液体流量可计量。</w:t>
            </w:r>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9、压力测量：耐高温压力传感器，量程0～10kPa，塔釜测温，4～20mA远程信号输出。</w:t>
            </w:r>
          </w:p>
          <w:p>
            <w:pPr>
              <w:shd w:val="clear"/>
              <w:adjustRightInd w:val="0"/>
              <w:jc w:val="left"/>
              <w:textAlignment w:val="baseline"/>
              <w:rPr>
                <w:rFonts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温度传感器：显示分度0.1℃，长度可调整</w:t>
            </w:r>
            <w:bookmarkStart w:id="206" w:name="_GoBack"/>
            <w:bookmarkEnd w:id="206"/>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11、管路：管路采用冷弯加工工艺，减少焊接点，防锈蚀滴漏。</w:t>
            </w:r>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12、电控系统：集成所有远传信号，模块控制系统，随意搭配控制模组，采样频率不低于200Kbps，通信端口数不少于3个。</w:t>
            </w:r>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13.1适配PT模块，接收温度传感器信号，监测塔釜、塔顶、进料、回流、塔板温度，精度≤0.05%，显示机构为操控终端</w:t>
            </w:r>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13.2适配AD模块，接收4～20mA模拟量信号，监测塔釜压力，精度≤0.05%，显示机构为操控终端</w:t>
            </w:r>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13.3适配DA模块，输出4～20mA模拟量信号，控制进料泵、回流泵转速、电加热功率，精度≤0.05%，显示机构为操控终</w:t>
            </w:r>
          </w:p>
          <w:p>
            <w:pPr>
              <w:widowControl/>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t>13.4兼容DO信号，输出开关量信号，控制导料泵、电加热启停，精度≤0.05%，显示机构为操控终端工业一体化操控终端：数量1台。触摸式操作，不小于15寸，分辨率不低于1920×1080，可安装控制软件、实验数据处理、存储等。让学生提前接触工业控制相关知识，锻炼学生使用现代化工具的能力。</w:t>
            </w:r>
          </w:p>
        </w:tc>
        <w:tc>
          <w:tcPr>
            <w:tcW w:w="0" w:type="auto"/>
            <w:vAlign w:val="center"/>
          </w:tcPr>
          <w:p>
            <w:pPr>
              <w:widowControl/>
              <w:shd w:val="clear"/>
              <w:adjustRightInd w:val="0"/>
              <w:jc w:val="center"/>
              <w:textAlignment w:val="baseline"/>
              <w:rPr>
                <w:rFonts w:hint="eastAsia" w:asciiTheme="minorEastAsia" w:hAnsiTheme="minorEastAsia" w:eastAsiaTheme="minorEastAsia" w:cstheme="minorEastAsia"/>
                <w:color w:val="000000" w:themeColor="text1"/>
                <w:kern w:val="0"/>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lang w:val="en-US" w:eastAsia="zh-CN"/>
                <w14:textFill>
                  <w14:solidFill>
                    <w14:schemeClr w14:val="tx1"/>
                  </w14:solidFill>
                </w14:textFill>
              </w:rPr>
              <w:t>3</w:t>
            </w:r>
          </w:p>
        </w:tc>
        <w:tc>
          <w:tcPr>
            <w:tcW w:w="0" w:type="auto"/>
            <w:vAlign w:val="center"/>
          </w:tcPr>
          <w:p>
            <w:pPr>
              <w:widowControl/>
              <w:shd w:val="clear"/>
              <w:adjustRightInd w:val="0"/>
              <w:jc w:val="center"/>
              <w:textAlignment w:val="baseline"/>
              <w:rPr>
                <w:rFonts w:hint="eastAsia" w:asciiTheme="minorEastAsia" w:hAnsiTheme="minorEastAsia" w:eastAsiaTheme="minorEastAsia" w:cstheme="minorEastAsia"/>
                <w:color w:val="000000" w:themeColor="text1"/>
                <w:kern w:val="0"/>
                <w:sz w:val="24"/>
                <w:szCs w:val="24"/>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color="auto" w:fill="FFFFFF"/>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*多功能</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特殊精馏实验装置</w:t>
            </w:r>
          </w:p>
        </w:tc>
        <w:tc>
          <w:tcPr>
            <w:tcW w:w="0" w:type="auto"/>
          </w:tcPr>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1、玻璃塔1：塔体内径≤20mm，塔高≤1.4m，玻璃外罩直径≤70mm，填料：玻璃弹簧。数量：1套。</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2、塔保温：塔外壁上、下两段采用透明导电膜加热保温，不影响实验现象观察。数量：1套。</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3、玻璃塔2：塔体内径≤20mm，塔高≤1.4m，填料：不锈钢θ环。数量：1个。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4、恒沸精馏塔头：可实现混相回流和分相回流。数量：1个。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5、普通精馏塔头：自动回流比控制，回流比控制器设置范围：1～+∞。数量：1个。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6、玻璃塔釜：</w:t>
            </w:r>
          </w:p>
          <w:p>
            <w:pPr>
              <w:shd w:val="clear"/>
              <w:adjustRightInd w:val="0"/>
              <w:snapToGri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塔釜1：容积≤1000mL，功率≤530W，集成控制，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配压力/真空监测装置。</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数量：1个。</w:t>
            </w:r>
          </w:p>
          <w:p>
            <w:pPr>
              <w:shd w:val="clear"/>
              <w:adjustRightInd w:val="0"/>
              <w:snapToGri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塔釜2：配加料、测温和取样接口。数量：1个。</w:t>
            </w:r>
          </w:p>
          <w:p>
            <w:pPr>
              <w:shd w:val="clear"/>
              <w:adjustRightInd w:val="0"/>
              <w:snapToGri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温度测量：温度传感器，Pt100，显示分度≤0.1℃。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数量：4个。</w:t>
            </w:r>
          </w:p>
          <w:p>
            <w:pPr>
              <w:shd w:val="clear"/>
              <w:adjustRightInd w:val="0"/>
              <w:snapToGri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8、压力表：精度不低于2.5级，量程：-0.1Mpa～0。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数量：1个。</w:t>
            </w:r>
          </w:p>
          <w:p>
            <w:pPr>
              <w:shd w:val="clear"/>
              <w:adjustRightInd w:val="0"/>
              <w:snapToGri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9、真空泵：抽气量≥1L/S，旋片式。</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数量：1台。</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10、真空缓冲罐：容积：≤4L，材质：不锈钢304，配真空指</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针表。数量：1个。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11、进料泵：蠕动泵，转速范围0.1～200rpm</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，流量范围：0～25mL/min。</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数量：2台。</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*12、电控系统：集成所有远传信号，模块控制系统，随意搭配控制模组，采样频率不低于200Kbps，通信端口数不少于3个。</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12.1适配PT模块，接收温度传感器信号，监测塔釜、塔顶温度，精度≤0.05%，显示机构为操控终端</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12.2适配DA模块，输出4～20mA模拟量信号，控制进料泵转速，精度≤0.05%，显示机构为操控终端</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12.3兼容DO信号，输出开关量信号，控制回流比、电加热启停，显示机构为操控终端</w:t>
            </w:r>
          </w:p>
          <w:p>
            <w:pPr>
              <w:shd w:val="clear"/>
              <w:adjustRightInd w:val="0"/>
              <w:snapToGri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13、工业一体化操控终端：数量1台。触摸式操作，不小于15寸，分辨率不低于1920×1080，可安装控制软件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让学生提前接触工业控制相关知识，锻炼学生使用现代化工具的能力。</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14、内嵌实验人员信息采集模组1套。</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*15、装置配有云控制修复系统软件模块1套，提供软件运行界面截图不少于2张。</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*16、装置配套有智能在线学习系统。能提供5个教师端帐号和200个学生学习帐号，系统永久免费使用和升级。需提供软件操作截图不少于3张。</w:t>
            </w:r>
          </w:p>
          <w:p>
            <w:pPr>
              <w:shd w:val="clear"/>
              <w:adjustRightInd w:val="0"/>
              <w:jc w:val="left"/>
              <w:textAlignment w:val="baseline"/>
              <w:rPr>
                <w:rFonts w:asciiTheme="minorEastAsia" w:hAnsiTheme="minorEastAsia" w:eastAsiaTheme="minorEastAsia" w:cstheme="minorEastAsia"/>
                <w:color w:val="000000" w:themeColor="text1"/>
                <w:kern w:val="0"/>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*17、随设备附赠化工类实验与实践装置教学系统3D动画演示视频二维码40个以上，能实现扫码演示。</w:t>
            </w:r>
          </w:p>
        </w:tc>
        <w:tc>
          <w:tcPr>
            <w:tcW w:w="0" w:type="auto"/>
            <w:vAlign w:val="center"/>
          </w:tcPr>
          <w:p>
            <w:pPr>
              <w:shd w:val="clear"/>
              <w:adjustRightIn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0" w:type="auto"/>
            <w:vAlign w:val="center"/>
          </w:tcPr>
          <w:p>
            <w:pPr>
              <w:shd w:val="clear"/>
              <w:adjustRightIn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二元系统汽液平衡数据测定装置</w:t>
            </w:r>
          </w:p>
        </w:tc>
        <w:tc>
          <w:tcPr>
            <w:tcW w:w="0" w:type="auto"/>
          </w:tcPr>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1、实验体系：环己烷-乙醇二元体系。</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2、气液平衡釜：真空保温，加液量35～45mL，配套气相温度测量，数量：1套。</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3、电加热器：加热功率≤200W，手动调节加热功率，最高使用温度≤150℃，常压，数量：1个。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4、球形冷凝器：上下磨口尺寸Φ19mm，长度300mm。数量：1个。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5、气相温度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测量</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：温度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传感器，Pt100，显示分度0.1℃。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6、加热温度测量：温度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传感器，</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热电偶，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显示分度0.1℃。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7、阿贝折光仪：折射率测量范围1.300～1.7000。数量：1个。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*8、恒温水浴：无氟环保型制冷，带外循泵，温度范围-5～99℃，控温精度0.1℃。数量：1个。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9、冷凝系统：冷凝器夹套水可循环，冷凝温度：-5℃～99℃，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控温精度±1℃。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数量：1套。</w:t>
            </w:r>
          </w:p>
          <w:p>
            <w:pPr>
              <w:shd w:val="clear"/>
              <w:adjustRightInd w:val="0"/>
              <w:snapToGri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*10、装置配套实验辅助系统，1套。学生可通过手机端APP随时学习实验指导视频。能提供系统操作截图不少于2张。</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11、装置配套有智能在线学习系统。能提供5个教师端帐号和200个学生学习帐号，系统永久免费使用和升级。需提供软件操作截图不少于3张。</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*12、随设备附赠化工类实验与实践装置教学系统3D动画演示视频二维码40个以上，能实现扫码演示</w:t>
            </w:r>
          </w:p>
          <w:p>
            <w:pPr>
              <w:shd w:val="clear"/>
              <w:adjustRightInd w:val="0"/>
              <w:snapToGrid w:val="0"/>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13、投标时要求所投产品制造厂商提供不少于1年的免费质保服务，并提供售后服务承诺书并加盖制造厂商公章。</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恒压过滤实验装置</w:t>
            </w:r>
          </w:p>
        </w:tc>
        <w:tc>
          <w:tcPr>
            <w:tcW w:w="0" w:type="auto"/>
          </w:tcPr>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1、过滤压力：0.1～0.2MPa，滤框容积：0.28～0.56L</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2、拌浆槽：容积≥35L，材质：不锈钢304，搅拌方式：气动搅拌；数量：1个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3、加压罐：容积≥35L，立式，不锈钢304，搅拌方式：气动搅拌。数量：1个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4、洗水罐：容积≥5L，不锈钢304。数量：1个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5、板框过滤器：材质：不锈钢304，过滤框：4个，洗涤板：2个，非洗涤板：3个，滤布：800目工业滤布</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6、压缩机：低噪音压缩机功率：≤600W，压力：≤0.7MPa。数量：1个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7、定值减压阀：数量：三组，工作压力：0～0.4MPa</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8、安全阀：定值，0.25MPa。数量：2个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9、压力表：量程：0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0.25MPa。数量：2个</w:t>
            </w:r>
          </w:p>
          <w:p>
            <w:pPr>
              <w:shd w:val="clear"/>
              <w:adjustRightInd w:val="0"/>
              <w:snapToGrid w:val="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管路：设备所有液体管路及气体管路均采用硬质透明可视管路，整套采用快拆式连接方式，耐压≥0.6MPa，壁厚≥2.0mm，提供检测报告，引压管等辅助管道采用透明软管，提供装置实物照片证明。</w:t>
            </w:r>
          </w:p>
          <w:p>
            <w:pPr>
              <w:shd w:val="clear"/>
              <w:adjustRightInd w:val="0"/>
              <w:snapToGrid w:val="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11、阀门：球阀，材质UPVC，耐压≥0.6MPa，数量：不少于6个</w:t>
            </w:r>
          </w:p>
          <w:p>
            <w:pPr>
              <w:shd w:val="clear"/>
              <w:adjustRightInd w:val="0"/>
              <w:snapToGrid w:val="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12、额定电压：220V，总功率：≤1kW，质量：约130 kg</w:t>
            </w:r>
          </w:p>
          <w:p>
            <w:pPr>
              <w:shd w:val="clear"/>
              <w:adjustRightInd w:val="0"/>
              <w:snapToGrid w:val="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13、提供实验操作视频，包括流程介绍、局部功能介绍、实验人员逐步操作过程。并能现场演示视频。视频时长不少于30分钟，提供视频截图不少于3张，并提供网络链接或二维码证明。</w:t>
            </w:r>
          </w:p>
          <w:p>
            <w:pPr>
              <w:shd w:val="clear"/>
              <w:adjustRightInd w:val="0"/>
              <w:snapToGrid w:val="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*14、装置配套实验辅助系统1套。学生可通过手机端APP随时学习实验指导视频，视频由实验人员对实物装置操作过程，能提供系统操作截图。</w:t>
            </w:r>
          </w:p>
          <w:p>
            <w:pPr>
              <w:shd w:val="clear"/>
              <w:adjustRightInd w:val="0"/>
              <w:snapToGrid w:val="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15、装置配套有在线教学系统（智能学习系统）。提供5个教师端帐号和200个学生学习帐号，系统永久免费使用和升级。</w:t>
            </w:r>
          </w:p>
          <w:p>
            <w:pPr>
              <w:shd w:val="clear"/>
              <w:adjustRightInd w:val="0"/>
              <w:snapToGrid w:val="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*16、需随设备附赠化工类实验与实践装置教学系统3D动画演示视频二维码40个以上，能实现扫码演示。</w:t>
            </w:r>
          </w:p>
          <w:p>
            <w:pPr>
              <w:shd w:val="clear"/>
              <w:adjustRightInd w:val="0"/>
              <w:snapToGrid w:val="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*17、提供与本装置对应配套使用的正规出版社出版的实验教材，内容须包含但不限于实验原理、实验过程、实验数据记录与处理、能力目标、知识拓展等，提供教材的封面及对应装置教材内容。</w:t>
            </w:r>
          </w:p>
          <w:p>
            <w:pPr>
              <w:shd w:val="clear"/>
              <w:adjustRightInd w:val="0"/>
              <w:snapToGrid w:val="0"/>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18、投标时要求所投产品制造厂商提供不少于1年的免费质保服务，并提供售后服务承诺书和授权书并加盖制造厂商公章。</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吸收与解吸实验装置</w:t>
            </w:r>
          </w:p>
        </w:tc>
        <w:tc>
          <w:tcPr>
            <w:tcW w:w="0" w:type="auto"/>
          </w:tcPr>
          <w:p>
            <w:pPr>
              <w:shd w:val="clear"/>
              <w:adjustRightInd w:val="0"/>
              <w:snapToGrid w:val="0"/>
              <w:textAlignment w:val="baseline"/>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1、装置具有专业性：实验设计紧贴教学大纲，满足工程认证要求，能测定填料吸收塔、解吸塔不同喷淋密度下的体积传质系数；</w:t>
            </w:r>
          </w:p>
          <w:p>
            <w:pPr>
              <w:shd w:val="clear"/>
              <w:adjustRightInd w:val="0"/>
              <w:snapToGrid w:val="0"/>
              <w:textAlignment w:val="baseline"/>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2、装置具有先进性：实验数据可以实现在线实时显示，实验结束后可自动计算；</w:t>
            </w:r>
          </w:p>
          <w:p>
            <w:pPr>
              <w:shd w:val="clear"/>
              <w:adjustRightInd w:val="0"/>
              <w:snapToGrid w:val="0"/>
              <w:textAlignment w:val="baseline"/>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3、设备运行能实现吸收液循环操作，不需要实验室另提供专门上下水条件；</w:t>
            </w:r>
          </w:p>
          <w:p>
            <w:pPr>
              <w:shd w:val="clear"/>
              <w:adjustRightInd w:val="0"/>
              <w:snapToGrid w:val="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4、解吸塔、饱和塔、吸收塔底部的排液口通过倒U型管连通循环水箱，实现液体循环操作，不需要实验室另提供专门上下水条件；</w:t>
            </w:r>
          </w:p>
          <w:p>
            <w:pPr>
              <w:shd w:val="clear"/>
              <w:adjustRightInd w:val="0"/>
              <w:snapToGrid w:val="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5、解吸泵和吸收泵的出口、吸收塔底部出液管路，共设置有3个取样口。</w:t>
            </w:r>
          </w:p>
          <w:p>
            <w:pPr>
              <w:shd w:val="clear"/>
              <w:adjustRightInd w:val="0"/>
              <w:snapToGrid w:val="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设备可通过手机扫描装置的二维码，观看实验演示动画，预习实验内容：动画演示时间不小于2min，动画内容通过现代化三维建模手段，动画视频配有全流程语音讲解，达到声情并茂的效果，提供不少于三张设备不同角度含播放进度条的动画截图。</w:t>
            </w:r>
          </w:p>
          <w:p>
            <w:pPr>
              <w:shd w:val="clear"/>
              <w:adjustRightInd w:val="0"/>
              <w:snapToGrid w:val="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*7、智能在线学习系统：应用WEBGL技术呈现网页版智能在线学习系统，实现虚实结合的教学模式，要求提供相关软件演示账号、相关功能截图。能登录演示体验。</w:t>
            </w:r>
          </w:p>
          <w:p>
            <w:pPr>
              <w:shd w:val="clear"/>
              <w:adjustRightInd w:val="0"/>
              <w:snapToGrid w:val="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7.1智能题库板块，具备远程理论学习、试卷制作、答题操作、考试成绩统计。老师分类别建立题库，自主选择试卷题型如选择题，判断题等，自主设置题型权重及分值，试卷自动生成，考试成绩自动统计。</w:t>
            </w:r>
          </w:p>
          <w:p>
            <w:pPr>
              <w:shd w:val="clear"/>
              <w:adjustRightInd w:val="0"/>
              <w:snapToGrid w:val="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7.2音视频资源板块，动画视频通过现代化三维建模手段，动画视频配有全流程语音讲解，达到声情并茂的效果。</w:t>
            </w:r>
          </w:p>
          <w:p>
            <w:pPr>
              <w:shd w:val="clear"/>
              <w:adjustRightInd w:val="0"/>
              <w:snapToGrid w:val="0"/>
              <w:jc w:val="left"/>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*8、MES实验信息管理系统功能:能同时连接多种实验装置，根据需要自由切换当前监测装置，与装置现场的工业组态软件操作界面实时同步数据显示，实验记录数据同步，装置报警同步提示。</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多釜串联混合性能测定实验装置</w:t>
            </w:r>
          </w:p>
        </w:tc>
        <w:tc>
          <w:tcPr>
            <w:tcW w:w="0" w:type="auto"/>
          </w:tcPr>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1、反应釜：材质：透明有机玻璃，大反应釜：容积：≥3L，</w:t>
            </w:r>
            <w:bookmarkStart w:id="82" w:name="_Hlk64647588"/>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数量1个</w:t>
            </w:r>
            <w:bookmarkEnd w:id="82"/>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；小反应釜：容积：≤1L，数量3个。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2、水箱：容积：≥30L，材质：透明PE,数量1个。</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3、电机：功率：40～60W，数显无级调速，数量4个。</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4、水泵：磁力驱动泵，额定功率：15W，额定流量：≤7L/min，数量1个。</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5、数字电导仪：0～2000μS/cm，4～20mA远程输出，数量4个；</w:t>
            </w:r>
            <w:bookmarkStart w:id="83" w:name="_Hlk64703629"/>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电导仪变送模块数量4</w:t>
            </w:r>
            <w:bookmarkEnd w:id="83"/>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个。</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6、转子流量计：量程：6～60L/h，介质：水，数量2个。</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bookmarkStart w:id="84" w:name="_Hlk65762566"/>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7、管路：设备所有液体管路及气体管路均采用硬质透明可视管路，整套采用快拆式连接方式，耐压≥0.6MPa，壁厚≥2.0mm，引压管等辅助管道采用透明软管，提供装置实物照片1张予以证明。</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*8、电控系统：集成所有远传信号，模块控制系统，随意搭配控制模组，采样频率不低于200Kbps，通信端口数不少于3个。</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8.1适配PT模块，接收温度传感器信号，监测水箱温度，精度≤0.05%，显示机构为操控终端</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8.2适配AD模块，接收4～20mA模拟量信号，监测电导率仪，精度≤0.05%，显示机构为操控终端</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8.3适配DA模块，输出4～20mA模拟量信号，控制搅拌桨转速，精度≤0.05%，显示机构为操控终端</w:t>
            </w:r>
          </w:p>
          <w:p>
            <w:pPr>
              <w:shd w:val="clear"/>
              <w:adjustRightInd w:val="0"/>
              <w:snapToGrid w:val="0"/>
              <w:jc w:val="left"/>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8.4兼容DO信号，输出开关量信号，控制搅拌桨启停，精度≤0.05%，显示机构为操控终端</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9、工业一体化操控终端：数量1台。触摸式操作，≥15寸，分辨率不低于1920×1080，可安装控制软件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10、内嵌实验人员信息采集模组1套。</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11、配有云控制修复系统软件模块1套。提供软件运行界面截图不少于2张。</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*12、装置配套实验辅助系统，1套。通过装置自带操作终端进行分步式操作视频指导学习，同时具备手机端APP，学生通过网络随时学习实验指导视频。能提供系统操作截图不少于2张。</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13、配套有在线教学系统（智能学习系统）。提供5个教师端帐号和200个学生学习帐号，系统永久免费使用和升级。</w:t>
            </w:r>
          </w:p>
          <w:p>
            <w:pPr>
              <w:pStyle w:val="23"/>
              <w:shd w:val="clear"/>
              <w:adjustRightInd w:val="0"/>
              <w:textAlignment w:val="baseline"/>
              <w:rPr>
                <w:rFonts w:asciiTheme="minorEastAsia" w:hAnsiTheme="minorEastAsia" w:eastAsiaTheme="minorEastAsia" w:cstheme="minorEastAsia"/>
                <w:color w:val="000000" w:themeColor="text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14、随设备附赠化工类实验与实践装置教学系统3D动画演示视频二维码40个以上，能实现扫码演示。</w:t>
            </w:r>
            <w:bookmarkEnd w:id="84"/>
          </w:p>
        </w:tc>
        <w:tc>
          <w:tcPr>
            <w:tcW w:w="0" w:type="auto"/>
            <w:vAlign w:val="center"/>
          </w:tcPr>
          <w:p>
            <w:pPr>
              <w:pStyle w:val="23"/>
              <w:shd w:val="clear"/>
              <w:adjustRightInd w:val="0"/>
              <w:jc w:val="center"/>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w:t>
            </w:r>
          </w:p>
        </w:tc>
        <w:tc>
          <w:tcPr>
            <w:tcW w:w="0" w:type="auto"/>
            <w:vAlign w:val="center"/>
          </w:tcPr>
          <w:p>
            <w:pPr>
              <w:pStyle w:val="23"/>
              <w:shd w:val="clear"/>
              <w:adjustRightInd w:val="0"/>
              <w:jc w:val="center"/>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二氧化碳PVT曲线测定实验装置</w:t>
            </w:r>
          </w:p>
        </w:tc>
        <w:tc>
          <w:tcPr>
            <w:tcW w:w="0" w:type="auto"/>
          </w:tcPr>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1、操作条件：温度不大于50℃，操作压力不大于10MPa。</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2、玻璃毛细管：承压≤10MPa，长度600mm。数量：1支。</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3、玻璃夹套：带刻度和温度传感器测口，刻度范围0～400mm。数量：1支。</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4、活塞式压力校验器：量程：0～16MPa。</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5、针式压力表：量程：0～16Mpa，精度0.4%FS。</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温度测量：温度传感器，Pt100，显示分度0.1℃。</w:t>
            </w:r>
          </w:p>
          <w:p>
            <w:pPr>
              <w:shd w:val="clear"/>
              <w:adjustRightInd w:val="0"/>
              <w:snapToGrid w:val="0"/>
              <w:jc w:val="left"/>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7、恒温水浴：无氟环保型制冷，带外循泵，温度范围-5～99℃，控温精度0.1℃。</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bookmarkStart w:id="85" w:name="_Hlk9348115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装置配套实验辅助系统，1套。学生可通过手机端APP随时学习实验指导视频。能提供系统操作截图不少于2张。</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*9、装置配套有智能在线学习系统。能提供5个教师端帐号和200个学生学习帐号，系统永久免费使用和升级。需提供软件操作截图不少于3张。</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*10、随设备附赠化工类实验与实践装置教学系统3D动画演示视频二维码40个以上，能实现扫码演示</w:t>
            </w:r>
          </w:p>
          <w:bookmarkEnd w:id="85"/>
          <w:p>
            <w:pPr>
              <w:shd w:val="clear"/>
              <w:adjustRightInd w:val="0"/>
              <w:snapToGrid w:val="0"/>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11、投标时要求所投产品制造厂商提供不少于1年的免费质保服务，并提供售后服务承诺书并加盖制造厂商公章。</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0" w:type="auto"/>
            <w:vAlign w:val="center"/>
          </w:tcPr>
          <w:p>
            <w:pPr>
              <w:shd w:val="clear"/>
              <w:adjustRightInd w:val="0"/>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超滤、纳滤膜分离实验装置</w:t>
            </w:r>
          </w:p>
        </w:tc>
        <w:tc>
          <w:tcPr>
            <w:tcW w:w="0" w:type="auto"/>
            <w:vAlign w:val="center"/>
          </w:tcPr>
          <w:p>
            <w:pPr>
              <w:widowControl/>
              <w:shd w:val="clear"/>
              <w:adjustRightInd w:val="0"/>
              <w:snapToGrid w:val="0"/>
              <w:jc w:val="center"/>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1、膜组：超滤膜组件：聚醚砜材质，膜面积1.4 m2，截留分子量10000道尔顿，实验体系聚乙烯醇溶液；纳滤膜组件：聚酰胺复合膜，膜面积1.3m2，截留分子量200道尔顿，实验体系硫酸镁溶液；</w:t>
            </w:r>
          </w:p>
          <w:p>
            <w:pPr>
              <w:widowControl/>
              <w:shd w:val="clear"/>
              <w:adjustRightInd w:val="0"/>
              <w:snapToGrid w:val="0"/>
              <w:jc w:val="center"/>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2、保护液罐：材质：有机玻璃，容积：≤6L。数量：1个</w:t>
            </w:r>
          </w:p>
          <w:p>
            <w:pPr>
              <w:widowControl/>
              <w:shd w:val="clear"/>
              <w:adjustRightInd w:val="0"/>
              <w:snapToGrid w:val="0"/>
              <w:jc w:val="center"/>
              <w:textAlignment w:val="baseline"/>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3、设备操作压力：操作压力不高于1MPa，膜组件的最高进液温度为45℃。</w:t>
            </w:r>
          </w:p>
          <w:p>
            <w:pPr>
              <w:widowControl/>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4、水箱：透明可视，原料水箱体积85～100L，纯水水箱体积≥40L。数量：1套。</w:t>
            </w:r>
          </w:p>
          <w:p>
            <w:pPr>
              <w:widowControl/>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5、水泵：反渗透用高压泵，扬程≥100m，额定流量2L/min，膜组件压力可调。数量：1台。</w:t>
            </w:r>
          </w:p>
          <w:p>
            <w:pPr>
              <w:widowControl/>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6、流量计：浓液流量计：流量1～7L/min，精度±4%；清液流量计：流量10～100L/h，精度±4%；透明外壳，用于计量膜两侧液体流量。数量：2个。</w:t>
            </w:r>
          </w:p>
          <w:p>
            <w:pPr>
              <w:widowControl/>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7、压力表：0～1.0MPa，要求膜组内外均安装压力表,精度±2.5%。数量：4个。</w:t>
            </w:r>
          </w:p>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8、电导率仪：0～2000μs/cm，数据实时在线显示，显示精度1μs/cm，外壳材质：聚四氟乙烯。数量：4个。</w:t>
            </w:r>
          </w:p>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9、配套722型分光光度计，波长范围：320nm～1020nm，准确度±2nm。</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*10、管路：设备所有液体管路及气体管路均采用硬质透明可视管路，整套采用快拆式连接方式，耐压≥0.6MPa，壁厚≥2.0mm，提供检测报告，需提供实物照片1张予以证明。</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*11、电控系统：集成所有远传信号，模块控制系统，随意搭配控制模组，采样频率不低于200Kbps，通信端口数不少于3个。</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11.1适配PT模块，接收温度传感器信号，监测原水箱温度，精度≤0.05%，显示机构为操控终端</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11.2适配AD模块，接收4～20mA模拟量信号，监测电导率仪，精度≤0.05%，显示机构为操控终端</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11.3兼容DO信号，输出开关量信号，控制水泵启停，显示机构为操控终端</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12、工业一体化操控终端：数量1台。触摸式操作，不小于15寸，分辨率不低于1920×1080，可安装控制软件。让学生提前接触工业控制相关知识，锻炼学生使用现代化工具的能力。</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13、内嵌实验人员信息采集模组1套。</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*14、装置配有云控制修复系统软件模块1套，提供软件运行界面截图不少于2张。</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*15、装置配套实验辅助系统，1套。通过装置自带操作终端进行分步式操作视频指导学习，同时具备手机端APP，学生通过网络随时学习实验指导视频。能提供系统操作截图不少于2张。</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*16、装置配套有智能在线学习系统。能提供5个教师端帐号和200个学生学习帐号，系统永久免费使用和升级。需提供软件操作截图不少于3张。</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*17、随设备附赠化工类实验与实践装置教学系统3D动画演示视频二维码40个以上，能实现扫码演示。</w:t>
            </w:r>
          </w:p>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18、装置外观及尺寸：要求装置采用高品质铝合金框架。装置配有可升降万向脚轮：脚轮带有ABS调节手把，可分别调节高度。配有支撑底座用于固定装置。装置尺寸≤2200mm*580mm*2000mm（长*宽*高）。</w:t>
            </w:r>
          </w:p>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19、投标时要求所投产品制造厂商提供不少于1年的免费质保服务，并提供售后服务承诺书并加盖制造厂商公章。</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0" w:type="auto"/>
            <w:vAlign w:val="center"/>
          </w:tcPr>
          <w:p>
            <w:pPr>
              <w:shd w:val="clear"/>
              <w:adjustRightInd w:val="0"/>
              <w:snapToGri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w:t>
            </w:r>
          </w:p>
        </w:tc>
        <w:tc>
          <w:tcPr>
            <w:tcW w:w="0" w:type="auto"/>
            <w:vAlign w:val="center"/>
          </w:tcPr>
          <w:p>
            <w:pPr>
              <w:shd w:val="clear"/>
              <w:adjustRightInd w:val="0"/>
              <w:snapToGrid w:val="0"/>
              <w:jc w:val="center"/>
              <w:textAlignment w:val="baseline"/>
              <w:rPr>
                <w:rFonts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液体石油产品烃类测定仪</w:t>
            </w:r>
          </w:p>
        </w:tc>
        <w:tc>
          <w:tcPr>
            <w:tcW w:w="0" w:type="auto"/>
          </w:tcPr>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1、供电电压：AC(220±5%)V；50Hz；</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2、减压阀调压范围：(0～400)kPa；</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3、电动振荡器：两路分别单独控制； </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4、紫外线光源管：长 1220mm，波长(365±5)nm；</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5、照明灯：长 1220mm，功率 40W；</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6、供气：配备氮气钢瓶、安全阀、安全气瓶柜。</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7、环境温度：(5～35)℃；</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8、相对湿度： ＜85％。</w:t>
            </w:r>
          </w:p>
          <w:p>
            <w:pPr>
              <w:shd w:val="clear"/>
              <w:adjustRightInd w:val="0"/>
              <w:snapToGri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9、外形尺寸：350 ㎜×400 ㎜×1770 ㎜（长×宽×高）。</w:t>
            </w:r>
          </w:p>
          <w:p>
            <w:pPr>
              <w:shd w:val="clear"/>
              <w:adjustRightInd w:val="0"/>
              <w:textAlignment w:val="baseline"/>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10、整机功耗：大于 600W。</w:t>
            </w:r>
          </w:p>
        </w:tc>
        <w:tc>
          <w:tcPr>
            <w:tcW w:w="0" w:type="auto"/>
            <w:vAlign w:val="center"/>
          </w:tcPr>
          <w:p>
            <w:pPr>
              <w:shd w:val="clear"/>
              <w:adjustRightIn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0" w:type="auto"/>
            <w:vAlign w:val="center"/>
          </w:tcPr>
          <w:p>
            <w:pPr>
              <w:shd w:val="clear"/>
              <w:adjustRightInd w:val="0"/>
              <w:jc w:val="center"/>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台</w:t>
            </w:r>
          </w:p>
        </w:tc>
      </w:tr>
    </w:tbl>
    <w:p>
      <w:pPr>
        <w:pStyle w:val="17"/>
        <w:shd w:val="clear"/>
        <w:ind w:left="0" w:leftChars="0" w:firstLine="0"/>
        <w:rPr>
          <w:rFonts w:asciiTheme="minorEastAsia" w:hAnsiTheme="minorEastAsia" w:eastAsiaTheme="minorEastAsia" w:cstheme="minorEastAsia"/>
          <w:b w:val="0"/>
          <w:bCs/>
          <w:szCs w:val="24"/>
          <w:highlight w:val="none"/>
          <w:u w:val="none"/>
        </w:rPr>
      </w:pPr>
      <w:r>
        <w:rPr>
          <w:rFonts w:hint="eastAsia" w:asciiTheme="minorEastAsia" w:hAnsiTheme="minorEastAsia" w:eastAsiaTheme="minorEastAsia" w:cstheme="minorEastAsia"/>
          <w:b w:val="0"/>
          <w:bCs/>
          <w:szCs w:val="24"/>
          <w:highlight w:val="none"/>
          <w:u w:val="none"/>
        </w:rPr>
        <w:t>注：仪器名称中标*的为核心产品，技术参数中标*的为必备项。</w:t>
      </w:r>
    </w:p>
    <w:p>
      <w:pPr>
        <w:shd w:val="clear"/>
        <w:spacing w:line="360" w:lineRule="auto"/>
        <w:ind w:left="570"/>
        <w:rPr>
          <w:rFonts w:asciiTheme="minorEastAsia" w:hAnsiTheme="minorEastAsia" w:eastAsiaTheme="minorEastAsia" w:cstheme="minorEastAsia"/>
          <w:b/>
          <w:sz w:val="24"/>
          <w:szCs w:val="24"/>
          <w:highlight w:val="none"/>
        </w:rPr>
      </w:pPr>
    </w:p>
    <w:p>
      <w:pPr>
        <w:shd w:val="clear"/>
        <w:spacing w:line="480" w:lineRule="exact"/>
        <w:ind w:firstLine="480" w:firstLineChars="200"/>
        <w:jc w:val="left"/>
        <w:rPr>
          <w:rFonts w:asciiTheme="minorEastAsia" w:hAnsiTheme="minorEastAsia" w:eastAsiaTheme="minorEastAsia" w:cstheme="minorEastAsia"/>
          <w:bCs/>
          <w:sz w:val="24"/>
          <w:szCs w:val="24"/>
          <w:highlight w:val="none"/>
        </w:rPr>
      </w:pPr>
    </w:p>
    <w:p>
      <w:pPr>
        <w:shd w:val="clear"/>
        <w:spacing w:line="440" w:lineRule="exact"/>
        <w:jc w:val="center"/>
        <w:outlineLvl w:val="0"/>
        <w:rPr>
          <w:rFonts w:asciiTheme="minorEastAsia" w:hAnsiTheme="minorEastAsia" w:eastAsiaTheme="minorEastAsia" w:cstheme="minorEastAsia"/>
          <w:b/>
          <w:bCs/>
          <w:sz w:val="32"/>
          <w:szCs w:val="32"/>
          <w:highlight w:val="none"/>
        </w:rPr>
      </w:pPr>
      <w:bookmarkStart w:id="86" w:name="_Toc18940"/>
      <w:bookmarkStart w:id="87" w:name="_Toc20810"/>
      <w:r>
        <w:rPr>
          <w:rFonts w:hint="eastAsia" w:asciiTheme="minorEastAsia" w:hAnsiTheme="minorEastAsia" w:eastAsiaTheme="minorEastAsia" w:cstheme="minorEastAsia"/>
          <w:b/>
          <w:bCs/>
          <w:sz w:val="32"/>
          <w:szCs w:val="32"/>
          <w:highlight w:val="none"/>
        </w:rPr>
        <w:br w:type="page"/>
      </w:r>
      <w:r>
        <w:rPr>
          <w:rFonts w:hint="eastAsia" w:asciiTheme="minorEastAsia" w:hAnsiTheme="minorEastAsia" w:eastAsiaTheme="minorEastAsia" w:cstheme="minorEastAsia"/>
          <w:b/>
          <w:bCs/>
          <w:sz w:val="32"/>
          <w:szCs w:val="32"/>
          <w:highlight w:val="none"/>
        </w:rPr>
        <w:t>第五部分  磋商响应文件格式</w:t>
      </w:r>
      <w:bookmarkEnd w:id="86"/>
      <w:bookmarkEnd w:id="87"/>
    </w:p>
    <w:p>
      <w:pPr>
        <w:shd w:val="clear" w:color="auto"/>
        <w:spacing w:line="500" w:lineRule="exact"/>
        <w:jc w:val="center"/>
        <w:rPr>
          <w:rFonts w:asciiTheme="minorEastAsia" w:hAnsiTheme="minorEastAsia" w:eastAsiaTheme="minorEastAsia" w:cstheme="minorEastAsia"/>
          <w:b/>
          <w:bCs/>
          <w:sz w:val="24"/>
          <w:szCs w:val="24"/>
          <w:highlight w:val="none"/>
        </w:rPr>
      </w:pPr>
    </w:p>
    <w:p>
      <w:pPr>
        <w:widowControl/>
        <w:shd w:val="clear"/>
        <w:jc w:val="left"/>
        <w:rPr>
          <w:rFonts w:asciiTheme="minorEastAsia" w:hAnsiTheme="minorEastAsia" w:eastAsiaTheme="minorEastAsia" w:cstheme="minorEastAsia"/>
          <w:b/>
          <w:bCs/>
          <w:sz w:val="18"/>
          <w:szCs w:val="18"/>
          <w:highlight w:val="none"/>
        </w:rPr>
      </w:pPr>
    </w:p>
    <w:p>
      <w:pPr>
        <w:shd w:val="clear" w:color="auto"/>
        <w:spacing w:line="500" w:lineRule="exact"/>
        <w:ind w:right="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（封面示例）                                                     </w:t>
      </w:r>
    </w:p>
    <w:p>
      <w:pPr>
        <w:shd w:val="clear" w:color="auto"/>
        <w:spacing w:line="360" w:lineRule="exact"/>
        <w:rPr>
          <w:rFonts w:asciiTheme="minorEastAsia" w:hAnsiTheme="minorEastAsia" w:eastAsiaTheme="minorEastAsia" w:cstheme="minorEastAsia"/>
          <w:sz w:val="24"/>
          <w:szCs w:val="24"/>
          <w:highlight w:val="none"/>
          <w:u w:val="single"/>
        </w:rPr>
      </w:pPr>
    </w:p>
    <w:p>
      <w:pPr>
        <w:shd w:val="clear" w:color="auto"/>
        <w:spacing w:line="360" w:lineRule="exact"/>
        <w:jc w:val="center"/>
        <w:rPr>
          <w:rFonts w:asciiTheme="minorEastAsia" w:hAnsiTheme="minorEastAsia" w:eastAsiaTheme="minorEastAsia" w:cstheme="minorEastAsia"/>
          <w:b/>
          <w:bCs/>
          <w:sz w:val="24"/>
          <w:szCs w:val="24"/>
          <w:highlight w:val="none"/>
        </w:rPr>
      </w:pPr>
    </w:p>
    <w:p>
      <w:pPr>
        <w:shd w:val="clear" w:color="auto"/>
        <w:spacing w:line="500" w:lineRule="exact"/>
        <w:jc w:val="center"/>
        <w:rPr>
          <w:rFonts w:asciiTheme="minorEastAsia" w:hAnsiTheme="minorEastAsia" w:eastAsiaTheme="minorEastAsia" w:cstheme="minorEastAsia"/>
          <w:b/>
          <w:bCs/>
          <w:sz w:val="24"/>
          <w:szCs w:val="24"/>
          <w:highlight w:val="none"/>
        </w:rPr>
      </w:pPr>
    </w:p>
    <w:p>
      <w:pPr>
        <w:shd w:val="clear" w:color="auto"/>
        <w:spacing w:line="500" w:lineRule="exact"/>
        <w:jc w:val="center"/>
        <w:outlineLvl w:val="0"/>
        <w:rPr>
          <w:rFonts w:asciiTheme="minorEastAsia" w:hAnsiTheme="minorEastAsia" w:eastAsiaTheme="minorEastAsia" w:cstheme="minorEastAsia"/>
          <w:b/>
          <w:bCs/>
          <w:sz w:val="24"/>
          <w:szCs w:val="24"/>
          <w:highlight w:val="none"/>
        </w:rPr>
      </w:pPr>
      <w:bookmarkStart w:id="88" w:name="_Toc32311"/>
      <w:bookmarkStart w:id="89" w:name="_Toc29521"/>
      <w:r>
        <w:rPr>
          <w:rFonts w:hint="eastAsia" w:asciiTheme="minorEastAsia" w:hAnsiTheme="minorEastAsia" w:eastAsiaTheme="minorEastAsia" w:cstheme="minorEastAsia"/>
          <w:b/>
          <w:bCs/>
          <w:sz w:val="24"/>
          <w:szCs w:val="24"/>
          <w:highlight w:val="none"/>
        </w:rPr>
        <w:t>磋商响应文件</w:t>
      </w:r>
      <w:bookmarkEnd w:id="88"/>
      <w:bookmarkEnd w:id="89"/>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项目名称：</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采购项目编号：</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供应商（盖公章）：</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法定代表人（签字或盖章）:</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被授权代理人（签字）:</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地址：</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联系人：</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联系电话：</w:t>
      </w:r>
    </w:p>
    <w:p>
      <w:pPr>
        <w:shd w:val="clear" w:color="auto"/>
        <w:spacing w:line="500" w:lineRule="exact"/>
        <w:ind w:firstLine="240" w:firstLineChars="100"/>
        <w:jc w:val="center"/>
        <w:rPr>
          <w:rFonts w:asciiTheme="minorEastAsia" w:hAnsiTheme="minorEastAsia" w:eastAsiaTheme="minorEastAsia" w:cstheme="minorEastAsia"/>
          <w:sz w:val="24"/>
          <w:highlight w:val="none"/>
          <w:lang w:val="zh-CN"/>
        </w:rPr>
      </w:pPr>
    </w:p>
    <w:p>
      <w:pPr>
        <w:shd w:val="clear" w:color="auto"/>
        <w:spacing w:line="500" w:lineRule="exact"/>
        <w:ind w:firstLine="240" w:firstLineChars="100"/>
        <w:jc w:val="center"/>
        <w:outlineLvl w:val="0"/>
        <w:rPr>
          <w:rFonts w:asciiTheme="minorEastAsia" w:hAnsiTheme="minorEastAsia" w:eastAsiaTheme="minorEastAsia" w:cstheme="minorEastAsia"/>
          <w:b/>
          <w:sz w:val="24"/>
          <w:szCs w:val="24"/>
          <w:highlight w:val="none"/>
        </w:rPr>
      </w:pPr>
      <w:bookmarkStart w:id="90" w:name="_Toc8292"/>
      <w:bookmarkStart w:id="91" w:name="_Toc71"/>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sz w:val="24"/>
          <w:szCs w:val="24"/>
          <w:highlight w:val="none"/>
        </w:rPr>
        <w:t>目  录</w:t>
      </w:r>
      <w:bookmarkEnd w:id="90"/>
      <w:bookmarkEnd w:id="91"/>
    </w:p>
    <w:p>
      <w:pPr>
        <w:shd w:val="clear" w:color="auto"/>
        <w:spacing w:line="500" w:lineRule="exact"/>
        <w:ind w:firstLine="482"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
          <w:bCs/>
          <w:kern w:val="0"/>
          <w:sz w:val="24"/>
          <w:szCs w:val="24"/>
          <w:highlight w:val="none"/>
        </w:rPr>
        <w:t>主要包括</w:t>
      </w:r>
      <w:r>
        <w:rPr>
          <w:rFonts w:hint="eastAsia" w:asciiTheme="minorEastAsia" w:hAnsiTheme="minorEastAsia" w:eastAsiaTheme="minorEastAsia" w:cstheme="minorEastAsia"/>
          <w:b/>
          <w:sz w:val="24"/>
          <w:szCs w:val="24"/>
          <w:highlight w:val="none"/>
        </w:rPr>
        <w:t>但不限于以下内容：</w:t>
      </w:r>
    </w:p>
    <w:p>
      <w:pPr>
        <w:shd w:val="clear"/>
        <w:spacing w:line="500" w:lineRule="exact"/>
        <w:ind w:firstLine="480" w:firstLineChars="200"/>
        <w:outlineLvl w:val="0"/>
        <w:rPr>
          <w:rFonts w:asciiTheme="minorEastAsia" w:hAnsiTheme="minorEastAsia" w:eastAsiaTheme="minorEastAsia" w:cstheme="minorEastAsia"/>
          <w:bCs/>
          <w:kern w:val="0"/>
          <w:sz w:val="24"/>
          <w:szCs w:val="24"/>
          <w:highlight w:val="none"/>
        </w:rPr>
      </w:pPr>
      <w:bookmarkStart w:id="92" w:name="_Toc27828"/>
      <w:bookmarkStart w:id="93" w:name="_Toc24618"/>
      <w:r>
        <w:rPr>
          <w:rFonts w:hint="eastAsia" w:asciiTheme="minorEastAsia" w:hAnsiTheme="minorEastAsia" w:eastAsiaTheme="minorEastAsia" w:cstheme="minorEastAsia"/>
          <w:bCs/>
          <w:kern w:val="0"/>
          <w:sz w:val="24"/>
          <w:szCs w:val="24"/>
          <w:highlight w:val="none"/>
        </w:rPr>
        <w:t>1、磋商响应书</w:t>
      </w:r>
      <w:bookmarkEnd w:id="92"/>
      <w:bookmarkEnd w:id="93"/>
    </w:p>
    <w:p>
      <w:pPr>
        <w:shd w:val="clear"/>
        <w:spacing w:line="500" w:lineRule="exact"/>
        <w:ind w:firstLine="480" w:firstLineChars="200"/>
        <w:outlineLvl w:val="0"/>
        <w:rPr>
          <w:rFonts w:asciiTheme="minorEastAsia" w:hAnsiTheme="minorEastAsia" w:eastAsiaTheme="minorEastAsia" w:cstheme="minorEastAsia"/>
          <w:bCs/>
          <w:kern w:val="0"/>
          <w:sz w:val="24"/>
          <w:szCs w:val="24"/>
          <w:highlight w:val="none"/>
        </w:rPr>
      </w:pPr>
      <w:bookmarkStart w:id="94" w:name="_Toc8945"/>
      <w:bookmarkStart w:id="95" w:name="_Toc2661"/>
      <w:r>
        <w:rPr>
          <w:rFonts w:hint="eastAsia" w:asciiTheme="minorEastAsia" w:hAnsiTheme="minorEastAsia" w:eastAsiaTheme="minorEastAsia" w:cstheme="minorEastAsia"/>
          <w:bCs/>
          <w:kern w:val="0"/>
          <w:sz w:val="24"/>
          <w:szCs w:val="24"/>
          <w:highlight w:val="none"/>
        </w:rPr>
        <w:t>2、开标一览表</w:t>
      </w:r>
      <w:bookmarkEnd w:id="94"/>
      <w:bookmarkEnd w:id="95"/>
    </w:p>
    <w:p>
      <w:pPr>
        <w:shd w:val="clear"/>
        <w:spacing w:line="500" w:lineRule="exact"/>
        <w:ind w:firstLine="480" w:firstLineChars="200"/>
        <w:outlineLvl w:val="0"/>
        <w:rPr>
          <w:rFonts w:asciiTheme="minorEastAsia" w:hAnsiTheme="minorEastAsia" w:eastAsiaTheme="minorEastAsia" w:cstheme="minorEastAsia"/>
          <w:sz w:val="24"/>
          <w:szCs w:val="24"/>
          <w:highlight w:val="none"/>
        </w:rPr>
      </w:pPr>
      <w:bookmarkStart w:id="96" w:name="_Toc8557"/>
      <w:bookmarkStart w:id="97" w:name="_Toc26530"/>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highlight w:val="none"/>
        </w:rPr>
        <w:t>政策适用性说明（符合要求填写）</w:t>
      </w:r>
      <w:bookmarkEnd w:id="96"/>
      <w:bookmarkEnd w:id="97"/>
    </w:p>
    <w:p>
      <w:pPr>
        <w:shd w:val="clear"/>
        <w:spacing w:line="500" w:lineRule="exact"/>
        <w:ind w:firstLine="480" w:firstLineChars="200"/>
        <w:outlineLvl w:val="0"/>
        <w:rPr>
          <w:rFonts w:asciiTheme="minorEastAsia" w:hAnsiTheme="minorEastAsia" w:eastAsiaTheme="minorEastAsia" w:cstheme="minorEastAsia"/>
          <w:sz w:val="24"/>
          <w:szCs w:val="24"/>
          <w:highlight w:val="none"/>
        </w:rPr>
      </w:pPr>
      <w:bookmarkStart w:id="98" w:name="_Toc18800"/>
      <w:bookmarkStart w:id="99" w:name="_Toc18773"/>
      <w:r>
        <w:rPr>
          <w:rFonts w:hint="eastAsia" w:asciiTheme="minorEastAsia" w:hAnsiTheme="minorEastAsia" w:eastAsiaTheme="minorEastAsia" w:cstheme="minorEastAsia"/>
          <w:sz w:val="24"/>
          <w:szCs w:val="24"/>
          <w:highlight w:val="none"/>
        </w:rPr>
        <w:t>4、供应商基本情况表</w:t>
      </w:r>
      <w:bookmarkEnd w:id="98"/>
      <w:bookmarkEnd w:id="99"/>
    </w:p>
    <w:p>
      <w:pPr>
        <w:shd w:val="clear"/>
        <w:spacing w:line="500" w:lineRule="exact"/>
        <w:ind w:firstLine="480" w:firstLineChars="200"/>
        <w:outlineLvl w:val="0"/>
        <w:rPr>
          <w:rFonts w:asciiTheme="minorEastAsia" w:hAnsiTheme="minorEastAsia" w:eastAsiaTheme="minorEastAsia" w:cstheme="minorEastAsia"/>
          <w:kern w:val="0"/>
          <w:sz w:val="24"/>
          <w:szCs w:val="24"/>
          <w:highlight w:val="none"/>
        </w:rPr>
      </w:pPr>
      <w:bookmarkStart w:id="100" w:name="_Toc13394"/>
      <w:bookmarkStart w:id="101" w:name="_Toc23190"/>
      <w:r>
        <w:rPr>
          <w:rFonts w:hint="eastAsia" w:asciiTheme="minorEastAsia" w:hAnsiTheme="minorEastAsia" w:eastAsiaTheme="minorEastAsia" w:cstheme="minorEastAsia"/>
          <w:bCs/>
          <w:kern w:val="0"/>
          <w:sz w:val="24"/>
          <w:szCs w:val="24"/>
          <w:highlight w:val="none"/>
        </w:rPr>
        <w:t>5、</w:t>
      </w:r>
      <w:r>
        <w:rPr>
          <w:rFonts w:hint="eastAsia" w:asciiTheme="minorEastAsia" w:hAnsiTheme="minorEastAsia" w:eastAsiaTheme="minorEastAsia" w:cstheme="minorEastAsia"/>
          <w:kern w:val="0"/>
          <w:sz w:val="24"/>
          <w:szCs w:val="24"/>
          <w:highlight w:val="none"/>
        </w:rPr>
        <w:t>法定代表人身份证明书</w:t>
      </w:r>
      <w:bookmarkEnd w:id="100"/>
      <w:bookmarkEnd w:id="101"/>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sz w:val="24"/>
          <w:szCs w:val="24"/>
          <w:highlight w:val="none"/>
        </w:rPr>
      </w:pPr>
      <w:bookmarkStart w:id="102" w:name="_Toc19693"/>
      <w:bookmarkStart w:id="103" w:name="_Toc2591"/>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bCs/>
          <w:sz w:val="24"/>
          <w:szCs w:val="24"/>
          <w:highlight w:val="none"/>
        </w:rPr>
        <w:t>法定代表人授权委托书</w:t>
      </w:r>
      <w:bookmarkEnd w:id="102"/>
      <w:bookmarkEnd w:id="103"/>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04" w:name="_Toc32389"/>
      <w:bookmarkStart w:id="105" w:name="_Toc12629"/>
      <w:r>
        <w:rPr>
          <w:rFonts w:hint="eastAsia" w:asciiTheme="minorEastAsia" w:hAnsiTheme="minorEastAsia" w:eastAsiaTheme="minorEastAsia" w:cstheme="minorEastAsia"/>
          <w:sz w:val="24"/>
          <w:szCs w:val="24"/>
          <w:highlight w:val="none"/>
        </w:rPr>
        <w:t>7、</w:t>
      </w:r>
      <w:bookmarkEnd w:id="104"/>
      <w:bookmarkEnd w:id="105"/>
      <w:r>
        <w:rPr>
          <w:rFonts w:hint="eastAsia" w:asciiTheme="minorEastAsia" w:hAnsiTheme="minorEastAsia" w:eastAsiaTheme="minorEastAsia" w:cstheme="minorEastAsia"/>
          <w:sz w:val="24"/>
          <w:szCs w:val="24"/>
          <w:highlight w:val="none"/>
        </w:rPr>
        <w:t>关于《中华人民共和国政府采购法》第二十二条的承诺书</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sz w:val="24"/>
          <w:szCs w:val="24"/>
          <w:highlight w:val="none"/>
        </w:rPr>
      </w:pPr>
      <w:bookmarkStart w:id="106" w:name="_Toc2207"/>
      <w:bookmarkStart w:id="107" w:name="_Toc21633"/>
      <w:r>
        <w:rPr>
          <w:rFonts w:hint="eastAsia" w:asciiTheme="minorEastAsia" w:hAnsiTheme="minorEastAsia" w:eastAsiaTheme="minorEastAsia" w:cstheme="minorEastAsia"/>
          <w:bCs/>
          <w:sz w:val="24"/>
          <w:szCs w:val="24"/>
          <w:highlight w:val="none"/>
        </w:rPr>
        <w:t>8、廉洁投标承诺书</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9、供应商的资格声明</w:t>
      </w:r>
      <w:bookmarkEnd w:id="106"/>
      <w:bookmarkEnd w:id="107"/>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08" w:name="_Toc15488"/>
      <w:bookmarkStart w:id="109" w:name="_Toc1140"/>
      <w:r>
        <w:rPr>
          <w:rFonts w:hint="eastAsia" w:asciiTheme="minorEastAsia" w:hAnsiTheme="minorEastAsia" w:eastAsiaTheme="minorEastAsia" w:cstheme="minorEastAsia"/>
          <w:sz w:val="24"/>
          <w:szCs w:val="24"/>
          <w:highlight w:val="none"/>
        </w:rPr>
        <w:t>10、供应商资格要求</w:t>
      </w:r>
      <w:bookmarkEnd w:id="108"/>
      <w:bookmarkEnd w:id="109"/>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10" w:name="_Toc25487"/>
      <w:bookmarkStart w:id="111" w:name="_Toc17981"/>
      <w:r>
        <w:rPr>
          <w:rFonts w:hint="eastAsia" w:asciiTheme="minorEastAsia" w:hAnsiTheme="minorEastAsia" w:eastAsiaTheme="minorEastAsia" w:cstheme="minorEastAsia"/>
          <w:sz w:val="24"/>
          <w:szCs w:val="24"/>
          <w:highlight w:val="none"/>
        </w:rPr>
        <w:t>11、</w:t>
      </w:r>
      <w:bookmarkEnd w:id="110"/>
      <w:bookmarkEnd w:id="111"/>
      <w:r>
        <w:rPr>
          <w:rFonts w:hint="eastAsia" w:asciiTheme="minorEastAsia" w:hAnsiTheme="minorEastAsia" w:eastAsiaTheme="minorEastAsia" w:cstheme="minorEastAsia"/>
          <w:sz w:val="24"/>
          <w:szCs w:val="24"/>
          <w:highlight w:val="none"/>
        </w:rPr>
        <w:t>采购需求响应偏离表</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12" w:name="_Toc19480"/>
      <w:bookmarkStart w:id="113" w:name="_Toc9913"/>
      <w:r>
        <w:rPr>
          <w:rFonts w:hint="eastAsia" w:asciiTheme="minorEastAsia" w:hAnsiTheme="minorEastAsia" w:eastAsiaTheme="minorEastAsia" w:cstheme="minorEastAsia"/>
          <w:sz w:val="24"/>
          <w:szCs w:val="24"/>
          <w:highlight w:val="none"/>
        </w:rPr>
        <w:t>12、</w:t>
      </w:r>
      <w:bookmarkEnd w:id="112"/>
      <w:bookmarkEnd w:id="113"/>
      <w:r>
        <w:rPr>
          <w:rFonts w:hint="eastAsia" w:asciiTheme="minorEastAsia" w:hAnsiTheme="minorEastAsia" w:eastAsiaTheme="minorEastAsia" w:cstheme="minorEastAsia"/>
          <w:sz w:val="24"/>
          <w:szCs w:val="24"/>
          <w:highlight w:val="none"/>
        </w:rPr>
        <w:t>供应商类似项目业绩表</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14" w:name="_Toc26929"/>
      <w:bookmarkStart w:id="115" w:name="_Toc6096"/>
      <w:r>
        <w:rPr>
          <w:rFonts w:hint="eastAsia" w:asciiTheme="minorEastAsia" w:hAnsiTheme="minorEastAsia" w:eastAsiaTheme="minorEastAsia" w:cstheme="minorEastAsia"/>
          <w:sz w:val="24"/>
          <w:highlight w:val="none"/>
        </w:rPr>
        <w:t>13、节能、环境标志产品优惠明细表(若有，请如实填写)</w:t>
      </w:r>
      <w:bookmarkEnd w:id="114"/>
      <w:bookmarkEnd w:id="115"/>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16" w:name="_Toc2403"/>
      <w:bookmarkStart w:id="117" w:name="_Toc13747"/>
      <w:r>
        <w:rPr>
          <w:rFonts w:hint="eastAsia" w:asciiTheme="minorEastAsia" w:hAnsiTheme="minorEastAsia" w:eastAsiaTheme="minorEastAsia" w:cstheme="minorEastAsia"/>
          <w:sz w:val="24"/>
          <w:highlight w:val="none"/>
        </w:rPr>
        <w:t>14、节能、环境标志产品证明材料</w:t>
      </w:r>
      <w:bookmarkEnd w:id="116"/>
      <w:bookmarkEnd w:id="117"/>
      <w:r>
        <w:rPr>
          <w:rFonts w:hint="eastAsia" w:asciiTheme="minorEastAsia" w:hAnsiTheme="minorEastAsia" w:eastAsiaTheme="minorEastAsia" w:cstheme="minorEastAsia"/>
          <w:sz w:val="24"/>
          <w:highlight w:val="none"/>
        </w:rPr>
        <w:t>(若有，请如实填写)</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18" w:name="_Toc5468"/>
      <w:bookmarkStart w:id="119" w:name="_Toc18534"/>
      <w:r>
        <w:rPr>
          <w:rFonts w:hint="eastAsia" w:asciiTheme="minorEastAsia" w:hAnsiTheme="minorEastAsia" w:eastAsiaTheme="minorEastAsia" w:cstheme="minorEastAsia"/>
          <w:sz w:val="24"/>
          <w:highlight w:val="none"/>
        </w:rPr>
        <w:t>15、小微企业生产或销售的产品优惠明细表(若有，请如实填写)</w:t>
      </w:r>
      <w:bookmarkEnd w:id="118"/>
      <w:bookmarkEnd w:id="119"/>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20" w:name="_Toc25608"/>
      <w:bookmarkStart w:id="121" w:name="_Toc23127"/>
      <w:r>
        <w:rPr>
          <w:rFonts w:hint="eastAsia" w:asciiTheme="minorEastAsia" w:hAnsiTheme="minorEastAsia" w:eastAsiaTheme="minorEastAsia" w:cstheme="minorEastAsia"/>
          <w:sz w:val="24"/>
          <w:highlight w:val="none"/>
        </w:rPr>
        <w:t>16、中小微企业声明函（符合本声明函填写）</w:t>
      </w:r>
      <w:bookmarkEnd w:id="120"/>
      <w:bookmarkEnd w:id="121"/>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22" w:name="_Toc22791"/>
      <w:bookmarkStart w:id="123" w:name="_Toc14206"/>
      <w:r>
        <w:rPr>
          <w:rFonts w:hint="eastAsia" w:asciiTheme="minorEastAsia" w:hAnsiTheme="minorEastAsia" w:eastAsiaTheme="minorEastAsia" w:cstheme="minorEastAsia"/>
          <w:sz w:val="24"/>
          <w:highlight w:val="none"/>
        </w:rPr>
        <w:t>17、监狱企业声明函（符合本声明函填写）</w:t>
      </w:r>
      <w:bookmarkEnd w:id="122"/>
      <w:bookmarkEnd w:id="123"/>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24" w:name="_Toc6942"/>
      <w:bookmarkStart w:id="125" w:name="_Toc9565"/>
      <w:r>
        <w:rPr>
          <w:rFonts w:hint="eastAsia" w:asciiTheme="minorEastAsia" w:hAnsiTheme="minorEastAsia" w:eastAsiaTheme="minorEastAsia" w:cstheme="minorEastAsia"/>
          <w:sz w:val="24"/>
          <w:highlight w:val="none"/>
        </w:rPr>
        <w:t>17、残疾人福利性单位声明函（符合本声明函填写）</w:t>
      </w:r>
      <w:bookmarkEnd w:id="124"/>
      <w:bookmarkEnd w:id="125"/>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26" w:name="_Toc18263"/>
      <w:bookmarkStart w:id="127" w:name="_Toc28393"/>
      <w:r>
        <w:rPr>
          <w:rFonts w:hint="eastAsia" w:asciiTheme="minorEastAsia" w:hAnsiTheme="minorEastAsia" w:eastAsiaTheme="minorEastAsia" w:cstheme="minorEastAsia"/>
          <w:sz w:val="24"/>
          <w:szCs w:val="24"/>
          <w:highlight w:val="none"/>
        </w:rPr>
        <w:t>19、评审中所需资料</w:t>
      </w:r>
      <w:bookmarkEnd w:id="126"/>
      <w:bookmarkEnd w:id="127"/>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28" w:name="_Toc9318"/>
      <w:bookmarkStart w:id="129" w:name="_Toc13562"/>
      <w:r>
        <w:rPr>
          <w:rFonts w:hint="eastAsia" w:asciiTheme="minorEastAsia" w:hAnsiTheme="minorEastAsia" w:eastAsiaTheme="minorEastAsia" w:cstheme="minorEastAsia"/>
          <w:sz w:val="24"/>
          <w:szCs w:val="24"/>
          <w:highlight w:val="none"/>
        </w:rPr>
        <w:t>20、供应商认为有必要提供的其他资料</w:t>
      </w:r>
      <w:bookmarkEnd w:id="128"/>
      <w:bookmarkEnd w:id="129"/>
    </w:p>
    <w:p>
      <w:pPr>
        <w:shd w:val="clear"/>
        <w:spacing w:line="500" w:lineRule="exact"/>
        <w:ind w:firstLine="472" w:firstLineChars="196"/>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（注：供应商须按招标要求提供，磋商响应文件应当使用磋商文件所提供磋商响应文件格式（表格可按照同样格式扩展）。未提供格式的，需要时由供应商用文字或者表格、图片等其它形式提供。）</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18"/>
          <w:szCs w:val="18"/>
          <w:highlight w:val="none"/>
        </w:rPr>
        <w:br w:type="page"/>
      </w:r>
    </w:p>
    <w:p>
      <w:pPr>
        <w:shd w:val="clear" w:color="auto"/>
        <w:spacing w:line="360" w:lineRule="exact"/>
        <w:outlineLvl w:val="0"/>
        <w:rPr>
          <w:rFonts w:asciiTheme="minorEastAsia" w:hAnsiTheme="minorEastAsia" w:eastAsiaTheme="minorEastAsia" w:cstheme="minorEastAsia"/>
          <w:b/>
          <w:sz w:val="24"/>
          <w:szCs w:val="24"/>
          <w:highlight w:val="none"/>
        </w:rPr>
      </w:pPr>
      <w:bookmarkStart w:id="130" w:name="_Toc9753"/>
      <w:bookmarkStart w:id="131" w:name="_Toc31865"/>
      <w:r>
        <w:rPr>
          <w:rFonts w:hint="eastAsia" w:asciiTheme="minorEastAsia" w:hAnsiTheme="minorEastAsia" w:eastAsiaTheme="minorEastAsia" w:cstheme="minorEastAsia"/>
          <w:b/>
          <w:sz w:val="24"/>
          <w:szCs w:val="24"/>
          <w:highlight w:val="none"/>
        </w:rPr>
        <w:t>附件1</w:t>
      </w:r>
      <w:bookmarkEnd w:id="130"/>
      <w:bookmarkEnd w:id="131"/>
    </w:p>
    <w:p>
      <w:pPr>
        <w:shd w:val="clear" w:color="auto"/>
        <w:spacing w:line="500" w:lineRule="exact"/>
        <w:ind w:right="420"/>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磋商响应书</w:t>
      </w:r>
    </w:p>
    <w:p>
      <w:pPr>
        <w:shd w:val="clear" w:color="auto"/>
        <w:spacing w:line="440" w:lineRule="exact"/>
        <w:ind w:right="42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采购人名称</w:t>
      </w:r>
      <w:r>
        <w:rPr>
          <w:rFonts w:hint="eastAsia" w:asciiTheme="minorEastAsia" w:hAnsiTheme="minorEastAsia" w:eastAsiaTheme="minorEastAsia" w:cstheme="minorEastAsia"/>
          <w:sz w:val="24"/>
          <w:szCs w:val="24"/>
          <w:highlight w:val="none"/>
        </w:rPr>
        <w:t>）：</w:t>
      </w:r>
    </w:p>
    <w:p>
      <w:pPr>
        <w:shd w:val="clear" w:color="auto"/>
        <w:spacing w:line="440" w:lineRule="exact"/>
        <w:ind w:left="1" w:firstLine="489" w:firstLineChars="20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我方收到并研究了贵方</w:t>
      </w:r>
      <w:r>
        <w:rPr>
          <w:rFonts w:hint="eastAsia" w:asciiTheme="minorEastAsia" w:hAnsiTheme="minorEastAsia" w:eastAsiaTheme="minorEastAsia" w:cstheme="minorEastAsia"/>
          <w:sz w:val="24"/>
          <w:szCs w:val="24"/>
          <w:highlight w:val="none"/>
          <w:u w:val="single"/>
        </w:rPr>
        <w:t xml:space="preserve">   （项目名称、采购项目编号）</w:t>
      </w:r>
      <w:r>
        <w:rPr>
          <w:rFonts w:hint="eastAsia" w:asciiTheme="minorEastAsia" w:hAnsiTheme="minorEastAsia" w:eastAsiaTheme="minorEastAsia" w:cstheme="minorEastAsia"/>
          <w:sz w:val="24"/>
          <w:szCs w:val="24"/>
          <w:highlight w:val="none"/>
        </w:rPr>
        <w:t>项目的磋商文件，愿意按照磋商文件规定的内容承担该项目的投标任务，严格执行我方所承诺的责任和义务。为此，我方郑重声明以下诸点，并负法律责任。</w:t>
      </w:r>
    </w:p>
    <w:p>
      <w:pPr>
        <w:shd w:val="clear" w:color="auto"/>
        <w:spacing w:line="440" w:lineRule="exact"/>
        <w:ind w:left="1" w:firstLine="489" w:firstLineChars="20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1、我方提交磋商响应文件，我方愿按《中华人民共和国政府采购法》及其他有关法律、法规的规定，自觉履行自己的全部责任。</w:t>
      </w:r>
    </w:p>
    <w:p>
      <w:pPr>
        <w:shd w:val="clear" w:color="auto"/>
        <w:spacing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2、我方同意在磋商有效期内遵守本磋商响应文件，在此期限期满前的任何时间，本磋商响应文件一直对我们具有约束力；</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3、如果我方磋商响应文件被接受，我方将按照磋商文件的规定，我方保证将按招标要求和磋商响应文件中的承诺按期、按质、按量交付使用方；</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4、如果我方中标，我方将在磋商文件规定的时间内签订委托合同并按招标要求提供履约担保。如果我方违约，除磋商保证金不予退还外，贵方有权终止我方中标并选择其它成交供应商。</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果我方中标，我方将在磋商文件规定的时间内签订合同。如果我方违约，借故拒签合同或拖延签订的，则采购人将废除授标，磋商保证金不予退还，给采购人造成的损失超过投保证金保数额的，还应当对超过部分予以赔偿，同时依法承担相应法律责任，采购人可另行选择成交供应商。</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6、一旦我方中标，我方愿意按招标要求承担政府采购代理服务费。</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7、贵方的中标通知书和本磋商响应文件将构成约束双方的合同。</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8、如果我方未中标，贵方没有必要对我方做出任何解释和说明，我方将充分尊重和理解贵方的选择。</w:t>
      </w:r>
    </w:p>
    <w:p>
      <w:pPr>
        <w:shd w:val="clear" w:color="auto"/>
        <w:spacing w:line="440" w:lineRule="exact"/>
        <w:ind w:right="420"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9、我方的磋商响应文件自提交磋商响应文件截止之日起有效期</w:t>
      </w:r>
      <w:r>
        <w:rPr>
          <w:rFonts w:hint="eastAsia" w:asciiTheme="minorEastAsia" w:hAnsiTheme="minorEastAsia" w:eastAsiaTheme="minorEastAsia" w:cstheme="minorEastAsia"/>
          <w:sz w:val="24"/>
          <w:szCs w:val="24"/>
          <w:highlight w:val="none"/>
          <w:u w:val="single"/>
        </w:rPr>
        <w:t xml:space="preserve"> 90  </w:t>
      </w:r>
      <w:r>
        <w:rPr>
          <w:rFonts w:hint="eastAsia" w:asciiTheme="minorEastAsia" w:hAnsiTheme="minorEastAsia" w:eastAsiaTheme="minorEastAsia" w:cstheme="minorEastAsia"/>
          <w:sz w:val="24"/>
          <w:szCs w:val="24"/>
          <w:highlight w:val="none"/>
        </w:rPr>
        <w:t>天。</w:t>
      </w:r>
    </w:p>
    <w:p>
      <w:pPr>
        <w:shd w:val="clear" w:color="auto"/>
        <w:spacing w:line="440" w:lineRule="exact"/>
        <w:ind w:right="420" w:firstLine="480"/>
        <w:jc w:val="left"/>
        <w:rPr>
          <w:rFonts w:asciiTheme="minorEastAsia" w:hAnsiTheme="minorEastAsia" w:eastAsiaTheme="minorEastAsia" w:cstheme="minorEastAsia"/>
          <w:sz w:val="24"/>
          <w:szCs w:val="24"/>
          <w:highlight w:val="none"/>
        </w:rPr>
      </w:pPr>
    </w:p>
    <w:p>
      <w:pPr>
        <w:pStyle w:val="96"/>
        <w:shd w:val="clear" w:color="auto"/>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法定代表人（签字或盖章）：</w:t>
      </w:r>
    </w:p>
    <w:p>
      <w:pPr>
        <w:shd w:val="clear" w:color="auto"/>
        <w:adjustRightInd w:val="0"/>
        <w:snapToGrid w:val="0"/>
        <w:spacing w:line="440" w:lineRule="exact"/>
        <w:ind w:right="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hd w:val="clear" w:color="auto"/>
        <w:spacing w:line="360" w:lineRule="exact"/>
        <w:ind w:right="420"/>
        <w:jc w:val="left"/>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132" w:name="_Toc10540"/>
      <w:bookmarkStart w:id="133" w:name="_Toc18033"/>
      <w:r>
        <w:rPr>
          <w:rFonts w:hint="eastAsia" w:asciiTheme="minorEastAsia" w:hAnsiTheme="minorEastAsia" w:eastAsiaTheme="minorEastAsia" w:cstheme="minorEastAsia"/>
          <w:b/>
          <w:sz w:val="24"/>
          <w:szCs w:val="24"/>
          <w:highlight w:val="none"/>
        </w:rPr>
        <w:t>附件</w:t>
      </w:r>
      <w:bookmarkEnd w:id="132"/>
      <w:bookmarkEnd w:id="133"/>
      <w:r>
        <w:rPr>
          <w:rFonts w:hint="eastAsia" w:asciiTheme="minorEastAsia" w:hAnsiTheme="minorEastAsia" w:eastAsiaTheme="minorEastAsia" w:cstheme="minorEastAsia"/>
          <w:b/>
          <w:sz w:val="24"/>
          <w:szCs w:val="24"/>
          <w:highlight w:val="none"/>
        </w:rPr>
        <w:t>2-1</w:t>
      </w:r>
    </w:p>
    <w:p>
      <w:pPr>
        <w:shd w:val="clear" w:color="auto"/>
        <w:spacing w:line="500" w:lineRule="exact"/>
        <w:ind w:right="420"/>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开标一览表</w:t>
      </w:r>
    </w:p>
    <w:tbl>
      <w:tblPr>
        <w:tblStyle w:val="2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2542" w:type="dxa"/>
            <w:vAlign w:val="center"/>
          </w:tcPr>
          <w:p>
            <w:pPr>
              <w:shd w:val="clear"/>
              <w:spacing w:line="500" w:lineRule="exact"/>
              <w:rPr>
                <w:rFonts w:asciiTheme="minorEastAsia" w:hAnsiTheme="minorEastAsia" w:eastAsiaTheme="minorEastAsia" w:cstheme="minorEastAsia"/>
                <w:sz w:val="24"/>
                <w:szCs w:val="24"/>
                <w:highlight w:val="none"/>
              </w:rPr>
            </w:pPr>
          </w:p>
        </w:tc>
        <w:tc>
          <w:tcPr>
            <w:tcW w:w="1236" w:type="dxa"/>
            <w:vAlign w:val="center"/>
          </w:tcPr>
          <w:p>
            <w:pPr>
              <w:shd w:val="clea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tc>
        <w:tc>
          <w:tcPr>
            <w:tcW w:w="1724" w:type="dxa"/>
            <w:vAlign w:val="center"/>
          </w:tcPr>
          <w:p>
            <w:pPr>
              <w:shd w:val="clear"/>
              <w:spacing w:line="50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w:t>
            </w:r>
          </w:p>
        </w:tc>
        <w:tc>
          <w:tcPr>
            <w:tcW w:w="5502" w:type="dxa"/>
            <w:gridSpan w:val="3"/>
            <w:vAlign w:val="center"/>
          </w:tcPr>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shd w:val="clea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大写：</w:t>
            </w:r>
            <w:r>
              <w:rPr>
                <w:rFonts w:hint="eastAsia" w:asciiTheme="minorEastAsia" w:hAnsiTheme="minorEastAsia" w:eastAsiaTheme="minorEastAsia" w:cstheme="minorEastAsia"/>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供货期</w:t>
            </w:r>
          </w:p>
        </w:tc>
        <w:tc>
          <w:tcPr>
            <w:tcW w:w="5502" w:type="dxa"/>
            <w:gridSpan w:val="3"/>
            <w:vAlign w:val="center"/>
          </w:tcPr>
          <w:p>
            <w:pPr>
              <w:shd w:val="clear"/>
              <w:spacing w:line="500" w:lineRule="exact"/>
              <w:jc w:val="lef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质保期</w:t>
            </w:r>
          </w:p>
        </w:tc>
        <w:tc>
          <w:tcPr>
            <w:tcW w:w="5502" w:type="dxa"/>
            <w:gridSpan w:val="3"/>
            <w:vAlign w:val="center"/>
          </w:tcPr>
          <w:p>
            <w:pPr>
              <w:shd w:val="clear"/>
              <w:spacing w:line="500" w:lineRule="exact"/>
              <w:jc w:val="lef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供货地点</w:t>
            </w:r>
          </w:p>
        </w:tc>
        <w:tc>
          <w:tcPr>
            <w:tcW w:w="5502" w:type="dxa"/>
            <w:gridSpan w:val="3"/>
            <w:vAlign w:val="center"/>
          </w:tcPr>
          <w:p>
            <w:pPr>
              <w:shd w:val="clear"/>
              <w:spacing w:line="500" w:lineRule="exact"/>
              <w:jc w:val="lef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磋商有效期</w:t>
            </w:r>
          </w:p>
        </w:tc>
        <w:tc>
          <w:tcPr>
            <w:tcW w:w="5502" w:type="dxa"/>
            <w:gridSpan w:val="3"/>
            <w:vAlign w:val="center"/>
          </w:tcPr>
          <w:p>
            <w:pPr>
              <w:shd w:val="clea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vAlign w:val="center"/>
          </w:tcPr>
          <w:p>
            <w:pPr>
              <w:pStyle w:val="15"/>
              <w:shd w:val="clea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5502" w:type="dxa"/>
            <w:gridSpan w:val="3"/>
            <w:vAlign w:val="center"/>
          </w:tcPr>
          <w:p>
            <w:pPr>
              <w:pStyle w:val="15"/>
              <w:shd w:val="clear"/>
              <w:spacing w:line="360" w:lineRule="auto"/>
              <w:jc w:val="center"/>
              <w:rPr>
                <w:rFonts w:asciiTheme="minorEastAsia" w:hAnsiTheme="minorEastAsia" w:eastAsiaTheme="minorEastAsia" w:cstheme="minorEastAsia"/>
                <w:sz w:val="24"/>
                <w:szCs w:val="24"/>
                <w:highlight w:val="none"/>
              </w:rPr>
            </w:pPr>
          </w:p>
        </w:tc>
      </w:tr>
    </w:tbl>
    <w:p>
      <w:pPr>
        <w:shd w:val="clear" w:color="auto"/>
        <w:tabs>
          <w:tab w:val="left" w:pos="3780"/>
        </w:tabs>
        <w:spacing w:line="500" w:lineRule="exact"/>
        <w:ind w:firstLine="480" w:firstLineChars="200"/>
        <w:rPr>
          <w:rFonts w:asciiTheme="minorEastAsia" w:hAnsiTheme="minorEastAsia" w:eastAsiaTheme="minorEastAsia" w:cstheme="minorEastAsia"/>
          <w:sz w:val="24"/>
          <w:szCs w:val="24"/>
          <w:highlight w:val="none"/>
        </w:rPr>
      </w:pPr>
    </w:p>
    <w:p>
      <w:pPr>
        <w:shd w:val="clear" w:color="auto"/>
        <w:tabs>
          <w:tab w:val="left" w:pos="378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供应商（盖公章）：</w:t>
      </w:r>
    </w:p>
    <w:p>
      <w:pPr>
        <w:shd w:val="clear" w:color="auto"/>
        <w:tabs>
          <w:tab w:val="left" w:pos="378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法定代表人（签字或盖章）：</w:t>
      </w:r>
    </w:p>
    <w:p>
      <w:pPr>
        <w:shd w:val="clear" w:color="auto"/>
        <w:tabs>
          <w:tab w:val="left" w:pos="378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hd w:val="clear" w:color="auto"/>
        <w:tabs>
          <w:tab w:val="left" w:pos="3780"/>
        </w:tabs>
        <w:spacing w:line="500" w:lineRule="exact"/>
        <w:ind w:firstLine="5400" w:firstLineChars="2250"/>
        <w:rPr>
          <w:rFonts w:asciiTheme="minorEastAsia" w:hAnsiTheme="minorEastAsia" w:eastAsiaTheme="minorEastAsia" w:cstheme="minorEastAsia"/>
          <w:sz w:val="24"/>
          <w:szCs w:val="24"/>
          <w:highlight w:val="none"/>
        </w:rPr>
      </w:pPr>
    </w:p>
    <w:p>
      <w:pPr>
        <w:shd w:val="clear" w:color="auto"/>
        <w:spacing w:line="500" w:lineRule="exact"/>
        <w:ind w:firstLine="489" w:firstLineChars="204"/>
        <w:outlineLvl w:val="0"/>
        <w:rPr>
          <w:rFonts w:asciiTheme="minorEastAsia" w:hAnsiTheme="minorEastAsia" w:eastAsiaTheme="minorEastAsia" w:cstheme="minorEastAsia"/>
          <w:sz w:val="24"/>
          <w:szCs w:val="24"/>
          <w:highlight w:val="none"/>
        </w:rPr>
      </w:pPr>
      <w:bookmarkStart w:id="134" w:name="_Toc4411"/>
      <w:bookmarkStart w:id="135" w:name="_Toc15420"/>
      <w:r>
        <w:rPr>
          <w:rFonts w:hint="eastAsia" w:asciiTheme="minorEastAsia" w:hAnsiTheme="minorEastAsia" w:eastAsiaTheme="minorEastAsia" w:cstheme="minorEastAsia"/>
          <w:sz w:val="24"/>
          <w:szCs w:val="24"/>
          <w:highlight w:val="none"/>
        </w:rPr>
        <w:t>1、“供货期”指合同生效之日起，多少天内完成合同规定的全部工作内容；</w:t>
      </w:r>
      <w:bookmarkEnd w:id="134"/>
      <w:bookmarkEnd w:id="135"/>
    </w:p>
    <w:p>
      <w:pPr>
        <w:shd w:val="clear" w:color="auto"/>
        <w:spacing w:line="500" w:lineRule="exact"/>
        <w:ind w:firstLine="489" w:firstLineChars="20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2、供应商如果需要对竞标报价或其它内容加以说明，可在备注中填写。</w:t>
      </w:r>
    </w:p>
    <w:p>
      <w:pPr>
        <w:shd w:val="clear" w:color="auto"/>
        <w:adjustRightInd w:val="0"/>
        <w:snapToGrid w:val="0"/>
        <w:spacing w:line="500" w:lineRule="exact"/>
        <w:ind w:right="480"/>
        <w:rPr>
          <w:rFonts w:asciiTheme="minorEastAsia" w:hAnsiTheme="minorEastAsia" w:eastAsiaTheme="minorEastAsia" w:cstheme="minorEastAsia"/>
          <w:sz w:val="24"/>
          <w:szCs w:val="24"/>
          <w:highlight w:val="none"/>
        </w:rPr>
      </w:pPr>
    </w:p>
    <w:p>
      <w:pPr>
        <w:pageBreakBefore/>
        <w:shd w:val="clear"/>
        <w:spacing w:line="44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附件2-2</w:t>
      </w:r>
    </w:p>
    <w:p>
      <w:pPr>
        <w:shd w:val="clear" w:color="auto"/>
        <w:spacing w:line="500" w:lineRule="exact"/>
        <w:ind w:right="420"/>
        <w:jc w:val="center"/>
        <w:rPr>
          <w:rFonts w:hint="default"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报价明细表</w:t>
      </w:r>
    </w:p>
    <w:p>
      <w:pPr>
        <w:shd w:val="clear"/>
        <w:tabs>
          <w:tab w:val="left" w:pos="5100"/>
        </w:tabs>
        <w:spacing w:line="440" w:lineRule="exact"/>
        <w:ind w:firstLine="352" w:firstLineChars="147"/>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sz w:val="24"/>
          <w:szCs w:val="24"/>
          <w:highlight w:val="none"/>
        </w:rPr>
        <w:t xml:space="preserve">项目名称：               </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bCs/>
          <w:sz w:val="24"/>
          <w:szCs w:val="24"/>
          <w:highlight w:val="none"/>
        </w:rPr>
        <w:t xml:space="preserve"> 项目编号：</w:t>
      </w:r>
    </w:p>
    <w:tbl>
      <w:tblPr>
        <w:tblStyle w:val="26"/>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42"/>
        <w:gridCol w:w="1605"/>
        <w:gridCol w:w="1250"/>
        <w:gridCol w:w="1068"/>
        <w:gridCol w:w="795"/>
        <w:gridCol w:w="810"/>
        <w:gridCol w:w="915"/>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742"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605"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规格及参数</w:t>
            </w:r>
          </w:p>
        </w:tc>
        <w:tc>
          <w:tcPr>
            <w:tcW w:w="125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w:t>
            </w:r>
          </w:p>
        </w:tc>
        <w:tc>
          <w:tcPr>
            <w:tcW w:w="1068" w:type="dxa"/>
            <w:vAlign w:val="center"/>
          </w:tcPr>
          <w:p>
            <w:pPr>
              <w:shd w:val="clea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制造商</w:t>
            </w:r>
          </w:p>
        </w:tc>
        <w:tc>
          <w:tcPr>
            <w:tcW w:w="795"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81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915"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967"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gridSpan w:val="2"/>
            <w:vAlign w:val="center"/>
          </w:tcPr>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合计金额（小写）</w:t>
            </w:r>
          </w:p>
        </w:tc>
        <w:tc>
          <w:tcPr>
            <w:tcW w:w="7410" w:type="dxa"/>
            <w:gridSpan w:val="7"/>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gridSpan w:val="2"/>
            <w:vAlign w:val="center"/>
          </w:tcPr>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合计金额（大写）：</w:t>
            </w:r>
          </w:p>
        </w:tc>
        <w:tc>
          <w:tcPr>
            <w:tcW w:w="7410" w:type="dxa"/>
            <w:gridSpan w:val="7"/>
            <w:vAlign w:val="center"/>
          </w:tcPr>
          <w:p>
            <w:pPr>
              <w:shd w:val="clear"/>
              <w:spacing w:line="440" w:lineRule="exact"/>
              <w:rPr>
                <w:rFonts w:asciiTheme="minorEastAsia" w:hAnsiTheme="minorEastAsia" w:eastAsiaTheme="minorEastAsia" w:cstheme="minorEastAsia"/>
                <w:sz w:val="24"/>
                <w:szCs w:val="24"/>
                <w:highlight w:val="none"/>
              </w:rPr>
            </w:pPr>
          </w:p>
        </w:tc>
      </w:tr>
    </w:tbl>
    <w:p>
      <w:pPr>
        <w:shd w:val="clear"/>
        <w:spacing w:line="460" w:lineRule="atLeast"/>
        <w:rPr>
          <w:rFonts w:asciiTheme="minorEastAsia" w:hAnsiTheme="minorEastAsia" w:eastAsiaTheme="minorEastAsia" w:cstheme="minorEastAsia"/>
          <w:b/>
          <w:sz w:val="24"/>
          <w:szCs w:val="24"/>
          <w:highlight w:val="none"/>
        </w:rPr>
      </w:pPr>
    </w:p>
    <w:p>
      <w:pPr>
        <w:shd w:val="clear"/>
        <w:spacing w:line="44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供应商（盖公章）：</w:t>
      </w:r>
    </w:p>
    <w:p>
      <w:pPr>
        <w:shd w:val="clear"/>
        <w:spacing w:line="44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法定代表人（签字或盖章）：</w:t>
      </w:r>
    </w:p>
    <w:p>
      <w:pPr>
        <w:shd w:val="clear"/>
        <w:spacing w:line="44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日期： 年  月  日</w:t>
      </w:r>
    </w:p>
    <w:p>
      <w:pPr>
        <w:shd w:val="clear"/>
        <w:spacing w:line="440" w:lineRule="exact"/>
        <w:rPr>
          <w:rFonts w:asciiTheme="minorEastAsia" w:hAnsiTheme="minorEastAsia" w:eastAsiaTheme="minorEastAsia" w:cstheme="minorEastAsia"/>
          <w:b/>
          <w:sz w:val="24"/>
          <w:szCs w:val="24"/>
          <w:highlight w:val="none"/>
        </w:rPr>
      </w:pPr>
    </w:p>
    <w:p>
      <w:pPr>
        <w:shd w:val="clear"/>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注：1、合计金额应为各分项价格之和。</w:t>
      </w:r>
    </w:p>
    <w:p>
      <w:pPr>
        <w:shd w:val="clear"/>
        <w:spacing w:line="44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2、上述报价包含一切由供方承担的费用。</w:t>
      </w:r>
    </w:p>
    <w:p>
      <w:pPr>
        <w:shd w:val="clear"/>
        <w:spacing w:line="440" w:lineRule="exact"/>
        <w:ind w:firstLine="472" w:firstLineChars="196"/>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3、请各供应商在本表中详细写明所有产品型号规格、主要技术参数、品牌</w:t>
      </w:r>
      <w:r>
        <w:rPr>
          <w:rFonts w:hint="eastAsia" w:asciiTheme="minorEastAsia" w:hAnsiTheme="minorEastAsia" w:eastAsiaTheme="minorEastAsia" w:cstheme="minorEastAsia"/>
          <w:b/>
          <w:sz w:val="24"/>
          <w:szCs w:val="24"/>
          <w:highlight w:val="none"/>
          <w:lang w:val="en-US" w:eastAsia="zh-CN"/>
        </w:rPr>
        <w:t>、制造商、</w:t>
      </w:r>
      <w:r>
        <w:rPr>
          <w:rFonts w:hint="eastAsia" w:asciiTheme="minorEastAsia" w:hAnsiTheme="minorEastAsia" w:eastAsiaTheme="minorEastAsia" w:cstheme="minorEastAsia"/>
          <w:b/>
          <w:sz w:val="24"/>
          <w:szCs w:val="24"/>
          <w:highlight w:val="none"/>
        </w:rPr>
        <w:t>数量、综合单价、总价。</w:t>
      </w:r>
    </w:p>
    <w:p>
      <w:pPr>
        <w:shd w:val="clear"/>
        <w:spacing w:line="440" w:lineRule="exact"/>
        <w:ind w:firstLine="472" w:firstLineChars="196"/>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4、单价必须包括货物报价（含税金）、运输费、装卸费、保管、搬运、验收、拆装、备品备件、售后服务、质检、检验、等及其它必需服务的报价。</w:t>
      </w:r>
    </w:p>
    <w:p>
      <w:pPr>
        <w:shd w:val="clear" w:color="auto"/>
        <w:spacing w:line="360" w:lineRule="auto"/>
        <w:ind w:right="420"/>
        <w:jc w:val="lef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szCs w:val="24"/>
          <w:highlight w:val="none"/>
        </w:rPr>
        <w:br w:type="page"/>
      </w:r>
      <w:bookmarkStart w:id="136" w:name="_Toc18869"/>
      <w:bookmarkStart w:id="137" w:name="_Toc9850"/>
      <w:r>
        <w:rPr>
          <w:rFonts w:hint="eastAsia" w:asciiTheme="minorEastAsia" w:hAnsiTheme="minorEastAsia" w:eastAsiaTheme="minorEastAsia" w:cstheme="minorEastAsia"/>
          <w:b/>
          <w:sz w:val="24"/>
          <w:highlight w:val="none"/>
        </w:rPr>
        <w:t>附件</w:t>
      </w:r>
      <w:bookmarkEnd w:id="136"/>
      <w:bookmarkEnd w:id="137"/>
      <w:r>
        <w:rPr>
          <w:rFonts w:hint="eastAsia" w:asciiTheme="minorEastAsia" w:hAnsiTheme="minorEastAsia" w:eastAsiaTheme="minorEastAsia" w:cstheme="minorEastAsia"/>
          <w:b/>
          <w:sz w:val="24"/>
          <w:highlight w:val="none"/>
        </w:rPr>
        <w:t>3</w:t>
      </w:r>
    </w:p>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
          <w:sz w:val="24"/>
          <w:szCs w:val="24"/>
          <w:highlight w:val="none"/>
        </w:rPr>
        <w:t>政策适用性说明（符合要求填写）</w:t>
      </w:r>
    </w:p>
    <w:p>
      <w:pPr>
        <w:shd w:val="clear"/>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26"/>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主要产品/技术名称</w:t>
            </w:r>
          </w:p>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（规格型号、注册商标）</w:t>
            </w: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制造商</w:t>
            </w:r>
            <w:r>
              <w:rPr>
                <w:rFonts w:hint="eastAsia" w:asciiTheme="minorEastAsia" w:hAnsiTheme="minorEastAsia" w:eastAsiaTheme="minorEastAsia" w:cstheme="minorEastAsia"/>
                <w:bCs/>
                <w:kern w:val="0"/>
                <w:sz w:val="24"/>
                <w:szCs w:val="24"/>
                <w:highlight w:val="none"/>
              </w:rPr>
              <w:br w:type="textWrapping"/>
            </w:r>
            <w:r>
              <w:rPr>
                <w:rFonts w:hint="eastAsia" w:asciiTheme="minorEastAsia" w:hAnsiTheme="minorEastAsia" w:eastAsiaTheme="minorEastAsia" w:cstheme="minorEastAsia"/>
                <w:bCs/>
                <w:kern w:val="0"/>
                <w:sz w:val="24"/>
                <w:szCs w:val="24"/>
                <w:highlight w:val="none"/>
              </w:rPr>
              <w:t>(开发商)</w:t>
            </w: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企业类型</w:t>
            </w: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节能</w:t>
            </w:r>
            <w:r>
              <w:rPr>
                <w:rFonts w:hint="eastAsia" w:asciiTheme="minorEastAsia" w:hAnsiTheme="minorEastAsia" w:eastAsiaTheme="minorEastAsia" w:cstheme="minorEastAsia"/>
                <w:bCs/>
                <w:kern w:val="0"/>
                <w:sz w:val="24"/>
                <w:szCs w:val="24"/>
                <w:highlight w:val="none"/>
              </w:rPr>
              <w:br w:type="textWrapping"/>
            </w:r>
            <w:r>
              <w:rPr>
                <w:rFonts w:hint="eastAsia" w:asciiTheme="minorEastAsia" w:hAnsiTheme="minorEastAsia" w:eastAsiaTheme="minorEastAsia" w:cstheme="minorEastAsia"/>
                <w:bCs/>
                <w:kern w:val="0"/>
                <w:sz w:val="24"/>
                <w:szCs w:val="24"/>
                <w:highlight w:val="none"/>
              </w:rPr>
              <w:t>产品</w:t>
            </w: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环保标志产品</w:t>
            </w: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认证证书编号</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总合计（节能产品）</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总合计（环保产品）</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bl>
    <w:p>
      <w:pPr>
        <w:shd w:val="clear"/>
        <w:autoSpaceDE w:val="0"/>
        <w:autoSpaceDN w:val="0"/>
        <w:adjustRightInd w:val="0"/>
        <w:spacing w:line="400" w:lineRule="exact"/>
        <w:ind w:firstLine="240" w:firstLineChars="1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注：1.</w:t>
      </w:r>
      <w:r>
        <w:rPr>
          <w:rFonts w:hint="eastAsia" w:asciiTheme="minorEastAsia" w:hAnsiTheme="minorEastAsia" w:eastAsiaTheme="minorEastAsia" w:cstheme="minorEastAsia"/>
          <w:bCs/>
          <w:kern w:val="0"/>
          <w:sz w:val="24"/>
          <w:szCs w:val="24"/>
          <w:highlight w:val="none"/>
        </w:rPr>
        <w:tab/>
      </w:r>
      <w:r>
        <w:rPr>
          <w:rFonts w:hint="eastAsia" w:asciiTheme="minorEastAsia" w:hAnsiTheme="minorEastAsia" w:eastAsiaTheme="minorEastAsia" w:cstheme="minorEastAsia"/>
          <w:bCs/>
          <w:kern w:val="0"/>
          <w:sz w:val="24"/>
          <w:szCs w:val="24"/>
          <w:highlight w:val="none"/>
        </w:rPr>
        <w:t>企业为小型或微型企业时才需要填“企业类型”栏，填写内容为“小型”或“微型”；</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w:t>
      </w:r>
      <w:r>
        <w:rPr>
          <w:rFonts w:hint="eastAsia" w:asciiTheme="minorEastAsia" w:hAnsiTheme="minorEastAsia" w:eastAsiaTheme="minorEastAsia" w:cstheme="minorEastAsia"/>
          <w:bCs/>
          <w:kern w:val="0"/>
          <w:sz w:val="24"/>
          <w:szCs w:val="24"/>
          <w:highlight w:val="none"/>
        </w:rPr>
        <w:tab/>
      </w:r>
      <w:r>
        <w:rPr>
          <w:rFonts w:hint="eastAsia" w:asciiTheme="minorEastAsia" w:hAnsiTheme="minorEastAsia" w:eastAsiaTheme="minorEastAsia" w:cstheme="minorEastAsia"/>
          <w:bCs/>
          <w:kern w:val="0"/>
          <w:sz w:val="24"/>
          <w:szCs w:val="24"/>
          <w:highlight w:val="none"/>
        </w:rPr>
        <w:t>“节能产品、环保标志产品”是属于国家行业主管部门颁布的清单目录中的产品，须填写认证证书编号，并在“节能产品”、“环保标志产品”栏中填写属于“第</w:t>
      </w:r>
      <w:r>
        <w:rPr>
          <w:rFonts w:hint="eastAsia" w:asciiTheme="minorEastAsia" w:hAnsiTheme="minorEastAsia" w:eastAsiaTheme="minorEastAsia" w:cstheme="minorEastAsia"/>
          <w:bCs/>
          <w:kern w:val="0"/>
          <w:sz w:val="24"/>
          <w:szCs w:val="24"/>
          <w:highlight w:val="none"/>
          <w:u w:val="single"/>
        </w:rPr>
        <w:t xml:space="preserve">　  </w:t>
      </w:r>
      <w:r>
        <w:rPr>
          <w:rFonts w:hint="eastAsia" w:asciiTheme="minorEastAsia" w:hAnsiTheme="minorEastAsia" w:eastAsiaTheme="minorEastAsia" w:cstheme="minorEastAsia"/>
          <w:bCs/>
          <w:kern w:val="0"/>
          <w:sz w:val="24"/>
          <w:szCs w:val="24"/>
          <w:highlight w:val="none"/>
        </w:rPr>
        <w:t>期清单”的产品（产品被列入多期清单的，以最新一期为准），同时提供有效期内的下述文件（均为复印件，加盖报价供应商公章）：</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highlight w:val="none"/>
        </w:rPr>
        <w:fldChar w:fldCharType="begin"/>
      </w:r>
      <w:r>
        <w:rPr>
          <w:highlight w:val="none"/>
        </w:rPr>
        <w:instrText xml:space="preserve"> HYPERLINK "http://hzs.nd/" </w:instrText>
      </w:r>
      <w:r>
        <w:rPr>
          <w:highlight w:val="none"/>
        </w:rPr>
        <w:fldChar w:fldCharType="separate"/>
      </w:r>
      <w:r>
        <w:rPr>
          <w:rFonts w:hint="eastAsia" w:asciiTheme="minorEastAsia" w:hAnsiTheme="minorEastAsia" w:eastAsiaTheme="minorEastAsia" w:cstheme="minorEastAsia"/>
          <w:bCs/>
          <w:kern w:val="0"/>
          <w:sz w:val="24"/>
          <w:szCs w:val="24"/>
          <w:highlight w:val="none"/>
        </w:rPr>
        <w:t>http://hzs.nd</w:t>
      </w:r>
      <w:r>
        <w:rPr>
          <w:rFonts w:hint="eastAsia" w:asciiTheme="minorEastAsia" w:hAnsiTheme="minorEastAsia" w:eastAsiaTheme="minorEastAsia" w:cstheme="minorEastAsia"/>
          <w:bCs/>
          <w:kern w:val="0"/>
          <w:sz w:val="24"/>
          <w:szCs w:val="24"/>
          <w:highlight w:val="none"/>
        </w:rPr>
        <w:fldChar w:fldCharType="end"/>
      </w:r>
      <w:r>
        <w:rPr>
          <w:rFonts w:hint="eastAsia" w:asciiTheme="minorEastAsia" w:hAnsiTheme="minorEastAsia" w:eastAsiaTheme="minorEastAsia" w:cstheme="minorEastAsia"/>
          <w:bCs/>
          <w:kern w:val="0"/>
          <w:sz w:val="24"/>
          <w:szCs w:val="24"/>
          <w:highlight w:val="none"/>
        </w:rPr>
        <w:t xml:space="preserve"> rc.gv.cn/）和中国质量认证中心网站（http://www.cqc.com.cn/）上发布；</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kern w:val="0"/>
          <w:sz w:val="24"/>
          <w:szCs w:val="24"/>
          <w:highlight w:val="none"/>
        </w:rPr>
        <w:t>3、如不填写或填写不全，后果自行承担。</w:t>
      </w:r>
    </w:p>
    <w:p>
      <w:pPr>
        <w:shd w:val="clear"/>
        <w:spacing w:line="440" w:lineRule="exact"/>
        <w:rPr>
          <w:rFonts w:asciiTheme="minorEastAsia" w:hAnsiTheme="minorEastAsia" w:eastAsiaTheme="minorEastAsia" w:cstheme="minorEastAsia"/>
          <w:bCs/>
          <w:sz w:val="24"/>
          <w:szCs w:val="24"/>
          <w:highlight w:val="none"/>
        </w:rPr>
      </w:pPr>
    </w:p>
    <w:p>
      <w:pPr>
        <w:shd w:val="clear"/>
        <w:spacing w:line="440" w:lineRule="exact"/>
        <w:ind w:firstLine="4080" w:firstLineChars="17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供应商（盖章）： </w:t>
      </w:r>
    </w:p>
    <w:p>
      <w:pPr>
        <w:shd w:val="clear"/>
        <w:spacing w:line="440" w:lineRule="exact"/>
        <w:jc w:val="righ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highlight w:val="none"/>
        </w:rPr>
        <w:t>法定代表人或其被授权人</w:t>
      </w:r>
      <w:r>
        <w:rPr>
          <w:rFonts w:hint="eastAsia" w:asciiTheme="minorEastAsia" w:hAnsiTheme="minorEastAsia" w:eastAsiaTheme="minorEastAsia" w:cstheme="minorEastAsia"/>
          <w:bCs/>
          <w:sz w:val="24"/>
          <w:szCs w:val="24"/>
          <w:highlight w:val="none"/>
        </w:rPr>
        <w:t>（签字或盖章）：</w:t>
      </w:r>
    </w:p>
    <w:p>
      <w:pPr>
        <w:shd w:val="clear"/>
        <w:spacing w:line="440" w:lineRule="exact"/>
        <w:ind w:firstLine="4560" w:firstLineChars="19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rPr>
        <w:t>期：</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rPr>
        <w:t>日</w:t>
      </w:r>
    </w:p>
    <w:p>
      <w:pPr>
        <w:shd w:val="clear" w:color="auto"/>
        <w:spacing w:line="360" w:lineRule="exact"/>
        <w:ind w:right="420"/>
        <w:jc w:val="left"/>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138" w:name="_Toc9578"/>
      <w:bookmarkStart w:id="139" w:name="_Toc18469"/>
      <w:r>
        <w:rPr>
          <w:rFonts w:hint="eastAsia" w:asciiTheme="minorEastAsia" w:hAnsiTheme="minorEastAsia" w:eastAsiaTheme="minorEastAsia" w:cstheme="minorEastAsia"/>
          <w:b/>
          <w:sz w:val="24"/>
          <w:szCs w:val="24"/>
          <w:highlight w:val="none"/>
        </w:rPr>
        <w:t>附件</w:t>
      </w:r>
      <w:bookmarkEnd w:id="138"/>
      <w:bookmarkEnd w:id="139"/>
      <w:r>
        <w:rPr>
          <w:rFonts w:hint="eastAsia" w:asciiTheme="minorEastAsia" w:hAnsiTheme="minorEastAsia" w:eastAsiaTheme="minorEastAsia" w:cstheme="minorEastAsia"/>
          <w:b/>
          <w:sz w:val="24"/>
          <w:szCs w:val="24"/>
          <w:highlight w:val="none"/>
        </w:rPr>
        <w:t>4</w:t>
      </w:r>
    </w:p>
    <w:p>
      <w:pPr>
        <w:shd w:val="clear" w:color="auto"/>
        <w:spacing w:line="500" w:lineRule="exact"/>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sz w:val="24"/>
          <w:szCs w:val="24"/>
          <w:highlight w:val="none"/>
        </w:rPr>
        <w:t>供应商基本情况表</w:t>
      </w:r>
    </w:p>
    <w:tbl>
      <w:tblPr>
        <w:tblStyle w:val="26"/>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242"/>
        <w:gridCol w:w="496"/>
        <w:gridCol w:w="707"/>
        <w:gridCol w:w="263"/>
        <w:gridCol w:w="525"/>
        <w:gridCol w:w="788"/>
        <w:gridCol w:w="59"/>
        <w:gridCol w:w="860"/>
        <w:gridCol w:w="81"/>
        <w:gridCol w:w="1788"/>
      </w:tblGrid>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单位名称</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详细地址</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传真</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简历</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及机构</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优势</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及特长</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位</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概</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况</w:t>
            </w: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职工</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总数</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人</w:t>
            </w: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生产工人人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工程技术人员人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流动</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资金</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金</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来</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源</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自有资金</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银行贷款</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r>
      <w:tr>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固定</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资产</w:t>
            </w: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原值万元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金</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性</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r>
      <w:tr>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净值万元</w:t>
            </w: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企业</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财务</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状况</w:t>
            </w:r>
          </w:p>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年度</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利润总额</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税后利润</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负债总额</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2020年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2021年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2022年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主要产品</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/项目情况</w:t>
            </w: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产品/项目名称</w:t>
            </w: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上年销售值</w:t>
            </w: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主要用户</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bl>
    <w:p>
      <w:pPr>
        <w:shd w:val="clear" w:color="auto"/>
        <w:spacing w:line="500" w:lineRule="exact"/>
        <w:ind w:firstLine="960" w:firstLineChars="400"/>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highlight w:val="none"/>
        </w:rPr>
        <w:t>供应商:(公章)                                  日期:</w:t>
      </w:r>
    </w:p>
    <w:p>
      <w:pPr>
        <w:shd w:val="clear" w:color="auto"/>
        <w:spacing w:line="500" w:lineRule="exac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bookmarkStart w:id="140" w:name="_Toc14127"/>
      <w:bookmarkStart w:id="141" w:name="_Toc9379"/>
      <w:r>
        <w:rPr>
          <w:rFonts w:hint="eastAsia" w:asciiTheme="minorEastAsia" w:hAnsiTheme="minorEastAsia" w:eastAsiaTheme="minorEastAsia" w:cstheme="minorEastAsia"/>
          <w:b/>
          <w:bCs/>
          <w:sz w:val="24"/>
          <w:szCs w:val="24"/>
          <w:highlight w:val="none"/>
        </w:rPr>
        <w:t>附件</w:t>
      </w:r>
      <w:bookmarkEnd w:id="140"/>
      <w:bookmarkEnd w:id="141"/>
      <w:r>
        <w:rPr>
          <w:rFonts w:hint="eastAsia" w:asciiTheme="minorEastAsia" w:hAnsiTheme="minorEastAsia" w:eastAsiaTheme="minorEastAsia" w:cstheme="minorEastAsia"/>
          <w:b/>
          <w:bCs/>
          <w:sz w:val="24"/>
          <w:szCs w:val="24"/>
          <w:highlight w:val="none"/>
        </w:rPr>
        <w:t>5</w:t>
      </w:r>
    </w:p>
    <w:p>
      <w:pPr>
        <w:shd w:val="clear" w:color="auto"/>
        <w:spacing w:line="50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法定代表人身份证明书</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单位名称：</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所属行业：</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营业期限：</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成立时间：</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经营范围：</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    性别：   年龄：     职务：</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（供应商）</w:t>
      </w:r>
      <w:r>
        <w:rPr>
          <w:rFonts w:hint="eastAsia" w:asciiTheme="minorEastAsia" w:hAnsiTheme="minorEastAsia" w:eastAsiaTheme="minorEastAsia" w:cstheme="minorEastAsia"/>
          <w:sz w:val="24"/>
          <w:szCs w:val="24"/>
          <w:highlight w:val="none"/>
        </w:rPr>
        <w:t>的法定代表人。</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供应商（盖公章）：</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法定代表人（签字或盖章）：</w:t>
      </w:r>
    </w:p>
    <w:p>
      <w:pPr>
        <w:shd w:val="clear" w:color="auto"/>
        <w:tabs>
          <w:tab w:val="left" w:pos="3780"/>
        </w:tabs>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hd w:val="clear" w:color="auto"/>
        <w:spacing w:line="500" w:lineRule="exact"/>
        <w:rPr>
          <w:rFonts w:asciiTheme="minorEastAsia" w:hAnsiTheme="minorEastAsia" w:eastAsiaTheme="minorEastAsia" w:cstheme="minorEastAsia"/>
          <w:b/>
          <w:bCs/>
          <w:sz w:val="24"/>
          <w:szCs w:val="24"/>
          <w:highlight w:val="none"/>
        </w:rPr>
      </w:pPr>
    </w:p>
    <w:p>
      <w:pPr>
        <w:shd w:val="clear" w:color="auto"/>
        <w:spacing w:line="500" w:lineRule="exac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bookmarkStart w:id="142" w:name="_Toc15715"/>
      <w:bookmarkStart w:id="143" w:name="_Toc29145"/>
      <w:r>
        <w:rPr>
          <w:rFonts w:hint="eastAsia" w:asciiTheme="minorEastAsia" w:hAnsiTheme="minorEastAsia" w:eastAsiaTheme="minorEastAsia" w:cstheme="minorEastAsia"/>
          <w:b/>
          <w:bCs/>
          <w:sz w:val="24"/>
          <w:szCs w:val="24"/>
          <w:highlight w:val="none"/>
        </w:rPr>
        <w:t>附件</w:t>
      </w:r>
      <w:bookmarkEnd w:id="142"/>
      <w:bookmarkEnd w:id="143"/>
      <w:r>
        <w:rPr>
          <w:rFonts w:hint="eastAsia" w:asciiTheme="minorEastAsia" w:hAnsiTheme="minorEastAsia" w:eastAsiaTheme="minorEastAsia" w:cstheme="minorEastAsia"/>
          <w:b/>
          <w:bCs/>
          <w:sz w:val="24"/>
          <w:szCs w:val="24"/>
          <w:highlight w:val="none"/>
        </w:rPr>
        <w:t>6</w:t>
      </w:r>
    </w:p>
    <w:p>
      <w:pPr>
        <w:shd w:val="clear" w:color="auto"/>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法定代表人授权委托书</w:t>
      </w:r>
    </w:p>
    <w:p>
      <w:pPr>
        <w:shd w:val="clear" w:color="auto"/>
        <w:spacing w:line="500" w:lineRule="exact"/>
        <w:jc w:val="center"/>
        <w:rPr>
          <w:rFonts w:asciiTheme="minorEastAsia" w:hAnsiTheme="minorEastAsia" w:eastAsiaTheme="minorEastAsia" w:cstheme="minorEastAsia"/>
          <w:b/>
          <w:bCs/>
          <w:sz w:val="24"/>
          <w:szCs w:val="24"/>
          <w:highlight w:val="none"/>
        </w:rPr>
      </w:pPr>
    </w:p>
    <w:p>
      <w:pPr>
        <w:shd w:val="clear" w:color="auto"/>
        <w:spacing w:line="500" w:lineRule="exact"/>
        <w:ind w:firstLine="453" w:firstLineChars="189"/>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本授权委托书声明：我系</w:t>
      </w:r>
      <w:r>
        <w:rPr>
          <w:rFonts w:hint="eastAsia" w:asciiTheme="minorEastAsia" w:hAnsiTheme="minorEastAsia" w:eastAsiaTheme="minorEastAsia" w:cstheme="minorEastAsia"/>
          <w:bCs/>
          <w:sz w:val="24"/>
          <w:szCs w:val="24"/>
          <w:highlight w:val="none"/>
          <w:u w:val="single"/>
        </w:rPr>
        <w:t xml:space="preserve">                             （供应商）</w:t>
      </w:r>
      <w:r>
        <w:rPr>
          <w:rFonts w:hint="eastAsia" w:asciiTheme="minorEastAsia" w:hAnsiTheme="minorEastAsia" w:eastAsiaTheme="minorEastAsia" w:cstheme="minorEastAsia"/>
          <w:bCs/>
          <w:sz w:val="24"/>
          <w:szCs w:val="24"/>
          <w:highlight w:val="none"/>
        </w:rPr>
        <w:t>的法定代表人，现授权委托</w:t>
      </w:r>
      <w:r>
        <w:rPr>
          <w:rFonts w:hint="eastAsia" w:asciiTheme="minorEastAsia" w:hAnsiTheme="minorEastAsia" w:eastAsiaTheme="minorEastAsia" w:cstheme="minorEastAsia"/>
          <w:bCs/>
          <w:sz w:val="24"/>
          <w:szCs w:val="24"/>
          <w:highlight w:val="none"/>
          <w:u w:val="single"/>
        </w:rPr>
        <w:t xml:space="preserve">           （供应商）</w:t>
      </w:r>
      <w:r>
        <w:rPr>
          <w:rFonts w:hint="eastAsia" w:asciiTheme="minorEastAsia" w:hAnsiTheme="minorEastAsia" w:eastAsiaTheme="minorEastAsia" w:cstheme="minorEastAsia"/>
          <w:bCs/>
          <w:sz w:val="24"/>
          <w:szCs w:val="24"/>
          <w:highlight w:val="none"/>
        </w:rPr>
        <w:t>的</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为我的代理人，以</w:t>
      </w:r>
      <w:r>
        <w:rPr>
          <w:rFonts w:hint="eastAsia" w:asciiTheme="minorEastAsia" w:hAnsiTheme="minorEastAsia" w:eastAsiaTheme="minorEastAsia" w:cstheme="minorEastAsia"/>
          <w:bCs/>
          <w:sz w:val="24"/>
          <w:szCs w:val="24"/>
          <w:highlight w:val="none"/>
          <w:u w:val="single"/>
        </w:rPr>
        <w:t>（供应商）</w:t>
      </w:r>
      <w:r>
        <w:rPr>
          <w:rFonts w:hint="eastAsia" w:asciiTheme="minorEastAsia" w:hAnsiTheme="minorEastAsia" w:eastAsiaTheme="minorEastAsia" w:cstheme="minorEastAsia"/>
          <w:bCs/>
          <w:sz w:val="24"/>
          <w:szCs w:val="24"/>
          <w:highlight w:val="none"/>
        </w:rPr>
        <w:t>的名义参加</w:t>
      </w:r>
      <w:r>
        <w:rPr>
          <w:rFonts w:hint="eastAsia" w:asciiTheme="minorEastAsia" w:hAnsiTheme="minorEastAsia" w:eastAsiaTheme="minorEastAsia" w:cstheme="minorEastAsia"/>
          <w:bCs/>
          <w:sz w:val="24"/>
          <w:szCs w:val="24"/>
          <w:highlight w:val="none"/>
          <w:u w:val="single"/>
        </w:rPr>
        <w:t>（项目名称和采购项目编号）</w:t>
      </w:r>
      <w:r>
        <w:rPr>
          <w:rFonts w:hint="eastAsia" w:asciiTheme="minorEastAsia" w:hAnsiTheme="minorEastAsia" w:eastAsiaTheme="minorEastAsia" w:cstheme="minorEastAsia"/>
          <w:bCs/>
          <w:sz w:val="24"/>
          <w:szCs w:val="24"/>
          <w:highlight w:val="none"/>
        </w:rPr>
        <w:t>招标项目的投标活动。代理人在参加整个招标投标活动所签署的一切文件和处理与之相关的一切事物，我均予承认。</w:t>
      </w:r>
    </w:p>
    <w:p>
      <w:pPr>
        <w:shd w:val="clear" w:color="auto"/>
        <w:spacing w:line="500" w:lineRule="exact"/>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代理人：   性别：  年龄：</w:t>
      </w:r>
    </w:p>
    <w:p>
      <w:pPr>
        <w:shd w:val="clear" w:color="auto"/>
        <w:spacing w:line="500" w:lineRule="exact"/>
        <w:ind w:firstLine="453" w:firstLineChars="189"/>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部  门：  职务：</w:t>
      </w:r>
    </w:p>
    <w:p>
      <w:pPr>
        <w:shd w:val="clear" w:color="auto"/>
        <w:spacing w:line="36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pStyle w:val="96"/>
        <w:shd w:val="clear" w:color="auto"/>
        <w:snapToGrid w:val="0"/>
        <w:spacing w:line="360" w:lineRule="exact"/>
        <w:rPr>
          <w:rFonts w:asciiTheme="minorEastAsia" w:hAnsiTheme="minorEastAsia" w:eastAsiaTheme="minorEastAsia" w:cstheme="minorEastAsia"/>
          <w:color w:val="auto"/>
          <w:sz w:val="24"/>
          <w:highlight w:val="none"/>
        </w:rPr>
      </w:pPr>
    </w:p>
    <w:p>
      <w:pPr>
        <w:pStyle w:val="96"/>
        <w:shd w:val="clear" w:color="auto"/>
        <w:snapToGrid w:val="0"/>
        <w:spacing w:line="360" w:lineRule="exact"/>
        <w:rPr>
          <w:rFonts w:asciiTheme="minorEastAsia" w:hAnsiTheme="minorEastAsia" w:eastAsiaTheme="minorEastAsia" w:cstheme="minorEastAsia"/>
          <w:color w:val="auto"/>
          <w:sz w:val="24"/>
          <w:highlight w:val="none"/>
        </w:rPr>
      </w:pPr>
    </w:p>
    <w:p>
      <w:pPr>
        <w:pStyle w:val="96"/>
        <w:shd w:val="clear" w:color="auto"/>
        <w:snapToGrid w:val="0"/>
        <w:spacing w:line="500" w:lineRule="exact"/>
        <w:rPr>
          <w:rFonts w:asciiTheme="minorEastAsia" w:hAnsiTheme="minorEastAsia" w:eastAsiaTheme="minorEastAsia" w:cstheme="minorEastAsia"/>
          <w:color w:val="auto"/>
          <w:sz w:val="24"/>
          <w:highlight w:val="none"/>
        </w:rPr>
      </w:pPr>
    </w:p>
    <w:p>
      <w:pPr>
        <w:pStyle w:val="96"/>
        <w:shd w:val="clear" w:color="auto"/>
        <w:snapToGrid w:val="0"/>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法定代表人（签字或盖章）：</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被授权代理人（签字或盖章）：</w:t>
      </w:r>
    </w:p>
    <w:p>
      <w:pPr>
        <w:shd w:val="clear" w:color="auto"/>
        <w:adjustRightInd w:val="0"/>
        <w:snapToGrid w:val="0"/>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widowControl/>
        <w:shd w:val="clear"/>
        <w:jc w:val="left"/>
        <w:rPr>
          <w:rFonts w:asciiTheme="minorEastAsia" w:hAnsiTheme="minorEastAsia" w:eastAsiaTheme="minorEastAsia" w:cstheme="minorEastAsia"/>
          <w:sz w:val="24"/>
          <w:szCs w:val="24"/>
          <w:highlight w:val="none"/>
        </w:rPr>
      </w:pPr>
    </w:p>
    <w:p>
      <w:pPr>
        <w:widowControl/>
        <w:shd w:val="clear"/>
        <w:jc w:val="left"/>
        <w:outlineLvl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144" w:name="_Toc14769"/>
      <w:bookmarkStart w:id="145" w:name="_Toc11414"/>
      <w:r>
        <w:rPr>
          <w:rFonts w:hint="eastAsia" w:asciiTheme="minorEastAsia" w:hAnsiTheme="minorEastAsia" w:eastAsiaTheme="minorEastAsia" w:cstheme="minorEastAsia"/>
          <w:b/>
          <w:bCs/>
          <w:sz w:val="24"/>
          <w:szCs w:val="24"/>
          <w:highlight w:val="none"/>
        </w:rPr>
        <w:t>附件</w:t>
      </w:r>
      <w:bookmarkEnd w:id="144"/>
      <w:bookmarkEnd w:id="145"/>
      <w:r>
        <w:rPr>
          <w:rFonts w:hint="eastAsia" w:asciiTheme="minorEastAsia" w:hAnsiTheme="minorEastAsia" w:eastAsiaTheme="minorEastAsia" w:cstheme="minorEastAsia"/>
          <w:b/>
          <w:bCs/>
          <w:sz w:val="24"/>
          <w:szCs w:val="24"/>
          <w:highlight w:val="none"/>
        </w:rPr>
        <w:t>7</w:t>
      </w:r>
    </w:p>
    <w:p>
      <w:pPr>
        <w:shd w:val="clear" w:color="auto"/>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关于《中华人民共和国政府采购法》第二十二条的承诺书</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（采购人）</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我公司</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参加贵方组织的</w:t>
      </w:r>
      <w:r>
        <w:rPr>
          <w:rFonts w:hint="eastAsia" w:asciiTheme="minorEastAsia" w:hAnsiTheme="minorEastAsia" w:eastAsiaTheme="minorEastAsia" w:cstheme="minorEastAsia"/>
          <w:bCs/>
          <w:sz w:val="24"/>
          <w:szCs w:val="24"/>
          <w:highlight w:val="none"/>
          <w:u w:val="single"/>
        </w:rPr>
        <w:t>项目名称：      （项目编号：       ）</w:t>
      </w:r>
      <w:r>
        <w:rPr>
          <w:rFonts w:hint="eastAsia" w:asciiTheme="minorEastAsia" w:hAnsiTheme="minorEastAsia" w:eastAsiaTheme="minorEastAsia" w:cstheme="minorEastAsia"/>
          <w:bCs/>
          <w:sz w:val="24"/>
          <w:szCs w:val="24"/>
          <w:highlight w:val="none"/>
        </w:rPr>
        <w:t>的投标活动，为便于贵方公正、择优的确定中标人，我方就本次投标有关事项声明如下：</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（1）具有独立承担民事责任的能力；</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（2）具有良好的商业信誉和健全的财务会计制度；</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（3）具有履行合同所必需的设备和专业技术能力；</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（4）有依法缴纳税收和社会保障资金的良好记录；</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（5）参加政府采购活动前三年内，在经营活动中没有重大违法记录；</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（6）法律、行政法规规定的其他条件。</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我公司已完全了解本磋商文件中规定的技术要求和商务条款。如违反以上承诺，本公司愿承担一切法律责任。</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特此承诺。</w:t>
      </w:r>
    </w:p>
    <w:p>
      <w:pPr>
        <w:shd w:val="clear" w:color="auto"/>
        <w:spacing w:line="500" w:lineRule="exact"/>
        <w:ind w:firstLine="3120" w:firstLineChars="1300"/>
        <w:jc w:val="left"/>
        <w:rPr>
          <w:rFonts w:asciiTheme="minorEastAsia" w:hAnsiTheme="minorEastAsia" w:eastAsiaTheme="minorEastAsia" w:cstheme="minorEastAsia"/>
          <w:sz w:val="24"/>
          <w:szCs w:val="24"/>
          <w:highlight w:val="none"/>
        </w:rPr>
      </w:pPr>
    </w:p>
    <w:p>
      <w:pPr>
        <w:shd w:val="clear" w:color="auto"/>
        <w:spacing w:line="480"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承诺人（公章）：</w:t>
      </w:r>
      <w:r>
        <w:rPr>
          <w:rFonts w:hint="eastAsia" w:asciiTheme="minorEastAsia" w:hAnsiTheme="minorEastAsia" w:eastAsiaTheme="minorEastAsia" w:cstheme="minorEastAsia"/>
          <w:sz w:val="24"/>
          <w:szCs w:val="24"/>
          <w:highlight w:val="none"/>
          <w:u w:val="single"/>
        </w:rPr>
        <w:t xml:space="preserve">     （供应商全称）  </w:t>
      </w:r>
    </w:p>
    <w:p>
      <w:pPr>
        <w:shd w:val="clear" w:color="auto"/>
        <w:spacing w:line="48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pStyle w:val="105"/>
        <w:pageBreakBefore/>
        <w:widowControl w:val="0"/>
        <w:shd w:val="clear"/>
        <w:outlineLvl w:val="2"/>
        <w:rPr>
          <w:rFonts w:ascii="宋体" w:hAnsi="宋体"/>
          <w:bCs/>
          <w:sz w:val="24"/>
          <w:highlight w:val="none"/>
        </w:rPr>
      </w:pPr>
      <w:bookmarkStart w:id="146" w:name="_Toc5047"/>
      <w:bookmarkStart w:id="147" w:name="_Toc30189"/>
      <w:r>
        <w:rPr>
          <w:rFonts w:hint="eastAsia" w:asciiTheme="minorEastAsia" w:hAnsiTheme="minorEastAsia" w:eastAsiaTheme="minorEastAsia" w:cstheme="minorEastAsia"/>
          <w:bCs/>
          <w:sz w:val="24"/>
          <w:highlight w:val="none"/>
        </w:rPr>
        <w:t>附件</w:t>
      </w:r>
      <w:bookmarkEnd w:id="146"/>
      <w:bookmarkEnd w:id="147"/>
      <w:r>
        <w:rPr>
          <w:rFonts w:hint="eastAsia" w:asciiTheme="minorEastAsia" w:hAnsiTheme="minorEastAsia" w:eastAsiaTheme="minorEastAsia" w:cstheme="minorEastAsia"/>
          <w:bCs/>
          <w:sz w:val="24"/>
          <w:highlight w:val="none"/>
        </w:rPr>
        <w:t>8</w:t>
      </w:r>
    </w:p>
    <w:p>
      <w:pPr>
        <w:pStyle w:val="105"/>
        <w:widowControl w:val="0"/>
        <w:shd w:val="clear"/>
        <w:jc w:val="center"/>
        <w:outlineLvl w:val="2"/>
        <w:rPr>
          <w:rFonts w:ascii="宋体" w:hAnsi="宋体" w:eastAsia="宋体" w:cs="宋体"/>
          <w:kern w:val="2"/>
          <w:highlight w:val="none"/>
        </w:rPr>
      </w:pPr>
      <w:r>
        <w:rPr>
          <w:rFonts w:hint="eastAsia" w:ascii="宋体" w:hAnsi="宋体" w:eastAsia="宋体"/>
          <w:bCs/>
          <w:kern w:val="2"/>
          <w:sz w:val="24"/>
          <w:highlight w:val="none"/>
        </w:rPr>
        <w:t>廉洁投标承诺书</w:t>
      </w:r>
    </w:p>
    <w:p>
      <w:pPr>
        <w:shd w:val="clear"/>
        <w:spacing w:line="560" w:lineRule="exact"/>
        <w:rPr>
          <w:rFonts w:ascii="宋体" w:hAnsi="宋体" w:cs="宋体"/>
          <w:sz w:val="24"/>
          <w:szCs w:val="24"/>
          <w:highlight w:val="none"/>
        </w:rPr>
      </w:pPr>
      <w:r>
        <w:rPr>
          <w:rFonts w:hint="eastAsia" w:ascii="宋体" w:hAnsi="宋体" w:cs="宋体"/>
          <w:sz w:val="24"/>
          <w:szCs w:val="24"/>
          <w:highlight w:val="none"/>
        </w:rPr>
        <w:t>致新疆科技学院：</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根据《新疆科技学院关于对招投标实行廉洁承诺及合同备案管理制度的规定》，我单位在贵校</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项目投标过程中，郑重申明并承诺：</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 严格遵守有关法律法规和行业标准规范，依法诚信参加投标，自觉维护公平竞争秩序。</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 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3. 中标人不得无正当理由不与招标人订立合同，在签订合同时向招标人提出附加条件，不按照招标文件要求提交履约保证金或履约保函，或者将中标项目转包、违法分包。</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4. 对学校招标人发生违规违纪违法行为的，及时向学校纪检监察机构反映，同时积极配合支持有关部门履行职责（受理单位：中共新疆科技学院纪律检查委员会，举报电话：0996—8612388）。</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5. 违反以上承诺，学校有权取消我单位投标资格或终止合同，由此引起的一切后果由我方承担。</w:t>
      </w:r>
    </w:p>
    <w:p>
      <w:pPr>
        <w:shd w:val="clear"/>
        <w:spacing w:line="560" w:lineRule="exact"/>
        <w:ind w:firstLine="480" w:firstLineChars="200"/>
        <w:rPr>
          <w:rFonts w:ascii="宋体" w:hAnsi="宋体" w:cs="宋体"/>
          <w:sz w:val="24"/>
          <w:szCs w:val="24"/>
          <w:highlight w:val="none"/>
        </w:rPr>
      </w:pPr>
    </w:p>
    <w:p>
      <w:pPr>
        <w:shd w:val="clear"/>
        <w:spacing w:line="560" w:lineRule="exact"/>
        <w:ind w:firstLine="3600" w:firstLineChars="1500"/>
        <w:rPr>
          <w:rFonts w:ascii="宋体" w:hAnsi="宋体" w:cs="宋体"/>
          <w:sz w:val="24"/>
          <w:szCs w:val="24"/>
          <w:highlight w:val="none"/>
        </w:rPr>
      </w:pPr>
      <w:r>
        <w:rPr>
          <w:rFonts w:hint="eastAsia" w:ascii="宋体" w:hAnsi="宋体" w:cs="宋体"/>
          <w:sz w:val="24"/>
          <w:szCs w:val="24"/>
          <w:highlight w:val="none"/>
        </w:rPr>
        <w:t>投标单位（盖单位公章）：</w:t>
      </w:r>
      <w:r>
        <w:rPr>
          <w:rFonts w:hint="eastAsia" w:ascii="宋体" w:hAnsi="宋体" w:cs="宋体"/>
          <w:sz w:val="24"/>
          <w:szCs w:val="24"/>
          <w:highlight w:val="none"/>
          <w:u w:val="single"/>
        </w:rPr>
        <w:t xml:space="preserve">                 </w:t>
      </w:r>
    </w:p>
    <w:p>
      <w:pPr>
        <w:shd w:val="clear"/>
        <w:spacing w:line="560" w:lineRule="exact"/>
        <w:ind w:firstLine="3600" w:firstLineChars="1500"/>
        <w:rPr>
          <w:rFonts w:ascii="宋体" w:hAnsi="宋体" w:cs="宋体"/>
          <w:sz w:val="24"/>
          <w:szCs w:val="24"/>
          <w:highlight w:val="none"/>
        </w:rPr>
      </w:pPr>
      <w:r>
        <w:rPr>
          <w:rFonts w:hint="eastAsia" w:ascii="宋体" w:hAnsi="宋体" w:cs="宋体"/>
          <w:sz w:val="24"/>
          <w:szCs w:val="24"/>
          <w:highlight w:val="none"/>
        </w:rPr>
        <w:t>法定代表人或授权代理人</w:t>
      </w:r>
    </w:p>
    <w:p>
      <w:pPr>
        <w:shd w:val="clea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                         （签  字  或  印  章）：</w:t>
      </w:r>
      <w:r>
        <w:rPr>
          <w:rFonts w:hint="eastAsia" w:ascii="宋体" w:hAnsi="宋体" w:cs="宋体"/>
          <w:sz w:val="24"/>
          <w:szCs w:val="24"/>
          <w:highlight w:val="none"/>
          <w:u w:val="single"/>
        </w:rPr>
        <w:t xml:space="preserve">                 </w:t>
      </w:r>
    </w:p>
    <w:p>
      <w:pPr>
        <w:widowControl/>
        <w:shd w:val="clear"/>
        <w:jc w:val="left"/>
        <w:outlineLvl w:val="0"/>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t xml:space="preserve">                                    时  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105"/>
        <w:pageBreakBefore/>
        <w:widowControl w:val="0"/>
        <w:shd w:val="clear"/>
        <w:outlineLvl w:val="2"/>
        <w:rPr>
          <w:rFonts w:ascii="宋体" w:hAnsi="宋体"/>
          <w:bCs/>
          <w:sz w:val="24"/>
          <w:highlight w:val="none"/>
        </w:rPr>
      </w:pPr>
      <w:r>
        <w:rPr>
          <w:rFonts w:hint="eastAsia" w:ascii="宋体" w:hAnsi="宋体"/>
          <w:bCs/>
          <w:sz w:val="24"/>
          <w:highlight w:val="none"/>
        </w:rPr>
        <w:t>附件9</w:t>
      </w:r>
    </w:p>
    <w:p>
      <w:pPr>
        <w:shd w:val="clear" w:color="auto"/>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供应商的资格声明</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（采购人）</w:t>
      </w:r>
      <w:r>
        <w:rPr>
          <w:rFonts w:hint="eastAsia" w:asciiTheme="minorEastAsia" w:hAnsiTheme="minorEastAsia" w:eastAsiaTheme="minorEastAsia" w:cstheme="minorEastAsia"/>
          <w:sz w:val="24"/>
          <w:szCs w:val="24"/>
          <w:highlight w:val="none"/>
        </w:rPr>
        <w:t>：</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关于贵方发出的采购文件，本供应商愿意参加投标，并证明资格文件中和所要求的说明是真实和准确无误的。</w:t>
      </w:r>
    </w:p>
    <w:p>
      <w:pPr>
        <w:shd w:val="clear" w:color="auto"/>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本供应商对可能要求的进一步的资格资料表示理解和同意，并同意按贵方的要求提供任何有关资料。</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供应商（盖公章）：</w:t>
      </w:r>
    </w:p>
    <w:p>
      <w:pPr>
        <w:shd w:val="clear" w:color="auto"/>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法定代表人（签字或盖章）：</w:t>
      </w:r>
    </w:p>
    <w:p>
      <w:pPr>
        <w:shd w:val="clear" w:color="auto"/>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hd w:val="clear" w:color="auto"/>
        <w:tabs>
          <w:tab w:val="left" w:pos="996"/>
        </w:tabs>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b/>
      </w:r>
    </w:p>
    <w:p>
      <w:pPr>
        <w:shd w:val="clear"/>
        <w:spacing w:line="500" w:lineRule="exac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Cs/>
          <w:sz w:val="24"/>
          <w:szCs w:val="24"/>
          <w:highlight w:val="none"/>
        </w:rPr>
        <w:br w:type="page"/>
      </w:r>
      <w:bookmarkStart w:id="148" w:name="_Toc10322"/>
      <w:bookmarkStart w:id="149" w:name="_Toc7637"/>
      <w:r>
        <w:rPr>
          <w:rFonts w:hint="eastAsia" w:asciiTheme="minorEastAsia" w:hAnsiTheme="minorEastAsia" w:eastAsiaTheme="minorEastAsia" w:cstheme="minorEastAsia"/>
          <w:b/>
          <w:bCs/>
          <w:sz w:val="24"/>
          <w:szCs w:val="24"/>
          <w:highlight w:val="none"/>
        </w:rPr>
        <w:t>附件</w:t>
      </w:r>
      <w:bookmarkEnd w:id="148"/>
      <w:bookmarkEnd w:id="149"/>
      <w:r>
        <w:rPr>
          <w:rFonts w:hint="eastAsia" w:asciiTheme="minorEastAsia" w:hAnsiTheme="minorEastAsia" w:eastAsiaTheme="minorEastAsia" w:cstheme="minorEastAsia"/>
          <w:b/>
          <w:bCs/>
          <w:sz w:val="24"/>
          <w:szCs w:val="24"/>
          <w:highlight w:val="none"/>
        </w:rPr>
        <w:t>10</w:t>
      </w:r>
    </w:p>
    <w:p>
      <w:pPr>
        <w:shd w:val="clear" w:color="auto"/>
        <w:tabs>
          <w:tab w:val="left" w:pos="996"/>
        </w:tabs>
        <w:spacing w:line="500" w:lineRule="exact"/>
        <w:jc w:val="center"/>
        <w:rPr>
          <w:rFonts w:asciiTheme="minorEastAsia" w:hAnsiTheme="minorEastAsia" w:eastAsiaTheme="minorEastAsia" w:cstheme="minorEastAsia"/>
          <w:b/>
          <w:sz w:val="24"/>
          <w:szCs w:val="24"/>
          <w:highlight w:val="none"/>
        </w:rPr>
      </w:pPr>
      <w:bookmarkStart w:id="150" w:name="_Hlk7871365"/>
      <w:r>
        <w:rPr>
          <w:rFonts w:hint="eastAsia" w:asciiTheme="minorEastAsia" w:hAnsiTheme="minorEastAsia" w:eastAsiaTheme="minorEastAsia" w:cstheme="minorEastAsia"/>
          <w:b/>
          <w:sz w:val="24"/>
          <w:szCs w:val="24"/>
          <w:highlight w:val="none"/>
        </w:rPr>
        <w:t>供应商资格要求</w:t>
      </w:r>
    </w:p>
    <w:bookmarkEnd w:id="150"/>
    <w:p>
      <w:pPr>
        <w:shd w:val="clear" w:color="auto"/>
        <w:tabs>
          <w:tab w:val="left" w:pos="996"/>
        </w:tabs>
        <w:spacing w:line="500" w:lineRule="exact"/>
        <w:jc w:val="center"/>
        <w:rPr>
          <w:rFonts w:asciiTheme="minorEastAsia" w:hAnsiTheme="minorEastAsia" w:eastAsiaTheme="minorEastAsia" w:cstheme="minorEastAsia"/>
          <w:b/>
          <w:sz w:val="24"/>
          <w:szCs w:val="24"/>
          <w:highlight w:val="none"/>
        </w:rPr>
      </w:pP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提供以下证明资料（但不限于）：</w:t>
      </w:r>
    </w:p>
    <w:p>
      <w:pPr>
        <w:pStyle w:val="87"/>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营业执照；</w:t>
      </w:r>
    </w:p>
    <w:p>
      <w:pPr>
        <w:pStyle w:val="87"/>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信用信息查询截图；</w:t>
      </w:r>
    </w:p>
    <w:p>
      <w:pPr>
        <w:pStyle w:val="87"/>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保证金缴纳凭证。</w:t>
      </w:r>
    </w:p>
    <w:p>
      <w:pPr>
        <w:widowControl/>
        <w:shd w:val="clear"/>
        <w:jc w:val="left"/>
        <w:outlineLvl w:val="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sz w:val="24"/>
          <w:szCs w:val="24"/>
          <w:highlight w:val="none"/>
        </w:rPr>
        <w:br w:type="page"/>
      </w:r>
      <w:bookmarkStart w:id="151" w:name="_Toc27361"/>
      <w:bookmarkStart w:id="152" w:name="_Toc15389"/>
      <w:bookmarkStart w:id="153" w:name="_Toc520282777"/>
      <w:r>
        <w:rPr>
          <w:rFonts w:hint="eastAsia" w:asciiTheme="minorEastAsia" w:hAnsiTheme="minorEastAsia" w:eastAsiaTheme="minorEastAsia" w:cstheme="minorEastAsia"/>
          <w:b/>
          <w:bCs/>
          <w:sz w:val="24"/>
          <w:highlight w:val="none"/>
        </w:rPr>
        <w:t>附件1</w:t>
      </w:r>
      <w:bookmarkEnd w:id="151"/>
      <w:bookmarkEnd w:id="152"/>
      <w:r>
        <w:rPr>
          <w:rFonts w:hint="eastAsia" w:asciiTheme="minorEastAsia" w:hAnsiTheme="minorEastAsia" w:eastAsiaTheme="minorEastAsia" w:cstheme="minorEastAsia"/>
          <w:b/>
          <w:bCs/>
          <w:sz w:val="24"/>
          <w:highlight w:val="none"/>
        </w:rPr>
        <w:t>1</w:t>
      </w:r>
    </w:p>
    <w:bookmarkEnd w:id="153"/>
    <w:p>
      <w:pPr>
        <w:widowControl/>
        <w:shd w:val="clear"/>
        <w:jc w:val="center"/>
        <w:rPr>
          <w:rFonts w:asciiTheme="minorEastAsia" w:hAnsiTheme="minorEastAsia" w:eastAsiaTheme="minorEastAsia" w:cstheme="minorEastAsia"/>
          <w:b/>
          <w:bCs/>
          <w:sz w:val="24"/>
          <w:highlight w:val="none"/>
          <w:lang w:val="zh-CN"/>
        </w:rPr>
      </w:pPr>
      <w:r>
        <w:rPr>
          <w:rFonts w:hint="eastAsia" w:asciiTheme="minorEastAsia" w:hAnsiTheme="minorEastAsia" w:eastAsiaTheme="minorEastAsia" w:cstheme="minorEastAsia"/>
          <w:b/>
          <w:bCs/>
          <w:sz w:val="24"/>
          <w:highlight w:val="none"/>
          <w:lang w:val="zh-CN"/>
        </w:rPr>
        <w:t>采购需求响应偏离表</w:t>
      </w:r>
    </w:p>
    <w:p>
      <w:pPr>
        <w:shd w:val="clear"/>
        <w:tabs>
          <w:tab w:val="left" w:pos="3226"/>
        </w:tabs>
        <w:autoSpaceDE w:val="0"/>
        <w:autoSpaceDN w:val="0"/>
        <w:adjustRightInd w:val="0"/>
        <w:spacing w:before="43"/>
        <w:ind w:right="420"/>
        <w:jc w:val="center"/>
        <w:rPr>
          <w:rFonts w:asciiTheme="minorEastAsia" w:hAnsiTheme="minorEastAsia" w:eastAsiaTheme="minorEastAsia" w:cstheme="minorEastAsia"/>
          <w:b/>
          <w:bCs/>
          <w:kern w:val="0"/>
          <w:szCs w:val="21"/>
          <w:highlight w:val="none"/>
          <w:lang w:val="zh-CN"/>
        </w:rPr>
      </w:pPr>
    </w:p>
    <w:p>
      <w:pPr>
        <w:shd w:val="clear" w:color="auto"/>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                             采购项目编号：</w:t>
      </w:r>
    </w:p>
    <w:p>
      <w:pPr>
        <w:shd w:val="clear" w:color="auto"/>
        <w:spacing w:line="500" w:lineRule="exact"/>
        <w:ind w:firstLine="480" w:firstLineChars="200"/>
        <w:rPr>
          <w:rFonts w:asciiTheme="minorEastAsia" w:hAnsiTheme="minorEastAsia" w:eastAsiaTheme="minorEastAsia" w:cstheme="minorEastAsia"/>
          <w:kern w:val="0"/>
          <w:szCs w:val="21"/>
          <w:highlight w:val="none"/>
          <w:lang w:val="zh-CN"/>
        </w:rPr>
      </w:pPr>
      <w:r>
        <w:rPr>
          <w:rFonts w:hint="eastAsia" w:asciiTheme="minorEastAsia" w:hAnsiTheme="minorEastAsia" w:eastAsiaTheme="minorEastAsia" w:cstheme="minorEastAsia"/>
          <w:sz w:val="24"/>
          <w:highlight w:val="none"/>
        </w:rPr>
        <w:t>标项名称：</w:t>
      </w:r>
      <w:r>
        <w:rPr>
          <w:rFonts w:hint="eastAsia" w:asciiTheme="minorEastAsia" w:hAnsiTheme="minorEastAsia" w:eastAsiaTheme="minorEastAsia" w:cstheme="minorEastAsia"/>
          <w:kern w:val="0"/>
          <w:szCs w:val="21"/>
          <w:highlight w:val="none"/>
          <w:lang w:val="zh-CN"/>
        </w:rPr>
        <w:tab/>
      </w:r>
    </w:p>
    <w:tbl>
      <w:tblPr>
        <w:tblStyle w:val="26"/>
        <w:tblW w:w="8413" w:type="dxa"/>
        <w:tblInd w:w="264" w:type="dxa"/>
        <w:tblLayout w:type="fixed"/>
        <w:tblCellMar>
          <w:top w:w="0" w:type="dxa"/>
          <w:left w:w="0" w:type="dxa"/>
          <w:bottom w:w="0" w:type="dxa"/>
          <w:right w:w="0" w:type="dxa"/>
        </w:tblCellMar>
      </w:tblPr>
      <w:tblGrid>
        <w:gridCol w:w="828"/>
        <w:gridCol w:w="1479"/>
        <w:gridCol w:w="2025"/>
        <w:gridCol w:w="1681"/>
        <w:gridCol w:w="1455"/>
        <w:gridCol w:w="945"/>
      </w:tblGrid>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72"/>
              <w:jc w:val="center"/>
              <w:outlineLvl w:val="0"/>
              <w:rPr>
                <w:rFonts w:asciiTheme="minorEastAsia" w:hAnsiTheme="minorEastAsia" w:eastAsiaTheme="minorEastAsia" w:cstheme="minorEastAsia"/>
                <w:kern w:val="0"/>
                <w:sz w:val="24"/>
                <w:highlight w:val="none"/>
                <w:lang w:val="zh-CN"/>
              </w:rPr>
            </w:pPr>
            <w:bookmarkStart w:id="154" w:name="_Toc10090"/>
            <w:bookmarkStart w:id="155" w:name="_Toc13868"/>
            <w:bookmarkStart w:id="156" w:name="_Toc520282779"/>
            <w:r>
              <w:rPr>
                <w:rFonts w:hint="eastAsia" w:asciiTheme="minorEastAsia" w:hAnsiTheme="minorEastAsia" w:eastAsiaTheme="minorEastAsia" w:cstheme="minorEastAsia"/>
                <w:kern w:val="0"/>
                <w:sz w:val="24"/>
                <w:highlight w:val="none"/>
                <w:lang w:val="zh-CN"/>
              </w:rPr>
              <w:t>序号</w:t>
            </w:r>
            <w:bookmarkEnd w:id="154"/>
            <w:bookmarkEnd w:id="155"/>
            <w:bookmarkEnd w:id="156"/>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48"/>
              <w:jc w:val="center"/>
              <w:outlineLvl w:val="0"/>
              <w:rPr>
                <w:rFonts w:asciiTheme="minorEastAsia" w:hAnsiTheme="minorEastAsia" w:eastAsiaTheme="minorEastAsia" w:cstheme="minorEastAsia"/>
                <w:kern w:val="0"/>
                <w:sz w:val="24"/>
                <w:highlight w:val="none"/>
                <w:lang w:val="zh-CN"/>
              </w:rPr>
            </w:pPr>
            <w:bookmarkStart w:id="157" w:name="_Toc15647"/>
            <w:bookmarkStart w:id="158" w:name="_Toc16947"/>
            <w:r>
              <w:rPr>
                <w:rFonts w:hint="eastAsia" w:asciiTheme="minorEastAsia" w:hAnsiTheme="minorEastAsia" w:eastAsiaTheme="minorEastAsia" w:cstheme="minorEastAsia"/>
                <w:kern w:val="0"/>
                <w:sz w:val="24"/>
                <w:highlight w:val="none"/>
                <w:lang w:val="zh-CN"/>
              </w:rPr>
              <w:t>采购内容</w:t>
            </w:r>
            <w:bookmarkEnd w:id="157"/>
            <w:bookmarkEnd w:id="158"/>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jc w:val="center"/>
              <w:outlineLvl w:val="0"/>
              <w:rPr>
                <w:rFonts w:asciiTheme="minorEastAsia" w:hAnsiTheme="minorEastAsia" w:eastAsiaTheme="minorEastAsia" w:cstheme="minorEastAsia"/>
                <w:kern w:val="0"/>
                <w:sz w:val="24"/>
                <w:highlight w:val="none"/>
                <w:lang w:val="zh-CN"/>
              </w:rPr>
            </w:pPr>
            <w:bookmarkStart w:id="159" w:name="_Toc1205"/>
            <w:bookmarkStart w:id="160" w:name="_Toc21056"/>
            <w:r>
              <w:rPr>
                <w:rFonts w:hint="eastAsia" w:asciiTheme="minorEastAsia" w:hAnsiTheme="minorEastAsia" w:eastAsiaTheme="minorEastAsia" w:cstheme="minorEastAsia"/>
                <w:kern w:val="0"/>
                <w:sz w:val="24"/>
                <w:highlight w:val="none"/>
                <w:lang w:val="zh-CN"/>
              </w:rPr>
              <w:t>采购需求要求</w:t>
            </w:r>
            <w:bookmarkEnd w:id="159"/>
            <w:bookmarkEnd w:id="160"/>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48"/>
              <w:jc w:val="center"/>
              <w:outlineLvl w:val="0"/>
              <w:rPr>
                <w:rFonts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208"/>
              <w:jc w:val="center"/>
              <w:outlineLvl w:val="0"/>
              <w:rPr>
                <w:rFonts w:asciiTheme="minorEastAsia" w:hAnsiTheme="minorEastAsia" w:eastAsiaTheme="minorEastAsia" w:cstheme="minorEastAsia"/>
                <w:kern w:val="0"/>
                <w:sz w:val="24"/>
                <w:highlight w:val="none"/>
              </w:rPr>
            </w:pPr>
            <w:bookmarkStart w:id="161" w:name="_Toc520282784"/>
            <w:bookmarkStart w:id="162" w:name="_Toc21247"/>
            <w:bookmarkStart w:id="163" w:name="_Toc25396"/>
            <w:r>
              <w:rPr>
                <w:rFonts w:hint="eastAsia" w:asciiTheme="minorEastAsia" w:hAnsiTheme="minorEastAsia" w:eastAsiaTheme="minorEastAsia" w:cstheme="minorEastAsia"/>
                <w:kern w:val="0"/>
                <w:sz w:val="24"/>
                <w:highlight w:val="none"/>
                <w:lang w:val="zh-CN"/>
              </w:rPr>
              <w:t>偏离</w:t>
            </w:r>
            <w:bookmarkEnd w:id="161"/>
            <w:r>
              <w:rPr>
                <w:rFonts w:hint="eastAsia" w:asciiTheme="minorEastAsia" w:hAnsiTheme="minorEastAsia" w:eastAsiaTheme="minorEastAsia" w:cstheme="minorEastAsia"/>
                <w:kern w:val="0"/>
                <w:sz w:val="24"/>
                <w:highlight w:val="none"/>
              </w:rPr>
              <w:t>/响应</w:t>
            </w:r>
            <w:bookmarkEnd w:id="162"/>
            <w:bookmarkEnd w:id="163"/>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208"/>
              <w:jc w:val="center"/>
              <w:outlineLvl w:val="0"/>
              <w:rPr>
                <w:rFonts w:asciiTheme="minorEastAsia" w:hAnsiTheme="minorEastAsia" w:eastAsiaTheme="minorEastAsia" w:cstheme="minorEastAsia"/>
                <w:kern w:val="0"/>
                <w:sz w:val="24"/>
                <w:highlight w:val="none"/>
                <w:lang w:val="zh-CN"/>
              </w:rPr>
            </w:pPr>
            <w:bookmarkStart w:id="164" w:name="_Toc20595"/>
            <w:bookmarkStart w:id="165" w:name="_Toc520282785"/>
            <w:bookmarkStart w:id="166" w:name="_Toc29103"/>
            <w:r>
              <w:rPr>
                <w:rFonts w:hint="eastAsia" w:asciiTheme="minorEastAsia" w:hAnsiTheme="minorEastAsia" w:eastAsiaTheme="minorEastAsia" w:cstheme="minorEastAsia"/>
                <w:kern w:val="0"/>
                <w:sz w:val="24"/>
                <w:highlight w:val="none"/>
                <w:lang w:val="zh-CN"/>
              </w:rPr>
              <w:t>说明</w:t>
            </w:r>
            <w:bookmarkEnd w:id="164"/>
            <w:bookmarkEnd w:id="165"/>
            <w:bookmarkEnd w:id="166"/>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bl>
    <w:p>
      <w:pPr>
        <w:shd w:val="clear" w:color="auto"/>
        <w:tabs>
          <w:tab w:val="left" w:pos="996"/>
        </w:tabs>
        <w:spacing w:line="480" w:lineRule="auto"/>
        <w:ind w:firstLine="480" w:firstLineChars="200"/>
        <w:rPr>
          <w:rFonts w:asciiTheme="minorEastAsia" w:hAnsiTheme="minorEastAsia" w:eastAsiaTheme="minorEastAsia" w:cstheme="minorEastAsia"/>
          <w:sz w:val="24"/>
          <w:highlight w:val="none"/>
        </w:rPr>
      </w:pPr>
    </w:p>
    <w:p>
      <w:pPr>
        <w:shd w:val="clear" w:color="auto"/>
        <w:tabs>
          <w:tab w:val="left" w:pos="996"/>
        </w:tabs>
        <w:spacing w:line="48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供应商（盖公章）：</w:t>
      </w:r>
    </w:p>
    <w:p>
      <w:pPr>
        <w:shd w:val="clear" w:color="auto"/>
        <w:tabs>
          <w:tab w:val="left" w:pos="996"/>
        </w:tabs>
        <w:spacing w:line="48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p>
      <w:pPr>
        <w:shd w:val="clear"/>
        <w:spacing w:line="360" w:lineRule="auto"/>
        <w:ind w:firstLine="480" w:firstLineChars="200"/>
        <w:jc w:val="left"/>
        <w:rPr>
          <w:rFonts w:asciiTheme="minorEastAsia" w:hAnsiTheme="minorEastAsia" w:eastAsiaTheme="minorEastAsia" w:cstheme="minorEastAsia"/>
          <w:sz w:val="24"/>
          <w:szCs w:val="24"/>
          <w:highlight w:val="none"/>
        </w:rPr>
      </w:pPr>
    </w:p>
    <w:p>
      <w:pPr>
        <w:shd w:val="clea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备注：供应商采购需求响应有差异的，则在此表中列明实际响应的内容提要并加以说明，以便查对。无差异说明表示完全响应。</w:t>
      </w:r>
    </w:p>
    <w:p>
      <w:pPr>
        <w:shd w:val="clear"/>
        <w:rPr>
          <w:rFonts w:asciiTheme="minorEastAsia" w:hAnsiTheme="minorEastAsia" w:eastAsiaTheme="minorEastAsia" w:cstheme="minorEastAsia"/>
          <w:highlight w:val="none"/>
        </w:rPr>
      </w:pPr>
    </w:p>
    <w:p>
      <w:pPr>
        <w:shd w:val="clear"/>
        <w:outlineLvl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br w:type="page"/>
      </w:r>
      <w:bookmarkStart w:id="167" w:name="_Toc28526"/>
      <w:bookmarkStart w:id="168" w:name="_Toc23457"/>
      <w:r>
        <w:rPr>
          <w:rFonts w:hint="eastAsia" w:asciiTheme="minorEastAsia" w:hAnsiTheme="minorEastAsia" w:eastAsiaTheme="minorEastAsia" w:cstheme="minorEastAsia"/>
          <w:b/>
          <w:bCs/>
          <w:sz w:val="24"/>
          <w:highlight w:val="none"/>
        </w:rPr>
        <w:t>附件1</w:t>
      </w:r>
      <w:bookmarkEnd w:id="167"/>
      <w:bookmarkEnd w:id="168"/>
      <w:r>
        <w:rPr>
          <w:rFonts w:hint="eastAsia" w:asciiTheme="minorEastAsia" w:hAnsiTheme="minorEastAsia" w:eastAsiaTheme="minorEastAsia" w:cstheme="minorEastAsia"/>
          <w:b/>
          <w:bCs/>
          <w:sz w:val="24"/>
          <w:highlight w:val="none"/>
        </w:rPr>
        <w:t>2</w:t>
      </w:r>
    </w:p>
    <w:p>
      <w:pPr>
        <w:shd w:val="clear" w:color="auto"/>
        <w:spacing w:line="50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供应商类似项目业绩表</w:t>
      </w:r>
    </w:p>
    <w:tbl>
      <w:tblPr>
        <w:tblStyle w:val="26"/>
        <w:tblW w:w="8438" w:type="dxa"/>
        <w:tblInd w:w="118" w:type="dxa"/>
        <w:tblLayout w:type="fixed"/>
        <w:tblCellMar>
          <w:top w:w="0" w:type="dxa"/>
          <w:left w:w="108" w:type="dxa"/>
          <w:bottom w:w="0" w:type="dxa"/>
          <w:right w:w="108" w:type="dxa"/>
        </w:tblCellMar>
      </w:tblPr>
      <w:tblGrid>
        <w:gridCol w:w="810"/>
        <w:gridCol w:w="1358"/>
        <w:gridCol w:w="2265"/>
        <w:gridCol w:w="1395"/>
        <w:gridCol w:w="1230"/>
        <w:gridCol w:w="1380"/>
      </w:tblGrid>
      <w:tr>
        <w:tblPrEx>
          <w:tblCellMar>
            <w:top w:w="0" w:type="dxa"/>
            <w:left w:w="108" w:type="dxa"/>
            <w:bottom w:w="0" w:type="dxa"/>
            <w:right w:w="108" w:type="dxa"/>
          </w:tblCellMar>
        </w:tblPrEx>
        <w:trPr>
          <w:trHeight w:val="1355" w:hRule="atLeast"/>
        </w:trPr>
        <w:tc>
          <w:tcPr>
            <w:tcW w:w="8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序号</w:t>
            </w:r>
          </w:p>
        </w:tc>
        <w:tc>
          <w:tcPr>
            <w:tcW w:w="135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bookmarkStart w:id="169" w:name="_Toc18631"/>
            <w:bookmarkStart w:id="170" w:name="_Toc12085"/>
            <w:r>
              <w:rPr>
                <w:rFonts w:hint="eastAsia" w:asciiTheme="minorEastAsia" w:hAnsiTheme="minorEastAsia" w:eastAsiaTheme="minorEastAsia" w:cstheme="minorEastAsia"/>
                <w:kern w:val="0"/>
                <w:sz w:val="24"/>
                <w:highlight w:val="none"/>
                <w:lang w:val="zh-CN"/>
              </w:rPr>
              <w:t>采购单位</w:t>
            </w:r>
            <w:bookmarkEnd w:id="169"/>
            <w:bookmarkEnd w:id="170"/>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bookmarkStart w:id="171" w:name="_Toc6801"/>
            <w:bookmarkStart w:id="172" w:name="_Toc5614"/>
            <w:bookmarkStart w:id="173" w:name="_Toc520282834"/>
            <w:r>
              <w:rPr>
                <w:rFonts w:hint="eastAsia" w:asciiTheme="minorEastAsia" w:hAnsiTheme="minorEastAsia" w:eastAsiaTheme="minorEastAsia" w:cstheme="minorEastAsia"/>
                <w:kern w:val="0"/>
                <w:sz w:val="24"/>
                <w:highlight w:val="none"/>
                <w:lang w:val="zh-CN"/>
              </w:rPr>
              <w:t>项目名称服务地点</w:t>
            </w:r>
            <w:bookmarkEnd w:id="171"/>
            <w:bookmarkEnd w:id="172"/>
            <w:bookmarkEnd w:id="173"/>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bookmarkStart w:id="174" w:name="_Toc31871"/>
            <w:bookmarkStart w:id="175" w:name="_Toc520282837"/>
            <w:bookmarkStart w:id="176" w:name="_Toc21856"/>
            <w:r>
              <w:rPr>
                <w:rFonts w:hint="eastAsia" w:asciiTheme="minorEastAsia" w:hAnsiTheme="minorEastAsia" w:eastAsiaTheme="minorEastAsia" w:cstheme="minorEastAsia"/>
                <w:kern w:val="0"/>
                <w:sz w:val="24"/>
                <w:highlight w:val="none"/>
                <w:lang w:val="zh-CN"/>
              </w:rPr>
              <w:t>合同</w:t>
            </w:r>
            <w:bookmarkEnd w:id="174"/>
            <w:bookmarkEnd w:id="175"/>
            <w:bookmarkEnd w:id="176"/>
            <w:r>
              <w:rPr>
                <w:rFonts w:hint="eastAsia" w:asciiTheme="minorEastAsia" w:hAnsiTheme="minorEastAsia" w:eastAsiaTheme="minorEastAsia" w:cstheme="minorEastAsia"/>
                <w:kern w:val="0"/>
                <w:sz w:val="24"/>
                <w:highlight w:val="none"/>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bookmarkStart w:id="177" w:name="_Toc26176"/>
            <w:bookmarkStart w:id="178" w:name="_Toc3357"/>
            <w:bookmarkStart w:id="179" w:name="_Toc520282840"/>
            <w:r>
              <w:rPr>
                <w:rFonts w:hint="eastAsia" w:asciiTheme="minorEastAsia" w:hAnsiTheme="minorEastAsia" w:eastAsiaTheme="minorEastAsia" w:cstheme="minorEastAsia"/>
                <w:kern w:val="0"/>
                <w:sz w:val="24"/>
                <w:highlight w:val="none"/>
                <w:lang w:val="zh-CN"/>
              </w:rPr>
              <w:t>履约情况</w:t>
            </w:r>
            <w:bookmarkEnd w:id="177"/>
            <w:bookmarkEnd w:id="178"/>
            <w:bookmarkEnd w:id="179"/>
          </w:p>
        </w:tc>
      </w:tr>
      <w:tr>
        <w:tblPrEx>
          <w:tblCellMar>
            <w:top w:w="0" w:type="dxa"/>
            <w:left w:w="108" w:type="dxa"/>
            <w:bottom w:w="0" w:type="dxa"/>
            <w:right w:w="108" w:type="dxa"/>
          </w:tblCellMar>
        </w:tblPrEx>
        <w:trPr>
          <w:trHeight w:val="862" w:hRule="atLeast"/>
        </w:trPr>
        <w:tc>
          <w:tcPr>
            <w:tcW w:w="81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5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4" w:hRule="atLeast"/>
        </w:trPr>
        <w:tc>
          <w:tcPr>
            <w:tcW w:w="81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5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81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5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81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5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81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5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81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5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81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5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bl>
    <w:p>
      <w:pPr>
        <w:pStyle w:val="96"/>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p>
    <w:p>
      <w:pPr>
        <w:pStyle w:val="96"/>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p>
    <w:p>
      <w:pPr>
        <w:pStyle w:val="96"/>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p>
      <w:pPr>
        <w:shd w:val="clear" w:color="auto"/>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  年  月  日</w:t>
      </w:r>
    </w:p>
    <w:p>
      <w:pPr>
        <w:widowControl/>
        <w:shd w:val="clear"/>
        <w:spacing w:line="360" w:lineRule="auto"/>
        <w:jc w:val="left"/>
        <w:outlineLvl w:val="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sz w:val="24"/>
          <w:highlight w:val="none"/>
        </w:rPr>
        <w:br w:type="page"/>
      </w:r>
      <w:bookmarkStart w:id="180" w:name="_Toc23479"/>
      <w:bookmarkStart w:id="181" w:name="_Toc19"/>
      <w:r>
        <w:rPr>
          <w:rFonts w:hint="eastAsia" w:asciiTheme="minorEastAsia" w:hAnsiTheme="minorEastAsia" w:eastAsiaTheme="minorEastAsia" w:cstheme="minorEastAsia"/>
          <w:b/>
          <w:bCs/>
          <w:sz w:val="24"/>
          <w:highlight w:val="none"/>
        </w:rPr>
        <w:t>附件</w:t>
      </w:r>
      <w:bookmarkEnd w:id="180"/>
      <w:bookmarkEnd w:id="181"/>
      <w:r>
        <w:rPr>
          <w:rFonts w:hint="eastAsia" w:asciiTheme="minorEastAsia" w:hAnsiTheme="minorEastAsia" w:eastAsiaTheme="minorEastAsia" w:cstheme="minorEastAsia"/>
          <w:b/>
          <w:bCs/>
          <w:sz w:val="24"/>
          <w:highlight w:val="none"/>
        </w:rPr>
        <w:t>13</w:t>
      </w:r>
    </w:p>
    <w:p>
      <w:pPr>
        <w:pStyle w:val="5"/>
        <w:shd w:val="clear"/>
        <w:jc w:val="center"/>
        <w:rPr>
          <w:rFonts w:asciiTheme="minorEastAsia" w:hAnsiTheme="minorEastAsia" w:eastAsiaTheme="minorEastAsia" w:cstheme="minorEastAsia"/>
          <w:sz w:val="24"/>
          <w:szCs w:val="24"/>
          <w:highlight w:val="none"/>
        </w:rPr>
      </w:pPr>
      <w:bookmarkStart w:id="182" w:name="_Toc29890"/>
      <w:r>
        <w:rPr>
          <w:rFonts w:hint="eastAsia" w:asciiTheme="minorEastAsia" w:hAnsiTheme="minorEastAsia" w:eastAsiaTheme="minorEastAsia" w:cstheme="minorEastAsia"/>
          <w:sz w:val="24"/>
          <w:szCs w:val="24"/>
          <w:highlight w:val="none"/>
        </w:rPr>
        <w:t>节能、环境标志产品优惠明细表</w:t>
      </w:r>
      <w:bookmarkEnd w:id="182"/>
    </w:p>
    <w:p>
      <w:pPr>
        <w:shd w:val="clear"/>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(若有，请如实填写)</w:t>
      </w:r>
    </w:p>
    <w:p>
      <w:pPr>
        <w:shd w:val="clear"/>
        <w:spacing w:line="440" w:lineRule="exact"/>
        <w:ind w:firstLine="120" w:firstLineChars="5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供应商名称（公章）：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招标编号：</w:t>
      </w:r>
      <w:r>
        <w:rPr>
          <w:rFonts w:hint="eastAsia" w:asciiTheme="minorEastAsia" w:hAnsiTheme="minorEastAsia" w:eastAsiaTheme="minorEastAsia" w:cstheme="minorEastAsia"/>
          <w:sz w:val="24"/>
          <w:highlight w:val="none"/>
          <w:u w:val="single"/>
        </w:rPr>
        <w:t xml:space="preserve">　　　　           </w:t>
      </w:r>
    </w:p>
    <w:p>
      <w:pPr>
        <w:shd w:val="clear"/>
        <w:spacing w:line="440" w:lineRule="exact"/>
        <w:ind w:firstLine="120" w:firstLineChars="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所投内容/分包：</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w:t>
      </w:r>
    </w:p>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（1）节能产品明细清单                  报价货币种类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金额单位：元</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制造商</w:t>
            </w:r>
          </w:p>
        </w:tc>
        <w:tc>
          <w:tcPr>
            <w:tcW w:w="65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w:t>
            </w:r>
          </w:p>
        </w:tc>
        <w:tc>
          <w:tcPr>
            <w:tcW w:w="2044"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产品名称、规格型号</w:t>
            </w:r>
          </w:p>
        </w:tc>
        <w:tc>
          <w:tcPr>
            <w:tcW w:w="1348"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节字标志认证证书号</w:t>
            </w:r>
          </w:p>
        </w:tc>
        <w:tc>
          <w:tcPr>
            <w:tcW w:w="2113"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节能产品认证证书有效截止日期</w:t>
            </w:r>
          </w:p>
        </w:tc>
        <w:tc>
          <w:tcPr>
            <w:tcW w:w="897"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776"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946" w:type="dxa"/>
            <w:gridSpan w:val="2"/>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65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2044"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348"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211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897"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776"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946" w:type="dxa"/>
            <w:gridSpan w:val="2"/>
            <w:vAlign w:val="center"/>
          </w:tcPr>
          <w:p>
            <w:pPr>
              <w:shd w:val="clear"/>
              <w:spacing w:line="44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65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2044"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348"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211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897"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776"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946" w:type="dxa"/>
            <w:gridSpan w:val="2"/>
            <w:vAlign w:val="center"/>
          </w:tcPr>
          <w:p>
            <w:pPr>
              <w:shd w:val="clear"/>
              <w:spacing w:line="44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7" w:hRule="atLeast"/>
        </w:trPr>
        <w:tc>
          <w:tcPr>
            <w:tcW w:w="7235" w:type="dxa"/>
            <w:gridSpan w:val="5"/>
            <w:vAlign w:val="center"/>
          </w:tcPr>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合计金额</w:t>
            </w:r>
          </w:p>
        </w:tc>
        <w:tc>
          <w:tcPr>
            <w:tcW w:w="2611" w:type="dxa"/>
            <w:gridSpan w:val="3"/>
            <w:vAlign w:val="center"/>
          </w:tcPr>
          <w:p>
            <w:pPr>
              <w:shd w:val="clear"/>
              <w:spacing w:line="440" w:lineRule="exact"/>
              <w:rPr>
                <w:rFonts w:asciiTheme="minorEastAsia" w:hAnsiTheme="minorEastAsia" w:eastAsiaTheme="minorEastAsia" w:cstheme="minorEastAsia"/>
                <w:sz w:val="24"/>
                <w:szCs w:val="24"/>
                <w:highlight w:val="none"/>
              </w:rPr>
            </w:pPr>
          </w:p>
        </w:tc>
      </w:tr>
    </w:tbl>
    <w:p>
      <w:pPr>
        <w:shd w:val="clear"/>
        <w:spacing w:line="440" w:lineRule="exact"/>
        <w:rPr>
          <w:rFonts w:asciiTheme="minorEastAsia" w:hAnsiTheme="minorEastAsia" w:eastAsiaTheme="minorEastAsia" w:cstheme="minorEastAsia"/>
          <w:sz w:val="24"/>
          <w:szCs w:val="24"/>
          <w:highlight w:val="none"/>
        </w:rPr>
      </w:pPr>
    </w:p>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（2）环保产品明细清单          报价货币种类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金额单位：元</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制造商</w:t>
            </w:r>
          </w:p>
        </w:tc>
        <w:tc>
          <w:tcPr>
            <w:tcW w:w="1058"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w:t>
            </w:r>
          </w:p>
        </w:tc>
        <w:tc>
          <w:tcPr>
            <w:tcW w:w="1433"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产品名称、规格型号</w:t>
            </w:r>
          </w:p>
        </w:tc>
        <w:tc>
          <w:tcPr>
            <w:tcW w:w="1851"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中国环境标志认证证书编号</w:t>
            </w:r>
          </w:p>
        </w:tc>
        <w:tc>
          <w:tcPr>
            <w:tcW w:w="1853"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认证证书有效截止日期</w:t>
            </w:r>
          </w:p>
        </w:tc>
        <w:tc>
          <w:tcPr>
            <w:tcW w:w="749"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84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013"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058"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43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851"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85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749"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84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01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058"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43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851"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85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749"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84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01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vAlign w:val="center"/>
          </w:tcPr>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合计金额</w:t>
            </w:r>
          </w:p>
        </w:tc>
        <w:tc>
          <w:tcPr>
            <w:tcW w:w="2602" w:type="dxa"/>
            <w:gridSpan w:val="3"/>
            <w:vAlign w:val="center"/>
          </w:tcPr>
          <w:p>
            <w:pPr>
              <w:shd w:val="clear"/>
              <w:spacing w:line="440" w:lineRule="exact"/>
              <w:rPr>
                <w:rFonts w:asciiTheme="minorEastAsia" w:hAnsiTheme="minorEastAsia" w:eastAsiaTheme="minorEastAsia" w:cstheme="minorEastAsia"/>
                <w:sz w:val="24"/>
                <w:szCs w:val="24"/>
                <w:highlight w:val="none"/>
              </w:rPr>
            </w:pPr>
          </w:p>
        </w:tc>
      </w:tr>
    </w:tbl>
    <w:p>
      <w:pPr>
        <w:shd w:val="clear"/>
        <w:tabs>
          <w:tab w:val="left" w:pos="13000"/>
        </w:tabs>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shd w:val="clear"/>
        <w:tabs>
          <w:tab w:val="left" w:pos="13000"/>
        </w:tabs>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若无货物属于优先采购节能、环境标志产品的，则不填写此表。</w:t>
      </w:r>
    </w:p>
    <w:p>
      <w:pPr>
        <w:shd w:val="clear"/>
        <w:adjustRightInd w:val="0"/>
        <w:snapToGrid w:val="0"/>
        <w:spacing w:line="440" w:lineRule="exact"/>
        <w:rPr>
          <w:rFonts w:asciiTheme="minorEastAsia" w:hAnsiTheme="minorEastAsia" w:eastAsiaTheme="minorEastAsia" w:cstheme="minorEastAsia"/>
          <w:sz w:val="24"/>
          <w:szCs w:val="24"/>
          <w:highlight w:val="none"/>
        </w:rPr>
      </w:pPr>
    </w:p>
    <w:p>
      <w:pPr>
        <w:shd w:val="clear"/>
        <w:adjustRightInd w:val="0"/>
        <w:snapToGrid w:val="0"/>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供应商（盖单位章）：</w:t>
      </w:r>
    </w:p>
    <w:p>
      <w:pPr>
        <w:shd w:val="clear"/>
        <w:adjustRightInd w:val="0"/>
        <w:snapToGrid w:val="0"/>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highlight w:val="none"/>
        </w:rPr>
        <w:t>法定代表人或其被授权人</w:t>
      </w:r>
      <w:r>
        <w:rPr>
          <w:rFonts w:hint="eastAsia" w:asciiTheme="minorEastAsia" w:hAnsiTheme="minorEastAsia" w:eastAsiaTheme="minorEastAsia" w:cstheme="minorEastAsia"/>
          <w:sz w:val="24"/>
          <w:highlight w:val="none"/>
        </w:rPr>
        <w:t>（签字或盖章）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p>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hd w:val="clear"/>
        <w:adjustRightInd w:val="0"/>
        <w:snapToGrid w:val="0"/>
        <w:spacing w:line="440" w:lineRule="exact"/>
        <w:ind w:right="24"/>
        <w:rPr>
          <w:rFonts w:asciiTheme="minorEastAsia" w:hAnsiTheme="minorEastAsia" w:eastAsiaTheme="minorEastAsia" w:cstheme="minorEastAsia"/>
          <w:sz w:val="24"/>
          <w:szCs w:val="24"/>
          <w:highlight w:val="none"/>
        </w:rPr>
      </w:pP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83" w:name="_Toc13039"/>
      <w:bookmarkStart w:id="184" w:name="_Toc10102"/>
      <w:r>
        <w:rPr>
          <w:rFonts w:hint="eastAsia" w:asciiTheme="minorEastAsia" w:hAnsiTheme="minorEastAsia" w:eastAsiaTheme="minorEastAsia" w:cstheme="minorEastAsia"/>
          <w:b/>
          <w:bCs/>
          <w:sz w:val="24"/>
          <w:highlight w:val="none"/>
        </w:rPr>
        <w:t>附件1</w:t>
      </w:r>
      <w:bookmarkEnd w:id="183"/>
      <w:bookmarkEnd w:id="184"/>
      <w:r>
        <w:rPr>
          <w:rFonts w:hint="eastAsia" w:asciiTheme="minorEastAsia" w:hAnsiTheme="minorEastAsia" w:eastAsiaTheme="minorEastAsia" w:cstheme="minorEastAsia"/>
          <w:b/>
          <w:bCs/>
          <w:sz w:val="24"/>
          <w:highlight w:val="none"/>
        </w:rPr>
        <w:t>4</w:t>
      </w:r>
    </w:p>
    <w:p>
      <w:pPr>
        <w:pStyle w:val="5"/>
        <w:shd w:val="clear"/>
        <w:jc w:val="center"/>
        <w:rPr>
          <w:rFonts w:asciiTheme="minorEastAsia" w:hAnsiTheme="minorEastAsia" w:eastAsiaTheme="minorEastAsia" w:cstheme="minorEastAsia"/>
          <w:sz w:val="24"/>
          <w:szCs w:val="24"/>
          <w:highlight w:val="none"/>
        </w:rPr>
      </w:pPr>
      <w:bookmarkStart w:id="185" w:name="_Toc12486"/>
      <w:r>
        <w:rPr>
          <w:rFonts w:hint="eastAsia" w:asciiTheme="minorEastAsia" w:hAnsiTheme="minorEastAsia" w:eastAsiaTheme="minorEastAsia" w:cstheme="minorEastAsia"/>
          <w:sz w:val="24"/>
          <w:szCs w:val="24"/>
          <w:highlight w:val="none"/>
        </w:rPr>
        <w:t>节能、环境标志产品证明材料</w:t>
      </w:r>
      <w:bookmarkEnd w:id="185"/>
      <w:r>
        <w:rPr>
          <w:rFonts w:hint="eastAsia" w:asciiTheme="minorEastAsia" w:hAnsiTheme="minorEastAsia" w:eastAsiaTheme="minorEastAsia" w:cstheme="minorEastAsia"/>
          <w:sz w:val="24"/>
          <w:highlight w:val="none"/>
        </w:rPr>
        <w:t>(若有，请如实填写)</w:t>
      </w: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1、节能产品：应在中国政府采购网（ ht tp://www.ccgp.gov.cn ）</w:t>
      </w: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2、环境标志产品：应在中国政府采购网（ http://www.ccgp.gov.cn ）</w:t>
      </w: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3、属优先采购节能、环境标志产品须从以上权威媒体网站上查询并打印结果。</w:t>
      </w: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4、证明材料加盖供应商公章。</w:t>
      </w: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86" w:name="_Toc30080"/>
      <w:bookmarkStart w:id="187" w:name="_Toc26335"/>
      <w:r>
        <w:rPr>
          <w:rFonts w:hint="eastAsia" w:asciiTheme="minorEastAsia" w:hAnsiTheme="minorEastAsia" w:eastAsiaTheme="minorEastAsia" w:cstheme="minorEastAsia"/>
          <w:b/>
          <w:bCs/>
          <w:sz w:val="24"/>
          <w:highlight w:val="none"/>
        </w:rPr>
        <w:t>附件1</w:t>
      </w:r>
      <w:bookmarkEnd w:id="186"/>
      <w:bookmarkEnd w:id="187"/>
      <w:r>
        <w:rPr>
          <w:rFonts w:hint="eastAsia" w:asciiTheme="minorEastAsia" w:hAnsiTheme="minorEastAsia" w:eastAsiaTheme="minorEastAsia" w:cstheme="minorEastAsia"/>
          <w:b/>
          <w:bCs/>
          <w:sz w:val="24"/>
          <w:highlight w:val="none"/>
        </w:rPr>
        <w:t>5</w:t>
      </w:r>
    </w:p>
    <w:p>
      <w:pPr>
        <w:pStyle w:val="5"/>
        <w:shd w:val="clear"/>
        <w:jc w:val="center"/>
        <w:rPr>
          <w:rFonts w:asciiTheme="minorEastAsia" w:hAnsiTheme="minorEastAsia" w:eastAsiaTheme="minorEastAsia" w:cstheme="minorEastAsia"/>
          <w:sz w:val="24"/>
          <w:szCs w:val="24"/>
          <w:highlight w:val="none"/>
        </w:rPr>
      </w:pPr>
      <w:bookmarkStart w:id="188" w:name="_Toc30338"/>
      <w:r>
        <w:rPr>
          <w:rFonts w:hint="eastAsia" w:asciiTheme="minorEastAsia" w:hAnsiTheme="minorEastAsia" w:eastAsiaTheme="minorEastAsia" w:cstheme="minorEastAsia"/>
          <w:sz w:val="24"/>
          <w:szCs w:val="24"/>
          <w:highlight w:val="none"/>
        </w:rPr>
        <w:t>小微企业生产或销售的产品优惠明细表</w:t>
      </w:r>
      <w:bookmarkEnd w:id="188"/>
    </w:p>
    <w:p>
      <w:pPr>
        <w:shd w:val="clear"/>
        <w:jc w:val="cente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（若有，请如实填写）</w:t>
      </w:r>
    </w:p>
    <w:p>
      <w:pPr>
        <w:pStyle w:val="41"/>
        <w:shd w:val="clear"/>
        <w:tabs>
          <w:tab w:val="left" w:pos="480"/>
          <w:tab w:val="clear" w:pos="839"/>
        </w:tabs>
        <w:spacing w:line="440" w:lineRule="exact"/>
        <w:ind w:left="1680" w:leftChars="800" w:firstLine="4320" w:firstLineChars="1800"/>
        <w:rPr>
          <w:rFonts w:asciiTheme="minorEastAsia" w:hAnsiTheme="minorEastAsia" w:eastAsiaTheme="minorEastAsia" w:cstheme="minorEastAsia"/>
          <w:b w:val="0"/>
          <w:bCs/>
          <w:sz w:val="24"/>
          <w:szCs w:val="24"/>
          <w:highlight w:val="none"/>
        </w:rPr>
      </w:pPr>
      <w:bookmarkStart w:id="189" w:name="_Toc29274"/>
      <w:r>
        <w:rPr>
          <w:rFonts w:hint="eastAsia" w:asciiTheme="minorEastAsia" w:hAnsiTheme="minorEastAsia" w:eastAsiaTheme="minorEastAsia" w:cstheme="minorEastAsia"/>
          <w:b w:val="0"/>
          <w:bCs/>
          <w:sz w:val="24"/>
          <w:szCs w:val="24"/>
          <w:highlight w:val="none"/>
        </w:rPr>
        <w:t>报价货币种类：</w:t>
      </w:r>
      <w:bookmarkEnd w:id="189"/>
      <w:r>
        <w:rPr>
          <w:rFonts w:hint="eastAsia" w:asciiTheme="minorEastAsia" w:hAnsiTheme="minorEastAsia" w:eastAsiaTheme="minorEastAsia" w:cstheme="minorEastAsia"/>
          <w:b w:val="0"/>
          <w:bCs/>
          <w:sz w:val="24"/>
          <w:szCs w:val="24"/>
          <w:highlight w:val="none"/>
          <w:u w:val="single"/>
        </w:rPr>
        <w:t xml:space="preserve">       </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标段（包）</w:t>
            </w:r>
          </w:p>
        </w:tc>
        <w:tc>
          <w:tcPr>
            <w:tcW w:w="2012"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小型和微型企业产品名称</w:t>
            </w: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报价（元）</w:t>
            </w: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价格评审扣除金额（元）</w:t>
            </w: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品牌型号规格</w:t>
            </w: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制造商</w:t>
            </w:r>
          </w:p>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2012"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2012" w:type="dxa"/>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2012" w:type="dxa"/>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8647" w:type="dxa"/>
            <w:gridSpan w:val="6"/>
            <w:vAlign w:val="center"/>
          </w:tcPr>
          <w:p>
            <w:pPr>
              <w:shd w:val="clear"/>
              <w:tabs>
                <w:tab w:val="left" w:pos="5355"/>
              </w:tabs>
              <w:spacing w:line="38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本标段（包）总计：           （元）</w:t>
            </w:r>
          </w:p>
        </w:tc>
      </w:tr>
    </w:tbl>
    <w:p>
      <w:pPr>
        <w:pStyle w:val="41"/>
        <w:shd w:val="clear"/>
        <w:tabs>
          <w:tab w:val="left" w:pos="480"/>
          <w:tab w:val="clear" w:pos="839"/>
        </w:tabs>
        <w:spacing w:line="440" w:lineRule="exact"/>
        <w:ind w:left="0" w:firstLine="0"/>
        <w:outlineLvl w:val="9"/>
        <w:rPr>
          <w:rFonts w:asciiTheme="minorEastAsia" w:hAnsiTheme="minorEastAsia" w:eastAsiaTheme="minorEastAsia" w:cstheme="minorEastAsia"/>
          <w:bCs/>
          <w:sz w:val="24"/>
          <w:szCs w:val="24"/>
          <w:highlight w:val="none"/>
        </w:rPr>
      </w:pPr>
    </w:p>
    <w:p>
      <w:pPr>
        <w:shd w:val="clear"/>
        <w:tabs>
          <w:tab w:val="left" w:pos="13000"/>
        </w:tabs>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shd w:val="clear"/>
        <w:spacing w:line="440" w:lineRule="exact"/>
        <w:ind w:firstLine="4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1、当一个标段（包）内有多个属于小型和微型企业的产品时， 供应商应按序号详细填写。</w:t>
      </w:r>
    </w:p>
    <w:p>
      <w:pPr>
        <w:shd w:val="clear"/>
        <w:spacing w:line="440" w:lineRule="exact"/>
        <w:ind w:left="420" w:left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2、栏目5=栏目4×磋商文件规定的价格扣除比率的优惠幅度。</w:t>
      </w:r>
    </w:p>
    <w:p>
      <w:pPr>
        <w:shd w:val="clear"/>
        <w:spacing w:line="440" w:lineRule="exact"/>
        <w:ind w:firstLine="42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3、若所供应的产品不具备此类评审优惠条件，本“中小价格扣除明细表” 不必填写。</w:t>
      </w:r>
    </w:p>
    <w:p>
      <w:pPr>
        <w:shd w:val="clear"/>
        <w:spacing w:line="440" w:lineRule="exact"/>
        <w:ind w:firstLine="600"/>
        <w:rPr>
          <w:rFonts w:asciiTheme="minorEastAsia" w:hAnsiTheme="minorEastAsia" w:eastAsiaTheme="minorEastAsia" w:cstheme="minorEastAsia"/>
          <w:sz w:val="24"/>
          <w:szCs w:val="24"/>
          <w:highlight w:val="none"/>
        </w:rPr>
      </w:pPr>
    </w:p>
    <w:p>
      <w:pPr>
        <w:shd w:val="clear"/>
        <w:adjustRightInd w:val="0"/>
        <w:snapToGrid w:val="0"/>
        <w:spacing w:line="360" w:lineRule="auto"/>
        <w:jc w:val="right"/>
        <w:rPr>
          <w:rFonts w:asciiTheme="minorEastAsia" w:hAnsiTheme="minorEastAsia" w:eastAsiaTheme="minorEastAsia" w:cstheme="minorEastAsia"/>
          <w:sz w:val="24"/>
          <w:szCs w:val="24"/>
          <w:highlight w:val="none"/>
        </w:rPr>
      </w:pPr>
    </w:p>
    <w:p>
      <w:pPr>
        <w:shd w:val="clear"/>
        <w:adjustRightInd w:val="0"/>
        <w:snapToGrid w:val="0"/>
        <w:spacing w:line="360" w:lineRule="auto"/>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供应商（盖章）：</w:t>
      </w:r>
    </w:p>
    <w:p>
      <w:pPr>
        <w:shd w:val="clear"/>
        <w:adjustRightInd w:val="0"/>
        <w:snapToGrid w:val="0"/>
        <w:spacing w:line="360" w:lineRule="auto"/>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highlight w:val="none"/>
        </w:rPr>
        <w:t>法定代表人或其被授权人</w:t>
      </w:r>
      <w:r>
        <w:rPr>
          <w:rFonts w:hint="eastAsia" w:asciiTheme="minorEastAsia" w:hAnsiTheme="minorEastAsia" w:eastAsiaTheme="minorEastAsia" w:cstheme="minorEastAsia"/>
          <w:sz w:val="24"/>
          <w:highlight w:val="none"/>
        </w:rPr>
        <w:t>（签字或盖章）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p>
    <w:p>
      <w:pPr>
        <w:shd w:val="clear"/>
        <w:adjustRightInd w:val="0"/>
        <w:snapToGrid w:val="0"/>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hd w:val="clear"/>
        <w:rPr>
          <w:rFonts w:asciiTheme="minorEastAsia" w:hAnsiTheme="minorEastAsia" w:eastAsiaTheme="minorEastAsia" w:cstheme="minorEastAsia"/>
          <w:b/>
          <w:bCs/>
          <w:sz w:val="24"/>
          <w:highlight w:val="none"/>
        </w:rPr>
      </w:pP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90" w:name="_Toc31974"/>
      <w:bookmarkStart w:id="191" w:name="_Toc15606"/>
      <w:r>
        <w:rPr>
          <w:rFonts w:hint="eastAsia" w:asciiTheme="minorEastAsia" w:hAnsiTheme="minorEastAsia" w:eastAsiaTheme="minorEastAsia" w:cstheme="minorEastAsia"/>
          <w:b/>
          <w:bCs/>
          <w:sz w:val="24"/>
          <w:highlight w:val="none"/>
        </w:rPr>
        <w:t>附件1</w:t>
      </w:r>
      <w:bookmarkEnd w:id="190"/>
      <w:bookmarkEnd w:id="191"/>
      <w:r>
        <w:rPr>
          <w:rFonts w:hint="eastAsia" w:asciiTheme="minorEastAsia" w:hAnsiTheme="minorEastAsia" w:eastAsiaTheme="minorEastAsia" w:cstheme="minorEastAsia"/>
          <w:b/>
          <w:bCs/>
          <w:sz w:val="24"/>
          <w:highlight w:val="none"/>
        </w:rPr>
        <w:t>6</w:t>
      </w:r>
    </w:p>
    <w:p>
      <w:pPr>
        <w:pStyle w:val="5"/>
        <w:shd w:val="clear"/>
        <w:jc w:val="center"/>
        <w:rPr>
          <w:rFonts w:asciiTheme="minorEastAsia" w:hAnsiTheme="minorEastAsia" w:eastAsiaTheme="minorEastAsia" w:cstheme="minorEastAsia"/>
          <w:sz w:val="24"/>
          <w:szCs w:val="24"/>
          <w:highlight w:val="none"/>
        </w:rPr>
      </w:pPr>
      <w:bookmarkStart w:id="192" w:name="_Toc13047"/>
      <w:r>
        <w:rPr>
          <w:rFonts w:hint="eastAsia" w:asciiTheme="minorEastAsia" w:hAnsiTheme="minorEastAsia" w:eastAsiaTheme="minorEastAsia" w:cstheme="minorEastAsia"/>
          <w:sz w:val="24"/>
          <w:szCs w:val="24"/>
          <w:highlight w:val="none"/>
        </w:rPr>
        <w:t>中小微企业声明函（符合本声明函填写）</w:t>
      </w:r>
      <w:bookmarkEnd w:id="192"/>
    </w:p>
    <w:p>
      <w:pPr>
        <w:widowControl/>
        <w:shd w:val="clear"/>
        <w:spacing w:line="360" w:lineRule="auto"/>
        <w:ind w:firstLine="480" w:firstLineChars="200"/>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中小企业声明函（货物）</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kern w:val="0"/>
          <w:sz w:val="24"/>
          <w:szCs w:val="24"/>
          <w:highlight w:val="none"/>
          <w:u w:val="single"/>
        </w:rPr>
        <w:t>（单位名称）</w:t>
      </w:r>
      <w:r>
        <w:rPr>
          <w:rFonts w:hint="eastAsia" w:asciiTheme="minorEastAsia" w:hAnsiTheme="minorEastAsia" w:eastAsiaTheme="minorEastAsia" w:cstheme="minorEastAsia"/>
          <w:kern w:val="0"/>
          <w:sz w:val="24"/>
          <w:szCs w:val="24"/>
          <w:highlight w:val="none"/>
        </w:rPr>
        <w:t>的</w:t>
      </w:r>
      <w:r>
        <w:rPr>
          <w:rFonts w:hint="eastAsia" w:asciiTheme="minorEastAsia" w:hAnsiTheme="minorEastAsia" w:eastAsiaTheme="minorEastAsia" w:cstheme="minorEastAsia"/>
          <w:kern w:val="0"/>
          <w:sz w:val="24"/>
          <w:szCs w:val="24"/>
          <w:highlight w:val="none"/>
          <w:u w:val="single"/>
        </w:rPr>
        <w:t>（项目名称）</w:t>
      </w:r>
      <w:r>
        <w:rPr>
          <w:rFonts w:hint="eastAsia" w:asciiTheme="minorEastAsia" w:hAnsiTheme="minorEastAsia" w:eastAsiaTheme="minorEastAsia" w:cstheme="minorEastAsia"/>
          <w:kern w:val="0"/>
          <w:sz w:val="24"/>
          <w:szCs w:val="24"/>
          <w:highlight w:val="none"/>
        </w:rPr>
        <w:t>采购活动，提供的货物全部由符合政策要求的中小企业制造。相关企业（含联合体中的中小企业、签订分包意向协议的中小企业）的具体情况如下：</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kern w:val="0"/>
          <w:sz w:val="24"/>
          <w:szCs w:val="24"/>
          <w:highlight w:val="none"/>
          <w:u w:val="single"/>
        </w:rPr>
        <w:t>（标的名称）</w:t>
      </w:r>
      <w:r>
        <w:rPr>
          <w:rFonts w:hint="eastAsia" w:asciiTheme="minorEastAsia" w:hAnsiTheme="minorEastAsia" w:eastAsiaTheme="minorEastAsia" w:cstheme="minorEastAsia"/>
          <w:kern w:val="0"/>
          <w:sz w:val="24"/>
          <w:szCs w:val="24"/>
          <w:highlight w:val="none"/>
        </w:rPr>
        <w:t>，属于</w:t>
      </w:r>
      <w:r>
        <w:rPr>
          <w:rFonts w:hint="eastAsia" w:asciiTheme="minorEastAsia" w:hAnsiTheme="minorEastAsia" w:eastAsiaTheme="minorEastAsia" w:cstheme="minorEastAsia"/>
          <w:kern w:val="0"/>
          <w:sz w:val="24"/>
          <w:szCs w:val="24"/>
          <w:highlight w:val="none"/>
          <w:u w:val="single"/>
        </w:rPr>
        <w:t xml:space="preserve"> 工业 </w:t>
      </w:r>
      <w:r>
        <w:rPr>
          <w:rFonts w:hint="eastAsia" w:asciiTheme="minorEastAsia" w:hAnsiTheme="minorEastAsia" w:eastAsiaTheme="minorEastAsia" w:cstheme="minorEastAsia"/>
          <w:kern w:val="0"/>
          <w:sz w:val="24"/>
          <w:szCs w:val="24"/>
          <w:highlight w:val="none"/>
        </w:rPr>
        <w:t>；制造商为</w:t>
      </w:r>
      <w:r>
        <w:rPr>
          <w:rFonts w:hint="eastAsia" w:asciiTheme="minorEastAsia" w:hAnsiTheme="minorEastAsia" w:eastAsiaTheme="minorEastAsia" w:cstheme="minorEastAsia"/>
          <w:kern w:val="0"/>
          <w:sz w:val="24"/>
          <w:szCs w:val="24"/>
          <w:highlight w:val="none"/>
          <w:u w:val="single"/>
        </w:rPr>
        <w:t>（企业名称）</w:t>
      </w:r>
      <w:r>
        <w:rPr>
          <w:rFonts w:hint="eastAsia" w:asciiTheme="minorEastAsia" w:hAnsiTheme="minorEastAsia" w:eastAsiaTheme="minorEastAsia" w:cstheme="minorEastAsia"/>
          <w:kern w:val="0"/>
          <w:sz w:val="24"/>
          <w:szCs w:val="24"/>
          <w:highlight w:val="none"/>
        </w:rPr>
        <w:t>，从业人员</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人，营业收入为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万元， 资产总额为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万元，属于（</w:t>
      </w:r>
      <w:r>
        <w:rPr>
          <w:rFonts w:hint="eastAsia" w:asciiTheme="minorEastAsia" w:hAnsiTheme="minorEastAsia" w:eastAsiaTheme="minorEastAsia" w:cstheme="minorEastAsia"/>
          <w:kern w:val="0"/>
          <w:sz w:val="24"/>
          <w:szCs w:val="24"/>
          <w:highlight w:val="none"/>
          <w:u w:val="single"/>
        </w:rPr>
        <w:t>中型企业、小型企业、微型企业</w:t>
      </w:r>
      <w:r>
        <w:rPr>
          <w:rFonts w:hint="eastAsia" w:asciiTheme="minorEastAsia" w:hAnsiTheme="minorEastAsia" w:eastAsiaTheme="minorEastAsia" w:cstheme="minorEastAsia"/>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r>
        <w:rPr>
          <w:rFonts w:hint="eastAsia" w:asciiTheme="minorEastAsia" w:hAnsiTheme="minorEastAsia" w:eastAsiaTheme="minorEastAsia" w:cstheme="minorEastAsia"/>
          <w:kern w:val="0"/>
          <w:sz w:val="24"/>
          <w:szCs w:val="24"/>
          <w:highlight w:val="none"/>
          <w:u w:val="single"/>
        </w:rPr>
        <w:t>（标的名称）</w:t>
      </w:r>
      <w:r>
        <w:rPr>
          <w:rFonts w:hint="eastAsia" w:asciiTheme="minorEastAsia" w:hAnsiTheme="minorEastAsia" w:eastAsiaTheme="minorEastAsia" w:cstheme="minorEastAsia"/>
          <w:kern w:val="0"/>
          <w:sz w:val="24"/>
          <w:szCs w:val="24"/>
          <w:highlight w:val="none"/>
        </w:rPr>
        <w:t>，属于</w:t>
      </w:r>
      <w:r>
        <w:rPr>
          <w:rFonts w:hint="eastAsia" w:asciiTheme="minorEastAsia" w:hAnsiTheme="minorEastAsia" w:eastAsiaTheme="minorEastAsia" w:cstheme="minorEastAsia"/>
          <w:kern w:val="0"/>
          <w:sz w:val="24"/>
          <w:szCs w:val="24"/>
          <w:highlight w:val="none"/>
          <w:u w:val="single"/>
        </w:rPr>
        <w:t xml:space="preserve"> 工业 </w:t>
      </w:r>
      <w:r>
        <w:rPr>
          <w:rFonts w:hint="eastAsia" w:asciiTheme="minorEastAsia" w:hAnsiTheme="minorEastAsia" w:eastAsiaTheme="minorEastAsia" w:cstheme="minorEastAsia"/>
          <w:kern w:val="0"/>
          <w:sz w:val="24"/>
          <w:szCs w:val="24"/>
          <w:highlight w:val="none"/>
        </w:rPr>
        <w:t>；制造商为</w:t>
      </w:r>
      <w:r>
        <w:rPr>
          <w:rFonts w:hint="eastAsia" w:asciiTheme="minorEastAsia" w:hAnsiTheme="minorEastAsia" w:eastAsiaTheme="minorEastAsia" w:cstheme="minorEastAsia"/>
          <w:kern w:val="0"/>
          <w:sz w:val="24"/>
          <w:szCs w:val="24"/>
          <w:highlight w:val="none"/>
          <w:u w:val="single"/>
        </w:rPr>
        <w:t>（企业名称）</w:t>
      </w:r>
      <w:r>
        <w:rPr>
          <w:rFonts w:hint="eastAsia" w:asciiTheme="minorEastAsia" w:hAnsiTheme="minorEastAsia" w:eastAsiaTheme="minorEastAsia" w:cstheme="minorEastAsia"/>
          <w:kern w:val="0"/>
          <w:sz w:val="24"/>
          <w:szCs w:val="24"/>
          <w:highlight w:val="none"/>
        </w:rPr>
        <w:t>，从业人员</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人， 营业收为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万元，资产总额为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万元，属于</w:t>
      </w:r>
      <w:r>
        <w:rPr>
          <w:rFonts w:hint="eastAsia" w:asciiTheme="minorEastAsia" w:hAnsiTheme="minorEastAsia" w:eastAsiaTheme="minorEastAsia" w:cstheme="minorEastAsia"/>
          <w:kern w:val="0"/>
          <w:sz w:val="24"/>
          <w:szCs w:val="24"/>
          <w:highlight w:val="none"/>
          <w:u w:val="single"/>
        </w:rPr>
        <w:t>（中型企业、小型企业、微型企业）</w:t>
      </w:r>
      <w:r>
        <w:rPr>
          <w:rFonts w:hint="eastAsia" w:asciiTheme="minorEastAsia" w:hAnsiTheme="minorEastAsia" w:eastAsiaTheme="minorEastAsia" w:cstheme="minorEastAsia"/>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以上企业，不属于大企业的分支机构，不存在控股股东为大企业的情形，也不存在与大企业的负责人为同一人的情形。</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本企业对上述声明内容的真实性负责。 如有虚假， 将依法承担相应责任。</w:t>
      </w:r>
    </w:p>
    <w:p>
      <w:pPr>
        <w:widowControl/>
        <w:shd w:val="clear"/>
        <w:wordWrap w:val="0"/>
        <w:spacing w:line="360" w:lineRule="auto"/>
        <w:ind w:firstLine="480" w:firstLineChars="200"/>
        <w:jc w:val="right"/>
        <w:rPr>
          <w:rFonts w:asciiTheme="minorEastAsia" w:hAnsiTheme="minorEastAsia" w:eastAsiaTheme="minorEastAsia" w:cstheme="minorEastAsia"/>
          <w:kern w:val="0"/>
          <w:sz w:val="24"/>
          <w:szCs w:val="24"/>
          <w:highlight w:val="none"/>
        </w:rPr>
      </w:pPr>
    </w:p>
    <w:p>
      <w:pPr>
        <w:widowControl/>
        <w:shd w:val="clear"/>
        <w:wordWrap w:val="0"/>
        <w:spacing w:line="360" w:lineRule="auto"/>
        <w:ind w:firstLine="480" w:firstLineChars="200"/>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供应商（盖章）：        </w:t>
      </w:r>
    </w:p>
    <w:p>
      <w:pPr>
        <w:widowControl/>
        <w:shd w:val="clear"/>
        <w:wordWrap w:val="0"/>
        <w:spacing w:line="360" w:lineRule="auto"/>
        <w:ind w:right="480" w:firstLine="480" w:firstLineChars="200"/>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日 期：         </w:t>
      </w:r>
    </w:p>
    <w:p>
      <w:pPr>
        <w:pStyle w:val="8"/>
        <w:shd w:val="clear"/>
        <w:ind w:firstLine="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（若响应文件中无上述文件，则在评审时不考虑对该小、微企业的相关优惠。）</w:t>
      </w:r>
    </w:p>
    <w:p>
      <w:pPr>
        <w:shd w:val="clea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93" w:name="_Toc18665"/>
      <w:bookmarkStart w:id="194" w:name="_Toc24530"/>
      <w:r>
        <w:rPr>
          <w:rFonts w:hint="eastAsia" w:asciiTheme="minorEastAsia" w:hAnsiTheme="minorEastAsia" w:eastAsiaTheme="minorEastAsia" w:cstheme="minorEastAsia"/>
          <w:b/>
          <w:bCs/>
          <w:sz w:val="24"/>
          <w:highlight w:val="none"/>
        </w:rPr>
        <w:t>附件1</w:t>
      </w:r>
      <w:bookmarkEnd w:id="193"/>
      <w:bookmarkEnd w:id="194"/>
      <w:r>
        <w:rPr>
          <w:rFonts w:hint="eastAsia" w:asciiTheme="minorEastAsia" w:hAnsiTheme="minorEastAsia" w:eastAsiaTheme="minorEastAsia" w:cstheme="minorEastAsia"/>
          <w:b/>
          <w:bCs/>
          <w:sz w:val="24"/>
          <w:highlight w:val="none"/>
        </w:rPr>
        <w:t>7</w:t>
      </w:r>
    </w:p>
    <w:p>
      <w:pPr>
        <w:pStyle w:val="5"/>
        <w:shd w:val="clear"/>
        <w:jc w:val="center"/>
        <w:rPr>
          <w:rFonts w:asciiTheme="minorEastAsia" w:hAnsiTheme="minorEastAsia" w:eastAsiaTheme="minorEastAsia" w:cstheme="minorEastAsia"/>
          <w:sz w:val="24"/>
          <w:szCs w:val="24"/>
          <w:highlight w:val="none"/>
        </w:rPr>
      </w:pPr>
      <w:bookmarkStart w:id="195" w:name="_Toc15242"/>
      <w:r>
        <w:rPr>
          <w:rFonts w:hint="eastAsia" w:asciiTheme="minorEastAsia" w:hAnsiTheme="minorEastAsia" w:eastAsiaTheme="minorEastAsia" w:cstheme="minorEastAsia"/>
          <w:sz w:val="24"/>
          <w:szCs w:val="24"/>
          <w:highlight w:val="none"/>
        </w:rPr>
        <w:t>监狱企业声明函（符合本声明函填写）</w:t>
      </w:r>
      <w:bookmarkEnd w:id="195"/>
    </w:p>
    <w:p>
      <w:pPr>
        <w:shd w:val="clear"/>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（监狱企业适用）</w:t>
      </w:r>
    </w:p>
    <w:p>
      <w:pPr>
        <w:shd w:val="clear"/>
        <w:spacing w:line="360" w:lineRule="auto"/>
        <w:ind w:firstLine="540" w:firstLineChars="225"/>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本公司郑重声明，根据《关于政府采购支持监狱企业发展有关问题的通知》（财库[2014]68号）的规定，本公司为监狱企业。</w:t>
      </w:r>
    </w:p>
    <w:p>
      <w:pPr>
        <w:shd w:val="clear"/>
        <w:spacing w:line="360" w:lineRule="auto"/>
        <w:ind w:firstLine="540" w:firstLineChars="225"/>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本公司参加______单位的______项目采购活动，采购活动提供本企业（填写制造的货物，由本企业承担工程、提供服务）。</w:t>
      </w:r>
    </w:p>
    <w:p>
      <w:pPr>
        <w:shd w:val="clear"/>
        <w:spacing w:line="360" w:lineRule="auto"/>
        <w:ind w:firstLine="540" w:firstLineChars="225"/>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本条所称货物不包括使用大型企业注册商标的货物和服务。</w:t>
      </w:r>
    </w:p>
    <w:p>
      <w:pPr>
        <w:shd w:val="clear"/>
        <w:spacing w:line="360" w:lineRule="auto"/>
        <w:ind w:firstLine="540" w:firstLineChars="225"/>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本公司对上述声明的真实性负责。如有虚假，将依法承担相应责任。</w:t>
      </w:r>
    </w:p>
    <w:p>
      <w:pPr>
        <w:shd w:val="clear"/>
        <w:spacing w:line="360" w:lineRule="auto"/>
        <w:ind w:firstLine="4860" w:firstLineChars="2025"/>
        <w:rPr>
          <w:rFonts w:asciiTheme="minorEastAsia" w:hAnsiTheme="minorEastAsia" w:eastAsiaTheme="minorEastAsia" w:cstheme="minorEastAsia"/>
          <w:kern w:val="0"/>
          <w:sz w:val="24"/>
          <w:highlight w:val="none"/>
        </w:rPr>
      </w:pPr>
    </w:p>
    <w:p>
      <w:pPr>
        <w:shd w:val="clear"/>
        <w:spacing w:line="360" w:lineRule="auto"/>
        <w:ind w:firstLine="4320" w:firstLineChars="18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供应商（盖章）：</w:t>
      </w:r>
    </w:p>
    <w:p>
      <w:pPr>
        <w:shd w:val="clear"/>
        <w:spacing w:line="360" w:lineRule="auto"/>
        <w:ind w:firstLine="4320" w:firstLineChars="18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法定代表人或其被授权人</w:t>
      </w:r>
      <w:r>
        <w:rPr>
          <w:rFonts w:hint="eastAsia" w:asciiTheme="minorEastAsia" w:hAnsiTheme="minorEastAsia" w:eastAsiaTheme="minorEastAsia" w:cstheme="minorEastAsia"/>
          <w:sz w:val="24"/>
          <w:highlight w:val="none"/>
        </w:rPr>
        <w:t>（签字或盖章）</w:t>
      </w:r>
      <w:r>
        <w:rPr>
          <w:rFonts w:hint="eastAsia" w:asciiTheme="minorEastAsia" w:hAnsiTheme="minorEastAsia" w:eastAsiaTheme="minorEastAsia" w:cstheme="minorEastAsia"/>
          <w:kern w:val="0"/>
          <w:sz w:val="24"/>
          <w:highlight w:val="none"/>
        </w:rPr>
        <w:t>：</w:t>
      </w:r>
    </w:p>
    <w:p>
      <w:pPr>
        <w:shd w:val="clear"/>
        <w:tabs>
          <w:tab w:val="left" w:pos="2880"/>
        </w:tabs>
        <w:spacing w:line="460" w:lineRule="atLeast"/>
        <w:ind w:firstLine="4320" w:firstLineChars="18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highlight w:val="none"/>
        </w:rPr>
        <w:t>日期：</w:t>
      </w:r>
    </w:p>
    <w:p>
      <w:pPr>
        <w:shd w:val="clear"/>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注：后附监狱企业资格证明文件</w:t>
      </w:r>
    </w:p>
    <w:p>
      <w:pPr>
        <w:shd w:val="clear"/>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highlight w:val="none"/>
        </w:rPr>
        <w:t>省级以上监狱管理局、戒毒管理局（含新疆生产建设兵团）出具的属于监狱企业的证明文件；</w:t>
      </w:r>
    </w:p>
    <w:p>
      <w:pPr>
        <w:shd w:val="clear"/>
        <w:tabs>
          <w:tab w:val="left" w:pos="2880"/>
        </w:tabs>
        <w:spacing w:line="460" w:lineRule="atLeast"/>
        <w:jc w:val="left"/>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sz w:val="24"/>
          <w:highlight w:val="none"/>
        </w:rPr>
        <w:t>2.证明材料加盖供应商公章。</w:t>
      </w: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kern w:val="0"/>
          <w:sz w:val="24"/>
          <w:highlight w:val="none"/>
        </w:rPr>
        <w:t>（若响应性文件中无上述证明文件，则在评审时不考虑对该监狱企业的相关优惠。）</w:t>
      </w: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96" w:name="_Toc3738"/>
      <w:bookmarkStart w:id="197" w:name="_Toc21303"/>
      <w:r>
        <w:rPr>
          <w:rFonts w:hint="eastAsia" w:asciiTheme="minorEastAsia" w:hAnsiTheme="minorEastAsia" w:eastAsiaTheme="minorEastAsia" w:cstheme="minorEastAsia"/>
          <w:b/>
          <w:bCs/>
          <w:sz w:val="24"/>
          <w:highlight w:val="none"/>
        </w:rPr>
        <w:t>附件1</w:t>
      </w:r>
      <w:bookmarkEnd w:id="196"/>
      <w:bookmarkEnd w:id="197"/>
      <w:r>
        <w:rPr>
          <w:rFonts w:hint="eastAsia" w:asciiTheme="minorEastAsia" w:hAnsiTheme="minorEastAsia" w:eastAsiaTheme="minorEastAsia" w:cstheme="minorEastAsia"/>
          <w:b/>
          <w:bCs/>
          <w:sz w:val="24"/>
          <w:highlight w:val="none"/>
        </w:rPr>
        <w:t>8</w:t>
      </w:r>
    </w:p>
    <w:p>
      <w:pPr>
        <w:pStyle w:val="5"/>
        <w:shd w:val="clear"/>
        <w:jc w:val="center"/>
        <w:rPr>
          <w:rFonts w:asciiTheme="minorEastAsia" w:hAnsiTheme="minorEastAsia" w:eastAsiaTheme="minorEastAsia" w:cstheme="minorEastAsia"/>
          <w:sz w:val="24"/>
          <w:szCs w:val="24"/>
          <w:highlight w:val="none"/>
        </w:rPr>
      </w:pPr>
      <w:bookmarkStart w:id="198" w:name="_Toc22175"/>
      <w:r>
        <w:rPr>
          <w:rFonts w:hint="eastAsia" w:asciiTheme="minorEastAsia" w:hAnsiTheme="minorEastAsia" w:eastAsiaTheme="minorEastAsia" w:cstheme="minorEastAsia"/>
          <w:sz w:val="24"/>
          <w:szCs w:val="24"/>
          <w:highlight w:val="none"/>
        </w:rPr>
        <w:t>残疾人福利性单位声明函（符合本声明函填写）</w:t>
      </w:r>
      <w:bookmarkEnd w:id="198"/>
    </w:p>
    <w:p>
      <w:pPr>
        <w:widowControl/>
        <w:shd w:val="clear"/>
        <w:adjustRightInd w:val="0"/>
        <w:snapToGrid w:val="0"/>
        <w:spacing w:line="440" w:lineRule="exact"/>
        <w:ind w:firstLine="504" w:firstLineChars="200"/>
        <w:jc w:val="left"/>
        <w:rPr>
          <w:rFonts w:asciiTheme="minorEastAsia" w:hAnsiTheme="minorEastAsia" w:eastAsiaTheme="minorEastAsia" w:cstheme="minorEastAsia"/>
          <w:spacing w:val="6"/>
          <w:kern w:val="0"/>
          <w:sz w:val="24"/>
          <w:szCs w:val="24"/>
          <w:highlight w:val="none"/>
        </w:rPr>
      </w:pPr>
      <w:r>
        <w:rPr>
          <w:rFonts w:hint="eastAsia" w:asciiTheme="minorEastAsia" w:hAnsiTheme="minorEastAsia" w:eastAsiaTheme="minorEastAsia" w:cstheme="minorEastAsia"/>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spacing w:val="6"/>
          <w:kern w:val="0"/>
          <w:sz w:val="24"/>
          <w:szCs w:val="24"/>
          <w:highlight w:val="none"/>
        </w:rPr>
      </w:pPr>
      <w:r>
        <w:rPr>
          <w:rFonts w:hint="eastAsia" w:asciiTheme="minorEastAsia" w:hAnsiTheme="minorEastAsia" w:eastAsiaTheme="minorEastAsia" w:cstheme="minorEastAsia"/>
          <w:spacing w:val="6"/>
          <w:kern w:val="0"/>
          <w:sz w:val="24"/>
          <w:szCs w:val="24"/>
          <w:highlight w:val="none"/>
        </w:rPr>
        <w:t xml:space="preserve">本单位对上述声明的真实性负责。如有虚假，将依法承担相应责任。 </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spacing w:val="6"/>
          <w:kern w:val="0"/>
          <w:sz w:val="24"/>
          <w:szCs w:val="24"/>
          <w:highlight w:val="none"/>
        </w:rPr>
      </w:pPr>
    </w:p>
    <w:p>
      <w:pPr>
        <w:widowControl/>
        <w:shd w:val="clear"/>
        <w:adjustRightInd w:val="0"/>
        <w:snapToGrid w:val="0"/>
        <w:spacing w:line="440" w:lineRule="exact"/>
        <w:ind w:firstLine="5544" w:firstLineChars="2200"/>
        <w:jc w:val="left"/>
        <w:rPr>
          <w:rFonts w:asciiTheme="minorEastAsia" w:hAnsiTheme="minorEastAsia" w:eastAsiaTheme="minorEastAsia" w:cstheme="minorEastAsia"/>
          <w:spacing w:val="6"/>
          <w:kern w:val="0"/>
          <w:sz w:val="24"/>
          <w:szCs w:val="24"/>
          <w:highlight w:val="none"/>
        </w:rPr>
      </w:pPr>
      <w:r>
        <w:rPr>
          <w:rFonts w:hint="eastAsia" w:asciiTheme="minorEastAsia" w:hAnsiTheme="minorEastAsia" w:eastAsiaTheme="minorEastAsia" w:cstheme="minorEastAsia"/>
          <w:spacing w:val="6"/>
          <w:kern w:val="0"/>
          <w:sz w:val="24"/>
          <w:szCs w:val="24"/>
          <w:highlight w:val="none"/>
        </w:rPr>
        <w:t>单位名称（盖章）：</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spacing w:val="6"/>
          <w:kern w:val="0"/>
          <w:sz w:val="24"/>
          <w:szCs w:val="24"/>
          <w:highlight w:val="none"/>
        </w:rPr>
      </w:pPr>
      <w:r>
        <w:rPr>
          <w:rFonts w:hint="eastAsia" w:asciiTheme="minorEastAsia" w:hAnsiTheme="minorEastAsia" w:eastAsiaTheme="minorEastAsia" w:cstheme="minorEastAsia"/>
          <w:spacing w:val="6"/>
          <w:kern w:val="0"/>
          <w:sz w:val="24"/>
          <w:szCs w:val="24"/>
          <w:highlight w:val="none"/>
        </w:rPr>
        <w:t xml:space="preserve">                                      日  期：</w:t>
      </w:r>
    </w:p>
    <w:p>
      <w:pPr>
        <w:widowControl/>
        <w:shd w:val="clear"/>
        <w:jc w:val="lef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Cs/>
          <w:sz w:val="24"/>
          <w:highlight w:val="none"/>
        </w:rPr>
        <w:br w:type="page"/>
      </w:r>
      <w:bookmarkStart w:id="199" w:name="_Toc19534"/>
      <w:bookmarkStart w:id="200" w:name="_Toc1114"/>
      <w:r>
        <w:rPr>
          <w:rFonts w:hint="eastAsia" w:asciiTheme="minorEastAsia" w:hAnsiTheme="minorEastAsia" w:eastAsiaTheme="minorEastAsia" w:cstheme="minorEastAsia"/>
          <w:b/>
          <w:bCs/>
          <w:sz w:val="24"/>
          <w:szCs w:val="24"/>
          <w:highlight w:val="none"/>
        </w:rPr>
        <w:t>附件</w:t>
      </w:r>
      <w:bookmarkEnd w:id="199"/>
      <w:bookmarkEnd w:id="200"/>
      <w:r>
        <w:rPr>
          <w:rFonts w:hint="eastAsia" w:asciiTheme="minorEastAsia" w:hAnsiTheme="minorEastAsia" w:eastAsiaTheme="minorEastAsia" w:cstheme="minorEastAsia"/>
          <w:b/>
          <w:bCs/>
          <w:sz w:val="24"/>
          <w:szCs w:val="24"/>
          <w:highlight w:val="none"/>
        </w:rPr>
        <w:t>19</w:t>
      </w:r>
    </w:p>
    <w:p>
      <w:pPr>
        <w:shd w:val="clear" w:color="auto"/>
        <w:tabs>
          <w:tab w:val="left" w:pos="996"/>
        </w:tabs>
        <w:spacing w:line="500" w:lineRule="exact"/>
        <w:jc w:val="center"/>
        <w:rPr>
          <w:rFonts w:asciiTheme="minorEastAsia" w:hAnsiTheme="minorEastAsia" w:eastAsiaTheme="minorEastAsia" w:cstheme="minorEastAsia"/>
          <w:b/>
          <w:sz w:val="24"/>
          <w:szCs w:val="24"/>
          <w:highlight w:val="none"/>
        </w:rPr>
      </w:pPr>
      <w:bookmarkStart w:id="201" w:name="_Hlk7871373"/>
      <w:r>
        <w:rPr>
          <w:rFonts w:hint="eastAsia" w:asciiTheme="minorEastAsia" w:hAnsiTheme="minorEastAsia" w:eastAsiaTheme="minorEastAsia" w:cstheme="minorEastAsia"/>
          <w:b/>
          <w:sz w:val="24"/>
          <w:szCs w:val="24"/>
          <w:highlight w:val="none"/>
        </w:rPr>
        <w:t>评审中所需资料</w:t>
      </w:r>
    </w:p>
    <w:bookmarkEnd w:id="201"/>
    <w:p>
      <w:pPr>
        <w:shd w:val="clear" w:color="auto"/>
        <w:tabs>
          <w:tab w:val="left" w:pos="996"/>
        </w:tabs>
        <w:spacing w:line="480" w:lineRule="auto"/>
        <w:jc w:val="center"/>
        <w:rPr>
          <w:rFonts w:asciiTheme="minorEastAsia" w:hAnsiTheme="minorEastAsia" w:eastAsiaTheme="minorEastAsia" w:cstheme="minorEastAsia"/>
          <w:b/>
          <w:bCs/>
          <w:sz w:val="24"/>
          <w:szCs w:val="24"/>
          <w:highlight w:val="none"/>
        </w:rPr>
      </w:pPr>
    </w:p>
    <w:p>
      <w:pPr>
        <w:shd w:val="clear" w:color="auto"/>
        <w:tabs>
          <w:tab w:val="left" w:pos="996"/>
        </w:tabs>
        <w:spacing w:line="480" w:lineRule="auto"/>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由供应商自行编写，无具体格式。</w:t>
      </w:r>
    </w:p>
    <w:p>
      <w:pPr>
        <w:shd w:val="clear" w:color="auto"/>
        <w:tabs>
          <w:tab w:val="left" w:pos="996"/>
        </w:tabs>
        <w:spacing w:line="500" w:lineRule="exact"/>
        <w:jc w:val="lef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br w:type="page"/>
      </w:r>
      <w:bookmarkStart w:id="202" w:name="_Toc1107"/>
      <w:bookmarkStart w:id="203" w:name="_Toc3583"/>
      <w:r>
        <w:rPr>
          <w:rFonts w:hint="eastAsia" w:asciiTheme="minorEastAsia" w:hAnsiTheme="minorEastAsia" w:eastAsiaTheme="minorEastAsia" w:cstheme="minorEastAsia"/>
          <w:b/>
          <w:bCs/>
          <w:sz w:val="24"/>
          <w:szCs w:val="24"/>
          <w:highlight w:val="none"/>
        </w:rPr>
        <w:t>附件</w:t>
      </w:r>
      <w:bookmarkEnd w:id="202"/>
      <w:bookmarkEnd w:id="203"/>
      <w:r>
        <w:rPr>
          <w:rFonts w:hint="eastAsia" w:asciiTheme="minorEastAsia" w:hAnsiTheme="minorEastAsia" w:eastAsiaTheme="minorEastAsia" w:cstheme="minorEastAsia"/>
          <w:b/>
          <w:bCs/>
          <w:sz w:val="24"/>
          <w:szCs w:val="24"/>
          <w:highlight w:val="none"/>
        </w:rPr>
        <w:t>20</w:t>
      </w:r>
    </w:p>
    <w:p>
      <w:pPr>
        <w:widowControl/>
        <w:shd w:val="clear"/>
        <w:spacing w:line="360" w:lineRule="auto"/>
        <w:ind w:left="720"/>
        <w:jc w:val="center"/>
        <w:outlineLvl w:val="0"/>
        <w:rPr>
          <w:rFonts w:asciiTheme="minorEastAsia" w:hAnsiTheme="minorEastAsia" w:eastAsiaTheme="minorEastAsia" w:cstheme="minorEastAsia"/>
          <w:highlight w:val="none"/>
        </w:rPr>
      </w:pPr>
      <w:bookmarkStart w:id="204" w:name="_Toc14687"/>
      <w:bookmarkStart w:id="205" w:name="_Toc32680"/>
      <w:r>
        <w:rPr>
          <w:rFonts w:hint="eastAsia" w:asciiTheme="minorEastAsia" w:hAnsiTheme="minorEastAsia" w:eastAsiaTheme="minorEastAsia" w:cstheme="minorEastAsia"/>
          <w:b/>
          <w:sz w:val="24"/>
          <w:szCs w:val="24"/>
          <w:highlight w:val="none"/>
        </w:rPr>
        <w:t>供应商认为有必要提供的其他资料</w:t>
      </w:r>
      <w:bookmarkEnd w:id="204"/>
      <w:bookmarkEnd w:id="205"/>
    </w:p>
    <w:p>
      <w:pPr>
        <w:widowControl/>
        <w:shd w:val="clear"/>
        <w:spacing w:line="360" w:lineRule="auto"/>
        <w:ind w:left="720"/>
        <w:jc w:val="center"/>
        <w:outlineLvl w:val="0"/>
        <w:rPr>
          <w:rFonts w:asciiTheme="minorEastAsia" w:hAnsiTheme="minorEastAsia" w:eastAsiaTheme="minorEastAsia" w:cstheme="minorEastAsia"/>
          <w:highlight w:val="none"/>
        </w:rPr>
      </w:pPr>
    </w:p>
    <w:sectPr>
      <w:footerReference r:id="rId8" w:type="default"/>
      <w:pgSz w:w="11911" w:h="16838"/>
      <w:pgMar w:top="1440" w:right="1633" w:bottom="1440" w:left="1633" w:header="0" w:footer="879"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jc w:val="center"/>
                          </w:pPr>
                          <w:r>
                            <w:fldChar w:fldCharType="begin"/>
                          </w:r>
                          <w:r>
                            <w:instrText xml:space="preserve">PAGE   \* MERGEFORMAT</w:instrText>
                          </w:r>
                          <w:r>
                            <w:fldChar w:fldCharType="separate"/>
                          </w:r>
                          <w:r>
                            <w:rPr>
                              <w:lang w:val="zh-CN"/>
                            </w:rPr>
                            <w:t>-</w:t>
                          </w:r>
                          <w:r>
                            <w:t xml:space="preserve"> 6 -</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I592vywEAAJcDAAAOAAAAAAAAAAEAIAAAACIBAABkcnMv&#10;ZTJvRG9jLnhtbFBLBQYAAAAABgAGAFkBAABfBQAAAAA=&#10;">
              <v:fill on="f" focussize="0,0"/>
              <v:stroke on="f" weight="1.25pt"/>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w:t>
                    </w:r>
                    <w:r>
                      <w:t xml:space="preserve"> 6 -</w:t>
                    </w:r>
                    <w:r>
                      <w:fldChar w:fldCharType="end"/>
                    </w:r>
                  </w:p>
                </w:txbxContent>
              </v:textbox>
            </v:shape>
          </w:pict>
        </mc:Fallback>
      </mc:AlternateContent>
    </w:r>
  </w:p>
  <w:p>
    <w:pPr>
      <w:pStyle w:val="19"/>
      <w:ind w:right="360"/>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EA1D55C2"/>
    <w:multiLevelType w:val="singleLevel"/>
    <w:tmpl w:val="EA1D55C2"/>
    <w:lvl w:ilvl="0" w:tentative="0">
      <w:start w:val="3"/>
      <w:numFmt w:val="decimal"/>
      <w:lvlText w:val="%1."/>
      <w:lvlJc w:val="left"/>
      <w:pPr>
        <w:tabs>
          <w:tab w:val="left" w:pos="312"/>
        </w:tabs>
      </w:pPr>
    </w:lvl>
  </w:abstractNum>
  <w:abstractNum w:abstractNumId="2">
    <w:nsid w:val="0000000B"/>
    <w:multiLevelType w:val="singleLevel"/>
    <w:tmpl w:val="0000000B"/>
    <w:lvl w:ilvl="0" w:tentative="0">
      <w:start w:val="1"/>
      <w:numFmt w:val="chineseCounting"/>
      <w:suff w:val="nothing"/>
      <w:lvlText w:val="%1、"/>
      <w:lvlJc w:val="left"/>
      <w:rPr>
        <w:rFonts w:cs="Times New Roman"/>
      </w:rPr>
    </w:lvl>
  </w:abstractNum>
  <w:abstractNum w:abstractNumId="3">
    <w:nsid w:val="3F2E7D64"/>
    <w:multiLevelType w:val="singleLevel"/>
    <w:tmpl w:val="3F2E7D64"/>
    <w:lvl w:ilvl="0" w:tentative="0">
      <w:start w:val="5"/>
      <w:numFmt w:val="chineseCounting"/>
      <w:suff w:val="nothing"/>
      <w:lvlText w:val="%1、"/>
      <w:lvlJc w:val="left"/>
      <w:rPr>
        <w:rFonts w:hint="eastAsia"/>
      </w:rPr>
    </w:lvl>
  </w:abstractNum>
  <w:abstractNum w:abstractNumId="4">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94AA2"/>
    <w:multiLevelType w:val="singleLevel"/>
    <w:tmpl w:val="77494AA2"/>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jVmNDM1NDhlMzA4NmE2NWI4YjZmYzcxY2Y1ZGYifQ=="/>
    <w:docVar w:name="KSO_WPS_MARK_KEY" w:val="fc030781-f9b1-4b1a-83ad-26491d6d2519"/>
  </w:docVars>
  <w:rsids>
    <w:rsidRoot w:val="0052434E"/>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33DF"/>
    <w:rsid w:val="00033E52"/>
    <w:rsid w:val="00034063"/>
    <w:rsid w:val="000347F4"/>
    <w:rsid w:val="00036433"/>
    <w:rsid w:val="00041DB0"/>
    <w:rsid w:val="000433F2"/>
    <w:rsid w:val="00045EDD"/>
    <w:rsid w:val="00046AAD"/>
    <w:rsid w:val="00047338"/>
    <w:rsid w:val="0005137C"/>
    <w:rsid w:val="0005268E"/>
    <w:rsid w:val="00052742"/>
    <w:rsid w:val="00054917"/>
    <w:rsid w:val="000554DD"/>
    <w:rsid w:val="000565E6"/>
    <w:rsid w:val="000568ED"/>
    <w:rsid w:val="0006040F"/>
    <w:rsid w:val="00062214"/>
    <w:rsid w:val="00062604"/>
    <w:rsid w:val="00062713"/>
    <w:rsid w:val="00065494"/>
    <w:rsid w:val="00070428"/>
    <w:rsid w:val="0007052D"/>
    <w:rsid w:val="0007065C"/>
    <w:rsid w:val="00071080"/>
    <w:rsid w:val="00071821"/>
    <w:rsid w:val="00071EE4"/>
    <w:rsid w:val="00076439"/>
    <w:rsid w:val="00076C3D"/>
    <w:rsid w:val="00077A10"/>
    <w:rsid w:val="00083FB2"/>
    <w:rsid w:val="000846A9"/>
    <w:rsid w:val="00084FFF"/>
    <w:rsid w:val="000869B2"/>
    <w:rsid w:val="00087B48"/>
    <w:rsid w:val="00090AD9"/>
    <w:rsid w:val="00090D5A"/>
    <w:rsid w:val="0009138C"/>
    <w:rsid w:val="000941D7"/>
    <w:rsid w:val="00094601"/>
    <w:rsid w:val="000969EC"/>
    <w:rsid w:val="000971CC"/>
    <w:rsid w:val="000976F6"/>
    <w:rsid w:val="000A19F3"/>
    <w:rsid w:val="000A3BB1"/>
    <w:rsid w:val="000B3627"/>
    <w:rsid w:val="000B401E"/>
    <w:rsid w:val="000B4A0A"/>
    <w:rsid w:val="000B5C38"/>
    <w:rsid w:val="000B7910"/>
    <w:rsid w:val="000C0CD7"/>
    <w:rsid w:val="000C44EA"/>
    <w:rsid w:val="000C474B"/>
    <w:rsid w:val="000C48E0"/>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354A"/>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7E0C"/>
    <w:rsid w:val="001B15FB"/>
    <w:rsid w:val="001B1800"/>
    <w:rsid w:val="001B25F2"/>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739E"/>
    <w:rsid w:val="0028792E"/>
    <w:rsid w:val="00287EFA"/>
    <w:rsid w:val="0029101F"/>
    <w:rsid w:val="002916C7"/>
    <w:rsid w:val="002919A5"/>
    <w:rsid w:val="00292233"/>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3010"/>
    <w:rsid w:val="003043FF"/>
    <w:rsid w:val="00305BB5"/>
    <w:rsid w:val="00305EEA"/>
    <w:rsid w:val="003060C9"/>
    <w:rsid w:val="003065F6"/>
    <w:rsid w:val="00306E89"/>
    <w:rsid w:val="0030772D"/>
    <w:rsid w:val="00314960"/>
    <w:rsid w:val="0031730B"/>
    <w:rsid w:val="003200CE"/>
    <w:rsid w:val="00320578"/>
    <w:rsid w:val="003248C3"/>
    <w:rsid w:val="003255FA"/>
    <w:rsid w:val="0032602F"/>
    <w:rsid w:val="00326E77"/>
    <w:rsid w:val="00327E23"/>
    <w:rsid w:val="00331C2B"/>
    <w:rsid w:val="00332C97"/>
    <w:rsid w:val="003351F7"/>
    <w:rsid w:val="00335710"/>
    <w:rsid w:val="00337BE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81527"/>
    <w:rsid w:val="003827E3"/>
    <w:rsid w:val="003842C1"/>
    <w:rsid w:val="003843D1"/>
    <w:rsid w:val="0038650B"/>
    <w:rsid w:val="003912C0"/>
    <w:rsid w:val="003917B7"/>
    <w:rsid w:val="003924BA"/>
    <w:rsid w:val="003933C1"/>
    <w:rsid w:val="00393F65"/>
    <w:rsid w:val="003959A3"/>
    <w:rsid w:val="0039788F"/>
    <w:rsid w:val="003A0BAE"/>
    <w:rsid w:val="003A1F35"/>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715E"/>
    <w:rsid w:val="003D1E1C"/>
    <w:rsid w:val="003D3A56"/>
    <w:rsid w:val="003D3ADB"/>
    <w:rsid w:val="003D49BB"/>
    <w:rsid w:val="003D5A32"/>
    <w:rsid w:val="003D5CE7"/>
    <w:rsid w:val="003E14D2"/>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2870"/>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10B7"/>
    <w:rsid w:val="00561DDF"/>
    <w:rsid w:val="00561E6C"/>
    <w:rsid w:val="00565A53"/>
    <w:rsid w:val="00565C45"/>
    <w:rsid w:val="005662D1"/>
    <w:rsid w:val="00566867"/>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3BD4"/>
    <w:rsid w:val="005B4152"/>
    <w:rsid w:val="005B61C0"/>
    <w:rsid w:val="005B6A02"/>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7940"/>
    <w:rsid w:val="00627CD5"/>
    <w:rsid w:val="00627D34"/>
    <w:rsid w:val="00627FEE"/>
    <w:rsid w:val="00632FE6"/>
    <w:rsid w:val="00633418"/>
    <w:rsid w:val="006335A9"/>
    <w:rsid w:val="00635F4F"/>
    <w:rsid w:val="00636BA9"/>
    <w:rsid w:val="00637088"/>
    <w:rsid w:val="00637586"/>
    <w:rsid w:val="00637C40"/>
    <w:rsid w:val="00647FB5"/>
    <w:rsid w:val="00650967"/>
    <w:rsid w:val="006510DB"/>
    <w:rsid w:val="006526E6"/>
    <w:rsid w:val="00653A4C"/>
    <w:rsid w:val="00653CEB"/>
    <w:rsid w:val="00654443"/>
    <w:rsid w:val="00655072"/>
    <w:rsid w:val="006564AB"/>
    <w:rsid w:val="00657B24"/>
    <w:rsid w:val="00657F6B"/>
    <w:rsid w:val="00661999"/>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B679B"/>
    <w:rsid w:val="006C0F9D"/>
    <w:rsid w:val="006C10B1"/>
    <w:rsid w:val="006C26C2"/>
    <w:rsid w:val="006C3B84"/>
    <w:rsid w:val="006C5A90"/>
    <w:rsid w:val="006C5B75"/>
    <w:rsid w:val="006C7B05"/>
    <w:rsid w:val="006D2EBA"/>
    <w:rsid w:val="006D4D45"/>
    <w:rsid w:val="006E084B"/>
    <w:rsid w:val="006E12C0"/>
    <w:rsid w:val="006E1E2D"/>
    <w:rsid w:val="006E226E"/>
    <w:rsid w:val="006E2A7B"/>
    <w:rsid w:val="006E4C19"/>
    <w:rsid w:val="006E5E3C"/>
    <w:rsid w:val="006E661B"/>
    <w:rsid w:val="006E6898"/>
    <w:rsid w:val="006F0AEF"/>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5E65"/>
    <w:rsid w:val="00735EE9"/>
    <w:rsid w:val="00735F4C"/>
    <w:rsid w:val="00737615"/>
    <w:rsid w:val="00737B95"/>
    <w:rsid w:val="00741374"/>
    <w:rsid w:val="0074194E"/>
    <w:rsid w:val="00741ECC"/>
    <w:rsid w:val="00742E1E"/>
    <w:rsid w:val="007440E6"/>
    <w:rsid w:val="00745CF4"/>
    <w:rsid w:val="00745FBF"/>
    <w:rsid w:val="00746B9D"/>
    <w:rsid w:val="00746BDF"/>
    <w:rsid w:val="007517CB"/>
    <w:rsid w:val="00751A3F"/>
    <w:rsid w:val="00753208"/>
    <w:rsid w:val="00753403"/>
    <w:rsid w:val="0075576E"/>
    <w:rsid w:val="007574A6"/>
    <w:rsid w:val="00760022"/>
    <w:rsid w:val="007625F9"/>
    <w:rsid w:val="00763EEF"/>
    <w:rsid w:val="00765061"/>
    <w:rsid w:val="00766605"/>
    <w:rsid w:val="007670E2"/>
    <w:rsid w:val="007677A5"/>
    <w:rsid w:val="0077132F"/>
    <w:rsid w:val="0077288F"/>
    <w:rsid w:val="00772FC7"/>
    <w:rsid w:val="00773CDB"/>
    <w:rsid w:val="00773E45"/>
    <w:rsid w:val="00773F17"/>
    <w:rsid w:val="007754DC"/>
    <w:rsid w:val="00780B11"/>
    <w:rsid w:val="00781435"/>
    <w:rsid w:val="00781DC6"/>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47C6"/>
    <w:rsid w:val="007C5578"/>
    <w:rsid w:val="007D09C7"/>
    <w:rsid w:val="007D13E5"/>
    <w:rsid w:val="007D2AF8"/>
    <w:rsid w:val="007D7196"/>
    <w:rsid w:val="007D7A77"/>
    <w:rsid w:val="007E0DEE"/>
    <w:rsid w:val="007E101F"/>
    <w:rsid w:val="007E1824"/>
    <w:rsid w:val="007E2C5B"/>
    <w:rsid w:val="007E489E"/>
    <w:rsid w:val="007E574A"/>
    <w:rsid w:val="007E5DBC"/>
    <w:rsid w:val="007E6905"/>
    <w:rsid w:val="007F5F04"/>
    <w:rsid w:val="007F66B9"/>
    <w:rsid w:val="007F6DA7"/>
    <w:rsid w:val="008015F3"/>
    <w:rsid w:val="0080358F"/>
    <w:rsid w:val="00803E83"/>
    <w:rsid w:val="00804638"/>
    <w:rsid w:val="00806E96"/>
    <w:rsid w:val="008077D5"/>
    <w:rsid w:val="00807B06"/>
    <w:rsid w:val="00807FF1"/>
    <w:rsid w:val="008106E9"/>
    <w:rsid w:val="00814A9B"/>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142"/>
    <w:rsid w:val="008A3744"/>
    <w:rsid w:val="008A37BD"/>
    <w:rsid w:val="008A4C54"/>
    <w:rsid w:val="008A531B"/>
    <w:rsid w:val="008A6CC7"/>
    <w:rsid w:val="008A7B11"/>
    <w:rsid w:val="008A7E5A"/>
    <w:rsid w:val="008B1B5C"/>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15FC"/>
    <w:rsid w:val="00933A01"/>
    <w:rsid w:val="00935F1D"/>
    <w:rsid w:val="00936995"/>
    <w:rsid w:val="0093747E"/>
    <w:rsid w:val="009444A4"/>
    <w:rsid w:val="009444DE"/>
    <w:rsid w:val="009446B3"/>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104"/>
    <w:rsid w:val="00974B7F"/>
    <w:rsid w:val="0098082A"/>
    <w:rsid w:val="00980A9B"/>
    <w:rsid w:val="009825BF"/>
    <w:rsid w:val="009830E4"/>
    <w:rsid w:val="00983874"/>
    <w:rsid w:val="009857E5"/>
    <w:rsid w:val="0098649C"/>
    <w:rsid w:val="00986E19"/>
    <w:rsid w:val="00987AEE"/>
    <w:rsid w:val="00990972"/>
    <w:rsid w:val="009924B4"/>
    <w:rsid w:val="0099643E"/>
    <w:rsid w:val="009A00DF"/>
    <w:rsid w:val="009A0E9B"/>
    <w:rsid w:val="009A1CD9"/>
    <w:rsid w:val="009A21E4"/>
    <w:rsid w:val="009A646F"/>
    <w:rsid w:val="009A6791"/>
    <w:rsid w:val="009B4AEF"/>
    <w:rsid w:val="009B6220"/>
    <w:rsid w:val="009B6C69"/>
    <w:rsid w:val="009B7F80"/>
    <w:rsid w:val="009C1446"/>
    <w:rsid w:val="009C3085"/>
    <w:rsid w:val="009C4242"/>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4E05"/>
    <w:rsid w:val="00A04FB0"/>
    <w:rsid w:val="00A06CB3"/>
    <w:rsid w:val="00A0776B"/>
    <w:rsid w:val="00A12B0B"/>
    <w:rsid w:val="00A13B73"/>
    <w:rsid w:val="00A167F8"/>
    <w:rsid w:val="00A21E38"/>
    <w:rsid w:val="00A226DB"/>
    <w:rsid w:val="00A24F95"/>
    <w:rsid w:val="00A252A4"/>
    <w:rsid w:val="00A26B50"/>
    <w:rsid w:val="00A27747"/>
    <w:rsid w:val="00A2785B"/>
    <w:rsid w:val="00A27BE8"/>
    <w:rsid w:val="00A30F24"/>
    <w:rsid w:val="00A31CD9"/>
    <w:rsid w:val="00A33E94"/>
    <w:rsid w:val="00A34C68"/>
    <w:rsid w:val="00A35FEE"/>
    <w:rsid w:val="00A36879"/>
    <w:rsid w:val="00A4041E"/>
    <w:rsid w:val="00A42DAF"/>
    <w:rsid w:val="00A44401"/>
    <w:rsid w:val="00A51C6F"/>
    <w:rsid w:val="00A52884"/>
    <w:rsid w:val="00A54D77"/>
    <w:rsid w:val="00A5569B"/>
    <w:rsid w:val="00A5577F"/>
    <w:rsid w:val="00A610DD"/>
    <w:rsid w:val="00A66F8F"/>
    <w:rsid w:val="00A7512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2079"/>
    <w:rsid w:val="00AE483C"/>
    <w:rsid w:val="00AF4F70"/>
    <w:rsid w:val="00AF5E35"/>
    <w:rsid w:val="00AF5FB5"/>
    <w:rsid w:val="00AF621E"/>
    <w:rsid w:val="00AF7899"/>
    <w:rsid w:val="00B00FEE"/>
    <w:rsid w:val="00B03646"/>
    <w:rsid w:val="00B04336"/>
    <w:rsid w:val="00B07D3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722C"/>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7A5"/>
    <w:rsid w:val="00B9731F"/>
    <w:rsid w:val="00B9738F"/>
    <w:rsid w:val="00B97F24"/>
    <w:rsid w:val="00BA08F4"/>
    <w:rsid w:val="00BA1FE6"/>
    <w:rsid w:val="00BA35C0"/>
    <w:rsid w:val="00BA4C19"/>
    <w:rsid w:val="00BA50C8"/>
    <w:rsid w:val="00BA54EC"/>
    <w:rsid w:val="00BA6DAE"/>
    <w:rsid w:val="00BA7084"/>
    <w:rsid w:val="00BB1964"/>
    <w:rsid w:val="00BB784A"/>
    <w:rsid w:val="00BC0B18"/>
    <w:rsid w:val="00BC7031"/>
    <w:rsid w:val="00BD14FC"/>
    <w:rsid w:val="00BD51F8"/>
    <w:rsid w:val="00BD7510"/>
    <w:rsid w:val="00BD7D3A"/>
    <w:rsid w:val="00BD7DA7"/>
    <w:rsid w:val="00BF3054"/>
    <w:rsid w:val="00BF34A2"/>
    <w:rsid w:val="00BF4D39"/>
    <w:rsid w:val="00BF69F1"/>
    <w:rsid w:val="00C02F2A"/>
    <w:rsid w:val="00C03729"/>
    <w:rsid w:val="00C04856"/>
    <w:rsid w:val="00C05046"/>
    <w:rsid w:val="00C05E46"/>
    <w:rsid w:val="00C0655C"/>
    <w:rsid w:val="00C0751B"/>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C4391"/>
    <w:rsid w:val="00CC4393"/>
    <w:rsid w:val="00CC439C"/>
    <w:rsid w:val="00CC4EF1"/>
    <w:rsid w:val="00CC7646"/>
    <w:rsid w:val="00CD0350"/>
    <w:rsid w:val="00CD0A4A"/>
    <w:rsid w:val="00CD0C51"/>
    <w:rsid w:val="00CD1284"/>
    <w:rsid w:val="00CD151E"/>
    <w:rsid w:val="00CD3064"/>
    <w:rsid w:val="00CD6E93"/>
    <w:rsid w:val="00CD6F4F"/>
    <w:rsid w:val="00CD7808"/>
    <w:rsid w:val="00CE06C8"/>
    <w:rsid w:val="00CE13A5"/>
    <w:rsid w:val="00CE2C36"/>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2A2C"/>
    <w:rsid w:val="00D1364D"/>
    <w:rsid w:val="00D14347"/>
    <w:rsid w:val="00D15FBF"/>
    <w:rsid w:val="00D21AAA"/>
    <w:rsid w:val="00D21F86"/>
    <w:rsid w:val="00D24592"/>
    <w:rsid w:val="00D24A4E"/>
    <w:rsid w:val="00D253BF"/>
    <w:rsid w:val="00D2621F"/>
    <w:rsid w:val="00D27720"/>
    <w:rsid w:val="00D30D6E"/>
    <w:rsid w:val="00D344C1"/>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921"/>
    <w:rsid w:val="00DE3C12"/>
    <w:rsid w:val="00DE637C"/>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C269C"/>
    <w:rsid w:val="00EC595B"/>
    <w:rsid w:val="00EC63DB"/>
    <w:rsid w:val="00EC7076"/>
    <w:rsid w:val="00ED0766"/>
    <w:rsid w:val="00ED0B4F"/>
    <w:rsid w:val="00ED1BB1"/>
    <w:rsid w:val="00ED4A48"/>
    <w:rsid w:val="00ED69B0"/>
    <w:rsid w:val="00EE0820"/>
    <w:rsid w:val="00EE18D1"/>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164C"/>
    <w:rsid w:val="00F01788"/>
    <w:rsid w:val="00F04247"/>
    <w:rsid w:val="00F064DF"/>
    <w:rsid w:val="00F06BF3"/>
    <w:rsid w:val="00F06E16"/>
    <w:rsid w:val="00F10140"/>
    <w:rsid w:val="00F1117A"/>
    <w:rsid w:val="00F1263F"/>
    <w:rsid w:val="00F15F06"/>
    <w:rsid w:val="00F16DA2"/>
    <w:rsid w:val="00F16E01"/>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4C8"/>
    <w:rsid w:val="00F67FD4"/>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42CD0"/>
    <w:rsid w:val="01320192"/>
    <w:rsid w:val="01455A1A"/>
    <w:rsid w:val="01630AC4"/>
    <w:rsid w:val="01BA1DA2"/>
    <w:rsid w:val="01E97B75"/>
    <w:rsid w:val="025C62E5"/>
    <w:rsid w:val="02E24E06"/>
    <w:rsid w:val="02E87117"/>
    <w:rsid w:val="03056021"/>
    <w:rsid w:val="03067D73"/>
    <w:rsid w:val="030E1EDE"/>
    <w:rsid w:val="03100B2F"/>
    <w:rsid w:val="03101B4C"/>
    <w:rsid w:val="0336564F"/>
    <w:rsid w:val="036315A8"/>
    <w:rsid w:val="03820B0D"/>
    <w:rsid w:val="03D278CE"/>
    <w:rsid w:val="04737B63"/>
    <w:rsid w:val="04793A64"/>
    <w:rsid w:val="04AC6F11"/>
    <w:rsid w:val="04BA2023"/>
    <w:rsid w:val="04CF60EE"/>
    <w:rsid w:val="04EB3CD9"/>
    <w:rsid w:val="04F17A55"/>
    <w:rsid w:val="04F40D78"/>
    <w:rsid w:val="04F907FB"/>
    <w:rsid w:val="0508393B"/>
    <w:rsid w:val="05180377"/>
    <w:rsid w:val="0520350B"/>
    <w:rsid w:val="05212F78"/>
    <w:rsid w:val="05401243"/>
    <w:rsid w:val="0577117A"/>
    <w:rsid w:val="05A55DF4"/>
    <w:rsid w:val="05FB6CC1"/>
    <w:rsid w:val="060F76EE"/>
    <w:rsid w:val="0639341C"/>
    <w:rsid w:val="06410F33"/>
    <w:rsid w:val="068247C2"/>
    <w:rsid w:val="06AE2120"/>
    <w:rsid w:val="06AE6838"/>
    <w:rsid w:val="06BB3444"/>
    <w:rsid w:val="06C6676B"/>
    <w:rsid w:val="06CD2CD1"/>
    <w:rsid w:val="06D05B1B"/>
    <w:rsid w:val="06E65C5D"/>
    <w:rsid w:val="06F77FBC"/>
    <w:rsid w:val="06FE6B53"/>
    <w:rsid w:val="072835A2"/>
    <w:rsid w:val="07296FFB"/>
    <w:rsid w:val="072D4AEF"/>
    <w:rsid w:val="073B60D9"/>
    <w:rsid w:val="074840C5"/>
    <w:rsid w:val="07513801"/>
    <w:rsid w:val="075271C3"/>
    <w:rsid w:val="075714A4"/>
    <w:rsid w:val="077628B1"/>
    <w:rsid w:val="07AA3BE7"/>
    <w:rsid w:val="07BA1BA8"/>
    <w:rsid w:val="07E5131D"/>
    <w:rsid w:val="07E806E8"/>
    <w:rsid w:val="07FC4898"/>
    <w:rsid w:val="080569DD"/>
    <w:rsid w:val="081936D0"/>
    <w:rsid w:val="08571320"/>
    <w:rsid w:val="085B4073"/>
    <w:rsid w:val="08A378C7"/>
    <w:rsid w:val="08DD2784"/>
    <w:rsid w:val="08EC1724"/>
    <w:rsid w:val="08FD674C"/>
    <w:rsid w:val="08FE0F7A"/>
    <w:rsid w:val="0902174A"/>
    <w:rsid w:val="09042942"/>
    <w:rsid w:val="09342BCF"/>
    <w:rsid w:val="09630B57"/>
    <w:rsid w:val="09876AD2"/>
    <w:rsid w:val="099E5B23"/>
    <w:rsid w:val="09A713C7"/>
    <w:rsid w:val="09C0448D"/>
    <w:rsid w:val="09C93764"/>
    <w:rsid w:val="09D042BD"/>
    <w:rsid w:val="09F05C2F"/>
    <w:rsid w:val="0A126EFD"/>
    <w:rsid w:val="0A1F7E09"/>
    <w:rsid w:val="0A263A52"/>
    <w:rsid w:val="0A35793C"/>
    <w:rsid w:val="0A3F24BC"/>
    <w:rsid w:val="0A4056C9"/>
    <w:rsid w:val="0A465068"/>
    <w:rsid w:val="0A5215C6"/>
    <w:rsid w:val="0A5764C7"/>
    <w:rsid w:val="0A667254"/>
    <w:rsid w:val="0A79049A"/>
    <w:rsid w:val="0AED5919"/>
    <w:rsid w:val="0AF54C2C"/>
    <w:rsid w:val="0B524831"/>
    <w:rsid w:val="0B8A6710"/>
    <w:rsid w:val="0B9238CE"/>
    <w:rsid w:val="0B9334F0"/>
    <w:rsid w:val="0BA355D1"/>
    <w:rsid w:val="0BAB3543"/>
    <w:rsid w:val="0BD77972"/>
    <w:rsid w:val="0BF46EB9"/>
    <w:rsid w:val="0C0A00DB"/>
    <w:rsid w:val="0C3570D2"/>
    <w:rsid w:val="0C545B79"/>
    <w:rsid w:val="0C7408A6"/>
    <w:rsid w:val="0C8B76DA"/>
    <w:rsid w:val="0CA9620A"/>
    <w:rsid w:val="0CE9599F"/>
    <w:rsid w:val="0CF83047"/>
    <w:rsid w:val="0CF90A01"/>
    <w:rsid w:val="0D0E0651"/>
    <w:rsid w:val="0D1F1FC4"/>
    <w:rsid w:val="0D2F7F94"/>
    <w:rsid w:val="0D582861"/>
    <w:rsid w:val="0D9228FB"/>
    <w:rsid w:val="0DB3457E"/>
    <w:rsid w:val="0DEE3448"/>
    <w:rsid w:val="0DF41445"/>
    <w:rsid w:val="0DF67E4E"/>
    <w:rsid w:val="0E4B14CA"/>
    <w:rsid w:val="0E7543DC"/>
    <w:rsid w:val="0EB208AB"/>
    <w:rsid w:val="0EC136EA"/>
    <w:rsid w:val="0ECE3CF5"/>
    <w:rsid w:val="0F235864"/>
    <w:rsid w:val="0F2C1D70"/>
    <w:rsid w:val="0F554233"/>
    <w:rsid w:val="0F570A4B"/>
    <w:rsid w:val="0F6543D3"/>
    <w:rsid w:val="0F7B7146"/>
    <w:rsid w:val="0F8852DA"/>
    <w:rsid w:val="0FE33AB7"/>
    <w:rsid w:val="0FED0F9E"/>
    <w:rsid w:val="0FF67A78"/>
    <w:rsid w:val="0FF97A38"/>
    <w:rsid w:val="10084C10"/>
    <w:rsid w:val="101D642E"/>
    <w:rsid w:val="10437189"/>
    <w:rsid w:val="10645478"/>
    <w:rsid w:val="107C485E"/>
    <w:rsid w:val="10923340"/>
    <w:rsid w:val="10B325BC"/>
    <w:rsid w:val="10D02032"/>
    <w:rsid w:val="110343D2"/>
    <w:rsid w:val="1105643F"/>
    <w:rsid w:val="111F342F"/>
    <w:rsid w:val="112678F2"/>
    <w:rsid w:val="113302D5"/>
    <w:rsid w:val="11355638"/>
    <w:rsid w:val="1139145C"/>
    <w:rsid w:val="11484C6D"/>
    <w:rsid w:val="11560804"/>
    <w:rsid w:val="11634F6A"/>
    <w:rsid w:val="116E676E"/>
    <w:rsid w:val="1181341B"/>
    <w:rsid w:val="119800BE"/>
    <w:rsid w:val="11E41348"/>
    <w:rsid w:val="12376A7B"/>
    <w:rsid w:val="12644410"/>
    <w:rsid w:val="12773901"/>
    <w:rsid w:val="12BE0E11"/>
    <w:rsid w:val="13057820"/>
    <w:rsid w:val="130B5A0A"/>
    <w:rsid w:val="132E5836"/>
    <w:rsid w:val="1342060B"/>
    <w:rsid w:val="13476A19"/>
    <w:rsid w:val="135950FD"/>
    <w:rsid w:val="135A6DA2"/>
    <w:rsid w:val="13C04EA4"/>
    <w:rsid w:val="13C22CA3"/>
    <w:rsid w:val="13C8146C"/>
    <w:rsid w:val="13DF588E"/>
    <w:rsid w:val="13E64E0D"/>
    <w:rsid w:val="13F83EAD"/>
    <w:rsid w:val="142245F5"/>
    <w:rsid w:val="14242F5B"/>
    <w:rsid w:val="143F2DBB"/>
    <w:rsid w:val="145F13FD"/>
    <w:rsid w:val="14635DBD"/>
    <w:rsid w:val="14953F1B"/>
    <w:rsid w:val="14C27424"/>
    <w:rsid w:val="14CF78D8"/>
    <w:rsid w:val="150119B8"/>
    <w:rsid w:val="15396F94"/>
    <w:rsid w:val="15516D0A"/>
    <w:rsid w:val="1558270A"/>
    <w:rsid w:val="15786770"/>
    <w:rsid w:val="15786F27"/>
    <w:rsid w:val="157C0E6A"/>
    <w:rsid w:val="158128E0"/>
    <w:rsid w:val="15973EF0"/>
    <w:rsid w:val="159D3819"/>
    <w:rsid w:val="15C87DC2"/>
    <w:rsid w:val="15E2204B"/>
    <w:rsid w:val="1615044B"/>
    <w:rsid w:val="161729E0"/>
    <w:rsid w:val="163B5304"/>
    <w:rsid w:val="16445CA6"/>
    <w:rsid w:val="164C5380"/>
    <w:rsid w:val="16605119"/>
    <w:rsid w:val="16870790"/>
    <w:rsid w:val="16BE560D"/>
    <w:rsid w:val="17045E63"/>
    <w:rsid w:val="1709212E"/>
    <w:rsid w:val="1745083A"/>
    <w:rsid w:val="174D7F3F"/>
    <w:rsid w:val="175F3859"/>
    <w:rsid w:val="17714B81"/>
    <w:rsid w:val="178652E9"/>
    <w:rsid w:val="179B5D3A"/>
    <w:rsid w:val="179E1661"/>
    <w:rsid w:val="17A37E03"/>
    <w:rsid w:val="17AF0188"/>
    <w:rsid w:val="17B26963"/>
    <w:rsid w:val="17C4644F"/>
    <w:rsid w:val="17CD58FA"/>
    <w:rsid w:val="17D978CC"/>
    <w:rsid w:val="18117EBD"/>
    <w:rsid w:val="18157EF7"/>
    <w:rsid w:val="18307BF5"/>
    <w:rsid w:val="183B0682"/>
    <w:rsid w:val="185763F9"/>
    <w:rsid w:val="18AD32E9"/>
    <w:rsid w:val="18B525ED"/>
    <w:rsid w:val="18BD451D"/>
    <w:rsid w:val="18C26AAD"/>
    <w:rsid w:val="18F8084E"/>
    <w:rsid w:val="194738B6"/>
    <w:rsid w:val="19694CBC"/>
    <w:rsid w:val="1975663B"/>
    <w:rsid w:val="19A643D8"/>
    <w:rsid w:val="19B71B3F"/>
    <w:rsid w:val="19C05FB5"/>
    <w:rsid w:val="19C641E2"/>
    <w:rsid w:val="19D13BB0"/>
    <w:rsid w:val="1A0F1154"/>
    <w:rsid w:val="1A3838EE"/>
    <w:rsid w:val="1A8D13C4"/>
    <w:rsid w:val="1AC70D0E"/>
    <w:rsid w:val="1AC96737"/>
    <w:rsid w:val="1AFC01A8"/>
    <w:rsid w:val="1B0D5CEF"/>
    <w:rsid w:val="1B646C7A"/>
    <w:rsid w:val="1B6E62FA"/>
    <w:rsid w:val="1BF60304"/>
    <w:rsid w:val="1BFC01FF"/>
    <w:rsid w:val="1C137F14"/>
    <w:rsid w:val="1C517AF9"/>
    <w:rsid w:val="1C58538F"/>
    <w:rsid w:val="1C5B26D4"/>
    <w:rsid w:val="1C636D5F"/>
    <w:rsid w:val="1C9710D7"/>
    <w:rsid w:val="1CB7015D"/>
    <w:rsid w:val="1CC7424C"/>
    <w:rsid w:val="1D152FDC"/>
    <w:rsid w:val="1D1B5442"/>
    <w:rsid w:val="1D3D1750"/>
    <w:rsid w:val="1D6B69BD"/>
    <w:rsid w:val="1D7D14A6"/>
    <w:rsid w:val="1D89487D"/>
    <w:rsid w:val="1D937180"/>
    <w:rsid w:val="1D9C5199"/>
    <w:rsid w:val="1DD94A3B"/>
    <w:rsid w:val="1DEC45D0"/>
    <w:rsid w:val="1E0A6315"/>
    <w:rsid w:val="1E5579AB"/>
    <w:rsid w:val="1E5B441F"/>
    <w:rsid w:val="1E7A4165"/>
    <w:rsid w:val="1ECB1018"/>
    <w:rsid w:val="1ED65854"/>
    <w:rsid w:val="1EDD57B2"/>
    <w:rsid w:val="1EEC7AAC"/>
    <w:rsid w:val="1F047CAB"/>
    <w:rsid w:val="1F116AC5"/>
    <w:rsid w:val="1F1B7934"/>
    <w:rsid w:val="1F2A4249"/>
    <w:rsid w:val="1F3D01F5"/>
    <w:rsid w:val="1F3F2759"/>
    <w:rsid w:val="1F792DE0"/>
    <w:rsid w:val="1F9F1555"/>
    <w:rsid w:val="1FAF786E"/>
    <w:rsid w:val="1FB63D2F"/>
    <w:rsid w:val="1FEB249F"/>
    <w:rsid w:val="1FF34D03"/>
    <w:rsid w:val="1FF92002"/>
    <w:rsid w:val="2010112C"/>
    <w:rsid w:val="204B25D7"/>
    <w:rsid w:val="2057531B"/>
    <w:rsid w:val="209004BA"/>
    <w:rsid w:val="20917663"/>
    <w:rsid w:val="209942B1"/>
    <w:rsid w:val="20A135B0"/>
    <w:rsid w:val="20AA0D3C"/>
    <w:rsid w:val="20AA749D"/>
    <w:rsid w:val="20C4762C"/>
    <w:rsid w:val="20CA6078"/>
    <w:rsid w:val="20DF2E27"/>
    <w:rsid w:val="20EA12F1"/>
    <w:rsid w:val="20ED615D"/>
    <w:rsid w:val="21054E07"/>
    <w:rsid w:val="210A1E0D"/>
    <w:rsid w:val="21103395"/>
    <w:rsid w:val="2131482D"/>
    <w:rsid w:val="215D1CBF"/>
    <w:rsid w:val="21860CCB"/>
    <w:rsid w:val="21AF6F62"/>
    <w:rsid w:val="21C519A3"/>
    <w:rsid w:val="21D53CB4"/>
    <w:rsid w:val="21D95A57"/>
    <w:rsid w:val="21EF1A6B"/>
    <w:rsid w:val="22045C5E"/>
    <w:rsid w:val="22241935"/>
    <w:rsid w:val="22562288"/>
    <w:rsid w:val="22992119"/>
    <w:rsid w:val="22D621F6"/>
    <w:rsid w:val="22EC5646"/>
    <w:rsid w:val="22F058E6"/>
    <w:rsid w:val="22F62969"/>
    <w:rsid w:val="22F65DF4"/>
    <w:rsid w:val="22FF7411"/>
    <w:rsid w:val="232B6A60"/>
    <w:rsid w:val="235402FE"/>
    <w:rsid w:val="238002CA"/>
    <w:rsid w:val="23E16791"/>
    <w:rsid w:val="23E304EF"/>
    <w:rsid w:val="24425D58"/>
    <w:rsid w:val="24B30097"/>
    <w:rsid w:val="24C0710A"/>
    <w:rsid w:val="2503642C"/>
    <w:rsid w:val="25094517"/>
    <w:rsid w:val="25182F61"/>
    <w:rsid w:val="252C1DED"/>
    <w:rsid w:val="252F2291"/>
    <w:rsid w:val="253E0C1C"/>
    <w:rsid w:val="25410995"/>
    <w:rsid w:val="25586BAB"/>
    <w:rsid w:val="256C324C"/>
    <w:rsid w:val="25B22D0B"/>
    <w:rsid w:val="25B325FB"/>
    <w:rsid w:val="25B54911"/>
    <w:rsid w:val="261575A3"/>
    <w:rsid w:val="262B46D7"/>
    <w:rsid w:val="263B530F"/>
    <w:rsid w:val="266009A6"/>
    <w:rsid w:val="2672121E"/>
    <w:rsid w:val="26784E0F"/>
    <w:rsid w:val="268631A3"/>
    <w:rsid w:val="269851FE"/>
    <w:rsid w:val="269E2CAC"/>
    <w:rsid w:val="26B35062"/>
    <w:rsid w:val="26B67756"/>
    <w:rsid w:val="26C73974"/>
    <w:rsid w:val="26DD555B"/>
    <w:rsid w:val="26EB5622"/>
    <w:rsid w:val="26EE1123"/>
    <w:rsid w:val="26FA15C1"/>
    <w:rsid w:val="2733531B"/>
    <w:rsid w:val="273949EE"/>
    <w:rsid w:val="27472D36"/>
    <w:rsid w:val="276945DF"/>
    <w:rsid w:val="27713073"/>
    <w:rsid w:val="278E149F"/>
    <w:rsid w:val="27A56F34"/>
    <w:rsid w:val="27B4784F"/>
    <w:rsid w:val="27FD40D4"/>
    <w:rsid w:val="280D5FA4"/>
    <w:rsid w:val="280F3EFA"/>
    <w:rsid w:val="280F7439"/>
    <w:rsid w:val="282262D7"/>
    <w:rsid w:val="28424472"/>
    <w:rsid w:val="28A24078"/>
    <w:rsid w:val="28BB266C"/>
    <w:rsid w:val="29327953"/>
    <w:rsid w:val="29383F1C"/>
    <w:rsid w:val="2944405C"/>
    <w:rsid w:val="29453A75"/>
    <w:rsid w:val="29837632"/>
    <w:rsid w:val="29924E43"/>
    <w:rsid w:val="29945D6C"/>
    <w:rsid w:val="29A678A9"/>
    <w:rsid w:val="29C31E84"/>
    <w:rsid w:val="29CF060F"/>
    <w:rsid w:val="29E465E0"/>
    <w:rsid w:val="29FE59B1"/>
    <w:rsid w:val="2A8D6343"/>
    <w:rsid w:val="2AD92053"/>
    <w:rsid w:val="2B107667"/>
    <w:rsid w:val="2B641FC3"/>
    <w:rsid w:val="2B796BA9"/>
    <w:rsid w:val="2B806430"/>
    <w:rsid w:val="2BCF2870"/>
    <w:rsid w:val="2BD94AAC"/>
    <w:rsid w:val="2BE8759F"/>
    <w:rsid w:val="2C076A9B"/>
    <w:rsid w:val="2C0E7417"/>
    <w:rsid w:val="2C0F4D50"/>
    <w:rsid w:val="2C37763E"/>
    <w:rsid w:val="2C424585"/>
    <w:rsid w:val="2C4327A8"/>
    <w:rsid w:val="2C7132EA"/>
    <w:rsid w:val="2C783AE0"/>
    <w:rsid w:val="2CAA2919"/>
    <w:rsid w:val="2CC4602A"/>
    <w:rsid w:val="2CD8221A"/>
    <w:rsid w:val="2D06251D"/>
    <w:rsid w:val="2D113E56"/>
    <w:rsid w:val="2D1465EB"/>
    <w:rsid w:val="2D522EBC"/>
    <w:rsid w:val="2D5477E6"/>
    <w:rsid w:val="2D6214F2"/>
    <w:rsid w:val="2D8A4CE1"/>
    <w:rsid w:val="2D9507CF"/>
    <w:rsid w:val="2DAF11E1"/>
    <w:rsid w:val="2DAF3E40"/>
    <w:rsid w:val="2DB6320A"/>
    <w:rsid w:val="2DB74C3B"/>
    <w:rsid w:val="2E007023"/>
    <w:rsid w:val="2E0759C7"/>
    <w:rsid w:val="2E0931A4"/>
    <w:rsid w:val="2E236DC1"/>
    <w:rsid w:val="2E2C2010"/>
    <w:rsid w:val="2E392B2B"/>
    <w:rsid w:val="2EAE1C04"/>
    <w:rsid w:val="2EB6515C"/>
    <w:rsid w:val="2EC113FF"/>
    <w:rsid w:val="2ED038FB"/>
    <w:rsid w:val="2F0C7091"/>
    <w:rsid w:val="2F317C76"/>
    <w:rsid w:val="2F6D6F42"/>
    <w:rsid w:val="2F726AA9"/>
    <w:rsid w:val="2F9E54D1"/>
    <w:rsid w:val="300D5345"/>
    <w:rsid w:val="30355329"/>
    <w:rsid w:val="303D0EEA"/>
    <w:rsid w:val="30562A56"/>
    <w:rsid w:val="307C5CD3"/>
    <w:rsid w:val="30884E32"/>
    <w:rsid w:val="30B20A2E"/>
    <w:rsid w:val="30FC3B86"/>
    <w:rsid w:val="3166141B"/>
    <w:rsid w:val="316C4B74"/>
    <w:rsid w:val="31865B49"/>
    <w:rsid w:val="31900C1B"/>
    <w:rsid w:val="31A3127F"/>
    <w:rsid w:val="31CC50E2"/>
    <w:rsid w:val="31E80B39"/>
    <w:rsid w:val="321C016C"/>
    <w:rsid w:val="32354BFC"/>
    <w:rsid w:val="3247156C"/>
    <w:rsid w:val="326A1DB1"/>
    <w:rsid w:val="32930B88"/>
    <w:rsid w:val="32C34468"/>
    <w:rsid w:val="32E13E1E"/>
    <w:rsid w:val="334933FE"/>
    <w:rsid w:val="3369018F"/>
    <w:rsid w:val="338468F5"/>
    <w:rsid w:val="33AA6BB6"/>
    <w:rsid w:val="33C54116"/>
    <w:rsid w:val="33D00119"/>
    <w:rsid w:val="34084704"/>
    <w:rsid w:val="34347E21"/>
    <w:rsid w:val="34624B7D"/>
    <w:rsid w:val="346831B7"/>
    <w:rsid w:val="3492701B"/>
    <w:rsid w:val="34982C61"/>
    <w:rsid w:val="34BE52DE"/>
    <w:rsid w:val="34D677AF"/>
    <w:rsid w:val="34E64694"/>
    <w:rsid w:val="35116F5F"/>
    <w:rsid w:val="351450C9"/>
    <w:rsid w:val="353330E4"/>
    <w:rsid w:val="35354844"/>
    <w:rsid w:val="35385C88"/>
    <w:rsid w:val="353F5BB5"/>
    <w:rsid w:val="35481451"/>
    <w:rsid w:val="35561E2B"/>
    <w:rsid w:val="355C4A1F"/>
    <w:rsid w:val="356C5E4D"/>
    <w:rsid w:val="3578581E"/>
    <w:rsid w:val="35857419"/>
    <w:rsid w:val="35875CD7"/>
    <w:rsid w:val="35C8466C"/>
    <w:rsid w:val="35CE3D8F"/>
    <w:rsid w:val="3602502C"/>
    <w:rsid w:val="361A75B2"/>
    <w:rsid w:val="365B1779"/>
    <w:rsid w:val="36671A6C"/>
    <w:rsid w:val="36B97803"/>
    <w:rsid w:val="36C57C65"/>
    <w:rsid w:val="36D20E72"/>
    <w:rsid w:val="36F82FBB"/>
    <w:rsid w:val="36FA3427"/>
    <w:rsid w:val="372417BB"/>
    <w:rsid w:val="37445638"/>
    <w:rsid w:val="374F6512"/>
    <w:rsid w:val="378E0F6A"/>
    <w:rsid w:val="38085DBF"/>
    <w:rsid w:val="3823159E"/>
    <w:rsid w:val="38353D64"/>
    <w:rsid w:val="385E6DA2"/>
    <w:rsid w:val="387D1F11"/>
    <w:rsid w:val="38D16010"/>
    <w:rsid w:val="38DD709E"/>
    <w:rsid w:val="38F232F9"/>
    <w:rsid w:val="39142BB0"/>
    <w:rsid w:val="39161A92"/>
    <w:rsid w:val="391A54FE"/>
    <w:rsid w:val="39370EED"/>
    <w:rsid w:val="398923C3"/>
    <w:rsid w:val="399C5460"/>
    <w:rsid w:val="39AC4745"/>
    <w:rsid w:val="39B07178"/>
    <w:rsid w:val="39EC5418"/>
    <w:rsid w:val="3A046DBF"/>
    <w:rsid w:val="3A3F664F"/>
    <w:rsid w:val="3A4C692C"/>
    <w:rsid w:val="3A6F435C"/>
    <w:rsid w:val="3A850737"/>
    <w:rsid w:val="3A9E4A8D"/>
    <w:rsid w:val="3AF5453F"/>
    <w:rsid w:val="3B0A24EB"/>
    <w:rsid w:val="3B213892"/>
    <w:rsid w:val="3BD00FAF"/>
    <w:rsid w:val="3BD1253C"/>
    <w:rsid w:val="3BD94903"/>
    <w:rsid w:val="3BDC7979"/>
    <w:rsid w:val="3C0A464D"/>
    <w:rsid w:val="3C847300"/>
    <w:rsid w:val="3CA9251C"/>
    <w:rsid w:val="3CB75A2A"/>
    <w:rsid w:val="3CD425CC"/>
    <w:rsid w:val="3CD4307D"/>
    <w:rsid w:val="3CF7689E"/>
    <w:rsid w:val="3D460CC9"/>
    <w:rsid w:val="3D6F0FE4"/>
    <w:rsid w:val="3D856884"/>
    <w:rsid w:val="3D9F16AD"/>
    <w:rsid w:val="3DED63EF"/>
    <w:rsid w:val="3E0535E9"/>
    <w:rsid w:val="3E2453CB"/>
    <w:rsid w:val="3E5C4C15"/>
    <w:rsid w:val="3E73181B"/>
    <w:rsid w:val="3E986124"/>
    <w:rsid w:val="3EA62F6B"/>
    <w:rsid w:val="3EAD270E"/>
    <w:rsid w:val="3EBA21A2"/>
    <w:rsid w:val="3EC83719"/>
    <w:rsid w:val="3EF07B2A"/>
    <w:rsid w:val="3EF16C24"/>
    <w:rsid w:val="3F0A7B4D"/>
    <w:rsid w:val="3F536E72"/>
    <w:rsid w:val="3F5A5DF8"/>
    <w:rsid w:val="3F682495"/>
    <w:rsid w:val="3F6F5A12"/>
    <w:rsid w:val="3F7D06A9"/>
    <w:rsid w:val="3F89775A"/>
    <w:rsid w:val="40211D12"/>
    <w:rsid w:val="403223B5"/>
    <w:rsid w:val="40383331"/>
    <w:rsid w:val="405E1A1A"/>
    <w:rsid w:val="408B20B7"/>
    <w:rsid w:val="409F500E"/>
    <w:rsid w:val="40D21025"/>
    <w:rsid w:val="40E35408"/>
    <w:rsid w:val="40E70C87"/>
    <w:rsid w:val="4116685A"/>
    <w:rsid w:val="4144132E"/>
    <w:rsid w:val="414560ED"/>
    <w:rsid w:val="4160303A"/>
    <w:rsid w:val="41730B93"/>
    <w:rsid w:val="417D77C6"/>
    <w:rsid w:val="417F6E03"/>
    <w:rsid w:val="41820512"/>
    <w:rsid w:val="41A802BD"/>
    <w:rsid w:val="41AC5406"/>
    <w:rsid w:val="41AF2D7B"/>
    <w:rsid w:val="42162688"/>
    <w:rsid w:val="422D44CF"/>
    <w:rsid w:val="423650F9"/>
    <w:rsid w:val="426C5E38"/>
    <w:rsid w:val="42ED6214"/>
    <w:rsid w:val="4312164C"/>
    <w:rsid w:val="43396CB1"/>
    <w:rsid w:val="433B3A4C"/>
    <w:rsid w:val="433D2460"/>
    <w:rsid w:val="439532EA"/>
    <w:rsid w:val="43CE363D"/>
    <w:rsid w:val="43F64B4C"/>
    <w:rsid w:val="44044389"/>
    <w:rsid w:val="440D1349"/>
    <w:rsid w:val="442235E1"/>
    <w:rsid w:val="44832484"/>
    <w:rsid w:val="449B0C56"/>
    <w:rsid w:val="44A077D5"/>
    <w:rsid w:val="44A142A6"/>
    <w:rsid w:val="44B40FFF"/>
    <w:rsid w:val="4516018B"/>
    <w:rsid w:val="455064CB"/>
    <w:rsid w:val="455C6481"/>
    <w:rsid w:val="456552E9"/>
    <w:rsid w:val="45901428"/>
    <w:rsid w:val="459210DB"/>
    <w:rsid w:val="45FD05DD"/>
    <w:rsid w:val="46285655"/>
    <w:rsid w:val="4637255B"/>
    <w:rsid w:val="464B1A18"/>
    <w:rsid w:val="464B225F"/>
    <w:rsid w:val="469063CF"/>
    <w:rsid w:val="46925930"/>
    <w:rsid w:val="46927983"/>
    <w:rsid w:val="46A136A7"/>
    <w:rsid w:val="46D0277B"/>
    <w:rsid w:val="46E663B3"/>
    <w:rsid w:val="47004B35"/>
    <w:rsid w:val="47055811"/>
    <w:rsid w:val="47173550"/>
    <w:rsid w:val="47387046"/>
    <w:rsid w:val="47A2368C"/>
    <w:rsid w:val="47D149D8"/>
    <w:rsid w:val="47D71CE3"/>
    <w:rsid w:val="48064B97"/>
    <w:rsid w:val="48144862"/>
    <w:rsid w:val="481E7EA7"/>
    <w:rsid w:val="48267635"/>
    <w:rsid w:val="4842767D"/>
    <w:rsid w:val="484653A1"/>
    <w:rsid w:val="485A64CD"/>
    <w:rsid w:val="48654A26"/>
    <w:rsid w:val="486D6CC0"/>
    <w:rsid w:val="488C2B7C"/>
    <w:rsid w:val="489A2240"/>
    <w:rsid w:val="48C75206"/>
    <w:rsid w:val="48D53CF6"/>
    <w:rsid w:val="491B78AA"/>
    <w:rsid w:val="491E6220"/>
    <w:rsid w:val="49303C2F"/>
    <w:rsid w:val="49B55A70"/>
    <w:rsid w:val="49F75D45"/>
    <w:rsid w:val="4A1F72D7"/>
    <w:rsid w:val="4A245DBD"/>
    <w:rsid w:val="4A271A7B"/>
    <w:rsid w:val="4A515805"/>
    <w:rsid w:val="4A847973"/>
    <w:rsid w:val="4AAF7284"/>
    <w:rsid w:val="4AB91C3E"/>
    <w:rsid w:val="4B2D3438"/>
    <w:rsid w:val="4B320EAF"/>
    <w:rsid w:val="4B341FB6"/>
    <w:rsid w:val="4B530D48"/>
    <w:rsid w:val="4B610837"/>
    <w:rsid w:val="4B664419"/>
    <w:rsid w:val="4B7C4154"/>
    <w:rsid w:val="4B926840"/>
    <w:rsid w:val="4B9B6198"/>
    <w:rsid w:val="4BAE749A"/>
    <w:rsid w:val="4BC92DAE"/>
    <w:rsid w:val="4BE35810"/>
    <w:rsid w:val="4BE966D4"/>
    <w:rsid w:val="4BFD7343"/>
    <w:rsid w:val="4C222CCE"/>
    <w:rsid w:val="4C2E0CBD"/>
    <w:rsid w:val="4C724691"/>
    <w:rsid w:val="4CB61EA0"/>
    <w:rsid w:val="4CFF328B"/>
    <w:rsid w:val="4D084C07"/>
    <w:rsid w:val="4D265A75"/>
    <w:rsid w:val="4D2F0355"/>
    <w:rsid w:val="4D583A38"/>
    <w:rsid w:val="4D6720AB"/>
    <w:rsid w:val="4D692FBF"/>
    <w:rsid w:val="4D763645"/>
    <w:rsid w:val="4D777B1C"/>
    <w:rsid w:val="4D872AA0"/>
    <w:rsid w:val="4D8A47C8"/>
    <w:rsid w:val="4DA95BDC"/>
    <w:rsid w:val="4DC87BBC"/>
    <w:rsid w:val="4DE34B29"/>
    <w:rsid w:val="4DEA4FBB"/>
    <w:rsid w:val="4DF50A6C"/>
    <w:rsid w:val="4DFD1705"/>
    <w:rsid w:val="4DFF6D01"/>
    <w:rsid w:val="4E0B34B3"/>
    <w:rsid w:val="4E541588"/>
    <w:rsid w:val="4E661EA1"/>
    <w:rsid w:val="4E795448"/>
    <w:rsid w:val="4E9E400B"/>
    <w:rsid w:val="4EA2112B"/>
    <w:rsid w:val="4EAC6947"/>
    <w:rsid w:val="4ECD2961"/>
    <w:rsid w:val="4ED11092"/>
    <w:rsid w:val="4ED55503"/>
    <w:rsid w:val="4EE11DF1"/>
    <w:rsid w:val="4EF9123C"/>
    <w:rsid w:val="4F056F4F"/>
    <w:rsid w:val="4F184117"/>
    <w:rsid w:val="4F3664CA"/>
    <w:rsid w:val="4F716F60"/>
    <w:rsid w:val="4F7B132D"/>
    <w:rsid w:val="4F887979"/>
    <w:rsid w:val="4FAC3F88"/>
    <w:rsid w:val="4FC84F74"/>
    <w:rsid w:val="4FD9061A"/>
    <w:rsid w:val="4FE75A4D"/>
    <w:rsid w:val="4FE803A1"/>
    <w:rsid w:val="4FFC28DD"/>
    <w:rsid w:val="4FFF149B"/>
    <w:rsid w:val="502F02A9"/>
    <w:rsid w:val="502F5B9E"/>
    <w:rsid w:val="50503078"/>
    <w:rsid w:val="50574B72"/>
    <w:rsid w:val="508758F2"/>
    <w:rsid w:val="50947BE7"/>
    <w:rsid w:val="50CE44F4"/>
    <w:rsid w:val="513011BE"/>
    <w:rsid w:val="513D6FDD"/>
    <w:rsid w:val="518708F8"/>
    <w:rsid w:val="519D4573"/>
    <w:rsid w:val="51A345F2"/>
    <w:rsid w:val="51A71019"/>
    <w:rsid w:val="51B20427"/>
    <w:rsid w:val="51C70BCC"/>
    <w:rsid w:val="51E71054"/>
    <w:rsid w:val="520E79D3"/>
    <w:rsid w:val="52441514"/>
    <w:rsid w:val="52504B06"/>
    <w:rsid w:val="525262EA"/>
    <w:rsid w:val="525562FA"/>
    <w:rsid w:val="52695E52"/>
    <w:rsid w:val="529677A7"/>
    <w:rsid w:val="52AB4F03"/>
    <w:rsid w:val="52CA5B6F"/>
    <w:rsid w:val="52EF20F1"/>
    <w:rsid w:val="531F670F"/>
    <w:rsid w:val="532403B5"/>
    <w:rsid w:val="534C0656"/>
    <w:rsid w:val="53560256"/>
    <w:rsid w:val="535C725F"/>
    <w:rsid w:val="53AE6148"/>
    <w:rsid w:val="53B00426"/>
    <w:rsid w:val="53E23B76"/>
    <w:rsid w:val="540013E0"/>
    <w:rsid w:val="540D0FAB"/>
    <w:rsid w:val="544D6C9A"/>
    <w:rsid w:val="54536316"/>
    <w:rsid w:val="545D7919"/>
    <w:rsid w:val="548D5FCE"/>
    <w:rsid w:val="54AE4AED"/>
    <w:rsid w:val="54EB7B69"/>
    <w:rsid w:val="557607E4"/>
    <w:rsid w:val="55A63543"/>
    <w:rsid w:val="55E46B6D"/>
    <w:rsid w:val="56276421"/>
    <w:rsid w:val="56360FFF"/>
    <w:rsid w:val="566D5D78"/>
    <w:rsid w:val="567B6366"/>
    <w:rsid w:val="570A3D5B"/>
    <w:rsid w:val="5736037E"/>
    <w:rsid w:val="57640497"/>
    <w:rsid w:val="5764080A"/>
    <w:rsid w:val="577D1BEF"/>
    <w:rsid w:val="57C06EDF"/>
    <w:rsid w:val="57CB1ACF"/>
    <w:rsid w:val="57E17978"/>
    <w:rsid w:val="57F57929"/>
    <w:rsid w:val="58545DF3"/>
    <w:rsid w:val="58681720"/>
    <w:rsid w:val="5879602B"/>
    <w:rsid w:val="587C6DDF"/>
    <w:rsid w:val="588365F2"/>
    <w:rsid w:val="58885E59"/>
    <w:rsid w:val="58E9024A"/>
    <w:rsid w:val="58ED63B6"/>
    <w:rsid w:val="59350301"/>
    <w:rsid w:val="59473EA0"/>
    <w:rsid w:val="59997F35"/>
    <w:rsid w:val="599A54A5"/>
    <w:rsid w:val="59DA4DB4"/>
    <w:rsid w:val="59DE353D"/>
    <w:rsid w:val="59E051FD"/>
    <w:rsid w:val="59E304DF"/>
    <w:rsid w:val="59F70789"/>
    <w:rsid w:val="5A13349F"/>
    <w:rsid w:val="5A261BFE"/>
    <w:rsid w:val="5A344E03"/>
    <w:rsid w:val="5A5117F5"/>
    <w:rsid w:val="5A772779"/>
    <w:rsid w:val="5A85429B"/>
    <w:rsid w:val="5A996061"/>
    <w:rsid w:val="5AB218E1"/>
    <w:rsid w:val="5AFE0749"/>
    <w:rsid w:val="5B1A6935"/>
    <w:rsid w:val="5B1F728F"/>
    <w:rsid w:val="5B661C01"/>
    <w:rsid w:val="5B8D37E2"/>
    <w:rsid w:val="5BD522B9"/>
    <w:rsid w:val="5C2F03CB"/>
    <w:rsid w:val="5C3B6DCB"/>
    <w:rsid w:val="5C593045"/>
    <w:rsid w:val="5C777F55"/>
    <w:rsid w:val="5CBA103A"/>
    <w:rsid w:val="5CC10BB9"/>
    <w:rsid w:val="5CCA7B84"/>
    <w:rsid w:val="5CEC6120"/>
    <w:rsid w:val="5D397733"/>
    <w:rsid w:val="5D5D0727"/>
    <w:rsid w:val="5DD152D8"/>
    <w:rsid w:val="5DFC40C6"/>
    <w:rsid w:val="5E185135"/>
    <w:rsid w:val="5E1B5A4C"/>
    <w:rsid w:val="5E2C49D1"/>
    <w:rsid w:val="5E4248E8"/>
    <w:rsid w:val="5E5D7E29"/>
    <w:rsid w:val="5E624433"/>
    <w:rsid w:val="5E731DCF"/>
    <w:rsid w:val="5E9E664B"/>
    <w:rsid w:val="5E9F4437"/>
    <w:rsid w:val="5EA52FAF"/>
    <w:rsid w:val="5EB81262"/>
    <w:rsid w:val="5EC07C88"/>
    <w:rsid w:val="5EE032C9"/>
    <w:rsid w:val="5EF72EF0"/>
    <w:rsid w:val="5F2C1FFC"/>
    <w:rsid w:val="5F433839"/>
    <w:rsid w:val="5F482DEF"/>
    <w:rsid w:val="5F5F66F5"/>
    <w:rsid w:val="5F723064"/>
    <w:rsid w:val="5F940DD7"/>
    <w:rsid w:val="60102465"/>
    <w:rsid w:val="60692828"/>
    <w:rsid w:val="606D504D"/>
    <w:rsid w:val="60CE7502"/>
    <w:rsid w:val="60D64DFA"/>
    <w:rsid w:val="60E115FE"/>
    <w:rsid w:val="60E27A91"/>
    <w:rsid w:val="611A2A5C"/>
    <w:rsid w:val="611F2ACA"/>
    <w:rsid w:val="612E60D6"/>
    <w:rsid w:val="617259BC"/>
    <w:rsid w:val="617A0A8D"/>
    <w:rsid w:val="61BC4810"/>
    <w:rsid w:val="61D45D62"/>
    <w:rsid w:val="62262282"/>
    <w:rsid w:val="62294554"/>
    <w:rsid w:val="62835C66"/>
    <w:rsid w:val="629A2753"/>
    <w:rsid w:val="62B666AF"/>
    <w:rsid w:val="62E1441F"/>
    <w:rsid w:val="62E24221"/>
    <w:rsid w:val="62EE0740"/>
    <w:rsid w:val="6307759A"/>
    <w:rsid w:val="636E5863"/>
    <w:rsid w:val="637B7C12"/>
    <w:rsid w:val="637F761C"/>
    <w:rsid w:val="639C4A2B"/>
    <w:rsid w:val="63B85AD0"/>
    <w:rsid w:val="63C316CE"/>
    <w:rsid w:val="63C46CE9"/>
    <w:rsid w:val="63D548D0"/>
    <w:rsid w:val="64021414"/>
    <w:rsid w:val="64243D8F"/>
    <w:rsid w:val="6441723E"/>
    <w:rsid w:val="645F4364"/>
    <w:rsid w:val="647C4B15"/>
    <w:rsid w:val="649422EF"/>
    <w:rsid w:val="64B52FFF"/>
    <w:rsid w:val="64B618B5"/>
    <w:rsid w:val="64BA69E7"/>
    <w:rsid w:val="64C147F8"/>
    <w:rsid w:val="64C80B16"/>
    <w:rsid w:val="64E37CC8"/>
    <w:rsid w:val="64F273DF"/>
    <w:rsid w:val="653F699B"/>
    <w:rsid w:val="65454C2D"/>
    <w:rsid w:val="654A5CBA"/>
    <w:rsid w:val="655776C7"/>
    <w:rsid w:val="655D5E4D"/>
    <w:rsid w:val="656D6B9F"/>
    <w:rsid w:val="65783894"/>
    <w:rsid w:val="65A01086"/>
    <w:rsid w:val="65AB7EF8"/>
    <w:rsid w:val="65B4114E"/>
    <w:rsid w:val="660541EF"/>
    <w:rsid w:val="660E60C4"/>
    <w:rsid w:val="661E554F"/>
    <w:rsid w:val="66410434"/>
    <w:rsid w:val="66B943B4"/>
    <w:rsid w:val="66D9794E"/>
    <w:rsid w:val="66F05966"/>
    <w:rsid w:val="671A5858"/>
    <w:rsid w:val="676505A0"/>
    <w:rsid w:val="67737FDF"/>
    <w:rsid w:val="67CE1F0B"/>
    <w:rsid w:val="67FA0A31"/>
    <w:rsid w:val="68045A14"/>
    <w:rsid w:val="68311C00"/>
    <w:rsid w:val="686F14D5"/>
    <w:rsid w:val="687C47D5"/>
    <w:rsid w:val="68975742"/>
    <w:rsid w:val="68AE5E7A"/>
    <w:rsid w:val="68B615CB"/>
    <w:rsid w:val="68BB15E7"/>
    <w:rsid w:val="68C67448"/>
    <w:rsid w:val="68D9547F"/>
    <w:rsid w:val="68E45EBF"/>
    <w:rsid w:val="68E503C2"/>
    <w:rsid w:val="68EB3CEF"/>
    <w:rsid w:val="69210899"/>
    <w:rsid w:val="692A51E4"/>
    <w:rsid w:val="69344211"/>
    <w:rsid w:val="6945547D"/>
    <w:rsid w:val="69537A82"/>
    <w:rsid w:val="69641165"/>
    <w:rsid w:val="6992472C"/>
    <w:rsid w:val="69D63A7F"/>
    <w:rsid w:val="6A07064E"/>
    <w:rsid w:val="6A0A6ACB"/>
    <w:rsid w:val="6A270164"/>
    <w:rsid w:val="6A270421"/>
    <w:rsid w:val="6A640FBF"/>
    <w:rsid w:val="6A69177D"/>
    <w:rsid w:val="6AC6616F"/>
    <w:rsid w:val="6AE25466"/>
    <w:rsid w:val="6AEB454C"/>
    <w:rsid w:val="6AFA21EC"/>
    <w:rsid w:val="6AFF1541"/>
    <w:rsid w:val="6B4B77EA"/>
    <w:rsid w:val="6B563166"/>
    <w:rsid w:val="6B6905F7"/>
    <w:rsid w:val="6B713F07"/>
    <w:rsid w:val="6B8C6632"/>
    <w:rsid w:val="6B942897"/>
    <w:rsid w:val="6BAB63AF"/>
    <w:rsid w:val="6BDA2C78"/>
    <w:rsid w:val="6BDB0AF9"/>
    <w:rsid w:val="6C6E7F90"/>
    <w:rsid w:val="6C937657"/>
    <w:rsid w:val="6C984B66"/>
    <w:rsid w:val="6CE77C9E"/>
    <w:rsid w:val="6CFE7A1D"/>
    <w:rsid w:val="6CFF0F58"/>
    <w:rsid w:val="6D587FBF"/>
    <w:rsid w:val="6D6D156A"/>
    <w:rsid w:val="6D93085D"/>
    <w:rsid w:val="6DA45FF4"/>
    <w:rsid w:val="6DB77894"/>
    <w:rsid w:val="6DC6674B"/>
    <w:rsid w:val="6DD075CC"/>
    <w:rsid w:val="6E076D05"/>
    <w:rsid w:val="6E086A9F"/>
    <w:rsid w:val="6E313A74"/>
    <w:rsid w:val="6E8A0B6A"/>
    <w:rsid w:val="6EB5741D"/>
    <w:rsid w:val="6ECC3FC3"/>
    <w:rsid w:val="6F08390E"/>
    <w:rsid w:val="6F2F4784"/>
    <w:rsid w:val="6F3B697C"/>
    <w:rsid w:val="6F6B0876"/>
    <w:rsid w:val="6F757064"/>
    <w:rsid w:val="6F92207A"/>
    <w:rsid w:val="6FA83099"/>
    <w:rsid w:val="6FD20C89"/>
    <w:rsid w:val="6FE00AC2"/>
    <w:rsid w:val="6FF00F65"/>
    <w:rsid w:val="7021222E"/>
    <w:rsid w:val="702256DD"/>
    <w:rsid w:val="70235DEC"/>
    <w:rsid w:val="70692F10"/>
    <w:rsid w:val="70855F6D"/>
    <w:rsid w:val="70BD4694"/>
    <w:rsid w:val="70CA560E"/>
    <w:rsid w:val="70FA3B67"/>
    <w:rsid w:val="71287D99"/>
    <w:rsid w:val="713163AF"/>
    <w:rsid w:val="714A3DFD"/>
    <w:rsid w:val="71942E78"/>
    <w:rsid w:val="71967069"/>
    <w:rsid w:val="71B97219"/>
    <w:rsid w:val="71D47F47"/>
    <w:rsid w:val="720938A5"/>
    <w:rsid w:val="720C4CE2"/>
    <w:rsid w:val="7211192F"/>
    <w:rsid w:val="72117C71"/>
    <w:rsid w:val="72253F59"/>
    <w:rsid w:val="72303688"/>
    <w:rsid w:val="72407358"/>
    <w:rsid w:val="72591954"/>
    <w:rsid w:val="726F0D12"/>
    <w:rsid w:val="729369EF"/>
    <w:rsid w:val="72BA2638"/>
    <w:rsid w:val="72BE0C21"/>
    <w:rsid w:val="72CE627A"/>
    <w:rsid w:val="72DD0CA4"/>
    <w:rsid w:val="731507DF"/>
    <w:rsid w:val="731D2645"/>
    <w:rsid w:val="734870D9"/>
    <w:rsid w:val="734E2F70"/>
    <w:rsid w:val="73902265"/>
    <w:rsid w:val="739D17BD"/>
    <w:rsid w:val="73A41CCF"/>
    <w:rsid w:val="73D30FAF"/>
    <w:rsid w:val="741323A7"/>
    <w:rsid w:val="741948EE"/>
    <w:rsid w:val="7430613C"/>
    <w:rsid w:val="74570EE3"/>
    <w:rsid w:val="746407BB"/>
    <w:rsid w:val="74852ABA"/>
    <w:rsid w:val="749F7AF2"/>
    <w:rsid w:val="74E15034"/>
    <w:rsid w:val="750135D4"/>
    <w:rsid w:val="75116419"/>
    <w:rsid w:val="7531137E"/>
    <w:rsid w:val="754F3080"/>
    <w:rsid w:val="75933D7A"/>
    <w:rsid w:val="75D90FA9"/>
    <w:rsid w:val="75E1085E"/>
    <w:rsid w:val="762607B0"/>
    <w:rsid w:val="765048D2"/>
    <w:rsid w:val="76586C21"/>
    <w:rsid w:val="765F1739"/>
    <w:rsid w:val="766F4280"/>
    <w:rsid w:val="769B08D2"/>
    <w:rsid w:val="769E029C"/>
    <w:rsid w:val="76FE7385"/>
    <w:rsid w:val="77040121"/>
    <w:rsid w:val="77074FBA"/>
    <w:rsid w:val="77100549"/>
    <w:rsid w:val="771C38A3"/>
    <w:rsid w:val="77472CD5"/>
    <w:rsid w:val="774747D0"/>
    <w:rsid w:val="774A4D74"/>
    <w:rsid w:val="77712E2E"/>
    <w:rsid w:val="77E751FE"/>
    <w:rsid w:val="780F7780"/>
    <w:rsid w:val="78170E12"/>
    <w:rsid w:val="78575AD9"/>
    <w:rsid w:val="7865284E"/>
    <w:rsid w:val="786C6326"/>
    <w:rsid w:val="788058B3"/>
    <w:rsid w:val="78A764DE"/>
    <w:rsid w:val="78C36DE0"/>
    <w:rsid w:val="790A5F70"/>
    <w:rsid w:val="793119AE"/>
    <w:rsid w:val="793303EF"/>
    <w:rsid w:val="793766AD"/>
    <w:rsid w:val="79397558"/>
    <w:rsid w:val="79412FD2"/>
    <w:rsid w:val="795A4A47"/>
    <w:rsid w:val="796A40F0"/>
    <w:rsid w:val="797A595E"/>
    <w:rsid w:val="79810EBA"/>
    <w:rsid w:val="798A2F90"/>
    <w:rsid w:val="79DE4AC7"/>
    <w:rsid w:val="79F61D75"/>
    <w:rsid w:val="7A003E98"/>
    <w:rsid w:val="7A1267E6"/>
    <w:rsid w:val="7A2D3EA4"/>
    <w:rsid w:val="7A331B30"/>
    <w:rsid w:val="7A53292B"/>
    <w:rsid w:val="7A5A7FE5"/>
    <w:rsid w:val="7A5C7DEA"/>
    <w:rsid w:val="7A777AC1"/>
    <w:rsid w:val="7A7A53B1"/>
    <w:rsid w:val="7A8356F5"/>
    <w:rsid w:val="7A8E0023"/>
    <w:rsid w:val="7ACC3F7C"/>
    <w:rsid w:val="7AD02C89"/>
    <w:rsid w:val="7AE572F8"/>
    <w:rsid w:val="7B1D5654"/>
    <w:rsid w:val="7B2B7BA7"/>
    <w:rsid w:val="7B332E64"/>
    <w:rsid w:val="7B5739B9"/>
    <w:rsid w:val="7B6C0926"/>
    <w:rsid w:val="7B8E24C7"/>
    <w:rsid w:val="7B9E0FB2"/>
    <w:rsid w:val="7BAC1017"/>
    <w:rsid w:val="7BAF2DE9"/>
    <w:rsid w:val="7BB919A3"/>
    <w:rsid w:val="7BD415F7"/>
    <w:rsid w:val="7C157862"/>
    <w:rsid w:val="7C2117FF"/>
    <w:rsid w:val="7C611D76"/>
    <w:rsid w:val="7C8F4421"/>
    <w:rsid w:val="7D4848D3"/>
    <w:rsid w:val="7DAF0B47"/>
    <w:rsid w:val="7E2516BD"/>
    <w:rsid w:val="7E3A4559"/>
    <w:rsid w:val="7E6D1B39"/>
    <w:rsid w:val="7E852A49"/>
    <w:rsid w:val="7EE20267"/>
    <w:rsid w:val="7F076DA4"/>
    <w:rsid w:val="7F2900ED"/>
    <w:rsid w:val="7F456CA1"/>
    <w:rsid w:val="7F645481"/>
    <w:rsid w:val="7FA32023"/>
    <w:rsid w:val="7FC96E84"/>
    <w:rsid w:val="7FE802AB"/>
    <w:rsid w:val="7FFA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46"/>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6">
    <w:name w:val="heading 3"/>
    <w:basedOn w:val="1"/>
    <w:next w:val="1"/>
    <w:link w:val="45"/>
    <w:qFormat/>
    <w:uiPriority w:val="0"/>
    <w:pPr>
      <w:tabs>
        <w:tab w:val="left" w:pos="540"/>
      </w:tabs>
      <w:adjustRightInd w:val="0"/>
      <w:snapToGrid w:val="0"/>
      <w:spacing w:line="360" w:lineRule="auto"/>
      <w:jc w:val="left"/>
      <w:outlineLvl w:val="2"/>
    </w:pPr>
    <w:rPr>
      <w:b/>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正文文本缩进1"/>
    <w:basedOn w:val="1"/>
    <w:qFormat/>
    <w:uiPriority w:val="0"/>
    <w:pPr>
      <w:spacing w:line="500" w:lineRule="exact"/>
      <w:ind w:firstLine="880" w:firstLineChars="200"/>
    </w:pPr>
  </w:style>
  <w:style w:type="paragraph" w:styleId="7">
    <w:name w:val="List 3"/>
    <w:basedOn w:val="1"/>
    <w:qFormat/>
    <w:uiPriority w:val="0"/>
    <w:pPr>
      <w:ind w:left="1260" w:hanging="420"/>
    </w:pPr>
    <w:rPr>
      <w:color w:val="000000"/>
      <w:kern w:val="1"/>
      <w:sz w:val="24"/>
      <w:szCs w:val="20"/>
    </w:rPr>
  </w:style>
  <w:style w:type="paragraph" w:styleId="8">
    <w:name w:val="Normal Indent"/>
    <w:basedOn w:val="1"/>
    <w:next w:val="1"/>
    <w:qFormat/>
    <w:uiPriority w:val="0"/>
    <w:pPr>
      <w:ind w:firstLine="420"/>
    </w:pPr>
    <w:rPr>
      <w:color w:val="000000"/>
      <w:kern w:val="1"/>
      <w:szCs w:val="20"/>
    </w:rPr>
  </w:style>
  <w:style w:type="paragraph" w:styleId="9">
    <w:name w:val="index 5"/>
    <w:basedOn w:val="1"/>
    <w:next w:val="1"/>
    <w:qFormat/>
    <w:uiPriority w:val="0"/>
    <w:pPr>
      <w:ind w:left="1680"/>
    </w:pPr>
  </w:style>
  <w:style w:type="paragraph" w:styleId="10">
    <w:name w:val="toa heading"/>
    <w:basedOn w:val="1"/>
    <w:next w:val="1"/>
    <w:qFormat/>
    <w:uiPriority w:val="0"/>
    <w:pPr>
      <w:spacing w:before="120"/>
    </w:pPr>
    <w:rPr>
      <w:rFonts w:ascii="Arial" w:hAnsi="Arial"/>
      <w:sz w:val="24"/>
      <w:szCs w:val="20"/>
    </w:rPr>
  </w:style>
  <w:style w:type="paragraph" w:styleId="11">
    <w:name w:val="annotation text"/>
    <w:basedOn w:val="1"/>
    <w:link w:val="47"/>
    <w:unhideWhenUsed/>
    <w:qFormat/>
    <w:uiPriority w:val="99"/>
    <w:pPr>
      <w:jc w:val="left"/>
    </w:p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after="120"/>
    </w:pPr>
  </w:style>
  <w:style w:type="paragraph" w:styleId="14">
    <w:name w:val="Body Text Indent"/>
    <w:basedOn w:val="1"/>
    <w:qFormat/>
    <w:uiPriority w:val="0"/>
    <w:pPr>
      <w:spacing w:after="120"/>
      <w:ind w:left="420" w:leftChars="200"/>
    </w:pPr>
  </w:style>
  <w:style w:type="paragraph" w:styleId="15">
    <w:name w:val="Plain Text"/>
    <w:basedOn w:val="1"/>
    <w:link w:val="48"/>
    <w:qFormat/>
    <w:uiPriority w:val="0"/>
    <w:rPr>
      <w:rFonts w:ascii="宋体" w:hAnsi="Courier New"/>
      <w:sz w:val="11"/>
      <w:szCs w:val="20"/>
    </w:rPr>
  </w:style>
  <w:style w:type="paragraph" w:styleId="16">
    <w:name w:val="Date"/>
    <w:basedOn w:val="1"/>
    <w:next w:val="1"/>
    <w:qFormat/>
    <w:uiPriority w:val="0"/>
    <w:pPr>
      <w:ind w:left="100" w:leftChars="2500"/>
    </w:pPr>
  </w:style>
  <w:style w:type="paragraph" w:styleId="17">
    <w:name w:val="Body Text Indent 2"/>
    <w:basedOn w:val="1"/>
    <w:link w:val="49"/>
    <w:qFormat/>
    <w:uiPriority w:val="0"/>
    <w:pPr>
      <w:spacing w:line="360" w:lineRule="auto"/>
      <w:ind w:left="179" w:leftChars="85" w:hanging="1"/>
    </w:pPr>
    <w:rPr>
      <w:b/>
      <w:sz w:val="24"/>
      <w:szCs w:val="20"/>
      <w:u w:val="single"/>
    </w:rPr>
  </w:style>
  <w:style w:type="paragraph" w:styleId="18">
    <w:name w:val="Balloon Text"/>
    <w:basedOn w:val="1"/>
    <w:link w:val="50"/>
    <w:unhideWhenUsed/>
    <w:qFormat/>
    <w:uiPriority w:val="99"/>
    <w:rPr>
      <w:sz w:val="18"/>
      <w:szCs w:val="18"/>
    </w:rPr>
  </w:style>
  <w:style w:type="paragraph" w:styleId="19">
    <w:name w:val="footer"/>
    <w:basedOn w:val="1"/>
    <w:link w:val="51"/>
    <w:unhideWhenUsed/>
    <w:qFormat/>
    <w:uiPriority w:val="99"/>
    <w:pPr>
      <w:tabs>
        <w:tab w:val="center" w:pos="4153"/>
        <w:tab w:val="right" w:pos="8306"/>
      </w:tabs>
      <w:snapToGrid w:val="0"/>
      <w:jc w:val="left"/>
    </w:pPr>
    <w:rPr>
      <w:sz w:val="18"/>
      <w:szCs w:val="18"/>
    </w:rPr>
  </w:style>
  <w:style w:type="paragraph" w:styleId="20">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3"/>
    <w:basedOn w:val="1"/>
    <w:unhideWhenUsed/>
    <w:qFormat/>
    <w:uiPriority w:val="0"/>
    <w:pPr>
      <w:spacing w:after="120"/>
      <w:ind w:left="420" w:leftChars="200"/>
    </w:pPr>
    <w:rPr>
      <w:rFonts w:ascii="Calibri" w:hAnsi="Calibri"/>
      <w:kern w:val="0"/>
      <w:sz w:val="16"/>
      <w:szCs w:val="16"/>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1"/>
    <w:next w:val="11"/>
    <w:link w:val="53"/>
    <w:unhideWhenUsed/>
    <w:qFormat/>
    <w:uiPriority w:val="99"/>
    <w:rPr>
      <w:b/>
      <w:bCs/>
    </w:rPr>
  </w:style>
  <w:style w:type="paragraph" w:styleId="25">
    <w:name w:val="Body Text First Indent 2"/>
    <w:basedOn w:val="14"/>
    <w:next w:val="13"/>
    <w:qFormat/>
    <w:uiPriority w:val="0"/>
    <w:pPr>
      <w:ind w:firstLine="420" w:firstLineChars="200"/>
    </w:pPr>
    <w:rPr>
      <w:kern w:val="0"/>
      <w:sz w:val="20"/>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unhideWhenUsed/>
    <w:qFormat/>
    <w:uiPriority w:val="99"/>
    <w:rPr>
      <w:color w:val="2D64B3"/>
      <w:u w:val="none"/>
    </w:rPr>
  </w:style>
  <w:style w:type="character" w:styleId="32">
    <w:name w:val="Emphasis"/>
    <w:qFormat/>
    <w:uiPriority w:val="0"/>
    <w:rPr>
      <w:color w:val="CC0000"/>
    </w:rPr>
  </w:style>
  <w:style w:type="character" w:styleId="33">
    <w:name w:val="HTML Definition"/>
    <w:unhideWhenUsed/>
    <w:qFormat/>
    <w:uiPriority w:val="99"/>
  </w:style>
  <w:style w:type="character" w:styleId="34">
    <w:name w:val="HTML Variable"/>
    <w:unhideWhenUsed/>
    <w:qFormat/>
    <w:uiPriority w:val="99"/>
  </w:style>
  <w:style w:type="character" w:styleId="35">
    <w:name w:val="Hyperlink"/>
    <w:qFormat/>
    <w:uiPriority w:val="0"/>
    <w:rPr>
      <w:color w:val="0000FF"/>
      <w:u w:val="single"/>
    </w:rPr>
  </w:style>
  <w:style w:type="character" w:styleId="36">
    <w:name w:val="HTML Code"/>
    <w:unhideWhenUsed/>
    <w:qFormat/>
    <w:uiPriority w:val="99"/>
    <w:rPr>
      <w:rFonts w:ascii="Arial" w:hAnsi="Arial" w:cs="Arial"/>
      <w:sz w:val="20"/>
    </w:rPr>
  </w:style>
  <w:style w:type="character" w:styleId="37">
    <w:name w:val="annotation reference"/>
    <w:unhideWhenUsed/>
    <w:qFormat/>
    <w:uiPriority w:val="0"/>
    <w:rPr>
      <w:sz w:val="21"/>
      <w:szCs w:val="21"/>
    </w:rPr>
  </w:style>
  <w:style w:type="character" w:styleId="38">
    <w:name w:val="HTML Cite"/>
    <w:unhideWhenUsed/>
    <w:qFormat/>
    <w:uiPriority w:val="99"/>
  </w:style>
  <w:style w:type="character" w:styleId="39">
    <w:name w:val="HTML Keyboard"/>
    <w:unhideWhenUsed/>
    <w:qFormat/>
    <w:uiPriority w:val="99"/>
    <w:rPr>
      <w:rFonts w:ascii="Arial" w:hAnsi="Arial" w:cs="Arial"/>
      <w:sz w:val="20"/>
    </w:rPr>
  </w:style>
  <w:style w:type="character" w:styleId="40">
    <w:name w:val="HTML Sample"/>
    <w:unhideWhenUsed/>
    <w:qFormat/>
    <w:uiPriority w:val="99"/>
    <w:rPr>
      <w:rFonts w:hint="eastAsia" w:ascii="Arial" w:hAnsi="Arial" w:cs="Arial"/>
    </w:rPr>
  </w:style>
  <w:style w:type="paragraph" w:customStyle="1" w:styleId="41">
    <w:name w:val="样式1"/>
    <w:basedOn w:val="1"/>
    <w:next w:val="42"/>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2">
    <w:name w:val="样式2"/>
    <w:basedOn w:val="1"/>
    <w:qFormat/>
    <w:uiPriority w:val="0"/>
    <w:pPr>
      <w:adjustRightInd w:val="0"/>
      <w:spacing w:line="410" w:lineRule="atLeast"/>
      <w:textAlignment w:val="baseline"/>
    </w:pPr>
    <w:rPr>
      <w:kern w:val="0"/>
      <w:sz w:val="24"/>
      <w:szCs w:val="20"/>
    </w:rPr>
  </w:style>
  <w:style w:type="paragraph" w:customStyle="1" w:styleId="4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44">
    <w:name w:val="Default"/>
    <w:next w:val="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5">
    <w:name w:val="标题 3 字符"/>
    <w:link w:val="6"/>
    <w:qFormat/>
    <w:uiPriority w:val="0"/>
    <w:rPr>
      <w:rFonts w:ascii="Times New Roman" w:hAnsi="Times New Roman"/>
      <w:b/>
      <w:kern w:val="2"/>
      <w:sz w:val="24"/>
    </w:rPr>
  </w:style>
  <w:style w:type="character" w:customStyle="1" w:styleId="46">
    <w:name w:val="标题 2 字符"/>
    <w:link w:val="5"/>
    <w:qFormat/>
    <w:uiPriority w:val="0"/>
    <w:rPr>
      <w:rFonts w:ascii="Arial" w:hAnsi="Arial"/>
      <w:b/>
      <w:kern w:val="2"/>
      <w:sz w:val="28"/>
    </w:rPr>
  </w:style>
  <w:style w:type="character" w:customStyle="1" w:styleId="47">
    <w:name w:val="批注文字 字符"/>
    <w:link w:val="11"/>
    <w:semiHidden/>
    <w:qFormat/>
    <w:uiPriority w:val="99"/>
    <w:rPr>
      <w:kern w:val="2"/>
      <w:sz w:val="21"/>
      <w:szCs w:val="22"/>
    </w:rPr>
  </w:style>
  <w:style w:type="character" w:customStyle="1" w:styleId="48">
    <w:name w:val="纯文本 字符"/>
    <w:link w:val="15"/>
    <w:qFormat/>
    <w:uiPriority w:val="0"/>
    <w:rPr>
      <w:rFonts w:ascii="宋体" w:hAnsi="Courier New"/>
      <w:kern w:val="2"/>
      <w:sz w:val="11"/>
    </w:rPr>
  </w:style>
  <w:style w:type="character" w:customStyle="1" w:styleId="49">
    <w:name w:val="正文文本缩进 2 字符"/>
    <w:link w:val="17"/>
    <w:qFormat/>
    <w:uiPriority w:val="0"/>
    <w:rPr>
      <w:rFonts w:ascii="Times New Roman" w:hAnsi="Times New Roman"/>
      <w:b/>
      <w:kern w:val="2"/>
      <w:sz w:val="24"/>
      <w:u w:val="single"/>
    </w:rPr>
  </w:style>
  <w:style w:type="character" w:customStyle="1" w:styleId="50">
    <w:name w:val="批注框文本 字符"/>
    <w:link w:val="18"/>
    <w:semiHidden/>
    <w:qFormat/>
    <w:uiPriority w:val="99"/>
    <w:rPr>
      <w:kern w:val="2"/>
      <w:sz w:val="18"/>
      <w:szCs w:val="18"/>
    </w:rPr>
  </w:style>
  <w:style w:type="character" w:customStyle="1" w:styleId="51">
    <w:name w:val="页脚 字符1"/>
    <w:link w:val="19"/>
    <w:qFormat/>
    <w:uiPriority w:val="99"/>
    <w:rPr>
      <w:kern w:val="2"/>
      <w:sz w:val="18"/>
      <w:szCs w:val="18"/>
    </w:rPr>
  </w:style>
  <w:style w:type="character" w:customStyle="1" w:styleId="52">
    <w:name w:val="页眉 字符"/>
    <w:link w:val="20"/>
    <w:qFormat/>
    <w:uiPriority w:val="99"/>
    <w:rPr>
      <w:kern w:val="2"/>
      <w:sz w:val="18"/>
      <w:szCs w:val="18"/>
    </w:rPr>
  </w:style>
  <w:style w:type="character" w:customStyle="1" w:styleId="53">
    <w:name w:val="批注主题 字符"/>
    <w:link w:val="24"/>
    <w:semiHidden/>
    <w:qFormat/>
    <w:uiPriority w:val="99"/>
    <w:rPr>
      <w:b/>
      <w:bCs/>
      <w:kern w:val="2"/>
      <w:sz w:val="21"/>
      <w:szCs w:val="22"/>
    </w:rPr>
  </w:style>
  <w:style w:type="character" w:customStyle="1" w:styleId="54">
    <w:name w:val="bds_more1"/>
    <w:basedOn w:val="28"/>
    <w:qFormat/>
    <w:uiPriority w:val="0"/>
  </w:style>
  <w:style w:type="character" w:customStyle="1" w:styleId="55">
    <w:name w:val="普通文字1 Char"/>
    <w:qFormat/>
    <w:uiPriority w:val="0"/>
    <w:rPr>
      <w:rFonts w:ascii="宋体" w:hAnsi="Courier New" w:eastAsia="宋体"/>
      <w:kern w:val="2"/>
      <w:sz w:val="21"/>
      <w:lang w:val="en-US" w:eastAsia="zh-CN" w:bidi="ar-SA"/>
    </w:rPr>
  </w:style>
  <w:style w:type="character" w:customStyle="1" w:styleId="56">
    <w:name w:val="legend"/>
    <w:qFormat/>
    <w:uiPriority w:val="0"/>
    <w:rPr>
      <w:rFonts w:ascii="Arial" w:hAnsi="Arial" w:cs="Arial"/>
      <w:b/>
      <w:color w:val="73B304"/>
      <w:sz w:val="16"/>
      <w:szCs w:val="16"/>
      <w:shd w:val="clear" w:color="auto" w:fill="FFFFFF"/>
    </w:rPr>
  </w:style>
  <w:style w:type="character" w:customStyle="1" w:styleId="57">
    <w:name w:val="release-day"/>
    <w:qFormat/>
    <w:uiPriority w:val="0"/>
    <w:rPr>
      <w:bdr w:val="single" w:color="BDEBB0" w:sz="4" w:space="0"/>
      <w:shd w:val="clear" w:color="auto" w:fill="F5FFF1"/>
    </w:rPr>
  </w:style>
  <w:style w:type="character" w:customStyle="1" w:styleId="58">
    <w:name w:val="未处理的提及1"/>
    <w:unhideWhenUsed/>
    <w:qFormat/>
    <w:uiPriority w:val="99"/>
    <w:rPr>
      <w:color w:val="605E5C"/>
      <w:shd w:val="clear" w:color="auto" w:fill="E1DFDD"/>
    </w:rPr>
  </w:style>
  <w:style w:type="character" w:customStyle="1" w:styleId="59">
    <w:name w:val="num"/>
    <w:qFormat/>
    <w:uiPriority w:val="0"/>
    <w:rPr>
      <w:b/>
      <w:color w:val="FF7800"/>
    </w:rPr>
  </w:style>
  <w:style w:type="character" w:customStyle="1" w:styleId="60">
    <w:name w:val="Header Char"/>
    <w:qFormat/>
    <w:locked/>
    <w:uiPriority w:val="0"/>
    <w:rPr>
      <w:rFonts w:eastAsia="宋体"/>
      <w:kern w:val="2"/>
      <w:sz w:val="18"/>
      <w:szCs w:val="18"/>
      <w:lang w:val="en-US" w:eastAsia="zh-CN" w:bidi="ar-SA"/>
    </w:rPr>
  </w:style>
  <w:style w:type="character" w:customStyle="1" w:styleId="61">
    <w:name w:val="bds_more2"/>
    <w:basedOn w:val="28"/>
    <w:qFormat/>
    <w:uiPriority w:val="0"/>
  </w:style>
  <w:style w:type="character" w:customStyle="1" w:styleId="62">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63">
    <w:name w:val="bds_nopic1"/>
    <w:basedOn w:val="28"/>
    <w:qFormat/>
    <w:uiPriority w:val="0"/>
  </w:style>
  <w:style w:type="character" w:customStyle="1" w:styleId="64">
    <w:name w:val="普通文字 Char Char2"/>
    <w:semiHidden/>
    <w:qFormat/>
    <w:uiPriority w:val="0"/>
    <w:rPr>
      <w:rFonts w:ascii="宋体" w:hAnsi="Courier New" w:eastAsia="宋体"/>
      <w:kern w:val="2"/>
      <w:sz w:val="21"/>
      <w:szCs w:val="21"/>
      <w:lang w:val="en-US" w:eastAsia="zh-CN" w:bidi="ar-SA"/>
    </w:rPr>
  </w:style>
  <w:style w:type="character" w:customStyle="1" w:styleId="65">
    <w:name w:val="页脚 字符"/>
    <w:qFormat/>
    <w:uiPriority w:val="99"/>
  </w:style>
  <w:style w:type="character" w:customStyle="1" w:styleId="66">
    <w:name w:val="15"/>
    <w:qFormat/>
    <w:uiPriority w:val="0"/>
    <w:rPr>
      <w:rFonts w:hint="eastAsia" w:ascii="仿宋_GB2312" w:eastAsia="仿宋_GB2312"/>
      <w:b/>
      <w:bCs/>
      <w:sz w:val="32"/>
      <w:szCs w:val="32"/>
    </w:rPr>
  </w:style>
  <w:style w:type="character" w:customStyle="1" w:styleId="67">
    <w:name w:val="txtcontent11"/>
    <w:qFormat/>
    <w:uiPriority w:val="0"/>
    <w:rPr>
      <w:rFonts w:hint="default" w:ascii="ˎ̥" w:hAnsi="ˎ̥"/>
      <w:color w:val="000000"/>
      <w:sz w:val="21"/>
      <w:szCs w:val="21"/>
    </w:rPr>
  </w:style>
  <w:style w:type="character" w:customStyle="1" w:styleId="68">
    <w:name w:val="纯文本 Char1"/>
    <w:semiHidden/>
    <w:qFormat/>
    <w:uiPriority w:val="99"/>
    <w:rPr>
      <w:rFonts w:ascii="宋体" w:hAnsi="Courier New" w:cs="Courier New"/>
      <w:kern w:val="2"/>
      <w:sz w:val="21"/>
      <w:szCs w:val="21"/>
    </w:rPr>
  </w:style>
  <w:style w:type="character" w:customStyle="1" w:styleId="69">
    <w:name w:val="正文缩进2格 Char Char"/>
    <w:link w:val="70"/>
    <w:qFormat/>
    <w:uiPriority w:val="0"/>
    <w:rPr>
      <w:rFonts w:ascii="仿宋_GB2312" w:hAnsi="宋体" w:eastAsia="仿宋_GB2312"/>
      <w:kern w:val="2"/>
      <w:sz w:val="31"/>
      <w:szCs w:val="28"/>
      <w:lang w:val="en-US" w:eastAsia="zh-CN" w:bidi="ar-SA"/>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Char Char10"/>
    <w:qFormat/>
    <w:uiPriority w:val="0"/>
    <w:rPr>
      <w:rFonts w:ascii="宋体" w:hAnsi="Courier New" w:eastAsia="宋体"/>
      <w:kern w:val="2"/>
      <w:sz w:val="21"/>
      <w:szCs w:val="24"/>
      <w:lang w:val="en-US" w:eastAsia="zh-CN" w:bidi="ar-SA"/>
    </w:rPr>
  </w:style>
  <w:style w:type="character" w:customStyle="1" w:styleId="72">
    <w:name w:val="NormalCharacter"/>
    <w:semiHidden/>
    <w:qFormat/>
    <w:uiPriority w:val="0"/>
  </w:style>
  <w:style w:type="character" w:customStyle="1" w:styleId="73">
    <w:name w:val="bds_nopic"/>
    <w:basedOn w:val="28"/>
    <w:qFormat/>
    <w:uiPriority w:val="0"/>
  </w:style>
  <w:style w:type="character" w:customStyle="1" w:styleId="74">
    <w:name w:val="bds_nopic2"/>
    <w:basedOn w:val="28"/>
    <w:qFormat/>
    <w:uiPriority w:val="0"/>
  </w:style>
  <w:style w:type="character" w:customStyle="1" w:styleId="75">
    <w:name w:val="bds_more"/>
    <w:qFormat/>
    <w:uiPriority w:val="0"/>
    <w:rPr>
      <w:rFonts w:hint="eastAsia" w:ascii="宋体" w:hAnsi="宋体" w:eastAsia="宋体" w:cs="宋体"/>
    </w:rPr>
  </w:style>
  <w:style w:type="paragraph" w:customStyle="1" w:styleId="76">
    <w:name w:val="p22"/>
    <w:basedOn w:val="1"/>
    <w:qFormat/>
    <w:uiPriority w:val="0"/>
    <w:pPr>
      <w:widowControl/>
    </w:pPr>
    <w:rPr>
      <w:kern w:val="0"/>
      <w:szCs w:val="21"/>
    </w:rPr>
  </w:style>
  <w:style w:type="paragraph" w:customStyle="1" w:styleId="77">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78">
    <w:name w:val="列出段落1"/>
    <w:basedOn w:val="1"/>
    <w:qFormat/>
    <w:uiPriority w:val="34"/>
    <w:pPr>
      <w:ind w:firstLine="420" w:firstLineChars="200"/>
    </w:pPr>
    <w:rPr>
      <w:szCs w:val="24"/>
    </w:rPr>
  </w:style>
  <w:style w:type="paragraph" w:customStyle="1" w:styleId="79">
    <w:name w:val="样式 标题 3 + (中文) 黑体 小四 非加粗 段前: 7.8 磅 段后: 0 磅 行距: 固定值 20 磅"/>
    <w:basedOn w:val="6"/>
    <w:qFormat/>
    <w:uiPriority w:val="0"/>
    <w:pPr>
      <w:keepNext/>
      <w:keepLines/>
      <w:tabs>
        <w:tab w:val="clear" w:pos="540"/>
      </w:tabs>
      <w:adjustRightInd/>
      <w:snapToGrid/>
      <w:spacing w:line="400" w:lineRule="exact"/>
      <w:jc w:val="both"/>
    </w:pPr>
    <w:rPr>
      <w:rFonts w:eastAsia="黑体" w:cs="宋体"/>
      <w:b w:val="0"/>
    </w:rPr>
  </w:style>
  <w:style w:type="paragraph" w:customStyle="1" w:styleId="80">
    <w:name w:val="Table Paragraph"/>
    <w:basedOn w:val="1"/>
    <w:qFormat/>
    <w:uiPriority w:val="1"/>
    <w:rPr>
      <w:rFonts w:ascii="宋体" w:hAnsi="宋体" w:cs="宋体"/>
      <w:lang w:val="zh-CN" w:bidi="zh-CN"/>
    </w:rPr>
  </w:style>
  <w:style w:type="paragraph" w:customStyle="1" w:styleId="8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2">
    <w:name w:val="p0"/>
    <w:basedOn w:val="1"/>
    <w:qFormat/>
    <w:uiPriority w:val="0"/>
    <w:pPr>
      <w:widowControl/>
    </w:pPr>
    <w:rPr>
      <w:kern w:val="0"/>
      <w:szCs w:val="21"/>
    </w:rPr>
  </w:style>
  <w:style w:type="paragraph" w:customStyle="1" w:styleId="83">
    <w:name w:val="Char Char Char Char"/>
    <w:basedOn w:val="1"/>
    <w:qFormat/>
    <w:uiPriority w:val="0"/>
    <w:pPr>
      <w:widowControl/>
      <w:spacing w:after="160" w:line="240" w:lineRule="exact"/>
      <w:jc w:val="left"/>
    </w:pPr>
    <w:rPr>
      <w:rFonts w:ascii="Verdana" w:hAnsi="Verdana"/>
      <w:kern w:val="0"/>
      <w:szCs w:val="20"/>
    </w:rPr>
  </w:style>
  <w:style w:type="paragraph" w:customStyle="1" w:styleId="8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Char Char Char"/>
    <w:basedOn w:val="1"/>
    <w:qFormat/>
    <w:uiPriority w:val="0"/>
    <w:rPr>
      <w:rFonts w:ascii="Tahoma" w:hAnsi="Tahoma"/>
      <w:sz w:val="24"/>
      <w:szCs w:val="20"/>
    </w:rPr>
  </w:style>
  <w:style w:type="paragraph" w:styleId="87">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88">
    <w:name w:val="p21"/>
    <w:basedOn w:val="1"/>
    <w:qFormat/>
    <w:uiPriority w:val="0"/>
    <w:pPr>
      <w:widowControl/>
    </w:pPr>
    <w:rPr>
      <w:kern w:val="0"/>
      <w:szCs w:val="21"/>
    </w:rPr>
  </w:style>
  <w:style w:type="paragraph" w:customStyle="1" w:styleId="8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0">
    <w:name w:val="保留正文"/>
    <w:basedOn w:val="13"/>
    <w:qFormat/>
    <w:uiPriority w:val="0"/>
    <w:pPr>
      <w:keepNext/>
      <w:spacing w:after="160"/>
    </w:pPr>
    <w:rPr>
      <w:szCs w:val="24"/>
    </w:rPr>
  </w:style>
  <w:style w:type="paragraph" w:customStyle="1" w:styleId="91">
    <w:name w:val="WPS Plain"/>
    <w:qFormat/>
    <w:uiPriority w:val="0"/>
    <w:rPr>
      <w:rFonts w:ascii="Times New Roman" w:hAnsi="Times New Roman" w:eastAsia="宋体" w:cs="Times New Roman"/>
      <w:sz w:val="21"/>
      <w:szCs w:val="22"/>
      <w:lang w:val="en-US" w:eastAsia="zh-CN" w:bidi="ar-SA"/>
    </w:rPr>
  </w:style>
  <w:style w:type="paragraph" w:customStyle="1" w:styleId="9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3">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customStyle="1" w:styleId="9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9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Char"/>
    <w:basedOn w:val="1"/>
    <w:qFormat/>
    <w:uiPriority w:val="0"/>
    <w:pPr>
      <w:tabs>
        <w:tab w:val="left" w:pos="360"/>
      </w:tabs>
    </w:pPr>
    <w:rPr>
      <w:sz w:val="24"/>
      <w:szCs w:val="24"/>
    </w:rPr>
  </w:style>
  <w:style w:type="paragraph" w:customStyle="1" w:styleId="99">
    <w:name w:val="_Style 89"/>
    <w:basedOn w:val="1"/>
    <w:qFormat/>
    <w:uiPriority w:val="0"/>
    <w:pPr>
      <w:tabs>
        <w:tab w:val="left" w:pos="360"/>
      </w:tabs>
    </w:pPr>
    <w:rPr>
      <w:sz w:val="24"/>
      <w:szCs w:val="24"/>
    </w:rPr>
  </w:style>
  <w:style w:type="character" w:customStyle="1" w:styleId="100">
    <w:name w:val="font41"/>
    <w:qFormat/>
    <w:uiPriority w:val="0"/>
    <w:rPr>
      <w:rFonts w:hint="eastAsia" w:ascii="宋体" w:hAnsi="宋体" w:eastAsia="宋体" w:cs="宋体"/>
      <w:color w:val="000000"/>
      <w:sz w:val="32"/>
      <w:szCs w:val="32"/>
      <w:u w:val="none"/>
    </w:rPr>
  </w:style>
  <w:style w:type="character" w:customStyle="1" w:styleId="101">
    <w:name w:val="font31"/>
    <w:qFormat/>
    <w:uiPriority w:val="0"/>
    <w:rPr>
      <w:rFonts w:hint="default" w:ascii="Times New Roman" w:hAnsi="Times New Roman" w:cs="Times New Roman"/>
      <w:color w:val="000000"/>
      <w:sz w:val="32"/>
      <w:szCs w:val="32"/>
      <w:u w:val="none"/>
    </w:rPr>
  </w:style>
  <w:style w:type="table" w:customStyle="1" w:styleId="102">
    <w:name w:val="Table Normal"/>
    <w:unhideWhenUsed/>
    <w:qFormat/>
    <w:uiPriority w:val="0"/>
    <w:tblPr>
      <w:tblCellMar>
        <w:top w:w="0" w:type="dxa"/>
        <w:left w:w="0" w:type="dxa"/>
        <w:bottom w:w="0" w:type="dxa"/>
        <w:right w:w="0" w:type="dxa"/>
      </w:tblCellMar>
    </w:tblPr>
  </w:style>
  <w:style w:type="paragraph" w:customStyle="1" w:styleId="10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Normal_10"/>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67</Pages>
  <Words>32199</Words>
  <Characters>34522</Characters>
  <Lines>273</Lines>
  <Paragraphs>77</Paragraphs>
  <TotalTime>7</TotalTime>
  <ScaleCrop>false</ScaleCrop>
  <LinksUpToDate>false</LinksUpToDate>
  <CharactersWithSpaces>36291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2023-07-31T02:44:00Z</dcterms:created>
  <dc:creator>陈晓东</dc:creator>
  <cp:lastModifiedBy>春風十里</cp:lastModifiedBy>
  <cp:lastPrinted>2023-07-23T11:16:00Z</cp:lastPrinted>
  <dcterms:modified xsi:type="dcterms:W3CDTF">2023-08-07T09:11:12Z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D218101AF5EE4EBCA0AE15FEE60E2F5A_13</vt:lpwstr>
  </property>
</Properties>
</file>