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D"/>
  <w:body>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新疆维吾尔自治区人民医院远程胎心监护服务采购项目（二次采购）</w:t>
      </w:r>
    </w:p>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rPr>
          <w:rFonts w:asciiTheme="minorEastAsia" w:hAnsiTheme="minorEastAsia" w:eastAsiaTheme="minorEastAsia" w:cstheme="minorEastAsia"/>
          <w:sz w:val="28"/>
          <w:szCs w:val="28"/>
        </w:rPr>
      </w:pPr>
    </w:p>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jc w:val="center"/>
        <w:rPr>
          <w:rFonts w:asciiTheme="minorEastAsia" w:hAnsiTheme="minorEastAsia" w:eastAsiaTheme="minorEastAsia" w:cstheme="minorEastAsia"/>
          <w:sz w:val="28"/>
          <w:szCs w:val="28"/>
        </w:rPr>
      </w:pPr>
    </w:p>
    <w:p>
      <w:pPr>
        <w:pStyle w:val="2"/>
        <w:adjustRightInd w:val="0"/>
        <w:snapToGrid w:val="0"/>
        <w:spacing w:line="360" w:lineRule="auto"/>
        <w:jc w:val="center"/>
        <w:rPr>
          <w:rFonts w:asciiTheme="minorEastAsia" w:hAnsiTheme="minorEastAsia" w:eastAsiaTheme="minorEastAsia" w:cstheme="minorEastAsia"/>
          <w:sz w:val="62"/>
          <w:szCs w:val="84"/>
        </w:rPr>
      </w:pPr>
      <w:r>
        <w:rPr>
          <w:rFonts w:hint="eastAsia" w:asciiTheme="minorEastAsia" w:hAnsiTheme="minorEastAsia" w:eastAsiaTheme="minorEastAsia" w:cstheme="minorEastAsia"/>
          <w:sz w:val="62"/>
          <w:szCs w:val="84"/>
        </w:rPr>
        <w:t>公 开 招 标 文 件</w:t>
      </w:r>
    </w:p>
    <w:p>
      <w:pPr>
        <w:pStyle w:val="2"/>
        <w:adjustRightInd w:val="0"/>
        <w:snapToGrid w:val="0"/>
        <w:spacing w:line="360" w:lineRule="auto"/>
        <w:rPr>
          <w:rFonts w:asciiTheme="minorEastAsia" w:hAnsiTheme="minorEastAsia" w:eastAsiaTheme="minorEastAsia" w:cstheme="minorEastAsia"/>
          <w:sz w:val="32"/>
          <w:szCs w:val="32"/>
        </w:rPr>
      </w:pPr>
    </w:p>
    <w:p>
      <w:pPr>
        <w:pStyle w:val="2"/>
        <w:adjustRightInd w:val="0"/>
        <w:snapToGrid w:val="0"/>
        <w:spacing w:line="360" w:lineRule="auto"/>
        <w:rPr>
          <w:rFonts w:asciiTheme="minorEastAsia" w:hAnsiTheme="minorEastAsia" w:eastAsiaTheme="minorEastAsia" w:cstheme="minorEastAsia"/>
          <w:color w:val="000000"/>
          <w:sz w:val="32"/>
          <w:szCs w:val="32"/>
        </w:rPr>
      </w:pPr>
    </w:p>
    <w:p>
      <w:pPr>
        <w:pStyle w:val="2"/>
        <w:adjustRightInd w:val="0"/>
        <w:snapToGrid w:val="0"/>
        <w:spacing w:line="360" w:lineRule="auto"/>
        <w:rPr>
          <w:rFonts w:asciiTheme="minorEastAsia" w:hAnsiTheme="minorEastAsia" w:eastAsiaTheme="minorEastAsia" w:cstheme="minorEastAsia"/>
          <w:color w:val="000000"/>
          <w:sz w:val="32"/>
          <w:szCs w:val="32"/>
        </w:rPr>
      </w:pPr>
    </w:p>
    <w:p>
      <w:pPr>
        <w:pStyle w:val="2"/>
        <w:adjustRightInd w:val="0"/>
        <w:snapToGrid w:val="0"/>
        <w:spacing w:line="360" w:lineRule="auto"/>
        <w:ind w:firstLine="1124" w:firstLineChars="4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采   购   人：新疆维吾尔自治区人民医院</w:t>
      </w:r>
    </w:p>
    <w:p>
      <w:pPr>
        <w:pStyle w:val="2"/>
        <w:adjustRightInd w:val="0"/>
        <w:snapToGrid w:val="0"/>
        <w:spacing w:line="360" w:lineRule="auto"/>
        <w:ind w:firstLine="1124" w:firstLineChars="4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采购代理机构：新疆经纬招标有限责任公司</w:t>
      </w:r>
    </w:p>
    <w:p>
      <w:pPr>
        <w:pStyle w:val="2"/>
        <w:adjustRightInd w:val="0"/>
        <w:snapToGrid w:val="0"/>
        <w:spacing w:line="360" w:lineRule="auto"/>
        <w:ind w:left="3085" w:leftChars="532" w:hanging="1968" w:hangingChars="7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招  标 内 容：远程胎心监护服务采购</w:t>
      </w:r>
    </w:p>
    <w:p>
      <w:pPr>
        <w:pStyle w:val="2"/>
        <w:adjustRightInd w:val="0"/>
        <w:snapToGrid w:val="0"/>
        <w:spacing w:line="360" w:lineRule="auto"/>
        <w:ind w:firstLine="1124" w:firstLineChars="400"/>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  目 编 号：</w:t>
      </w:r>
      <w:r>
        <w:fldChar w:fldCharType="begin"/>
      </w:r>
      <w:r>
        <w:instrText xml:space="preserve"> HYPERLINK "https://pay.zcygov.cn/purchaseplan_front/" \l "/plan/list/detail?id=1000000000009927688&amp;encrypt=5495f1a2218813e299385f497badbb60" \t "_blank" </w:instrText>
      </w:r>
      <w:r>
        <w:fldChar w:fldCharType="separate"/>
      </w:r>
      <w:r>
        <w:rPr>
          <w:rFonts w:hint="eastAsia" w:asciiTheme="minorEastAsia" w:hAnsiTheme="minorEastAsia" w:eastAsiaTheme="minorEastAsia" w:cstheme="minorEastAsia"/>
          <w:b/>
          <w:sz w:val="28"/>
          <w:szCs w:val="28"/>
        </w:rPr>
        <w:t>JWZB（2023）Z-2</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t>45</w:t>
      </w:r>
      <w:r>
        <w:rPr>
          <w:rFonts w:hint="eastAsia" w:asciiTheme="minorEastAsia" w:hAnsiTheme="minorEastAsia" w:eastAsiaTheme="minorEastAsia" w:cstheme="minorEastAsia"/>
          <w:b/>
          <w:sz w:val="28"/>
          <w:szCs w:val="28"/>
          <w:lang w:val="en-US" w:eastAsia="zh-CN"/>
        </w:rPr>
        <w:t>-1</w:t>
      </w:r>
    </w:p>
    <w:p>
      <w:pPr>
        <w:pStyle w:val="2"/>
        <w:adjustRightInd w:val="0"/>
        <w:snapToGrid w:val="0"/>
        <w:spacing w:line="360" w:lineRule="auto"/>
        <w:ind w:firstLine="1124" w:firstLineChars="4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采购代理机构项目负责人：徐丁保</w:t>
      </w:r>
    </w:p>
    <w:p>
      <w:pPr>
        <w:pStyle w:val="2"/>
        <w:adjustRightInd w:val="0"/>
        <w:snapToGrid w:val="0"/>
        <w:spacing w:line="360" w:lineRule="auto"/>
        <w:ind w:firstLine="1124" w:firstLineChars="400"/>
        <w:rPr>
          <w:rFonts w:asciiTheme="minorEastAsia" w:hAnsiTheme="minorEastAsia" w:eastAsiaTheme="minorEastAsia" w:cstheme="minorEastAsia"/>
          <w:color w:val="FF0000"/>
          <w:sz w:val="30"/>
          <w:szCs w:val="30"/>
        </w:rPr>
      </w:pPr>
      <w:r>
        <w:rPr>
          <w:rFonts w:hint="eastAsia" w:asciiTheme="minorEastAsia" w:hAnsiTheme="minorEastAsia" w:eastAsiaTheme="minorEastAsia" w:cstheme="minorEastAsia"/>
          <w:b/>
          <w:sz w:val="28"/>
          <w:szCs w:val="28"/>
        </w:rPr>
        <w:t>联 系 电 话：18160526655、0991-2651309</w:t>
      </w:r>
      <w:r>
        <w:rPr>
          <w:rFonts w:hint="eastAsia" w:asciiTheme="minorEastAsia" w:hAnsiTheme="minorEastAsia" w:eastAsiaTheme="minorEastAsia" w:cstheme="minorEastAsia"/>
          <w:color w:val="FF0000"/>
          <w:sz w:val="30"/>
          <w:szCs w:val="30"/>
        </w:rPr>
        <w:t xml:space="preserve">  </w:t>
      </w:r>
    </w:p>
    <w:p>
      <w:pPr>
        <w:spacing w:line="240" w:lineRule="atLeast"/>
        <w:ind w:left="1080" w:leftChars="257" w:hanging="540"/>
        <w:jc w:val="center"/>
        <w:rPr>
          <w:rFonts w:asciiTheme="minorEastAsia" w:hAnsiTheme="minorEastAsia" w:cstheme="minorEastAsia"/>
          <w:b/>
          <w:sz w:val="32"/>
        </w:rPr>
      </w:pPr>
    </w:p>
    <w:p>
      <w:pPr>
        <w:spacing w:line="240" w:lineRule="atLeast"/>
        <w:ind w:left="1080" w:leftChars="257" w:hanging="540"/>
        <w:jc w:val="center"/>
        <w:rPr>
          <w:rFonts w:asciiTheme="minorEastAsia" w:hAnsiTheme="minorEastAsia" w:cstheme="minorEastAsia"/>
          <w:b/>
          <w:sz w:val="32"/>
        </w:rPr>
      </w:pPr>
    </w:p>
    <w:p>
      <w:pPr>
        <w:pStyle w:val="17"/>
      </w:pPr>
    </w:p>
    <w:p>
      <w:pPr>
        <w:spacing w:line="240" w:lineRule="atLeast"/>
        <w:ind w:left="1080" w:leftChars="257" w:hanging="540"/>
        <w:jc w:val="center"/>
        <w:rPr>
          <w:rFonts w:asciiTheme="minorEastAsia" w:hAnsiTheme="minorEastAsia" w:cstheme="minorEastAsia"/>
          <w:b/>
          <w:sz w:val="32"/>
        </w:rPr>
      </w:pPr>
    </w:p>
    <w:p>
      <w:pPr>
        <w:spacing w:line="240" w:lineRule="atLeast"/>
        <w:jc w:val="center"/>
        <w:rPr>
          <w:rFonts w:asciiTheme="minorEastAsia" w:hAnsiTheme="minorEastAsia" w:cstheme="minorEastAsia"/>
          <w:b/>
          <w:sz w:val="32"/>
        </w:rPr>
      </w:pPr>
      <w:r>
        <w:rPr>
          <w:rFonts w:hint="eastAsia" w:asciiTheme="minorEastAsia" w:hAnsiTheme="minorEastAsia" w:cstheme="minorEastAsia"/>
          <w:b/>
          <w:sz w:val="32"/>
        </w:rPr>
        <w:t>目  录</w:t>
      </w:r>
    </w:p>
    <w:p>
      <w:pPr>
        <w:pStyle w:val="17"/>
        <w:tabs>
          <w:tab w:val="right" w:leader="dot" w:pos="8279"/>
        </w:tabs>
      </w:pPr>
      <w:r>
        <w:rPr>
          <w:rFonts w:hint="eastAsia" w:asciiTheme="minorEastAsia" w:hAnsiTheme="minorEastAsia" w:cstheme="minorEastAsia"/>
          <w:b w:val="0"/>
          <w:sz w:val="21"/>
          <w:szCs w:val="21"/>
        </w:rPr>
        <w:fldChar w:fldCharType="begin"/>
      </w:r>
      <w:r>
        <w:rPr>
          <w:rFonts w:hint="eastAsia" w:asciiTheme="minorEastAsia" w:hAnsiTheme="minorEastAsia" w:cstheme="minorEastAsia"/>
          <w:b w:val="0"/>
          <w:sz w:val="21"/>
          <w:szCs w:val="21"/>
        </w:rPr>
        <w:instrText xml:space="preserve">TOC \o "1-3" \h \z \u</w:instrText>
      </w:r>
      <w:r>
        <w:rPr>
          <w:rFonts w:hint="eastAsia" w:asciiTheme="minorEastAsia" w:hAnsiTheme="minorEastAsia" w:cstheme="minorEastAsia"/>
          <w:b w:val="0"/>
          <w:sz w:val="21"/>
          <w:szCs w:val="21"/>
        </w:rPr>
        <w:fldChar w:fldCharType="separate"/>
      </w: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_Toc29126 </w:instrText>
      </w:r>
      <w:r>
        <w:rPr>
          <w:rFonts w:hint="eastAsia" w:asciiTheme="minorEastAsia" w:hAnsiTheme="minorEastAsia" w:cstheme="minorEastAsia"/>
          <w:szCs w:val="21"/>
        </w:rPr>
        <w:fldChar w:fldCharType="separate"/>
      </w:r>
      <w:r>
        <w:rPr>
          <w:rFonts w:hint="eastAsia" w:asciiTheme="minorEastAsia" w:hAnsiTheme="minorEastAsia" w:cstheme="minorEastAsia"/>
        </w:rPr>
        <w:t>第一章、招标公告</w:t>
      </w:r>
      <w:r>
        <w:tab/>
      </w:r>
      <w:r>
        <w:fldChar w:fldCharType="begin"/>
      </w:r>
      <w:r>
        <w:instrText xml:space="preserve"> PAGEREF _Toc29126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_Toc6906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二、申请人的资格要求</w:t>
      </w:r>
      <w:r>
        <w:tab/>
      </w:r>
      <w:r>
        <w:fldChar w:fldCharType="begin"/>
      </w:r>
      <w:r>
        <w:instrText xml:space="preserve"> PAGEREF _Toc6906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_Toc20837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三、获取招标文件</w:t>
      </w:r>
      <w:r>
        <w:tab/>
      </w:r>
      <w:r>
        <w:fldChar w:fldCharType="begin"/>
      </w:r>
      <w:r>
        <w:instrText xml:space="preserve"> PAGEREF _Toc20837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_Toc29054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四、提交投标文件截止时间、开标时间和地点</w:t>
      </w:r>
      <w:r>
        <w:tab/>
      </w:r>
      <w:r>
        <w:fldChar w:fldCharType="begin"/>
      </w:r>
      <w:r>
        <w:instrText xml:space="preserve"> PAGEREF _Toc29054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_Toc31448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五、公告期限</w:t>
      </w:r>
      <w:r>
        <w:tab/>
      </w:r>
      <w:r>
        <w:fldChar w:fldCharType="begin"/>
      </w:r>
      <w:r>
        <w:instrText xml:space="preserve"> PAGEREF _Toc31448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_Toc18124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六、 其他补充事宜</w:t>
      </w:r>
      <w:r>
        <w:tab/>
      </w:r>
      <w:r>
        <w:fldChar w:fldCharType="begin"/>
      </w:r>
      <w:r>
        <w:instrText xml:space="preserve"> PAGEREF _Toc18124 \h </w:instrText>
      </w:r>
      <w:r>
        <w:fldChar w:fldCharType="separate"/>
      </w:r>
      <w:r>
        <w:t>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_Toc31768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七、对本次采购提出询问，请按以下方式联系</w:t>
      </w:r>
      <w:r>
        <w:tab/>
      </w:r>
      <w:r>
        <w:fldChar w:fldCharType="begin"/>
      </w:r>
      <w:r>
        <w:instrText xml:space="preserve"> PAGEREF _Toc31768 \h </w:instrText>
      </w:r>
      <w:r>
        <w:fldChar w:fldCharType="separate"/>
      </w:r>
      <w:r>
        <w:t>3</w:t>
      </w:r>
      <w:r>
        <w:fldChar w:fldCharType="end"/>
      </w:r>
      <w:r>
        <w:rPr>
          <w:rFonts w:hint="eastAsia" w:asciiTheme="minorEastAsia" w:hAnsiTheme="minorEastAsia" w:cstheme="minorEastAsia"/>
          <w:szCs w:val="21"/>
        </w:rPr>
        <w:fldChar w:fldCharType="end"/>
      </w:r>
    </w:p>
    <w:p>
      <w:pPr>
        <w:pStyle w:val="17"/>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_Toc23851 </w:instrText>
      </w:r>
      <w:r>
        <w:rPr>
          <w:rFonts w:hint="eastAsia" w:asciiTheme="minorEastAsia" w:hAnsiTheme="minorEastAsia" w:cstheme="minorEastAsia"/>
          <w:szCs w:val="21"/>
        </w:rPr>
        <w:fldChar w:fldCharType="separate"/>
      </w:r>
      <w:r>
        <w:rPr>
          <w:rFonts w:hint="eastAsia" w:asciiTheme="minorEastAsia" w:hAnsiTheme="minorEastAsia" w:cstheme="minorEastAsia"/>
        </w:rPr>
        <w:t>第二章、投标人须知</w:t>
      </w:r>
      <w:r>
        <w:tab/>
      </w:r>
      <w:r>
        <w:fldChar w:fldCharType="begin"/>
      </w:r>
      <w:r>
        <w:instrText xml:space="preserve"> PAGEREF _Toc23851 \h </w:instrText>
      </w:r>
      <w:r>
        <w:fldChar w:fldCharType="separate"/>
      </w:r>
      <w:r>
        <w:t>4</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_Toc4542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投标人须知前附表</w:t>
      </w:r>
      <w:r>
        <w:tab/>
      </w:r>
      <w:r>
        <w:fldChar w:fldCharType="begin"/>
      </w:r>
      <w:r>
        <w:instrText xml:space="preserve"> PAGEREF _Toc4542 \h </w:instrText>
      </w:r>
      <w:r>
        <w:fldChar w:fldCharType="separate"/>
      </w:r>
      <w:r>
        <w:t>4</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_Toc7314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一、总  则</w:t>
      </w:r>
      <w:r>
        <w:tab/>
      </w:r>
      <w:r>
        <w:fldChar w:fldCharType="begin"/>
      </w:r>
      <w:r>
        <w:instrText xml:space="preserve"> PAGEREF _Toc7314 \h </w:instrText>
      </w:r>
      <w:r>
        <w:fldChar w:fldCharType="separate"/>
      </w:r>
      <w:r>
        <w:t>8</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_Toc12955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二、招标文件</w:t>
      </w:r>
      <w:r>
        <w:tab/>
      </w:r>
      <w:r>
        <w:fldChar w:fldCharType="begin"/>
      </w:r>
      <w:r>
        <w:instrText xml:space="preserve"> PAGEREF _Toc12955 \h </w:instrText>
      </w:r>
      <w:r>
        <w:fldChar w:fldCharType="separate"/>
      </w:r>
      <w:r>
        <w:t>9</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_Toc31842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三、投标文件的编制</w:t>
      </w:r>
      <w:r>
        <w:tab/>
      </w:r>
      <w:r>
        <w:fldChar w:fldCharType="begin"/>
      </w:r>
      <w:r>
        <w:instrText xml:space="preserve"> PAGEREF _Toc31842 \h </w:instrText>
      </w:r>
      <w:r>
        <w:fldChar w:fldCharType="separate"/>
      </w:r>
      <w:r>
        <w:t>10</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_Toc11545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四、投标文件的递交</w:t>
      </w:r>
      <w:r>
        <w:tab/>
      </w:r>
      <w:r>
        <w:fldChar w:fldCharType="begin"/>
      </w:r>
      <w:r>
        <w:instrText xml:space="preserve"> PAGEREF _Toc11545 \h </w:instrText>
      </w:r>
      <w:r>
        <w:fldChar w:fldCharType="separate"/>
      </w:r>
      <w:r>
        <w:t>12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_Toc7099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五、开标及评标</w:t>
      </w:r>
      <w:r>
        <w:tab/>
      </w:r>
      <w:r>
        <w:fldChar w:fldCharType="begin"/>
      </w:r>
      <w:r>
        <w:instrText xml:space="preserve"> PAGEREF _Toc7099 \h </w:instrText>
      </w:r>
      <w:r>
        <w:fldChar w:fldCharType="separate"/>
      </w:r>
      <w:r>
        <w:t>13</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_Toc3250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六、确定中标</w:t>
      </w:r>
      <w:r>
        <w:tab/>
      </w:r>
      <w:r>
        <w:fldChar w:fldCharType="begin"/>
      </w:r>
      <w:r>
        <w:instrText xml:space="preserve"> PAGEREF _Toc3250 \h </w:instrText>
      </w:r>
      <w:r>
        <w:fldChar w:fldCharType="separate"/>
      </w:r>
      <w:r>
        <w:t>16</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_Toc1445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七、签订合同</w:t>
      </w:r>
      <w:r>
        <w:tab/>
      </w:r>
      <w:r>
        <w:fldChar w:fldCharType="begin"/>
      </w:r>
      <w:r>
        <w:instrText xml:space="preserve"> PAGEREF _Toc1445 \h </w:instrText>
      </w:r>
      <w:r>
        <w:fldChar w:fldCharType="separate"/>
      </w:r>
      <w:r>
        <w:t>17</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_Toc28663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八、其他</w:t>
      </w:r>
      <w:r>
        <w:tab/>
      </w:r>
      <w:r>
        <w:fldChar w:fldCharType="begin"/>
      </w:r>
      <w:r>
        <w:instrText xml:space="preserve"> PAGEREF _Toc28663 \h </w:instrText>
      </w:r>
      <w:r>
        <w:fldChar w:fldCharType="separate"/>
      </w:r>
      <w:r>
        <w:t>17</w:t>
      </w:r>
      <w:r>
        <w:fldChar w:fldCharType="end"/>
      </w:r>
      <w:r>
        <w:rPr>
          <w:rFonts w:hint="eastAsia" w:asciiTheme="minorEastAsia" w:hAnsiTheme="minorEastAsia" w:cstheme="minorEastAsia"/>
          <w:szCs w:val="21"/>
        </w:rPr>
        <w:fldChar w:fldCharType="end"/>
      </w:r>
    </w:p>
    <w:p>
      <w:pPr>
        <w:pStyle w:val="17"/>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_Toc18283 </w:instrText>
      </w:r>
      <w:r>
        <w:rPr>
          <w:rFonts w:hint="eastAsia" w:asciiTheme="minorEastAsia" w:hAnsiTheme="minorEastAsia" w:cstheme="minorEastAsia"/>
          <w:szCs w:val="21"/>
        </w:rPr>
        <w:fldChar w:fldCharType="separate"/>
      </w:r>
      <w:r>
        <w:rPr>
          <w:rFonts w:hint="eastAsia" w:ascii="宋体" w:hAnsi="宋体" w:eastAsia="宋体" w:cs="宋体"/>
        </w:rPr>
        <w:t>第三章、采购需求</w:t>
      </w:r>
      <w:r>
        <w:tab/>
      </w:r>
      <w:r>
        <w:fldChar w:fldCharType="begin"/>
      </w:r>
      <w:r>
        <w:instrText xml:space="preserve"> PAGEREF _Toc18283 \h </w:instrText>
      </w:r>
      <w:r>
        <w:fldChar w:fldCharType="separate"/>
      </w:r>
      <w:r>
        <w:t>21</w:t>
      </w:r>
      <w:r>
        <w:fldChar w:fldCharType="end"/>
      </w:r>
      <w:r>
        <w:rPr>
          <w:rFonts w:hint="eastAsia" w:asciiTheme="minorEastAsia" w:hAnsiTheme="minorEastAsia" w:cstheme="minorEastAsia"/>
          <w:szCs w:val="21"/>
        </w:rPr>
        <w:fldChar w:fldCharType="end"/>
      </w:r>
    </w:p>
    <w:p>
      <w:pPr>
        <w:pStyle w:val="17"/>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_Toc31747 </w:instrText>
      </w:r>
      <w:r>
        <w:rPr>
          <w:rFonts w:hint="eastAsia" w:asciiTheme="minorEastAsia" w:hAnsiTheme="minorEastAsia" w:cstheme="minorEastAsia"/>
          <w:szCs w:val="21"/>
        </w:rPr>
        <w:fldChar w:fldCharType="separate"/>
      </w:r>
      <w:r>
        <w:rPr>
          <w:rFonts w:hint="eastAsia" w:asciiTheme="minorEastAsia" w:hAnsiTheme="minorEastAsia" w:cstheme="minorEastAsia"/>
        </w:rPr>
        <w:t>第四章、评标方法和标准</w:t>
      </w:r>
      <w:r>
        <w:tab/>
      </w:r>
      <w:r>
        <w:fldChar w:fldCharType="begin"/>
      </w:r>
      <w:r>
        <w:instrText xml:space="preserve"> PAGEREF _Toc31747 \h </w:instrText>
      </w:r>
      <w:r>
        <w:fldChar w:fldCharType="separate"/>
      </w:r>
      <w:r>
        <w:t>25</w:t>
      </w:r>
      <w:r>
        <w:fldChar w:fldCharType="end"/>
      </w:r>
      <w:r>
        <w:rPr>
          <w:rFonts w:hint="eastAsia" w:asciiTheme="minorEastAsia" w:hAnsiTheme="minorEastAsia" w:cstheme="minorEastAsia"/>
          <w:szCs w:val="21"/>
        </w:rPr>
        <w:fldChar w:fldCharType="end"/>
      </w:r>
    </w:p>
    <w:p>
      <w:pPr>
        <w:pStyle w:val="17"/>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_Toc29395 </w:instrText>
      </w:r>
      <w:r>
        <w:rPr>
          <w:rFonts w:hint="eastAsia" w:asciiTheme="minorEastAsia" w:hAnsiTheme="minorEastAsia" w:cstheme="minorEastAsia"/>
          <w:szCs w:val="21"/>
        </w:rPr>
        <w:fldChar w:fldCharType="separate"/>
      </w:r>
      <w:r>
        <w:rPr>
          <w:rFonts w:hint="eastAsia" w:asciiTheme="minorEastAsia" w:hAnsiTheme="minorEastAsia" w:cstheme="minorEastAsia"/>
        </w:rPr>
        <w:t>第五章、政府采购合同</w:t>
      </w:r>
      <w:r>
        <w:tab/>
      </w:r>
      <w:r>
        <w:fldChar w:fldCharType="begin"/>
      </w:r>
      <w:r>
        <w:instrText xml:space="preserve"> PAGEREF _Toc29395 \h </w:instrText>
      </w:r>
      <w:r>
        <w:fldChar w:fldCharType="separate"/>
      </w:r>
      <w:r>
        <w:t>33</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_Toc16459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第一部分 合同书</w:t>
      </w:r>
      <w:r>
        <w:tab/>
      </w:r>
      <w:r>
        <w:fldChar w:fldCharType="begin"/>
      </w:r>
      <w:r>
        <w:instrText xml:space="preserve"> PAGEREF _Toc16459 \h </w:instrText>
      </w:r>
      <w:r>
        <w:fldChar w:fldCharType="separate"/>
      </w:r>
      <w:r>
        <w:t>34</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_Toc13085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2"/>
          <w:szCs w:val="21"/>
        </w:rPr>
        <w:t>第二部分 合同一般条款</w:t>
      </w:r>
      <w:r>
        <w:tab/>
      </w:r>
      <w:r>
        <w:fldChar w:fldCharType="begin"/>
      </w:r>
      <w:r>
        <w:instrText xml:space="preserve"> PAGEREF _Toc13085 \h </w:instrText>
      </w:r>
      <w:r>
        <w:fldChar w:fldCharType="separate"/>
      </w:r>
      <w:r>
        <w:t>39</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_Toc13864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第三部分  合同专用条款</w:t>
      </w:r>
      <w:r>
        <w:tab/>
      </w:r>
      <w:r>
        <w:fldChar w:fldCharType="begin"/>
      </w:r>
      <w:r>
        <w:instrText xml:space="preserve"> PAGEREF _Toc13864 \h </w:instrText>
      </w:r>
      <w:r>
        <w:fldChar w:fldCharType="separate"/>
      </w:r>
      <w:r>
        <w:t>44</w:t>
      </w:r>
      <w:r>
        <w:fldChar w:fldCharType="end"/>
      </w:r>
      <w:r>
        <w:rPr>
          <w:rFonts w:hint="eastAsia" w:asciiTheme="minorEastAsia" w:hAnsiTheme="minorEastAsia" w:cstheme="minorEastAsia"/>
          <w:szCs w:val="21"/>
        </w:rPr>
        <w:fldChar w:fldCharType="end"/>
      </w:r>
    </w:p>
    <w:p>
      <w:pPr>
        <w:pStyle w:val="17"/>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_Toc4846 </w:instrText>
      </w:r>
      <w:r>
        <w:rPr>
          <w:rFonts w:hint="eastAsia" w:asciiTheme="minorEastAsia" w:hAnsiTheme="minorEastAsia" w:cstheme="minorEastAsia"/>
          <w:szCs w:val="21"/>
        </w:rPr>
        <w:fldChar w:fldCharType="separate"/>
      </w:r>
      <w:r>
        <w:rPr>
          <w:rFonts w:hint="eastAsia" w:asciiTheme="minorEastAsia" w:hAnsiTheme="minorEastAsia" w:cstheme="minorEastAsia"/>
        </w:rPr>
        <w:t>第六章、投标文件格式</w:t>
      </w:r>
      <w:r>
        <w:tab/>
      </w:r>
      <w:r>
        <w:fldChar w:fldCharType="begin"/>
      </w:r>
      <w:r>
        <w:instrText xml:space="preserve"> PAGEREF _Toc4846 \h </w:instrText>
      </w:r>
      <w:r>
        <w:fldChar w:fldCharType="separate"/>
      </w:r>
      <w:r>
        <w:t>45</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_Toc8602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1、投标书</w:t>
      </w:r>
      <w:r>
        <w:tab/>
      </w:r>
      <w:r>
        <w:fldChar w:fldCharType="begin"/>
      </w:r>
      <w:r>
        <w:instrText xml:space="preserve"> PAGEREF _Toc8602 \h </w:instrText>
      </w:r>
      <w:r>
        <w:fldChar w:fldCharType="separate"/>
      </w:r>
      <w:r>
        <w:t>47</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_Toc17037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2、开标一览表</w:t>
      </w:r>
      <w:r>
        <w:tab/>
      </w:r>
      <w:r>
        <w:fldChar w:fldCharType="begin"/>
      </w:r>
      <w:r>
        <w:instrText xml:space="preserve"> PAGEREF _Toc17037 \h </w:instrText>
      </w:r>
      <w:r>
        <w:fldChar w:fldCharType="separate"/>
      </w:r>
      <w:r>
        <w:t>48</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_Toc1283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3、投标分项报价表</w:t>
      </w:r>
      <w:r>
        <w:tab/>
      </w:r>
      <w:r>
        <w:fldChar w:fldCharType="begin"/>
      </w:r>
      <w:r>
        <w:instrText xml:space="preserve"> PAGEREF _Toc1283 \h </w:instrText>
      </w:r>
      <w:r>
        <w:fldChar w:fldCharType="separate"/>
      </w:r>
      <w:r>
        <w:t>49</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_Toc26913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4、法人或者非法人组织的营业执照等证明文件或自然人的身份证明</w:t>
      </w:r>
      <w:r>
        <w:tab/>
      </w:r>
      <w:r>
        <w:fldChar w:fldCharType="begin"/>
      </w:r>
      <w:r>
        <w:instrText xml:space="preserve"> PAGEREF _Toc26913 \h </w:instrText>
      </w:r>
      <w:r>
        <w:fldChar w:fldCharType="separate"/>
      </w:r>
      <w:r>
        <w:t>50</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_Toc10230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5、法定代表人身份证明书</w:t>
      </w:r>
      <w:r>
        <w:tab/>
      </w:r>
      <w:r>
        <w:fldChar w:fldCharType="begin"/>
      </w:r>
      <w:r>
        <w:instrText xml:space="preserve"> PAGEREF _Toc10230 \h </w:instrText>
      </w:r>
      <w:r>
        <w:fldChar w:fldCharType="separate"/>
      </w:r>
      <w:r>
        <w:t>51</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_Toc8405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6、法定代表人授权委托书</w:t>
      </w:r>
      <w:r>
        <w:tab/>
      </w:r>
      <w:r>
        <w:fldChar w:fldCharType="begin"/>
      </w:r>
      <w:r>
        <w:instrText xml:space="preserve"> PAGEREF _Toc8405 \h </w:instrText>
      </w:r>
      <w:r>
        <w:fldChar w:fldCharType="separate"/>
      </w:r>
      <w:r>
        <w:t>52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_Toc29009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7、投标保证承诺书</w:t>
      </w:r>
      <w:r>
        <w:tab/>
      </w:r>
      <w:r>
        <w:fldChar w:fldCharType="begin"/>
      </w:r>
      <w:r>
        <w:instrText xml:space="preserve"> PAGEREF _Toc29009 \h </w:instrText>
      </w:r>
      <w:r>
        <w:fldChar w:fldCharType="separate"/>
      </w:r>
      <w:r>
        <w:t>53</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_Toc32002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8、具有良好的商业信誉和健全的财务会计制度</w:t>
      </w:r>
      <w:r>
        <w:tab/>
      </w:r>
      <w:r>
        <w:fldChar w:fldCharType="begin"/>
      </w:r>
      <w:r>
        <w:instrText xml:space="preserve"> PAGEREF _Toc32002 \h </w:instrText>
      </w:r>
      <w:r>
        <w:fldChar w:fldCharType="separate"/>
      </w:r>
      <w:r>
        <w:t>54</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_Toc5936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9、具有履行合同所必需的设备和专业技术能力</w:t>
      </w:r>
      <w:r>
        <w:tab/>
      </w:r>
      <w:r>
        <w:fldChar w:fldCharType="begin"/>
      </w:r>
      <w:r>
        <w:instrText xml:space="preserve"> PAGEREF _Toc5936 \h </w:instrText>
      </w:r>
      <w:r>
        <w:fldChar w:fldCharType="separate"/>
      </w:r>
      <w:r>
        <w:t>55</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_Toc13014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10、依法缴纳社会保障资金和税收的记录</w:t>
      </w:r>
      <w:r>
        <w:tab/>
      </w:r>
      <w:r>
        <w:fldChar w:fldCharType="begin"/>
      </w:r>
      <w:r>
        <w:instrText xml:space="preserve"> PAGEREF _Toc13014 \h </w:instrText>
      </w:r>
      <w:r>
        <w:fldChar w:fldCharType="separate"/>
      </w:r>
      <w:r>
        <w:t>56</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_Toc31618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11、无重大违法记录的承诺书</w:t>
      </w:r>
      <w:r>
        <w:tab/>
      </w:r>
      <w:r>
        <w:fldChar w:fldCharType="begin"/>
      </w:r>
      <w:r>
        <w:instrText xml:space="preserve"> PAGEREF _Toc31618 \h </w:instrText>
      </w:r>
      <w:r>
        <w:fldChar w:fldCharType="separate"/>
      </w:r>
      <w:r>
        <w:t>57</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_Toc20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12、投标保证金递交证明</w:t>
      </w:r>
      <w:r>
        <w:tab/>
      </w:r>
      <w:r>
        <w:fldChar w:fldCharType="begin"/>
      </w:r>
      <w:r>
        <w:instrText xml:space="preserve"> PAGEREF _Toc20 \h </w:instrText>
      </w:r>
      <w:r>
        <w:fldChar w:fldCharType="separate"/>
      </w:r>
      <w:r>
        <w:t>58</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_Toc586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kern w:val="0"/>
        </w:rPr>
        <w:t>13、不参与围标串标承诺书</w:t>
      </w:r>
      <w:r>
        <w:tab/>
      </w:r>
      <w:r>
        <w:fldChar w:fldCharType="begin"/>
      </w:r>
      <w:r>
        <w:instrText xml:space="preserve"> PAGEREF _Toc586 \h </w:instrText>
      </w:r>
      <w:r>
        <w:fldChar w:fldCharType="separate"/>
      </w:r>
      <w:r>
        <w:t>59</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_Toc2265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14、信用查询结果</w:t>
      </w:r>
      <w:r>
        <w:tab/>
      </w:r>
      <w:r>
        <w:fldChar w:fldCharType="begin"/>
      </w:r>
      <w:r>
        <w:instrText xml:space="preserve"> PAGEREF _Toc2265 \h </w:instrText>
      </w:r>
      <w:r>
        <w:fldChar w:fldCharType="separate"/>
      </w:r>
      <w:r>
        <w:t>60</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_Toc22217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15、详细响应说明表</w:t>
      </w:r>
      <w:r>
        <w:tab/>
      </w:r>
      <w:r>
        <w:fldChar w:fldCharType="begin"/>
      </w:r>
      <w:r>
        <w:instrText xml:space="preserve"> PAGEREF _Toc22217 \h </w:instrText>
      </w:r>
      <w:r>
        <w:fldChar w:fldCharType="separate"/>
      </w:r>
      <w:r>
        <w:t>61</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_Toc27792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16、商务偏离说明表</w:t>
      </w:r>
      <w:r>
        <w:tab/>
      </w:r>
      <w:r>
        <w:fldChar w:fldCharType="begin"/>
      </w:r>
      <w:r>
        <w:instrText xml:space="preserve"> PAGEREF _Toc27792 \h </w:instrText>
      </w:r>
      <w:r>
        <w:fldChar w:fldCharType="separate"/>
      </w:r>
      <w:r>
        <w:t>62</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_Toc32555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17、技术偏离说明表</w:t>
      </w:r>
      <w:r>
        <w:tab/>
      </w:r>
      <w:r>
        <w:fldChar w:fldCharType="begin"/>
      </w:r>
      <w:r>
        <w:instrText xml:space="preserve"> PAGEREF _Toc32555 \h </w:instrText>
      </w:r>
      <w:r>
        <w:fldChar w:fldCharType="separate"/>
      </w:r>
      <w:r>
        <w:t>63</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_Toc4982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18、中小企业、监狱企业、残疾人福利性单位</w:t>
      </w:r>
      <w:r>
        <w:tab/>
      </w:r>
      <w:r>
        <w:fldChar w:fldCharType="begin"/>
      </w:r>
      <w:r>
        <w:instrText xml:space="preserve"> PAGEREF _Toc4982 \h </w:instrText>
      </w:r>
      <w:r>
        <w:fldChar w:fldCharType="separate"/>
      </w:r>
      <w:r>
        <w:t>64</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_Toc23151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19、类似项目业绩经验</w:t>
      </w:r>
      <w:r>
        <w:tab/>
      </w:r>
      <w:r>
        <w:fldChar w:fldCharType="begin"/>
      </w:r>
      <w:r>
        <w:instrText xml:space="preserve"> PAGEREF _Toc23151 \h </w:instrText>
      </w:r>
      <w:r>
        <w:fldChar w:fldCharType="separate"/>
      </w:r>
      <w:r>
        <w:t>68</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_Toc357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20、技术方案</w:t>
      </w:r>
      <w:r>
        <w:tab/>
      </w:r>
      <w:r>
        <w:fldChar w:fldCharType="begin"/>
      </w:r>
      <w:r>
        <w:instrText xml:space="preserve"> PAGEREF _Toc357 \h </w:instrText>
      </w:r>
      <w:r>
        <w:fldChar w:fldCharType="separate"/>
      </w:r>
      <w:r>
        <w:t>69</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_Toc17046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21、商务能力</w:t>
      </w:r>
      <w:r>
        <w:tab/>
      </w:r>
      <w:r>
        <w:fldChar w:fldCharType="begin"/>
      </w:r>
      <w:r>
        <w:instrText xml:space="preserve"> PAGEREF _Toc17046 \h </w:instrText>
      </w:r>
      <w:r>
        <w:fldChar w:fldCharType="separate"/>
      </w:r>
      <w:r>
        <w:t>70</w:t>
      </w:r>
      <w:r>
        <w:fldChar w:fldCharType="end"/>
      </w:r>
      <w:r>
        <w:rPr>
          <w:rFonts w:hint="eastAsia" w:asciiTheme="minorEastAsia" w:hAnsiTheme="minorEastAsia" w:cstheme="minorEastAsia"/>
          <w:szCs w:val="21"/>
        </w:rPr>
        <w:fldChar w:fldCharType="end"/>
      </w:r>
    </w:p>
    <w:p>
      <w:pPr>
        <w:pStyle w:val="21"/>
        <w:tabs>
          <w:tab w:val="right" w:leader="dot" w:pos="8279"/>
        </w:tabs>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HYPERLINK \l _Toc8118 </w:instrText>
      </w:r>
      <w:r>
        <w:rPr>
          <w:rFonts w:hint="eastAsia" w:asciiTheme="minorEastAsia" w:hAnsiTheme="minorEastAsia" w:cstheme="minorEastAsia"/>
          <w:szCs w:val="21"/>
        </w:rPr>
        <w:fldChar w:fldCharType="separate"/>
      </w:r>
      <w:r>
        <w:rPr>
          <w:rFonts w:hint="eastAsia" w:asciiTheme="minorEastAsia" w:hAnsiTheme="minorEastAsia" w:eastAsiaTheme="minorEastAsia" w:cstheme="minorEastAsia"/>
        </w:rPr>
        <w:t>22、其他</w:t>
      </w:r>
      <w:r>
        <w:tab/>
      </w:r>
      <w:r>
        <w:fldChar w:fldCharType="begin"/>
      </w:r>
      <w:r>
        <w:instrText xml:space="preserve"> PAGEREF _Toc8118 \h </w:instrText>
      </w:r>
      <w:r>
        <w:fldChar w:fldCharType="separate"/>
      </w:r>
      <w:r>
        <w:t>71</w:t>
      </w:r>
      <w:r>
        <w:fldChar w:fldCharType="end"/>
      </w:r>
      <w:r>
        <w:rPr>
          <w:rFonts w:hint="eastAsia" w:asciiTheme="minorEastAsia" w:hAnsiTheme="minorEastAsia" w:cstheme="minorEastAsia"/>
          <w:szCs w:val="21"/>
        </w:rPr>
        <w:fldChar w:fldCharType="end"/>
      </w:r>
    </w:p>
    <w:p>
      <w:pPr>
        <w:pStyle w:val="2"/>
        <w:jc w:val="center"/>
        <w:rPr>
          <w:rFonts w:asciiTheme="minorEastAsia" w:hAnsiTheme="minorEastAsia" w:cstheme="minorEastAsia"/>
          <w:szCs w:val="21"/>
        </w:rPr>
      </w:pPr>
      <w:r>
        <w:rPr>
          <w:rFonts w:hint="eastAsia" w:asciiTheme="minorEastAsia" w:hAnsiTheme="minorEastAsia" w:cstheme="minorEastAsia"/>
          <w:szCs w:val="21"/>
        </w:rPr>
        <w:fldChar w:fldCharType="end"/>
      </w:r>
      <w:bookmarkStart w:id="0" w:name="_Toc75790889"/>
      <w:bookmarkStart w:id="1" w:name="_Toc121844744"/>
      <w:bookmarkStart w:id="2" w:name="_Toc75790857"/>
    </w:p>
    <w:p>
      <w:pPr>
        <w:pStyle w:val="2"/>
        <w:jc w:val="center"/>
        <w:outlineLvl w:val="0"/>
        <w:rPr>
          <w:rFonts w:asciiTheme="minorEastAsia" w:hAnsiTheme="minorEastAsia" w:cstheme="minorEastAsia"/>
          <w:b/>
          <w:color w:val="000000" w:themeColor="text1"/>
          <w:sz w:val="36"/>
        </w:rPr>
      </w:pPr>
      <w:bookmarkStart w:id="3" w:name="_Toc29126"/>
      <w:r>
        <w:rPr>
          <w:rFonts w:hint="eastAsia" w:asciiTheme="minorEastAsia" w:hAnsiTheme="minorEastAsia" w:cstheme="minorEastAsia"/>
          <w:b/>
          <w:color w:val="000000" w:themeColor="text1"/>
          <w:sz w:val="36"/>
        </w:rPr>
        <w:t>第一章、招标公告</w:t>
      </w:r>
      <w:bookmarkEnd w:id="0"/>
      <w:bookmarkEnd w:id="1"/>
      <w:bookmarkEnd w:id="2"/>
      <w:bookmarkEnd w:id="3"/>
      <w:bookmarkStart w:id="4" w:name="EBbcab609e0bf6445cb7952b8c7da88b0a"/>
    </w:p>
    <w:bookmarkEnd w:id="4"/>
    <w:tbl>
      <w:tblPr>
        <w:tblStyle w:val="24"/>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trPr>
        <w:tc>
          <w:tcPr>
            <w:tcW w:w="8364" w:type="dxa"/>
            <w:noWrap/>
          </w:tcPr>
          <w:p>
            <w:pPr>
              <w:widowControl/>
              <w:spacing w:before="54" w:after="54" w:line="400" w:lineRule="exact"/>
              <w:jc w:val="center"/>
              <w:rPr>
                <w:rFonts w:asciiTheme="minorEastAsia" w:hAnsiTheme="minorEastAsia" w:cstheme="minorEastAsia"/>
                <w:b/>
                <w:color w:val="000000" w:themeColor="text1"/>
                <w:kern w:val="0"/>
                <w:szCs w:val="21"/>
              </w:rPr>
            </w:pPr>
            <w:r>
              <w:rPr>
                <w:rFonts w:hint="eastAsia" w:asciiTheme="minorEastAsia" w:hAnsiTheme="minorEastAsia" w:cstheme="minorEastAsia"/>
                <w:b/>
                <w:color w:val="000000" w:themeColor="text1"/>
                <w:kern w:val="0"/>
                <w:szCs w:val="21"/>
              </w:rPr>
              <w:t>项目概况</w:t>
            </w:r>
          </w:p>
          <w:p>
            <w:pPr>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u w:val="single"/>
                <w:lang w:eastAsia="zh-CN"/>
              </w:rPr>
              <w:t>新疆维吾尔自治区人民医院远程胎心监护服务采购项目（二次采购）</w:t>
            </w:r>
            <w:r>
              <w:rPr>
                <w:rFonts w:hint="eastAsia" w:asciiTheme="minorEastAsia" w:hAnsiTheme="minorEastAsia" w:cstheme="minorEastAsia"/>
                <w:color w:val="000000" w:themeColor="text1"/>
                <w:szCs w:val="21"/>
              </w:rPr>
              <w:t>的潜在投标人应在</w:t>
            </w:r>
            <w:r>
              <w:rPr>
                <w:rFonts w:hint="eastAsia" w:asciiTheme="minorEastAsia" w:hAnsiTheme="minorEastAsia" w:cstheme="minorEastAsia"/>
                <w:color w:val="000000" w:themeColor="text1"/>
                <w:szCs w:val="21"/>
                <w:u w:val="single"/>
              </w:rPr>
              <w:t>政采云平台：</w:t>
            </w:r>
            <w:r>
              <w:rPr>
                <w:rFonts w:hint="eastAsia" w:asciiTheme="minorEastAsia" w:hAnsiTheme="minorEastAsia" w:cstheme="minorEastAsia"/>
                <w:szCs w:val="21"/>
                <w:u w:val="single"/>
              </w:rPr>
              <w:t>2023年</w:t>
            </w:r>
            <w:r>
              <w:rPr>
                <w:rFonts w:hint="eastAsia" w:asciiTheme="minorEastAsia" w:hAnsiTheme="minorEastAsia" w:cstheme="minorEastAsia"/>
                <w:szCs w:val="21"/>
                <w:u w:val="single"/>
                <w:lang w:val="en-US" w:eastAsia="zh-CN"/>
              </w:rPr>
              <w:t>8</w:t>
            </w:r>
            <w:r>
              <w:rPr>
                <w:rFonts w:hint="eastAsia" w:asciiTheme="minorEastAsia" w:hAnsiTheme="minorEastAsia" w:cstheme="minorEastAsia"/>
                <w:szCs w:val="21"/>
                <w:highlight w:val="none"/>
                <w:u w:val="single"/>
              </w:rPr>
              <w:t>月</w:t>
            </w:r>
            <w:r>
              <w:rPr>
                <w:rFonts w:hint="eastAsia" w:asciiTheme="minorEastAsia" w:hAnsiTheme="minorEastAsia" w:cstheme="minorEastAsia"/>
                <w:szCs w:val="21"/>
                <w:highlight w:val="none"/>
                <w:u w:val="single"/>
                <w:lang w:val="en-US" w:eastAsia="zh-CN"/>
              </w:rPr>
              <w:t>16</w:t>
            </w:r>
            <w:r>
              <w:rPr>
                <w:rFonts w:hint="eastAsia" w:asciiTheme="minorEastAsia" w:hAnsiTheme="minorEastAsia" w:cstheme="minorEastAsia"/>
                <w:szCs w:val="21"/>
                <w:highlight w:val="none"/>
                <w:u w:val="single"/>
              </w:rPr>
              <w:t>日11:00（北京时</w:t>
            </w:r>
            <w:r>
              <w:rPr>
                <w:rFonts w:hint="eastAsia" w:asciiTheme="minorEastAsia" w:hAnsiTheme="minorEastAsia" w:cstheme="minorEastAsia"/>
                <w:color w:val="000000" w:themeColor="text1"/>
                <w:szCs w:val="21"/>
                <w:highlight w:val="none"/>
                <w:u w:val="single"/>
              </w:rPr>
              <w:t>间</w:t>
            </w:r>
            <w:r>
              <w:rPr>
                <w:rFonts w:hint="eastAsia" w:asciiTheme="minorEastAsia" w:hAnsiTheme="minorEastAsia" w:cstheme="minorEastAsia"/>
                <w:color w:val="000000" w:themeColor="text1"/>
                <w:szCs w:val="21"/>
                <w:u w:val="single"/>
              </w:rPr>
              <w:t>）前提交投标文件。</w:t>
            </w:r>
          </w:p>
        </w:tc>
      </w:tr>
    </w:tbl>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5" w:name="_Toc121844745"/>
    </w:p>
    <w:p>
      <w:pPr>
        <w:pStyle w:val="23"/>
        <w:autoSpaceDE w:val="0"/>
        <w:spacing w:before="0" w:beforeAutospacing="0" w:after="0" w:afterAutospacing="0" w:line="360" w:lineRule="exact"/>
        <w:jc w:val="both"/>
        <w:rPr>
          <w:rFonts w:asciiTheme="minorEastAsia" w:hAnsiTheme="minorEastAsia" w:eastAsiaTheme="minorEastAsia" w:cstheme="minorEastAsia"/>
          <w:b/>
          <w:color w:val="000000" w:themeColor="text1"/>
          <w:kern w:val="2"/>
          <w:sz w:val="21"/>
          <w:szCs w:val="21"/>
        </w:rPr>
      </w:pPr>
      <w:r>
        <w:rPr>
          <w:rFonts w:hint="eastAsia" w:asciiTheme="minorEastAsia" w:hAnsiTheme="minorEastAsia" w:eastAsiaTheme="minorEastAsia" w:cstheme="minorEastAsia"/>
          <w:b/>
          <w:color w:val="000000" w:themeColor="text1"/>
          <w:kern w:val="2"/>
          <w:sz w:val="21"/>
          <w:szCs w:val="21"/>
        </w:rPr>
        <w:t>一、项目基本情况</w:t>
      </w:r>
      <w:bookmarkEnd w:id="5"/>
    </w:p>
    <w:p>
      <w:pPr>
        <w:spacing w:line="36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color w:val="000000" w:themeColor="text1"/>
          <w:szCs w:val="21"/>
        </w:rPr>
        <w:t>项目编号：</w:t>
      </w:r>
      <w:r>
        <w:rPr>
          <w:rFonts w:hint="eastAsia" w:asciiTheme="minorEastAsia" w:hAnsiTheme="minorEastAsia" w:cstheme="minorEastAsia"/>
          <w:szCs w:val="21"/>
        </w:rPr>
        <w:t>JWZB（2023）Z-245</w:t>
      </w:r>
      <w:r>
        <w:rPr>
          <w:rFonts w:hint="eastAsia" w:asciiTheme="minorEastAsia" w:hAnsiTheme="minorEastAsia" w:cstheme="minorEastAsia"/>
          <w:szCs w:val="21"/>
          <w:lang w:val="en-US" w:eastAsia="zh-CN"/>
        </w:rPr>
        <w:t>-1</w:t>
      </w:r>
    </w:p>
    <w:p>
      <w:pPr>
        <w:spacing w:line="360" w:lineRule="exact"/>
        <w:ind w:left="9" w:firstLine="407" w:firstLineChars="194"/>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szCs w:val="21"/>
        </w:rPr>
        <w:t>项目名称：</w:t>
      </w:r>
      <w:r>
        <w:rPr>
          <w:rFonts w:hint="eastAsia" w:asciiTheme="minorEastAsia" w:hAnsiTheme="minorEastAsia" w:cstheme="minorEastAsia"/>
          <w:color w:val="000000" w:themeColor="text1"/>
          <w:szCs w:val="21"/>
          <w:lang w:eastAsia="zh-CN"/>
        </w:rPr>
        <w:t>新疆维吾尔自治区人民医院远程胎心监护服务采购项目（二次采购）</w:t>
      </w:r>
    </w:p>
    <w:p>
      <w:pPr>
        <w:spacing w:line="36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color w:val="auto"/>
          <w:szCs w:val="21"/>
        </w:rPr>
        <w:t>预算金额</w:t>
      </w:r>
      <w:r>
        <w:rPr>
          <w:rFonts w:hint="eastAsia" w:asciiTheme="minorEastAsia" w:hAnsiTheme="minorEastAsia" w:cstheme="minorEastAsia"/>
          <w:szCs w:val="21"/>
        </w:rPr>
        <w:t>：</w:t>
      </w:r>
      <w:r>
        <w:rPr>
          <w:rFonts w:hint="eastAsia" w:asciiTheme="minorEastAsia" w:hAnsiTheme="minorEastAsia" w:cstheme="minorEastAsia"/>
          <w:szCs w:val="21"/>
          <w:u w:val="single"/>
        </w:rPr>
        <w:t>30</w:t>
      </w:r>
      <w:r>
        <w:rPr>
          <w:rFonts w:hint="eastAsia" w:asciiTheme="minorEastAsia" w:hAnsiTheme="minorEastAsia" w:cstheme="minorEastAsia"/>
          <w:szCs w:val="21"/>
        </w:rPr>
        <w:t>万元</w:t>
      </w:r>
      <w:r>
        <w:rPr>
          <w:rFonts w:hint="eastAsia" w:asciiTheme="minorEastAsia" w:hAnsiTheme="minorEastAsia" w:cstheme="minorEastAsia"/>
          <w:szCs w:val="21"/>
          <w:highlight w:val="none"/>
          <w:lang w:val="en-US" w:eastAsia="zh-CN"/>
        </w:rPr>
        <w:t>/年</w:t>
      </w:r>
    </w:p>
    <w:p>
      <w:pPr>
        <w:spacing w:line="360" w:lineRule="exact"/>
        <w:ind w:firstLine="420" w:firstLineChars="200"/>
        <w:rPr>
          <w:rFonts w:asciiTheme="minorEastAsia" w:hAnsiTheme="minorEastAsia" w:cstheme="minorEastAsia"/>
          <w:color w:val="FF0000"/>
          <w:szCs w:val="21"/>
          <w:highlight w:val="none"/>
        </w:rPr>
      </w:pPr>
      <w:r>
        <w:rPr>
          <w:rFonts w:hint="eastAsia" w:asciiTheme="minorEastAsia" w:hAnsiTheme="minorEastAsia" w:cstheme="minorEastAsia"/>
          <w:szCs w:val="21"/>
        </w:rPr>
        <w:t>最高限价：</w:t>
      </w:r>
      <w:r>
        <w:rPr>
          <w:rFonts w:hint="eastAsia" w:asciiTheme="minorEastAsia" w:hAnsiTheme="minorEastAsia" w:cstheme="minorEastAsia"/>
          <w:b/>
          <w:bCs/>
          <w:szCs w:val="21"/>
          <w:highlight w:val="none"/>
        </w:rPr>
        <w:t>投标人的报价不得高于该监护项目新疆医疗服务价格收取标准的</w:t>
      </w:r>
      <w:r>
        <w:rPr>
          <w:rFonts w:hint="eastAsia" w:asciiTheme="minorEastAsia" w:hAnsiTheme="minorEastAsia" w:cstheme="minorEastAsia"/>
          <w:b/>
          <w:bCs/>
          <w:szCs w:val="21"/>
          <w:highlight w:val="none"/>
          <w:lang w:val="en-US" w:eastAsia="zh-CN"/>
        </w:rPr>
        <w:t>7</w:t>
      </w:r>
      <w:r>
        <w:rPr>
          <w:rFonts w:hint="eastAsia" w:asciiTheme="minorEastAsia" w:hAnsiTheme="minorEastAsia" w:cstheme="minorEastAsia"/>
          <w:b/>
          <w:bCs/>
          <w:szCs w:val="21"/>
          <w:highlight w:val="none"/>
        </w:rPr>
        <w:t>0%</w:t>
      </w:r>
    </w:p>
    <w:p>
      <w:pPr>
        <w:spacing w:line="360" w:lineRule="exact"/>
        <w:ind w:left="9" w:firstLine="41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采购需求：</w:t>
      </w:r>
      <w:r>
        <w:rPr>
          <w:rFonts w:hint="eastAsia" w:asciiTheme="minorEastAsia" w:hAnsiTheme="minorEastAsia" w:cstheme="minorEastAsia"/>
          <w:color w:val="000000" w:themeColor="text1"/>
          <w:szCs w:val="21"/>
          <w:lang w:eastAsia="zh-CN"/>
        </w:rPr>
        <w:t>新疆维吾尔自治区人民医院</w:t>
      </w:r>
      <w:r>
        <w:rPr>
          <w:rFonts w:hint="eastAsia" w:asciiTheme="minorEastAsia" w:hAnsiTheme="minorEastAsia" w:cstheme="minorEastAsia"/>
          <w:color w:val="000000" w:themeColor="text1"/>
          <w:szCs w:val="21"/>
        </w:rPr>
        <w:t>远程胎心监护服务</w:t>
      </w:r>
      <w:r>
        <w:rPr>
          <w:rFonts w:hint="eastAsia" w:asciiTheme="minorEastAsia" w:hAnsiTheme="minorEastAsia" w:cstheme="minorEastAsia"/>
          <w:color w:val="000000" w:themeColor="text1"/>
          <w:szCs w:val="21"/>
          <w:lang w:eastAsia="zh-CN"/>
        </w:rPr>
        <w:t>采购</w:t>
      </w:r>
      <w:r>
        <w:rPr>
          <w:rFonts w:hint="eastAsia" w:asciiTheme="minorEastAsia" w:hAnsiTheme="minorEastAsia" w:cstheme="minorEastAsia"/>
          <w:color w:val="000000" w:themeColor="text1"/>
          <w:szCs w:val="21"/>
        </w:rPr>
        <w:t>,具体内容详见第三章采购需求。</w:t>
      </w:r>
    </w:p>
    <w:p>
      <w:pPr>
        <w:spacing w:line="360" w:lineRule="exact"/>
        <w:ind w:firstLine="420" w:firstLineChars="200"/>
        <w:rPr>
          <w:rFonts w:asciiTheme="minorEastAsia" w:hAnsiTheme="minorEastAsia" w:cstheme="minorEastAsia"/>
          <w:szCs w:val="21"/>
        </w:rPr>
      </w:pPr>
      <w:r>
        <w:rPr>
          <w:rFonts w:hint="eastAsia" w:asciiTheme="minorEastAsia" w:hAnsiTheme="minorEastAsia" w:cstheme="minorEastAsia"/>
          <w:color w:val="000000" w:themeColor="text1"/>
          <w:szCs w:val="21"/>
        </w:rPr>
        <w:t>合同履行期限</w:t>
      </w:r>
      <w:r>
        <w:rPr>
          <w:rFonts w:hint="eastAsia" w:asciiTheme="minorEastAsia" w:hAnsiTheme="minorEastAsia" w:cstheme="minorEastAsia"/>
          <w:b w:val="0"/>
          <w:bCs w:val="0"/>
          <w:color w:val="000000" w:themeColor="text1"/>
          <w:szCs w:val="21"/>
        </w:rPr>
        <w:t>：</w:t>
      </w:r>
      <w:r>
        <w:rPr>
          <w:rFonts w:hint="eastAsia" w:asciiTheme="minorEastAsia" w:hAnsiTheme="minorEastAsia" w:cstheme="minorEastAsia"/>
          <w:b w:val="0"/>
          <w:bCs w:val="0"/>
          <w:kern w:val="2"/>
          <w:sz w:val="21"/>
          <w:szCs w:val="21"/>
          <w:highlight w:val="none"/>
          <w:lang w:val="en-US" w:eastAsia="zh-CN"/>
        </w:rPr>
        <w:t>以签订合同为准</w:t>
      </w:r>
      <w:r>
        <w:rPr>
          <w:rFonts w:hint="eastAsia" w:asciiTheme="minorEastAsia" w:hAnsiTheme="minorEastAsia" w:cstheme="minorEastAsia"/>
          <w:b w:val="0"/>
          <w:bCs w:val="0"/>
          <w:szCs w:val="21"/>
        </w:rPr>
        <w:t>。</w:t>
      </w:r>
    </w:p>
    <w:p>
      <w:pPr>
        <w:spacing w:line="360" w:lineRule="exact"/>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本项目不接受联合体投标。</w:t>
      </w:r>
    </w:p>
    <w:p>
      <w:pPr>
        <w:pStyle w:val="23"/>
        <w:autoSpaceDE w:val="0"/>
        <w:spacing w:before="0" w:beforeAutospacing="0" w:after="0" w:afterAutospacing="0" w:line="360" w:lineRule="exact"/>
        <w:jc w:val="both"/>
        <w:outlineLvl w:val="1"/>
        <w:rPr>
          <w:rFonts w:asciiTheme="minorEastAsia" w:hAnsiTheme="minorEastAsia" w:eastAsiaTheme="minorEastAsia" w:cstheme="minorEastAsia"/>
          <w:b/>
          <w:color w:val="000000" w:themeColor="text1"/>
          <w:kern w:val="2"/>
          <w:sz w:val="21"/>
          <w:szCs w:val="21"/>
        </w:rPr>
      </w:pPr>
      <w:bookmarkStart w:id="6" w:name="_Toc6906"/>
      <w:bookmarkStart w:id="7" w:name="_Toc121844746"/>
      <w:r>
        <w:rPr>
          <w:rFonts w:hint="eastAsia" w:asciiTheme="minorEastAsia" w:hAnsiTheme="minorEastAsia" w:eastAsiaTheme="minorEastAsia" w:cstheme="minorEastAsia"/>
          <w:b/>
          <w:color w:val="000000" w:themeColor="text1"/>
          <w:kern w:val="2"/>
          <w:sz w:val="21"/>
          <w:szCs w:val="21"/>
        </w:rPr>
        <w:t>二、申请人的资格要求</w:t>
      </w:r>
      <w:bookmarkEnd w:id="6"/>
      <w:bookmarkEnd w:id="7"/>
    </w:p>
    <w:p>
      <w:pPr>
        <w:spacing w:line="360" w:lineRule="exact"/>
        <w:ind w:firstLine="420" w:firstLineChars="200"/>
        <w:rPr>
          <w:rFonts w:asciiTheme="minorEastAsia" w:hAnsiTheme="minorEastAsia" w:cstheme="minorEastAsia"/>
          <w:color w:val="000000" w:themeColor="text1"/>
          <w:szCs w:val="21"/>
          <w:u w:val="single"/>
        </w:rPr>
      </w:pPr>
      <w:r>
        <w:rPr>
          <w:rFonts w:hint="eastAsia" w:asciiTheme="minorEastAsia" w:hAnsiTheme="minorEastAsia" w:cstheme="minorEastAsia"/>
          <w:color w:val="000000" w:themeColor="text1"/>
          <w:szCs w:val="21"/>
        </w:rPr>
        <w:t>1、满足《中华人民共和国政府采购法》第二十二条规定。</w:t>
      </w:r>
    </w:p>
    <w:p>
      <w:pPr>
        <w:spacing w:line="360" w:lineRule="exact"/>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2、落实政府采购政策需满足的资格要求：</w:t>
      </w:r>
      <w:r>
        <w:rPr>
          <w:rFonts w:hint="eastAsia" w:asciiTheme="minorEastAsia" w:hAnsiTheme="minorEastAsia" w:cstheme="minorEastAsia"/>
          <w:color w:val="000000" w:themeColor="text1"/>
          <w:szCs w:val="21"/>
          <w:u w:val="single"/>
        </w:rPr>
        <w:t>本项目为专门面向中小企业采购项目（中小企业，是指在中华人民共和国境内依法设立，依据国务院批准的中小企业划分标准确定的中型企业、小型企业和微型企业），还包括监狱企业或残疾人福利性单位</w:t>
      </w:r>
      <w:r>
        <w:rPr>
          <w:rFonts w:hint="eastAsia" w:asciiTheme="minorEastAsia" w:hAnsiTheme="minorEastAsia" w:cstheme="minorEastAsia"/>
          <w:color w:val="000000" w:themeColor="text1"/>
          <w:szCs w:val="21"/>
        </w:rPr>
        <w:t>。</w:t>
      </w:r>
    </w:p>
    <w:p>
      <w:pPr>
        <w:spacing w:line="360" w:lineRule="exact"/>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3、本项目的特定资格要求：</w:t>
      </w:r>
      <w:r>
        <w:rPr>
          <w:rFonts w:hint="eastAsia" w:asciiTheme="minorEastAsia" w:hAnsiTheme="minorEastAsia" w:cstheme="minorEastAsia"/>
          <w:color w:val="000000" w:themeColor="text1"/>
          <w:szCs w:val="21"/>
          <w:u w:val="single"/>
        </w:rPr>
        <w:t>无</w:t>
      </w:r>
      <w:r>
        <w:rPr>
          <w:rFonts w:hint="eastAsia" w:asciiTheme="minorEastAsia" w:hAnsiTheme="minorEastAsia" w:cstheme="minorEastAsia"/>
          <w:color w:val="000000" w:themeColor="text1"/>
          <w:szCs w:val="21"/>
        </w:rPr>
        <w:t>。</w:t>
      </w:r>
    </w:p>
    <w:p>
      <w:pPr>
        <w:pStyle w:val="23"/>
        <w:autoSpaceDE w:val="0"/>
        <w:spacing w:before="0" w:beforeAutospacing="0" w:after="0" w:afterAutospacing="0" w:line="360" w:lineRule="exact"/>
        <w:jc w:val="both"/>
        <w:outlineLvl w:val="1"/>
        <w:rPr>
          <w:rFonts w:asciiTheme="minorEastAsia" w:hAnsiTheme="minorEastAsia" w:eastAsiaTheme="minorEastAsia" w:cstheme="minorEastAsia"/>
          <w:b/>
          <w:color w:val="000000" w:themeColor="text1"/>
          <w:kern w:val="2"/>
          <w:sz w:val="21"/>
          <w:szCs w:val="21"/>
        </w:rPr>
      </w:pPr>
      <w:bookmarkStart w:id="8" w:name="_Toc20837"/>
      <w:bookmarkStart w:id="9" w:name="_Toc121844747"/>
      <w:r>
        <w:rPr>
          <w:rFonts w:hint="eastAsia" w:asciiTheme="minorEastAsia" w:hAnsiTheme="minorEastAsia" w:eastAsiaTheme="minorEastAsia" w:cstheme="minorEastAsia"/>
          <w:b/>
          <w:color w:val="000000" w:themeColor="text1"/>
          <w:kern w:val="2"/>
          <w:sz w:val="21"/>
          <w:szCs w:val="21"/>
        </w:rPr>
        <w:t>三、获取招标文件</w:t>
      </w:r>
      <w:bookmarkEnd w:id="8"/>
      <w:bookmarkEnd w:id="9"/>
    </w:p>
    <w:p>
      <w:pPr>
        <w:spacing w:line="360" w:lineRule="exact"/>
        <w:ind w:firstLine="420" w:firstLineChars="200"/>
        <w:rPr>
          <w:rFonts w:asciiTheme="minorEastAsia" w:hAnsiTheme="minorEastAsia" w:cstheme="minorEastAsia"/>
          <w:szCs w:val="21"/>
        </w:rPr>
      </w:pPr>
      <w:r>
        <w:rPr>
          <w:rFonts w:hint="eastAsia" w:asciiTheme="minorEastAsia" w:hAnsiTheme="minorEastAsia" w:cstheme="minorEastAsia"/>
          <w:color w:val="000000" w:themeColor="text1"/>
          <w:szCs w:val="21"/>
        </w:rPr>
        <w:t>时间：</w:t>
      </w:r>
      <w:r>
        <w:rPr>
          <w:rFonts w:hint="eastAsia" w:asciiTheme="minorEastAsia" w:hAnsiTheme="minorEastAsia" w:cstheme="minorEastAsia"/>
          <w:szCs w:val="21"/>
        </w:rPr>
        <w:t>2023年</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26</w:t>
      </w:r>
      <w:r>
        <w:rPr>
          <w:rFonts w:hint="eastAsia" w:asciiTheme="minorEastAsia" w:hAnsiTheme="minorEastAsia" w:cstheme="minorEastAsia"/>
          <w:szCs w:val="21"/>
        </w:rPr>
        <w:t>日至 2023年</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日</w:t>
      </w:r>
    </w:p>
    <w:p>
      <w:pPr>
        <w:spacing w:line="360" w:lineRule="exact"/>
        <w:ind w:firstLine="420" w:firstLineChars="200"/>
        <w:rPr>
          <w:rFonts w:asciiTheme="minorEastAsia" w:hAnsiTheme="minorEastAsia" w:cstheme="minorEastAsia"/>
          <w:color w:val="000000" w:themeColor="text1"/>
          <w:szCs w:val="21"/>
          <w:u w:val="single"/>
        </w:rPr>
      </w:pPr>
      <w:r>
        <w:rPr>
          <w:rFonts w:hint="eastAsia" w:asciiTheme="minorEastAsia" w:hAnsiTheme="minorEastAsia" w:cstheme="minorEastAsia"/>
          <w:color w:val="000000" w:themeColor="text1"/>
          <w:szCs w:val="21"/>
        </w:rPr>
        <w:t>地点：政采云平台线上获取采购文件（</w:t>
      </w:r>
      <w:r>
        <w:fldChar w:fldCharType="begin"/>
      </w:r>
      <w:r>
        <w:instrText xml:space="preserve"> HYPERLINK "https://www.zcygov.cn/" </w:instrText>
      </w:r>
      <w:r>
        <w:fldChar w:fldCharType="separate"/>
      </w:r>
      <w:r>
        <w:rPr>
          <w:rStyle w:val="36"/>
          <w:rFonts w:hint="eastAsia" w:asciiTheme="minorEastAsia" w:hAnsiTheme="minorEastAsia" w:cstheme="minorEastAsia"/>
          <w:color w:val="000000" w:themeColor="text1"/>
          <w:szCs w:val="21"/>
        </w:rPr>
        <w:t>https://www.zcygov.cn/</w:t>
      </w:r>
      <w:r>
        <w:rPr>
          <w:rStyle w:val="36"/>
          <w:rFonts w:hint="eastAsia" w:asciiTheme="minorEastAsia" w:hAnsiTheme="minorEastAsia" w:cstheme="minorEastAsia"/>
          <w:color w:val="000000" w:themeColor="text1"/>
          <w:szCs w:val="21"/>
        </w:rPr>
        <w:fldChar w:fldCharType="end"/>
      </w:r>
      <w:r>
        <w:rPr>
          <w:rFonts w:hint="eastAsia" w:asciiTheme="minorEastAsia" w:hAnsiTheme="minorEastAsia" w:cstheme="minorEastAsia"/>
          <w:color w:val="000000" w:themeColor="text1"/>
          <w:szCs w:val="21"/>
        </w:rPr>
        <w:t>）</w:t>
      </w:r>
    </w:p>
    <w:p>
      <w:pPr>
        <w:spacing w:line="360" w:lineRule="exact"/>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方式：投标人登陆政采云平台https://www.zcygov.cn/进入“项目采购”栏目，在获取采购文件菜单中选择项目，获取采购文件。</w:t>
      </w:r>
    </w:p>
    <w:p>
      <w:pPr>
        <w:spacing w:line="360" w:lineRule="exact"/>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售价（元）：0</w:t>
      </w:r>
    </w:p>
    <w:p>
      <w:pPr>
        <w:pStyle w:val="23"/>
        <w:autoSpaceDE w:val="0"/>
        <w:spacing w:before="0" w:beforeAutospacing="0" w:after="0" w:afterAutospacing="0" w:line="360" w:lineRule="exact"/>
        <w:jc w:val="both"/>
        <w:outlineLvl w:val="1"/>
        <w:rPr>
          <w:rFonts w:asciiTheme="minorEastAsia" w:hAnsiTheme="minorEastAsia" w:eastAsiaTheme="minorEastAsia" w:cstheme="minorEastAsia"/>
          <w:b/>
          <w:color w:val="000000" w:themeColor="text1"/>
          <w:kern w:val="2"/>
          <w:sz w:val="21"/>
          <w:szCs w:val="21"/>
        </w:rPr>
      </w:pPr>
      <w:bookmarkStart w:id="10" w:name="_Toc29054"/>
      <w:bookmarkStart w:id="11" w:name="_Toc121844748"/>
      <w:r>
        <w:rPr>
          <w:rFonts w:hint="eastAsia" w:asciiTheme="minorEastAsia" w:hAnsiTheme="minorEastAsia" w:eastAsiaTheme="minorEastAsia" w:cstheme="minorEastAsia"/>
          <w:b/>
          <w:color w:val="000000" w:themeColor="text1"/>
          <w:kern w:val="2"/>
          <w:sz w:val="21"/>
          <w:szCs w:val="21"/>
        </w:rPr>
        <w:t>四、提交投标文件截止时间、开标时间和地点</w:t>
      </w:r>
      <w:bookmarkEnd w:id="10"/>
      <w:bookmarkEnd w:id="11"/>
    </w:p>
    <w:p>
      <w:pPr>
        <w:spacing w:line="3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时间：2023年</w:t>
      </w:r>
      <w:r>
        <w:rPr>
          <w:rFonts w:hint="eastAsia" w:asciiTheme="minorEastAsia" w:hAnsiTheme="minorEastAsia" w:cstheme="minorEastAsia"/>
          <w:szCs w:val="21"/>
          <w:highlight w:val="none"/>
          <w:lang w:val="en-US" w:eastAsia="zh-CN"/>
        </w:rPr>
        <w:t>8</w:t>
      </w:r>
      <w:r>
        <w:rPr>
          <w:rFonts w:hint="eastAsia" w:asciiTheme="minorEastAsia" w:hAnsiTheme="minorEastAsia" w:cstheme="minorEastAsia"/>
          <w:szCs w:val="21"/>
          <w:highlight w:val="none"/>
        </w:rPr>
        <w:t>月</w:t>
      </w:r>
      <w:r>
        <w:rPr>
          <w:rFonts w:hint="eastAsia" w:asciiTheme="minorEastAsia" w:hAnsiTheme="minorEastAsia" w:cstheme="minorEastAsia"/>
          <w:szCs w:val="21"/>
          <w:highlight w:val="none"/>
          <w:lang w:val="en-US" w:eastAsia="zh-CN"/>
        </w:rPr>
        <w:t>16</w:t>
      </w:r>
      <w:r>
        <w:rPr>
          <w:rFonts w:hint="eastAsia" w:asciiTheme="minorEastAsia" w:hAnsiTheme="minorEastAsia" w:cstheme="minorEastAsia"/>
          <w:szCs w:val="21"/>
          <w:highlight w:val="none"/>
        </w:rPr>
        <w:t>日11点00</w:t>
      </w:r>
      <w:r>
        <w:rPr>
          <w:rFonts w:hint="eastAsia" w:asciiTheme="minorEastAsia" w:hAnsiTheme="minorEastAsia" w:cstheme="minorEastAsia"/>
          <w:szCs w:val="21"/>
        </w:rPr>
        <w:t>分（北京时间）</w:t>
      </w:r>
    </w:p>
    <w:p>
      <w:pPr>
        <w:spacing w:line="360" w:lineRule="exact"/>
        <w:ind w:firstLine="420" w:firstLineChars="200"/>
        <w:rPr>
          <w:rFonts w:asciiTheme="minorEastAsia" w:hAnsiTheme="minorEastAsia" w:cstheme="minorEastAsia"/>
          <w:b/>
          <w:bCs/>
          <w:color w:val="000000" w:themeColor="text1"/>
          <w:szCs w:val="21"/>
        </w:rPr>
      </w:pPr>
      <w:r>
        <w:rPr>
          <w:rFonts w:hint="eastAsia" w:asciiTheme="minorEastAsia" w:hAnsiTheme="minorEastAsia" w:cstheme="minorEastAsia"/>
          <w:color w:val="000000" w:themeColor="text1"/>
          <w:szCs w:val="21"/>
        </w:rPr>
        <w:t>地点：政采云平台（</w:t>
      </w:r>
      <w:r>
        <w:fldChar w:fldCharType="begin"/>
      </w:r>
      <w:r>
        <w:instrText xml:space="preserve"> HYPERLINK "https://www.zcygov.cn/" </w:instrText>
      </w:r>
      <w:r>
        <w:fldChar w:fldCharType="separate"/>
      </w:r>
      <w:r>
        <w:rPr>
          <w:rFonts w:hint="eastAsia" w:asciiTheme="minorEastAsia" w:hAnsiTheme="minorEastAsia" w:cstheme="minorEastAsia"/>
          <w:color w:val="000000" w:themeColor="text1"/>
          <w:szCs w:val="21"/>
        </w:rPr>
        <w:t>https://www.zcygov.cn/</w:t>
      </w:r>
      <w:r>
        <w:rPr>
          <w:rFonts w:hint="eastAsia" w:asciiTheme="minorEastAsia" w:hAnsiTheme="minorEastAsia" w:cstheme="minorEastAsia"/>
          <w:color w:val="000000" w:themeColor="text1"/>
          <w:szCs w:val="21"/>
        </w:rPr>
        <w:fldChar w:fldCharType="end"/>
      </w:r>
      <w:r>
        <w:rPr>
          <w:rFonts w:hint="eastAsia" w:asciiTheme="minorEastAsia" w:hAnsiTheme="minorEastAsia" w:cstheme="minorEastAsia"/>
          <w:color w:val="000000" w:themeColor="text1"/>
          <w:szCs w:val="21"/>
        </w:rPr>
        <w:t>）不见面开标大厅</w:t>
      </w:r>
    </w:p>
    <w:p>
      <w:pPr>
        <w:pStyle w:val="23"/>
        <w:autoSpaceDE w:val="0"/>
        <w:spacing w:before="0" w:beforeAutospacing="0" w:after="0" w:afterAutospacing="0" w:line="360" w:lineRule="exact"/>
        <w:jc w:val="both"/>
        <w:outlineLvl w:val="1"/>
        <w:rPr>
          <w:rFonts w:asciiTheme="minorEastAsia" w:hAnsiTheme="minorEastAsia" w:eastAsiaTheme="minorEastAsia" w:cstheme="minorEastAsia"/>
          <w:b/>
          <w:color w:val="000000" w:themeColor="text1"/>
          <w:kern w:val="2"/>
          <w:sz w:val="21"/>
          <w:szCs w:val="21"/>
        </w:rPr>
      </w:pPr>
      <w:bookmarkStart w:id="12" w:name="_Toc31448"/>
      <w:bookmarkStart w:id="13" w:name="_Toc121844749"/>
      <w:r>
        <w:rPr>
          <w:rFonts w:hint="eastAsia" w:asciiTheme="minorEastAsia" w:hAnsiTheme="minorEastAsia" w:eastAsiaTheme="minorEastAsia" w:cstheme="minorEastAsia"/>
          <w:b/>
          <w:color w:val="000000" w:themeColor="text1"/>
          <w:kern w:val="2"/>
          <w:sz w:val="21"/>
          <w:szCs w:val="21"/>
        </w:rPr>
        <w:t>五、公告期限</w:t>
      </w:r>
      <w:bookmarkEnd w:id="12"/>
      <w:bookmarkEnd w:id="13"/>
    </w:p>
    <w:p>
      <w:pPr>
        <w:widowControl/>
        <w:spacing w:before="54" w:after="54" w:line="360" w:lineRule="exact"/>
        <w:ind w:firstLine="420" w:firstLineChars="200"/>
        <w:jc w:val="left"/>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kern w:val="0"/>
          <w:szCs w:val="21"/>
        </w:rPr>
        <w:t>自本公告发布之日起5个工作日。</w:t>
      </w:r>
    </w:p>
    <w:p>
      <w:pPr>
        <w:pStyle w:val="23"/>
        <w:numPr>
          <w:ilvl w:val="0"/>
          <w:numId w:val="2"/>
        </w:numPr>
        <w:autoSpaceDE w:val="0"/>
        <w:spacing w:before="0" w:beforeAutospacing="0" w:after="0" w:afterAutospacing="0" w:line="360" w:lineRule="exact"/>
        <w:jc w:val="both"/>
        <w:outlineLvl w:val="1"/>
        <w:rPr>
          <w:rFonts w:asciiTheme="minorEastAsia" w:hAnsiTheme="minorEastAsia" w:eastAsiaTheme="minorEastAsia" w:cstheme="minorEastAsia"/>
          <w:b/>
          <w:kern w:val="2"/>
          <w:sz w:val="21"/>
          <w:szCs w:val="21"/>
        </w:rPr>
      </w:pPr>
      <w:bookmarkStart w:id="14" w:name="_Toc121844750"/>
      <w:bookmarkStart w:id="15" w:name="_Toc18124"/>
      <w:r>
        <w:rPr>
          <w:rFonts w:hint="eastAsia" w:asciiTheme="minorEastAsia" w:hAnsiTheme="minorEastAsia" w:eastAsiaTheme="minorEastAsia" w:cstheme="minorEastAsia"/>
          <w:b/>
          <w:kern w:val="2"/>
          <w:sz w:val="21"/>
          <w:szCs w:val="21"/>
        </w:rPr>
        <w:t>其他补充事宜</w:t>
      </w:r>
      <w:bookmarkEnd w:id="14"/>
      <w:bookmarkEnd w:id="15"/>
    </w:p>
    <w:p>
      <w:pPr>
        <w:pStyle w:val="23"/>
        <w:numPr>
          <w:ilvl w:val="0"/>
          <w:numId w:val="0"/>
        </w:numPr>
        <w:autoSpaceDE w:val="0"/>
        <w:spacing w:before="0" w:beforeAutospacing="0" w:after="0" w:afterAutospacing="0" w:line="360" w:lineRule="exact"/>
        <w:jc w:val="both"/>
        <w:outlineLvl w:val="9"/>
        <w:rPr>
          <w:rFonts w:hint="default" w:asciiTheme="minorEastAsia" w:hAnsiTheme="minorEastAsia" w:eastAsiaTheme="minorEastAsia" w:cstheme="minorEastAsia"/>
          <w:b/>
          <w:kern w:val="2"/>
          <w:sz w:val="21"/>
          <w:szCs w:val="21"/>
          <w:highlight w:val="none"/>
          <w:lang w:val="en-US" w:eastAsia="zh-CN"/>
        </w:rPr>
      </w:pPr>
      <w:r>
        <w:rPr>
          <w:rFonts w:hint="eastAsia" w:asciiTheme="minorEastAsia" w:hAnsiTheme="minorEastAsia" w:eastAsiaTheme="minorEastAsia" w:cstheme="minorEastAsia"/>
          <w:b/>
          <w:kern w:val="2"/>
          <w:sz w:val="21"/>
          <w:szCs w:val="21"/>
          <w:lang w:val="en-US" w:eastAsia="zh-CN"/>
        </w:rPr>
        <w:t xml:space="preserve">   </w:t>
      </w:r>
      <w:r>
        <w:rPr>
          <w:rFonts w:hint="eastAsia" w:asciiTheme="minorEastAsia" w:hAnsiTheme="minorEastAsia" w:eastAsiaTheme="minorEastAsia" w:cstheme="minorEastAsia"/>
          <w:b/>
          <w:kern w:val="2"/>
          <w:sz w:val="21"/>
          <w:szCs w:val="21"/>
          <w:highlight w:val="none"/>
          <w:lang w:val="en-US" w:eastAsia="zh-CN"/>
        </w:rPr>
        <w:t xml:space="preserve"> 1、上述预算金额为一年预算金额。</w:t>
      </w:r>
    </w:p>
    <w:p>
      <w:pPr>
        <w:widowControl/>
        <w:spacing w:line="360" w:lineRule="exact"/>
        <w:ind w:firstLine="420" w:firstLineChars="200"/>
        <w:rPr>
          <w:rFonts w:asciiTheme="minorEastAsia" w:hAnsiTheme="minorEastAsia" w:cstheme="minorEastAsia"/>
          <w:bCs/>
          <w:color w:val="000000" w:themeColor="text1"/>
          <w:kern w:val="0"/>
          <w:szCs w:val="21"/>
        </w:rPr>
      </w:pPr>
      <w:r>
        <w:rPr>
          <w:rFonts w:hint="eastAsia" w:asciiTheme="minorEastAsia" w:hAnsiTheme="minorEastAsia" w:cstheme="minorEastAsia"/>
          <w:bCs/>
          <w:szCs w:val="21"/>
          <w:lang w:val="en-US" w:eastAsia="zh-CN"/>
        </w:rPr>
        <w:t>2</w:t>
      </w:r>
      <w:r>
        <w:rPr>
          <w:rFonts w:hint="eastAsia" w:asciiTheme="minorEastAsia" w:hAnsiTheme="minorEastAsia" w:cstheme="minorEastAsia"/>
          <w:bCs/>
          <w:szCs w:val="21"/>
        </w:rPr>
        <w:t>、本项目实行网上交易，电子交易平台为“政府采购云平台（www.zcygov.cn）”。开标当日，投标人仅需在任意地点通过电子交易平台为“政府采购云平台（www.zcygov.cn）”完成文件传输、远程解密、提疑澄清、开标唱标、结果公布等交互环节，上述环节操作不需在开标现场进行。</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lang w:val="en-US" w:eastAsia="zh-CN"/>
        </w:rPr>
        <w:t>3</w:t>
      </w:r>
      <w:r>
        <w:rPr>
          <w:rFonts w:hint="eastAsia" w:asciiTheme="minorEastAsia" w:hAnsiTheme="minorEastAsia" w:cstheme="minorEastAsia"/>
          <w:color w:val="000000" w:themeColor="text1"/>
          <w:kern w:val="0"/>
          <w:szCs w:val="21"/>
        </w:rPr>
        <w:t>、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lang w:val="en-US" w:eastAsia="zh-CN"/>
        </w:rPr>
        <w:t>4</w:t>
      </w:r>
      <w:r>
        <w:rPr>
          <w:rFonts w:hint="eastAsia" w:asciiTheme="minorEastAsia" w:hAnsiTheme="minorEastAsia" w:cstheme="minorEastAsia"/>
          <w:color w:val="000000" w:themeColor="text1"/>
          <w:kern w:val="0"/>
          <w:szCs w:val="21"/>
        </w:rPr>
        <w:t>、供应商将政采云电子交易客户端下载、安装完成后，可通过账号密码或CA登录客户端进行投标文件的制作。在使用政采云投标客户端时，建议使用WIN7（64位）及以上操作系统。客户端请</w:t>
      </w:r>
      <w:r>
        <w:rPr>
          <w:rFonts w:hint="eastAsia" w:asciiTheme="minorEastAsia" w:hAnsiTheme="minorEastAsia" w:cstheme="minorEastAsia"/>
          <w:kern w:val="0"/>
          <w:szCs w:val="21"/>
        </w:rPr>
        <w:t>至新疆政府采购网（http://ccgp-xinjiang.gov.cn/）下载</w:t>
      </w:r>
      <w:r>
        <w:rPr>
          <w:rFonts w:hint="eastAsia" w:asciiTheme="minorEastAsia" w:hAnsiTheme="minorEastAsia" w:cstheme="minorEastAsia"/>
          <w:color w:val="000000" w:themeColor="text1"/>
          <w:kern w:val="0"/>
          <w:szCs w:val="21"/>
        </w:rPr>
        <w:t>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360" w:lineRule="exact"/>
        <w:ind w:firstLine="420" w:firstLineChars="200"/>
        <w:rPr>
          <w:rFonts w:asciiTheme="minorEastAsia" w:hAnsiTheme="minorEastAsia" w:cstheme="minorEastAsia"/>
          <w:b/>
          <w:color w:val="000000" w:themeColor="text1"/>
          <w:szCs w:val="21"/>
        </w:rPr>
      </w:pPr>
      <w:r>
        <w:rPr>
          <w:rFonts w:hint="eastAsia" w:asciiTheme="minorEastAsia" w:hAnsiTheme="minorEastAsia" w:cstheme="minorEastAsia"/>
          <w:color w:val="000000" w:themeColor="text1"/>
          <w:kern w:val="0"/>
          <w:szCs w:val="21"/>
          <w:lang w:val="en-US" w:eastAsia="zh-CN"/>
        </w:rPr>
        <w:t>5</w:t>
      </w:r>
      <w:r>
        <w:rPr>
          <w:rFonts w:hint="eastAsia" w:asciiTheme="minorEastAsia" w:hAnsiTheme="minorEastAsia" w:cstheme="minorEastAsia"/>
          <w:color w:val="000000" w:themeColor="text1"/>
          <w:kern w:val="0"/>
          <w:szCs w:val="21"/>
        </w:rPr>
        <w:t>、采购项目需要落实的政府采购政策：</w:t>
      </w:r>
      <w:bookmarkStart w:id="16" w:name="_Toc121844751"/>
      <w:r>
        <w:rPr>
          <w:rFonts w:hint="eastAsia" w:asciiTheme="minorEastAsia" w:hAnsiTheme="minorEastAsia" w:cstheme="minorEastAsia"/>
          <w:color w:val="000000" w:themeColor="text1"/>
          <w:kern w:val="0"/>
          <w:szCs w:val="21"/>
        </w:rPr>
        <w:t>（1）财政部、发展改革委、生态环境部、市场监管总局《关于调整优化节能产品、环境标志产品政府采购执行机制的通知》（财库〔2019〕9号）、（2）财政部、发展改革委《关于印发节能产品政府采购品目清单的通知》（财库〔2019〕19号）、（3）《关于印发环境标志产品政府采购品目清单的通知》(财库〔2019〕18号)、（4）财政部、工业和信息化部文件关于印发《政府采购促进中小企业发展管理办法》（财库〔2020〕46号文）、（5）《关于进一步加大政府采购支持中小企业力度的通知》（财库〔2022〕19号）、（6）财政部、司法部《关于政府采购支持监狱企业发展有关问题的通知》（财库〔2014〕68号）、（7）财政部、民政部、中国残疾人联合会文件《关于促进残疾人就业政府采购政策的通知》（财库〔2017〕141号）。</w:t>
      </w:r>
    </w:p>
    <w:p>
      <w:pPr>
        <w:pStyle w:val="23"/>
        <w:autoSpaceDE w:val="0"/>
        <w:spacing w:before="0" w:beforeAutospacing="0" w:after="0" w:afterAutospacing="0" w:line="360" w:lineRule="exact"/>
        <w:jc w:val="both"/>
        <w:outlineLvl w:val="9"/>
        <w:rPr>
          <w:rFonts w:asciiTheme="minorEastAsia" w:hAnsiTheme="minorEastAsia" w:eastAsiaTheme="minorEastAsia" w:cstheme="minorEastAsia"/>
          <w:b/>
          <w:color w:val="000000" w:themeColor="text1"/>
          <w:kern w:val="2"/>
          <w:sz w:val="21"/>
          <w:szCs w:val="21"/>
        </w:rPr>
      </w:pPr>
    </w:p>
    <w:p>
      <w:pPr>
        <w:pStyle w:val="23"/>
        <w:autoSpaceDE w:val="0"/>
        <w:spacing w:before="0" w:beforeAutospacing="0" w:after="0" w:afterAutospacing="0" w:line="360" w:lineRule="exact"/>
        <w:jc w:val="both"/>
        <w:outlineLvl w:val="1"/>
        <w:rPr>
          <w:rFonts w:asciiTheme="minorEastAsia" w:hAnsiTheme="minorEastAsia" w:eastAsiaTheme="minorEastAsia" w:cstheme="minorEastAsia"/>
          <w:b/>
          <w:color w:val="000000" w:themeColor="text1"/>
          <w:kern w:val="2"/>
          <w:sz w:val="21"/>
          <w:szCs w:val="21"/>
        </w:rPr>
      </w:pPr>
      <w:bookmarkStart w:id="17" w:name="_Toc31768"/>
      <w:r>
        <w:rPr>
          <w:rFonts w:hint="eastAsia" w:asciiTheme="minorEastAsia" w:hAnsiTheme="minorEastAsia" w:eastAsiaTheme="minorEastAsia" w:cstheme="minorEastAsia"/>
          <w:b/>
          <w:color w:val="000000" w:themeColor="text1"/>
          <w:kern w:val="2"/>
          <w:sz w:val="21"/>
          <w:szCs w:val="21"/>
        </w:rPr>
        <w:t>七、对本次采购提出询问，请按以下方式联系</w:t>
      </w:r>
      <w:bookmarkEnd w:id="16"/>
      <w:bookmarkEnd w:id="17"/>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1、采购人信息</w:t>
      </w:r>
    </w:p>
    <w:p>
      <w:pPr>
        <w:widowControl/>
        <w:spacing w:line="3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 xml:space="preserve">名称：新疆维吾尔自治区人民医院 </w:t>
      </w:r>
    </w:p>
    <w:p>
      <w:pPr>
        <w:widowControl/>
        <w:spacing w:line="3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 xml:space="preserve">地址：乌鲁木齐市天池路91号 </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kern w:val="0"/>
          <w:szCs w:val="21"/>
        </w:rPr>
        <w:t xml:space="preserve">联系方式：0991-8562590 </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2、采购代理机构信息</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名称：新疆经纬招标有限责任公司</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地址：乌鲁木齐市天山区光明路276号E阳臻品15层1503室</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联系方式： 0991-2651309</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3、项目联系方式</w:t>
      </w:r>
    </w:p>
    <w:p>
      <w:pPr>
        <w:widowControl/>
        <w:spacing w:line="360" w:lineRule="exact"/>
        <w:ind w:firstLine="420" w:firstLineChars="200"/>
        <w:rPr>
          <w:rFonts w:asciiTheme="minorEastAsia" w:hAnsiTheme="minorEastAsia" w:cstheme="minorEastAsia"/>
          <w:color w:val="000000" w:themeColor="text1"/>
          <w:kern w:val="0"/>
          <w:szCs w:val="21"/>
        </w:rPr>
      </w:pPr>
      <w:r>
        <w:rPr>
          <w:rFonts w:hint="eastAsia" w:asciiTheme="minorEastAsia" w:hAnsiTheme="minorEastAsia" w:cstheme="minorEastAsia"/>
          <w:color w:val="000000" w:themeColor="text1"/>
          <w:kern w:val="0"/>
          <w:szCs w:val="21"/>
        </w:rPr>
        <w:t>项目联系人：徐丁保 陆健</w:t>
      </w:r>
    </w:p>
    <w:p>
      <w:pPr>
        <w:widowControl/>
        <w:spacing w:line="360" w:lineRule="exact"/>
        <w:ind w:firstLine="420" w:firstLineChars="200"/>
      </w:pPr>
      <w:r>
        <w:rPr>
          <w:rFonts w:hint="eastAsia" w:asciiTheme="minorEastAsia" w:hAnsiTheme="minorEastAsia" w:cstheme="minorEastAsia"/>
          <w:color w:val="000000" w:themeColor="text1"/>
          <w:kern w:val="0"/>
          <w:szCs w:val="21"/>
        </w:rPr>
        <w:t>电话：0991-2651309</w:t>
      </w:r>
    </w:p>
    <w:p>
      <w:pPr>
        <w:pStyle w:val="2"/>
      </w:pPr>
      <w:r>
        <w:rPr>
          <w:rFonts w:hint="eastAsia" w:asciiTheme="minorEastAsia" w:hAnsiTheme="minorEastAsia" w:cstheme="minorEastAsia"/>
          <w:color w:val="000000" w:themeColor="text1"/>
          <w:kern w:val="0"/>
          <w:szCs w:val="21"/>
        </w:rPr>
        <w:t xml:space="preserve">    4、财政监督电话：0991-2359482</w:t>
      </w: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
      </w:pPr>
      <w:bookmarkStart w:id="18" w:name="_Toc98265575"/>
      <w:bookmarkStart w:id="19" w:name="_Toc518923059"/>
      <w:bookmarkStart w:id="20" w:name="_Toc216582804"/>
    </w:p>
    <w:p>
      <w:pPr>
        <w:pStyle w:val="2"/>
      </w:pPr>
    </w:p>
    <w:p>
      <w:pPr>
        <w:pStyle w:val="2"/>
      </w:pPr>
    </w:p>
    <w:p>
      <w:pPr>
        <w:tabs>
          <w:tab w:val="left" w:pos="0"/>
        </w:tabs>
        <w:spacing w:line="360" w:lineRule="auto"/>
        <w:jc w:val="center"/>
        <w:outlineLvl w:val="0"/>
        <w:rPr>
          <w:rFonts w:asciiTheme="minorEastAsia" w:hAnsiTheme="minorEastAsia" w:cstheme="minorEastAsia"/>
          <w:b/>
          <w:color w:val="000000" w:themeColor="text1"/>
          <w:sz w:val="36"/>
        </w:rPr>
      </w:pPr>
      <w:bookmarkStart w:id="21" w:name="_Toc23851"/>
      <w:r>
        <w:rPr>
          <w:rFonts w:hint="eastAsia" w:asciiTheme="minorEastAsia" w:hAnsiTheme="minorEastAsia" w:cstheme="minorEastAsia"/>
          <w:b/>
          <w:color w:val="000000" w:themeColor="text1"/>
          <w:sz w:val="36"/>
        </w:rPr>
        <w:t>第二章、投标人须知</w:t>
      </w:r>
      <w:bookmarkEnd w:id="18"/>
      <w:bookmarkEnd w:id="19"/>
      <w:bookmarkEnd w:id="20"/>
      <w:bookmarkEnd w:id="21"/>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22" w:name="_Toc4542"/>
      <w:r>
        <w:rPr>
          <w:rFonts w:hint="eastAsia" w:asciiTheme="minorEastAsia" w:hAnsiTheme="minorEastAsia" w:eastAsiaTheme="minorEastAsia" w:cstheme="minorEastAsia"/>
          <w:b/>
          <w:color w:val="000000" w:themeColor="text1"/>
          <w:kern w:val="2"/>
          <w:sz w:val="21"/>
          <w:szCs w:val="21"/>
        </w:rPr>
        <w:t>投标人须知前附表</w:t>
      </w:r>
      <w:bookmarkEnd w:id="22"/>
    </w:p>
    <w:p>
      <w:pPr>
        <w:spacing w:line="360" w:lineRule="auto"/>
        <w:ind w:firstLine="270" w:firstLineChars="150"/>
        <w:rPr>
          <w:rFonts w:asciiTheme="minorEastAsia" w:hAnsiTheme="minorEastAsia" w:cstheme="minorEastAsia"/>
          <w:sz w:val="18"/>
          <w:szCs w:val="18"/>
        </w:rPr>
      </w:pPr>
      <w:r>
        <w:rPr>
          <w:rFonts w:hint="eastAsia" w:asciiTheme="minorEastAsia" w:hAnsiTheme="minorEastAsia" w:cstheme="minorEastAsia"/>
          <w:sz w:val="18"/>
          <w:szCs w:val="18"/>
        </w:rPr>
        <w:t>本表是本招标项目的具体资料，是对投标人须知的具体补充和修改，如有矛盾，应</w:t>
      </w:r>
      <w:r>
        <w:rPr>
          <w:rFonts w:hint="eastAsia" w:asciiTheme="minorEastAsia" w:hAnsiTheme="minorEastAsia" w:cstheme="minorEastAsia"/>
          <w:b/>
          <w:sz w:val="18"/>
          <w:szCs w:val="18"/>
        </w:rPr>
        <w:t>以本资料表为准</w:t>
      </w:r>
      <w:r>
        <w:rPr>
          <w:rFonts w:hint="eastAsia" w:asciiTheme="minorEastAsia" w:hAnsiTheme="minorEastAsia" w:cstheme="minorEastAsia"/>
          <w:sz w:val="18"/>
          <w:szCs w:val="18"/>
        </w:rPr>
        <w:t>。</w:t>
      </w:r>
    </w:p>
    <w:tbl>
      <w:tblPr>
        <w:tblStyle w:val="24"/>
        <w:tblW w:w="8647"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1"/>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tblHeader/>
        </w:trPr>
        <w:tc>
          <w:tcPr>
            <w:tcW w:w="1021" w:type="dxa"/>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条款号</w:t>
            </w:r>
          </w:p>
        </w:tc>
        <w:tc>
          <w:tcPr>
            <w:tcW w:w="7626" w:type="dxa"/>
            <w:vAlign w:val="center"/>
          </w:tcPr>
          <w:p>
            <w:pPr>
              <w:spacing w:line="400" w:lineRule="exact"/>
              <w:jc w:val="center"/>
              <w:rPr>
                <w:rFonts w:asciiTheme="minorEastAsia" w:hAnsiTheme="minorEastAsia" w:cstheme="minorEastAsia"/>
                <w:b/>
                <w:szCs w:val="21"/>
              </w:rPr>
            </w:pPr>
            <w:r>
              <w:rPr>
                <w:rFonts w:hint="eastAsia" w:asciiTheme="minorEastAsia" w:hAnsiTheme="minorEastAsia" w:cstheme="minorEastAsia"/>
                <w:b/>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w:t>
            </w:r>
          </w:p>
        </w:tc>
        <w:tc>
          <w:tcPr>
            <w:tcW w:w="7626" w:type="dxa"/>
            <w:vAlign w:val="center"/>
          </w:tcPr>
          <w:p>
            <w:pPr>
              <w:spacing w:line="400" w:lineRule="exact"/>
              <w:ind w:left="420" w:hanging="420"/>
              <w:rPr>
                <w:rFonts w:asciiTheme="minorEastAsia" w:hAnsiTheme="minorEastAsia" w:cstheme="minorEastAsia"/>
                <w:szCs w:val="21"/>
              </w:rPr>
            </w:pPr>
            <w:r>
              <w:rPr>
                <w:rFonts w:hint="eastAsia" w:asciiTheme="minorEastAsia" w:hAnsiTheme="minorEastAsia" w:cstheme="minorEastAsia"/>
                <w:szCs w:val="21"/>
              </w:rPr>
              <w:t xml:space="preserve">招标人名称：新疆维吾尔自治区人民医院 </w:t>
            </w:r>
          </w:p>
          <w:p>
            <w:pPr>
              <w:spacing w:line="400" w:lineRule="exact"/>
              <w:ind w:left="420" w:hanging="420"/>
              <w:rPr>
                <w:rFonts w:asciiTheme="minorEastAsia" w:hAnsiTheme="minorEastAsia" w:cstheme="minorEastAsia"/>
                <w:szCs w:val="21"/>
              </w:rPr>
            </w:pPr>
            <w:r>
              <w:rPr>
                <w:rFonts w:hint="eastAsia" w:asciiTheme="minorEastAsia" w:hAnsiTheme="minorEastAsia" w:cstheme="minorEastAsia"/>
                <w:szCs w:val="21"/>
              </w:rPr>
              <w:t xml:space="preserve">地址：乌鲁木齐市天池路91号 </w:t>
            </w:r>
          </w:p>
          <w:p>
            <w:pPr>
              <w:spacing w:line="400" w:lineRule="exact"/>
              <w:ind w:left="420" w:hanging="420"/>
              <w:rPr>
                <w:rFonts w:asciiTheme="minorEastAsia" w:hAnsiTheme="minorEastAsia" w:cstheme="minorEastAsia"/>
                <w:color w:val="000000"/>
                <w:szCs w:val="21"/>
              </w:rPr>
            </w:pPr>
            <w:r>
              <w:rPr>
                <w:rFonts w:hint="eastAsia" w:asciiTheme="minorEastAsia" w:hAnsiTheme="minorEastAsia" w:cstheme="minorEastAsia"/>
                <w:szCs w:val="21"/>
              </w:rPr>
              <w:t>联系电话：0991-8562590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1.2</w:t>
            </w:r>
          </w:p>
        </w:tc>
        <w:tc>
          <w:tcPr>
            <w:tcW w:w="7626" w:type="dxa"/>
            <w:vAlign w:val="center"/>
          </w:tcPr>
          <w:p>
            <w:pPr>
              <w:spacing w:line="400" w:lineRule="exact"/>
              <w:ind w:left="420" w:hanging="420"/>
              <w:rPr>
                <w:rFonts w:asciiTheme="minorEastAsia" w:hAnsiTheme="minorEastAsia" w:cstheme="minorEastAsia"/>
                <w:color w:val="000000"/>
                <w:szCs w:val="21"/>
              </w:rPr>
            </w:pPr>
            <w:r>
              <w:rPr>
                <w:rFonts w:hint="eastAsia" w:asciiTheme="minorEastAsia" w:hAnsiTheme="minorEastAsia" w:cstheme="minorEastAsia"/>
                <w:color w:val="000000"/>
                <w:szCs w:val="21"/>
              </w:rPr>
              <w:t>招标代理机构名称：新疆经纬招标有限责任公司</w:t>
            </w:r>
          </w:p>
          <w:p>
            <w:pPr>
              <w:spacing w:line="400" w:lineRule="exact"/>
              <w:ind w:left="420" w:hanging="420"/>
              <w:rPr>
                <w:rFonts w:asciiTheme="minorEastAsia" w:hAnsiTheme="minorEastAsia" w:cstheme="minorEastAsia"/>
                <w:color w:val="000000"/>
                <w:szCs w:val="21"/>
              </w:rPr>
            </w:pPr>
            <w:r>
              <w:rPr>
                <w:rFonts w:hint="eastAsia" w:asciiTheme="minorEastAsia" w:hAnsiTheme="minorEastAsia" w:cstheme="minorEastAsia"/>
                <w:color w:val="000000"/>
                <w:szCs w:val="21"/>
              </w:rPr>
              <w:t>地址：乌鲁木齐市天山区光明路276号E阳臻品15层1503室</w:t>
            </w:r>
          </w:p>
          <w:p>
            <w:pPr>
              <w:spacing w:line="400" w:lineRule="exact"/>
              <w:ind w:left="420" w:hanging="420"/>
              <w:rPr>
                <w:rFonts w:asciiTheme="minorEastAsia" w:hAnsiTheme="minorEastAsia" w:cstheme="minorEastAsia"/>
                <w:color w:val="000000"/>
                <w:szCs w:val="21"/>
              </w:rPr>
            </w:pPr>
            <w:r>
              <w:rPr>
                <w:rFonts w:hint="eastAsia" w:asciiTheme="minorEastAsia" w:hAnsiTheme="minorEastAsia" w:cstheme="minorEastAsia"/>
                <w:color w:val="000000"/>
                <w:szCs w:val="21"/>
              </w:rPr>
              <w:t>项目联系人：</w:t>
            </w:r>
            <w:r>
              <w:rPr>
                <w:rFonts w:hint="eastAsia" w:asciiTheme="minorEastAsia" w:hAnsiTheme="minorEastAsia" w:cstheme="minorEastAsia"/>
                <w:kern w:val="0"/>
                <w:szCs w:val="21"/>
              </w:rPr>
              <w:t>徐丁保 陆健</w:t>
            </w:r>
          </w:p>
          <w:p>
            <w:pPr>
              <w:spacing w:line="400" w:lineRule="exact"/>
              <w:ind w:left="420" w:hanging="420"/>
              <w:rPr>
                <w:rFonts w:asciiTheme="minorEastAsia" w:hAnsiTheme="minorEastAsia" w:cstheme="minorEastAsia"/>
                <w:color w:val="000000"/>
                <w:szCs w:val="21"/>
              </w:rPr>
            </w:pPr>
            <w:r>
              <w:rPr>
                <w:rFonts w:hint="eastAsia" w:asciiTheme="minorEastAsia" w:hAnsiTheme="minorEastAsia" w:cstheme="minorEastAsia"/>
                <w:color w:val="000000"/>
                <w:szCs w:val="21"/>
              </w:rPr>
              <w:t>联系电话：</w:t>
            </w:r>
            <w:r>
              <w:rPr>
                <w:rFonts w:hint="eastAsia" w:asciiTheme="minorEastAsia" w:hAnsiTheme="minorEastAsia" w:cstheme="minorEastAsia"/>
                <w:szCs w:val="21"/>
              </w:rPr>
              <w:t>0991-2651309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1.3.4</w:t>
            </w:r>
          </w:p>
        </w:tc>
        <w:tc>
          <w:tcPr>
            <w:tcW w:w="7626" w:type="dxa"/>
            <w:vAlign w:val="center"/>
          </w:tcPr>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合格投标人的要求：</w:t>
            </w:r>
          </w:p>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1、满足《中华人民共和国政府采购法》第二十二条规定。</w:t>
            </w:r>
          </w:p>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2、落实政府采购政策需满足的资格要求：</w:t>
            </w:r>
            <w:r>
              <w:rPr>
                <w:rFonts w:hint="eastAsia" w:asciiTheme="minorEastAsia" w:hAnsiTheme="minorEastAsia" w:cstheme="minorEastAsia"/>
                <w:color w:val="000000" w:themeColor="text1"/>
                <w:szCs w:val="21"/>
                <w:u w:val="single"/>
              </w:rPr>
              <w:t>本项目为专门面向中小企业采购项目（中小企业，是指在中华人民共和国境内依法设立，依据国务院批准的中小企业划分标准确定的中型企业、小型企业和微型企业），还包括监狱企业或残疾人福利性单位</w:t>
            </w:r>
            <w:r>
              <w:rPr>
                <w:rFonts w:hint="eastAsia" w:asciiTheme="minorEastAsia" w:hAnsiTheme="minorEastAsia" w:cstheme="minorEastAsia"/>
                <w:color w:val="000000"/>
                <w:szCs w:val="21"/>
              </w:rPr>
              <w:t>。</w:t>
            </w:r>
          </w:p>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3、本项目的特定资格要求：</w:t>
            </w:r>
            <w:r>
              <w:rPr>
                <w:rFonts w:hint="eastAsia" w:asciiTheme="minorEastAsia" w:hAnsiTheme="minorEastAsia" w:cstheme="minorEastAsia"/>
                <w:color w:val="000000" w:themeColor="text1"/>
                <w:szCs w:val="21"/>
                <w:u w:val="single"/>
              </w:rPr>
              <w:t>无</w:t>
            </w:r>
            <w:r>
              <w:rPr>
                <w:rFonts w:hint="eastAsia" w:asciiTheme="minorEastAsia" w:hAnsiTheme="minorEastAsia" w:cstheme="min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1.3.5</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是否为专门面向中小企业采购：</w:t>
            </w:r>
            <w:r>
              <w:rPr>
                <w:rFonts w:hint="eastAsia" w:asciiTheme="minorEastAsia" w:hAnsiTheme="minorEastAsia" w:cstheme="minorEastAsia"/>
                <w:szCs w:val="21"/>
                <w:u w:val="single"/>
              </w:rPr>
              <w:t xml:space="preserve"> 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1.4</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是否允许联合体投标：</w:t>
            </w:r>
            <w:r>
              <w:rPr>
                <w:rFonts w:hint="eastAsia" w:asciiTheme="minorEastAsia" w:hAnsiTheme="minorEastAsia" w:cstheme="minorEastAsia"/>
                <w:szCs w:val="21"/>
                <w:u w:val="single"/>
              </w:rPr>
              <w:t xml:space="preserve"> 否 </w:t>
            </w:r>
            <w:r>
              <w:rPr>
                <w:rFonts w:hint="eastAsia" w:asciiTheme="minorEastAsia" w:hAnsiTheme="minorEastAsia" w:cs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1.4.5</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联合体的其他资格要求：</w:t>
            </w:r>
            <w:r>
              <w:rPr>
                <w:rFonts w:hint="eastAsia" w:asciiTheme="minorEastAsia" w:hAnsiTheme="minorEastAsia" w:cstheme="minorEastAsia"/>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2.2</w:t>
            </w:r>
          </w:p>
        </w:tc>
        <w:tc>
          <w:tcPr>
            <w:tcW w:w="7626" w:type="dxa"/>
            <w:vAlign w:val="center"/>
          </w:tcPr>
          <w:p>
            <w:pPr>
              <w:spacing w:line="400" w:lineRule="exact"/>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投标人的报价不得超过项目预算金额（或最高限价）；</w:t>
            </w:r>
          </w:p>
          <w:p>
            <w:pPr>
              <w:spacing w:line="400" w:lineRule="exact"/>
              <w:rPr>
                <w:rFonts w:asciiTheme="minorEastAsia" w:hAnsiTheme="minorEastAsia" w:cstheme="minorEastAsia"/>
                <w:szCs w:val="21"/>
                <w:highlight w:val="none"/>
              </w:rPr>
            </w:pPr>
            <w:r>
              <w:rPr>
                <w:rFonts w:hint="eastAsia" w:asciiTheme="minorEastAsia" w:hAnsiTheme="minorEastAsia" w:cstheme="minorEastAsia"/>
                <w:color w:val="auto"/>
                <w:szCs w:val="21"/>
                <w:highlight w:val="none"/>
              </w:rPr>
              <w:t>本项目预算金额</w:t>
            </w:r>
            <w:r>
              <w:rPr>
                <w:rFonts w:hint="eastAsia" w:asciiTheme="minorEastAsia" w:hAnsiTheme="minorEastAsia" w:cstheme="minorEastAsia"/>
                <w:szCs w:val="21"/>
                <w:highlight w:val="none"/>
              </w:rPr>
              <w:t>：30万元</w:t>
            </w:r>
            <w:r>
              <w:rPr>
                <w:rFonts w:hint="eastAsia" w:asciiTheme="minorEastAsia" w:hAnsiTheme="minorEastAsia" w:cstheme="minorEastAsia"/>
                <w:szCs w:val="21"/>
                <w:highlight w:val="none"/>
                <w:lang w:val="en-US" w:eastAsia="zh-CN"/>
              </w:rPr>
              <w:t>/年</w:t>
            </w:r>
            <w:r>
              <w:rPr>
                <w:rFonts w:hint="eastAsia" w:asciiTheme="minorEastAsia" w:hAnsiTheme="minorEastAsia" w:cstheme="minorEastAsia"/>
                <w:szCs w:val="21"/>
                <w:highlight w:val="none"/>
              </w:rPr>
              <w:t>；</w:t>
            </w:r>
            <w:r>
              <w:rPr>
                <w:rFonts w:hint="eastAsia" w:asciiTheme="minorEastAsia" w:hAnsiTheme="minorEastAsia" w:cstheme="minorEastAsia"/>
                <w:b/>
                <w:bCs/>
                <w:szCs w:val="21"/>
                <w:highlight w:val="none"/>
              </w:rPr>
              <w:t>最高限价：投标人的报价不得高于该监护项目新疆医疗服务价格收取标准的</w:t>
            </w:r>
            <w:r>
              <w:rPr>
                <w:rFonts w:hint="eastAsia" w:asciiTheme="minorEastAsia" w:hAnsiTheme="minorEastAsia" w:cstheme="minorEastAsia"/>
                <w:b/>
                <w:bCs/>
                <w:szCs w:val="21"/>
                <w:highlight w:val="none"/>
                <w:lang w:val="en-US" w:eastAsia="zh-CN"/>
              </w:rPr>
              <w:t>7</w:t>
            </w:r>
            <w:r>
              <w:rPr>
                <w:rFonts w:hint="eastAsia" w:asciiTheme="minorEastAsia" w:hAnsiTheme="minorEastAsia" w:cstheme="minorEastAsia"/>
                <w:b/>
                <w:bCs/>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7"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5.4</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是否组织现场考察或者召开答疑会：</w:t>
            </w:r>
            <w:r>
              <w:rPr>
                <w:rFonts w:hint="eastAsia" w:asciiTheme="minorEastAsia" w:hAnsiTheme="minorEastAsia" w:cstheme="minorEastAsia"/>
                <w:szCs w:val="21"/>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8.1</w:t>
            </w:r>
          </w:p>
        </w:tc>
        <w:tc>
          <w:tcPr>
            <w:tcW w:w="7626" w:type="dxa"/>
            <w:vAlign w:val="center"/>
          </w:tcPr>
          <w:p>
            <w:pPr>
              <w:spacing w:line="400" w:lineRule="exact"/>
              <w:jc w:val="left"/>
              <w:rPr>
                <w:rFonts w:asciiTheme="minorEastAsia" w:hAnsiTheme="minorEastAsia" w:cstheme="minorEastAsia"/>
                <w:color w:val="000000"/>
                <w:szCs w:val="21"/>
              </w:rPr>
            </w:pPr>
            <w:r>
              <w:rPr>
                <w:rFonts w:hint="eastAsia" w:asciiTheme="minorEastAsia" w:hAnsiTheme="minorEastAsia" w:cstheme="minorEastAsia"/>
                <w:szCs w:val="21"/>
              </w:rPr>
              <w:t>投标人可对本次采购项目</w:t>
            </w:r>
            <w:r>
              <w:rPr>
                <w:rFonts w:hint="eastAsia" w:asciiTheme="minorEastAsia" w:hAnsiTheme="minorEastAsia" w:cstheme="minorEastAsia"/>
                <w:szCs w:val="21"/>
                <w:u w:val="single"/>
              </w:rPr>
              <w:t xml:space="preserve"> / </w:t>
            </w:r>
            <w:r>
              <w:rPr>
                <w:rFonts w:hint="eastAsia" w:asciiTheme="minorEastAsia" w:hAnsiTheme="minorEastAsia" w:cstheme="minorEastAsia"/>
                <w:szCs w:val="21"/>
              </w:rPr>
              <w:t>多个包进行投标响应，但不得同时取得</w:t>
            </w:r>
            <w:r>
              <w:rPr>
                <w:rFonts w:hint="eastAsia" w:asciiTheme="minorEastAsia" w:hAnsiTheme="minorEastAsia" w:cstheme="minorEastAsia"/>
                <w:szCs w:val="21"/>
                <w:u w:val="single"/>
              </w:rPr>
              <w:t xml:space="preserve"> / </w:t>
            </w:r>
            <w:r>
              <w:rPr>
                <w:rFonts w:hint="eastAsia" w:asciiTheme="minorEastAsia" w:hAnsiTheme="minorEastAsia" w:cstheme="minorEastAsia"/>
                <w:szCs w:val="21"/>
              </w:rPr>
              <w:t>中标资格</w:t>
            </w:r>
            <w:r>
              <w:rPr>
                <w:rFonts w:hint="eastAsia" w:asciiTheme="minorEastAsia" w:hAnsiTheme="minorEastAsia" w:cs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11.1</w:t>
            </w:r>
          </w:p>
        </w:tc>
        <w:tc>
          <w:tcPr>
            <w:tcW w:w="7626" w:type="dxa"/>
            <w:vAlign w:val="center"/>
          </w:tcPr>
          <w:p>
            <w:pPr>
              <w:spacing w:line="400" w:lineRule="exact"/>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投标人的报价要求：</w:t>
            </w:r>
          </w:p>
          <w:p>
            <w:pPr>
              <w:spacing w:line="400" w:lineRule="exact"/>
              <w:jc w:val="left"/>
              <w:rPr>
                <w:rFonts w:asciiTheme="minorEastAsia" w:hAnsiTheme="minorEastAsia" w:cstheme="minorEastAsia"/>
                <w:b/>
                <w:bCs/>
                <w:szCs w:val="21"/>
                <w:highlight w:val="none"/>
              </w:rPr>
            </w:pPr>
            <w:r>
              <w:rPr>
                <w:rFonts w:hint="eastAsia" w:asciiTheme="minorEastAsia" w:hAnsiTheme="minorEastAsia" w:cstheme="minorEastAsia"/>
                <w:b/>
                <w:bCs/>
                <w:szCs w:val="21"/>
                <w:highlight w:val="none"/>
              </w:rPr>
              <w:t>1、本项目采用</w:t>
            </w:r>
            <w:r>
              <w:rPr>
                <w:rFonts w:hint="eastAsia" w:asciiTheme="minorEastAsia" w:hAnsiTheme="minorEastAsia" w:cstheme="minorEastAsia"/>
                <w:b/>
                <w:bCs/>
                <w:szCs w:val="21"/>
                <w:highlight w:val="none"/>
                <w:lang w:val="en-US" w:eastAsia="zh-CN"/>
              </w:rPr>
              <w:t>下浮率（百分比）</w:t>
            </w:r>
            <w:r>
              <w:rPr>
                <w:rFonts w:hint="eastAsia" w:asciiTheme="minorEastAsia" w:hAnsiTheme="minorEastAsia" w:cstheme="minorEastAsia"/>
                <w:b/>
                <w:bCs/>
                <w:szCs w:val="21"/>
                <w:highlight w:val="none"/>
              </w:rPr>
              <w:t>报价，投标人的报价不得高于该监护项目新疆医疗服务价格收取标准的</w:t>
            </w:r>
            <w:r>
              <w:rPr>
                <w:rFonts w:hint="eastAsia" w:asciiTheme="minorEastAsia" w:hAnsiTheme="minorEastAsia" w:cstheme="minorEastAsia"/>
                <w:b/>
                <w:bCs/>
                <w:szCs w:val="21"/>
                <w:highlight w:val="none"/>
                <w:lang w:val="en-US" w:eastAsia="zh-CN"/>
              </w:rPr>
              <w:t>7</w:t>
            </w:r>
            <w:r>
              <w:rPr>
                <w:rFonts w:hint="eastAsia" w:asciiTheme="minorEastAsia" w:hAnsiTheme="minorEastAsia" w:cstheme="minorEastAsia"/>
                <w:b/>
                <w:bCs/>
                <w:szCs w:val="21"/>
                <w:highlight w:val="none"/>
              </w:rPr>
              <w:t>0%，否则其投标无效</w:t>
            </w:r>
            <w:r>
              <w:rPr>
                <w:rFonts w:hint="eastAsia"/>
                <w:b/>
                <w:bCs/>
                <w:highlight w:val="none"/>
              </w:rPr>
              <w:t>。</w:t>
            </w:r>
          </w:p>
          <w:p>
            <w:pPr>
              <w:spacing w:line="400" w:lineRule="exact"/>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2、投标报价除因考虑招标文件以明确的各项要素外，还应根据实际情况综合考虑其他影响本项目的各项因素，投标报价包含为完成本项目全部费用的总和，在项目实施期间（除合同另有特殊约定外）不得更改。</w:t>
            </w:r>
          </w:p>
          <w:p>
            <w:pPr>
              <w:spacing w:line="400" w:lineRule="exact"/>
              <w:jc w:val="left"/>
              <w:rPr>
                <w:rFonts w:asciiTheme="minorEastAsia" w:hAnsiTheme="minorEastAsia" w:cstheme="minorEastAsia"/>
                <w:color w:val="000000"/>
                <w:szCs w:val="21"/>
                <w:highlight w:val="none"/>
              </w:rPr>
            </w:pPr>
            <w:r>
              <w:rPr>
                <w:rFonts w:hint="eastAsia" w:asciiTheme="minorEastAsia" w:hAnsiTheme="minorEastAsia" w:cstheme="minorEastAsia"/>
                <w:szCs w:val="21"/>
                <w:highlight w:val="none"/>
              </w:rPr>
              <w:t>3、评标委员会认为投标人的报价明显低于其他通过符合性审查投标人的报价，有可能影响产品质量或者不能诚信履约的，将要求其在合理的时间内提供书面说明，必要时提交相关证明材料；投标人不能证明其报价合理性的，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w:t>
            </w:r>
          </w:p>
        </w:tc>
        <w:tc>
          <w:tcPr>
            <w:tcW w:w="7626" w:type="dxa"/>
            <w:vAlign w:val="center"/>
          </w:tcPr>
          <w:p>
            <w:pPr>
              <w:spacing w:line="400" w:lineRule="exact"/>
              <w:ind w:left="525" w:hanging="525" w:hangingChars="250"/>
              <w:rPr>
                <w:rFonts w:asciiTheme="minorEastAsia" w:hAnsiTheme="minorEastAsia" w:cstheme="minorEastAsia"/>
                <w:szCs w:val="21"/>
              </w:rPr>
            </w:pPr>
            <w:r>
              <w:rPr>
                <w:rFonts w:hint="eastAsia" w:asciiTheme="minorEastAsia" w:hAnsiTheme="minorEastAsia" w:cstheme="minorEastAsia"/>
                <w:color w:val="000000"/>
                <w:szCs w:val="21"/>
              </w:rPr>
              <w:t>投标保证金：</w:t>
            </w:r>
          </w:p>
          <w:p>
            <w:pPr>
              <w:spacing w:line="400" w:lineRule="exact"/>
              <w:ind w:left="525" w:hanging="525" w:hangingChars="250"/>
              <w:rPr>
                <w:rFonts w:asciiTheme="minorEastAsia" w:hAnsiTheme="minorEastAsia" w:cstheme="minorEastAsia"/>
                <w:color w:val="000000"/>
                <w:szCs w:val="21"/>
              </w:rPr>
            </w:pPr>
            <w:r>
              <w:rPr>
                <w:rFonts w:hint="eastAsia" w:asciiTheme="minorEastAsia" w:hAnsiTheme="minorEastAsia" w:cstheme="minorEastAsia"/>
                <w:color w:val="000000"/>
                <w:szCs w:val="21"/>
              </w:rPr>
              <w:t>1、缴纳方式：</w:t>
            </w:r>
            <w:r>
              <w:rPr>
                <w:rFonts w:hint="eastAsia" w:asciiTheme="minorEastAsia" w:hAnsiTheme="minorEastAsia" w:cstheme="minorEastAsia"/>
                <w:szCs w:val="21"/>
              </w:rPr>
              <w:t>电汇、网银转账或政采云电子保函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2、金额（人民币）：</w:t>
            </w:r>
            <w:r>
              <w:rPr>
                <w:rFonts w:hint="eastAsia" w:asciiTheme="minorEastAsia" w:hAnsiTheme="minorEastAsia" w:cstheme="minorEastAsia"/>
                <w:szCs w:val="21"/>
                <w:u w:val="single"/>
                <w:lang w:val="en-US" w:eastAsia="zh-CN"/>
              </w:rPr>
              <w:t>59</w:t>
            </w:r>
            <w:r>
              <w:rPr>
                <w:rFonts w:hint="eastAsia" w:asciiTheme="minorEastAsia" w:hAnsiTheme="minorEastAsia" w:cstheme="minorEastAsia"/>
                <w:szCs w:val="21"/>
                <w:u w:val="single"/>
              </w:rPr>
              <w:t>00</w:t>
            </w:r>
            <w:r>
              <w:rPr>
                <w:rFonts w:hint="eastAsia" w:asciiTheme="minorEastAsia" w:hAnsiTheme="minorEastAsia" w:cstheme="minorEastAsia"/>
                <w:szCs w:val="21"/>
              </w:rPr>
              <w:t>元；</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3、收款信息</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收款单位名称：新疆经纬招标有限责任公司</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账号：0000020070110084283987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开户行名称：乌鲁木齐银行天山区支行</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开户银行代码：313881000027</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4、投标保证金的到款及退还业务，详情请致电代理公司财务：0991-8813422（李女士）</w:t>
            </w:r>
          </w:p>
          <w:p>
            <w:pPr>
              <w:spacing w:line="400" w:lineRule="exact"/>
              <w:rPr>
                <w:rFonts w:asciiTheme="minorEastAsia" w:hAnsiTheme="minorEastAsia" w:cstheme="minorEastAsia"/>
                <w:b/>
                <w:sz w:val="24"/>
                <w:szCs w:val="24"/>
              </w:rPr>
            </w:pPr>
            <w:r>
              <w:rPr>
                <w:rFonts w:hint="eastAsia" w:asciiTheme="minorEastAsia" w:hAnsiTheme="minorEastAsia" w:cstheme="minorEastAsia"/>
                <w:b/>
                <w:sz w:val="24"/>
                <w:szCs w:val="24"/>
              </w:rPr>
              <w:t>打款备注：项目名称、包号</w:t>
            </w:r>
          </w:p>
          <w:p>
            <w:pPr>
              <w:spacing w:line="400" w:lineRule="exact"/>
              <w:rPr>
                <w:rFonts w:asciiTheme="minorEastAsia" w:hAnsiTheme="minorEastAsia" w:cstheme="minorEastAsia"/>
                <w:color w:val="000000"/>
                <w:szCs w:val="21"/>
              </w:rPr>
            </w:pPr>
            <w:r>
              <w:rPr>
                <w:rFonts w:hint="eastAsia" w:asciiTheme="minorEastAsia" w:hAnsiTheme="minorEastAsia" w:cstheme="minorEastAsia"/>
                <w:bCs/>
                <w:szCs w:val="21"/>
              </w:rPr>
              <w:t>5、</w:t>
            </w:r>
            <w:r>
              <w:rPr>
                <w:rFonts w:hint="eastAsia" w:asciiTheme="minorEastAsia" w:hAnsiTheme="minorEastAsia" w:cstheme="minorEastAsia"/>
                <w:szCs w:val="21"/>
              </w:rPr>
              <w:t>投标保证金以政采云服务平台认可的电子保函形式递交的，在申请、使用、查看、应用过程中遇见问题，可咨询政采云金融服务热线：95763。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13.1</w:t>
            </w:r>
          </w:p>
        </w:tc>
        <w:tc>
          <w:tcPr>
            <w:tcW w:w="7626" w:type="dxa"/>
            <w:vAlign w:val="center"/>
          </w:tcPr>
          <w:p>
            <w:pPr>
              <w:spacing w:line="400" w:lineRule="exact"/>
              <w:rPr>
                <w:rFonts w:asciiTheme="minorEastAsia" w:hAnsiTheme="minorEastAsia" w:cstheme="minorEastAsia"/>
                <w:szCs w:val="21"/>
                <w:u w:val="single"/>
              </w:rPr>
            </w:pPr>
            <w:r>
              <w:rPr>
                <w:rFonts w:hint="eastAsia" w:asciiTheme="minorEastAsia" w:hAnsiTheme="minorEastAsia" w:cstheme="minorEastAsia"/>
                <w:szCs w:val="21"/>
              </w:rPr>
              <w:t>投标有效期：</w:t>
            </w:r>
            <w:r>
              <w:rPr>
                <w:rFonts w:hint="eastAsia" w:asciiTheme="minorEastAsia" w:hAnsiTheme="minorEastAsia" w:cstheme="minorEastAsia"/>
                <w:szCs w:val="21"/>
                <w:u w:val="single"/>
              </w:rPr>
              <w:t>90</w:t>
            </w:r>
            <w:r>
              <w:rPr>
                <w:rFonts w:hint="eastAsia" w:asciiTheme="minorEastAsia" w:hAnsiTheme="minorEastAsia" w:cstheme="minorEastAsia"/>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16.1</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投标截止时间：</w:t>
            </w:r>
            <w:r>
              <w:rPr>
                <w:rFonts w:hint="eastAsia" w:asciiTheme="minorEastAsia" w:hAnsiTheme="minorEastAsia" w:cstheme="minorEastAsia"/>
                <w:szCs w:val="21"/>
                <w:u w:val="single"/>
              </w:rPr>
              <w:t>2023年</w:t>
            </w:r>
            <w:r>
              <w:rPr>
                <w:rFonts w:hint="eastAsia" w:asciiTheme="minorEastAsia" w:hAnsiTheme="minorEastAsia" w:cstheme="minorEastAsia"/>
                <w:szCs w:val="21"/>
                <w:u w:val="single"/>
                <w:lang w:val="en-US" w:eastAsia="zh-CN"/>
              </w:rPr>
              <w:t>8</w:t>
            </w:r>
            <w:r>
              <w:rPr>
                <w:rFonts w:hint="eastAsia" w:asciiTheme="minorEastAsia" w:hAnsiTheme="minorEastAsia" w:cstheme="minorEastAsia"/>
                <w:szCs w:val="21"/>
                <w:u w:val="single"/>
              </w:rPr>
              <w:t>月</w:t>
            </w:r>
            <w:r>
              <w:rPr>
                <w:rFonts w:hint="eastAsia" w:asciiTheme="minorEastAsia" w:hAnsiTheme="minorEastAsia" w:cstheme="minorEastAsia"/>
                <w:szCs w:val="21"/>
                <w:u w:val="single"/>
                <w:lang w:val="en-US" w:eastAsia="zh-CN"/>
              </w:rPr>
              <w:t>16</w:t>
            </w:r>
            <w:r>
              <w:rPr>
                <w:rFonts w:hint="eastAsia" w:asciiTheme="minorEastAsia" w:hAnsiTheme="minorEastAsia" w:cstheme="minorEastAsia"/>
                <w:szCs w:val="21"/>
                <w:u w:val="single"/>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18.1</w:t>
            </w:r>
          </w:p>
        </w:tc>
        <w:tc>
          <w:tcPr>
            <w:tcW w:w="7626" w:type="dxa"/>
            <w:vAlign w:val="center"/>
          </w:tcPr>
          <w:p>
            <w:pPr>
              <w:spacing w:line="400" w:lineRule="exact"/>
              <w:rPr>
                <w:rFonts w:asciiTheme="minorEastAsia" w:hAnsiTheme="minorEastAsia" w:cstheme="minorEastAsia"/>
                <w:szCs w:val="21"/>
                <w:u w:val="single"/>
              </w:rPr>
            </w:pPr>
            <w:r>
              <w:rPr>
                <w:rFonts w:hint="eastAsia" w:asciiTheme="minorEastAsia" w:hAnsiTheme="minorEastAsia" w:cstheme="minorEastAsia"/>
                <w:szCs w:val="21"/>
              </w:rPr>
              <w:t>开标时间：</w:t>
            </w:r>
            <w:r>
              <w:rPr>
                <w:rFonts w:hint="eastAsia" w:asciiTheme="minorEastAsia" w:hAnsiTheme="minorEastAsia" w:cstheme="minorEastAsia"/>
                <w:szCs w:val="21"/>
                <w:u w:val="single"/>
              </w:rPr>
              <w:t>2023年</w:t>
            </w:r>
            <w:r>
              <w:rPr>
                <w:rFonts w:hint="eastAsia" w:asciiTheme="minorEastAsia" w:hAnsiTheme="minorEastAsia" w:cstheme="minorEastAsia"/>
                <w:szCs w:val="21"/>
                <w:u w:val="single"/>
                <w:lang w:val="en-US" w:eastAsia="zh-CN"/>
              </w:rPr>
              <w:t>8</w:t>
            </w:r>
            <w:r>
              <w:rPr>
                <w:rFonts w:hint="eastAsia" w:asciiTheme="minorEastAsia" w:hAnsiTheme="minorEastAsia" w:cstheme="minorEastAsia"/>
                <w:szCs w:val="21"/>
                <w:u w:val="single"/>
              </w:rPr>
              <w:t>月</w:t>
            </w:r>
            <w:r>
              <w:rPr>
                <w:rFonts w:hint="eastAsia" w:asciiTheme="minorEastAsia" w:hAnsiTheme="minorEastAsia" w:cstheme="minorEastAsia"/>
                <w:szCs w:val="21"/>
                <w:u w:val="single"/>
                <w:lang w:val="en-US" w:eastAsia="zh-CN"/>
              </w:rPr>
              <w:t>16</w:t>
            </w:r>
            <w:r>
              <w:rPr>
                <w:rFonts w:hint="eastAsia" w:asciiTheme="minorEastAsia" w:hAnsiTheme="minorEastAsia" w:cstheme="minorEastAsia"/>
                <w:szCs w:val="21"/>
                <w:u w:val="single"/>
              </w:rPr>
              <w:t>日11：00（北京时间）</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开标地点：</w:t>
            </w:r>
            <w:r>
              <w:rPr>
                <w:rFonts w:hint="eastAsia" w:asciiTheme="minorEastAsia" w:hAnsiTheme="minorEastAsia" w:cstheme="minorEastAsia"/>
                <w:szCs w:val="21"/>
                <w:u w:val="single"/>
              </w:rPr>
              <w:t>政采云</w:t>
            </w:r>
            <w:r>
              <w:fldChar w:fldCharType="begin"/>
            </w:r>
            <w:r>
              <w:instrText xml:space="preserve"> HYPERLINK "https://www.zcygov.cn/" </w:instrText>
            </w:r>
            <w:r>
              <w:fldChar w:fldCharType="separate"/>
            </w:r>
            <w:r>
              <w:rPr>
                <w:rStyle w:val="36"/>
                <w:rFonts w:hint="eastAsia" w:asciiTheme="minorEastAsia" w:hAnsiTheme="minorEastAsia" w:cstheme="minorEastAsia"/>
                <w:color w:val="000000" w:themeColor="text1"/>
                <w:szCs w:val="21"/>
              </w:rPr>
              <w:t>https://www.zcygov.cn/</w:t>
            </w:r>
            <w:r>
              <w:rPr>
                <w:rStyle w:val="36"/>
                <w:rFonts w:hint="eastAsia" w:asciiTheme="minorEastAsia" w:hAnsiTheme="minorEastAsia" w:cstheme="minorEastAsia"/>
                <w:color w:val="000000" w:themeColor="text1"/>
                <w:szCs w:val="21"/>
              </w:rPr>
              <w:fldChar w:fldCharType="end"/>
            </w:r>
            <w:bookmarkStart w:id="597" w:name="_GoBack"/>
            <w:bookmarkEnd w:id="597"/>
            <w:r>
              <w:rPr>
                <w:rFonts w:hint="eastAsia" w:asciiTheme="minorEastAsia" w:hAnsiTheme="minorEastAsia" w:cstheme="minorEastAsia"/>
                <w:szCs w:val="21"/>
                <w:u w:val="single"/>
              </w:rPr>
              <w:t>不见面开标厅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19.2</w:t>
            </w:r>
          </w:p>
        </w:tc>
        <w:tc>
          <w:tcPr>
            <w:tcW w:w="7626" w:type="dxa"/>
            <w:vAlign w:val="center"/>
          </w:tcPr>
          <w:p>
            <w:pPr>
              <w:spacing w:line="400" w:lineRule="exact"/>
              <w:rPr>
                <w:rFonts w:asciiTheme="minorEastAsia" w:hAnsiTheme="minorEastAsia" w:cstheme="minorEastAsia"/>
              </w:rPr>
            </w:pPr>
            <w:r>
              <w:rPr>
                <w:rFonts w:hint="eastAsia" w:asciiTheme="minorEastAsia" w:hAnsiTheme="minorEastAsia" w:cstheme="minorEastAsia"/>
                <w:color w:val="000000"/>
                <w:szCs w:val="21"/>
              </w:rPr>
              <w:t>信用查询</w:t>
            </w:r>
            <w:r>
              <w:rPr>
                <w:rFonts w:hint="eastAsia" w:asciiTheme="minorEastAsia" w:hAnsiTheme="minorEastAsia" w:cstheme="minorEastAsia"/>
                <w:szCs w:val="21"/>
              </w:rPr>
              <w:t>记录</w:t>
            </w:r>
            <w:r>
              <w:rPr>
                <w:rFonts w:hint="eastAsia" w:asciiTheme="minorEastAsia" w:hAnsiTheme="minorEastAsia" w:cstheme="minorEastAsia"/>
                <w:color w:val="000000"/>
                <w:szCs w:val="21"/>
              </w:rPr>
              <w:t>时间：</w:t>
            </w:r>
            <w:r>
              <w:rPr>
                <w:rFonts w:hint="eastAsia" w:asciiTheme="minorEastAsia" w:hAnsiTheme="minorEastAsia" w:cstheme="minorEastAsia"/>
                <w:color w:val="000000"/>
                <w:szCs w:val="21"/>
                <w:u w:val="single"/>
              </w:rPr>
              <w:t>自投标文件提交截止时至评审结束（评标委员会在评审报告上签字完成）期间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23.2</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评标方法：</w:t>
            </w:r>
            <w:r>
              <w:rPr>
                <w:rFonts w:hint="eastAsia" w:asciiTheme="minorEastAsia" w:hAnsiTheme="minorEastAsia" w:cstheme="minorEastAsia"/>
                <w:szCs w:val="21"/>
                <w:u w:val="single"/>
              </w:rPr>
              <w:t>综合评分法</w:t>
            </w:r>
            <w:r>
              <w:rPr>
                <w:rFonts w:hint="eastAsia" w:asciiTheme="minorEastAsia" w:hAnsiTheme="minorEastAsia" w:cs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27.1</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推荐中标候选投标人的数量：</w:t>
            </w:r>
            <w:r>
              <w:rPr>
                <w:rFonts w:hint="eastAsia" w:asciiTheme="minorEastAsia" w:hAnsiTheme="minorEastAsia" w:cstheme="minorEastAsia"/>
                <w:szCs w:val="21"/>
                <w:u w:val="single"/>
              </w:rPr>
              <w:t xml:space="preser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27.2</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招标人是否委托评标委员会直接确定中标人：</w:t>
            </w:r>
            <w:r>
              <w:rPr>
                <w:rFonts w:hint="eastAsia" w:asciiTheme="minorEastAsia" w:hAnsiTheme="minorEastAsia" w:cstheme="minorEastAsia"/>
                <w:szCs w:val="21"/>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31.1</w:t>
            </w:r>
          </w:p>
        </w:tc>
        <w:tc>
          <w:tcPr>
            <w:tcW w:w="7626" w:type="dxa"/>
            <w:vAlign w:val="center"/>
          </w:tcPr>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履约保证金金额：</w:t>
            </w:r>
            <w:r>
              <w:rPr>
                <w:rFonts w:hint="eastAsia" w:asciiTheme="minorEastAsia" w:hAnsiTheme="minorEastAsia" w:cstheme="minorEastAsia"/>
                <w:szCs w:val="21"/>
              </w:rPr>
              <w:t>合同总价的</w:t>
            </w:r>
            <w:r>
              <w:rPr>
                <w:rFonts w:hint="eastAsia" w:asciiTheme="minorEastAsia" w:hAnsiTheme="minorEastAsia" w:cstheme="minorEastAsia"/>
                <w:szCs w:val="21"/>
                <w:u w:val="single"/>
              </w:rPr>
              <w:t xml:space="preserve">　/ </w:t>
            </w:r>
            <w:r>
              <w:rPr>
                <w:rFonts w:hint="eastAsia" w:asciiTheme="minorEastAsia" w:hAnsiTheme="minorEastAsia" w:cstheme="minorEastAsia"/>
                <w:szCs w:val="21"/>
              </w:rPr>
              <w:t>%　</w:t>
            </w:r>
          </w:p>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履约保证金形式：支票、汇票、本票或者金融机构、担保机构出具的保函等非现金形式提交</w:t>
            </w:r>
          </w:p>
          <w:p>
            <w:pPr>
              <w:spacing w:line="400" w:lineRule="exact"/>
              <w:rPr>
                <w:rFonts w:asciiTheme="minorEastAsia" w:hAnsiTheme="minorEastAsia" w:cstheme="minorEastAsia"/>
                <w:b/>
                <w:color w:val="000000"/>
                <w:szCs w:val="21"/>
                <w:u w:val="single"/>
              </w:rPr>
            </w:pPr>
            <w:r>
              <w:rPr>
                <w:rFonts w:hint="eastAsia" w:asciiTheme="minorEastAsia" w:hAnsiTheme="minorEastAsia" w:cstheme="minorEastAsia"/>
                <w:color w:val="000000"/>
                <w:szCs w:val="21"/>
              </w:rPr>
              <w:t>提交履约保证金的时间：</w:t>
            </w:r>
            <w:r>
              <w:rPr>
                <w:rFonts w:hint="eastAsia" w:asciiTheme="minorEastAsia" w:hAnsiTheme="minorEastAsia" w:cstheme="minorEastAsia"/>
                <w:color w:val="000000"/>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32.1</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预付款比例为：</w:t>
            </w:r>
            <w:r>
              <w:rPr>
                <w:rFonts w:hint="eastAsia" w:asciiTheme="minorEastAsia" w:hAnsiTheme="minorEastAsia" w:cstheme="minorEastAsia"/>
                <w:szCs w:val="21"/>
                <w:u w:val="single"/>
              </w:rPr>
              <w:t xml:space="preserve"> 详见合同 </w:t>
            </w: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33</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是否由中标投标人缴纳招标代理费：</w:t>
            </w:r>
            <w:r>
              <w:rPr>
                <w:rFonts w:hint="eastAsia" w:asciiTheme="minorEastAsia" w:hAnsiTheme="minorEastAsia" w:cstheme="minorEastAsia"/>
                <w:szCs w:val="21"/>
                <w:u w:val="single"/>
              </w:rPr>
              <w:t>是</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中标人在收到中标通知书时，须向代理机构支付中标服务费，中标服务费参照国家发展计划委员会“计价格（2002）1980号”文件、“发改办价格[2003]857号”文及发改办价格〔2011〕534号文规定下浮50%计算</w:t>
            </w:r>
            <w:r>
              <w:rPr>
                <w:rFonts w:hint="eastAsia" w:asciiTheme="minorEastAsia" w:hAnsiTheme="minorEastAsia" w:cstheme="minorEastAsia"/>
                <w:szCs w:val="21"/>
                <w:lang w:val="en-US" w:eastAsia="zh-CN"/>
              </w:rPr>
              <w:t>,计算基数为预算金额</w:t>
            </w:r>
            <w:r>
              <w:rPr>
                <w:rFonts w:hint="eastAsia" w:asciiTheme="minorEastAsia" w:hAnsiTheme="minorEastAsia" w:cstheme="minorEastAsia"/>
                <w:szCs w:val="21"/>
              </w:rPr>
              <w:t>。</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中标服务费账户信息：</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单位名称：新疆经纬招标有限责任公司</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开户行：中国工商银行乌鲁木齐市新民路支行营业处</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行号：102881001511</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账号：3002015109024942731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34.3</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询问、质疑接收部门：新疆经纬招标有限责任公司</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地址：乌鲁木齐市天山区光明路276号E阳臻品15层1503室</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联系人：徐丁保</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联系电话：0991-2651309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34.2.3</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针对同一采购程序环节的质疑次数：</w:t>
            </w:r>
            <w:r>
              <w:rPr>
                <w:rFonts w:hint="eastAsia" w:asciiTheme="minorEastAsia" w:hAnsiTheme="minorEastAsia" w:cstheme="minorEastAsia"/>
                <w:szCs w:val="21"/>
                <w:u w:val="single"/>
              </w:rPr>
              <w:t>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34.4.5</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投诉部门及电话：</w:t>
            </w:r>
            <w:r>
              <w:rPr>
                <w:rFonts w:hint="eastAsia" w:asciiTheme="minorEastAsia" w:hAnsiTheme="minorEastAsia" w:cstheme="minorEastAsia"/>
                <w:szCs w:val="21"/>
                <w:u w:val="single"/>
              </w:rPr>
              <w:t>新疆自治区财政厅政府采购管理办公室0991-2359482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8647" w:type="dxa"/>
            <w:gridSpan w:val="2"/>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适用于本投标人须知的额外增加的部分：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7626" w:type="dxa"/>
            <w:vAlign w:val="center"/>
          </w:tcPr>
          <w:p>
            <w:pPr>
              <w:spacing w:line="4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项目属性和品目类别：</w:t>
            </w:r>
            <w:r>
              <w:rPr>
                <w:rFonts w:hint="eastAsia" w:asciiTheme="minorEastAsia" w:hAnsiTheme="minorEastAsia" w:cstheme="minorEastAsia"/>
                <w:szCs w:val="21"/>
              </w:rPr>
              <w:t>为</w:t>
            </w:r>
            <w:r>
              <w:rPr>
                <w:rFonts w:hint="eastAsia" w:asciiTheme="minorEastAsia" w:hAnsiTheme="minorEastAsia" w:cstheme="minorEastAsia"/>
                <w:szCs w:val="21"/>
                <w:u w:val="single"/>
              </w:rPr>
              <w:t>服务</w:t>
            </w:r>
            <w:r>
              <w:rPr>
                <w:rFonts w:hint="eastAsia" w:asciiTheme="minorEastAsia" w:hAnsiTheme="minorEastAsia" w:cstheme="minorEastAsia"/>
                <w:szCs w:val="21"/>
              </w:rPr>
              <w:t>类中的</w:t>
            </w:r>
            <w:r>
              <w:rPr>
                <w:rFonts w:hint="eastAsia" w:asciiTheme="minorEastAsia" w:hAnsiTheme="minorEastAsia" w:cstheme="minorEastAsia"/>
                <w:szCs w:val="21"/>
                <w:u w:val="single"/>
              </w:rPr>
              <w:t>其他服务</w:t>
            </w:r>
            <w:r>
              <w:rPr>
                <w:rFonts w:hint="eastAsia" w:asciiTheme="minorEastAsia" w:hAnsiTheme="minorEastAsia" w:cstheme="minorEastAsia"/>
                <w:szCs w:val="21"/>
              </w:rPr>
              <w:t>，</w:t>
            </w:r>
            <w:r>
              <w:rPr>
                <w:rFonts w:hint="eastAsia" w:asciiTheme="minorEastAsia" w:hAnsiTheme="minorEastAsia" w:cstheme="minorEastAsia"/>
                <w:color w:val="000000"/>
                <w:szCs w:val="21"/>
              </w:rPr>
              <w:t>编码为</w:t>
            </w:r>
            <w:r>
              <w:rPr>
                <w:rFonts w:hint="eastAsia" w:asciiTheme="minorEastAsia" w:hAnsiTheme="minorEastAsia" w:cstheme="minorEastAsia"/>
                <w:color w:val="000000"/>
                <w:szCs w:val="21"/>
                <w:u w:val="single"/>
              </w:rPr>
              <w:t>C99000000</w:t>
            </w:r>
            <w:r>
              <w:rPr>
                <w:rFonts w:hint="eastAsia" w:asciiTheme="minorEastAsia" w:hAnsiTheme="minorEastAsia" w:cstheme="minorEastAsia"/>
                <w:color w:val="000000"/>
                <w:szCs w:val="21"/>
              </w:rPr>
              <w:t>，（按照财政部关于印发《政府采购品目分类目录》的通知（财库〔2022〕31号）的分类划分）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021" w:type="dxa"/>
            <w:vAlign w:val="center"/>
          </w:tcPr>
          <w:p>
            <w:pPr>
              <w:spacing w:line="400" w:lineRule="exact"/>
              <w:jc w:val="center"/>
              <w:rPr>
                <w:rFonts w:asciiTheme="minorEastAsia" w:hAnsiTheme="minorEastAsia" w:cstheme="minorEastAsia"/>
                <w:color w:val="000000"/>
                <w:szCs w:val="21"/>
              </w:rPr>
            </w:pPr>
            <w:r>
              <w:rPr>
                <w:rFonts w:hint="eastAsia" w:asciiTheme="minorEastAsia" w:hAnsiTheme="minorEastAsia" w:cstheme="minorEastAsia"/>
                <w:szCs w:val="21"/>
              </w:rPr>
              <w:t>2</w:t>
            </w:r>
          </w:p>
        </w:tc>
        <w:tc>
          <w:tcPr>
            <w:tcW w:w="7626" w:type="dxa"/>
            <w:vAlign w:val="center"/>
          </w:tcPr>
          <w:p>
            <w:pPr>
              <w:pStyle w:val="38"/>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1、如本项目不是专门面向中小企业采购项目时，将在评审时给予小型或微型企业产</w:t>
            </w:r>
          </w:p>
          <w:p>
            <w:pPr>
              <w:pStyle w:val="38"/>
              <w:spacing w:line="400" w:lineRule="exact"/>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品或服务的价格进行10%-20%的扣除，用扣除后的价格参与评审（监狱企业、残疾人福利性质单位视同为小微企业）。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38"/>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2、具体扣除优惠为：</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%。【本项目为专门面向中小企业采购，本条款不适用】</w:t>
            </w:r>
          </w:p>
          <w:p>
            <w:pPr>
              <w:spacing w:line="400" w:lineRule="exact"/>
              <w:rPr>
                <w:rFonts w:asciiTheme="minorEastAsia" w:hAnsiTheme="minorEastAsia" w:cstheme="minorEastAsia"/>
                <w:color w:val="000000"/>
                <w:szCs w:val="21"/>
              </w:rPr>
            </w:pPr>
            <w:r>
              <w:rPr>
                <w:rFonts w:hint="eastAsia" w:asciiTheme="minorEastAsia" w:hAnsiTheme="minorEastAsia" w:cstheme="minorEastAsia"/>
                <w:szCs w:val="21"/>
              </w:rPr>
              <w:t>4、根据《关于印发中小企业划型标准规定的通知》(工信部联企业【2011】300号) 文件的规定，本项目所属行业</w:t>
            </w:r>
            <w:r>
              <w:rPr>
                <w:rFonts w:hint="eastAsia" w:asciiTheme="minorEastAsia" w:hAnsiTheme="minorEastAsia" w:cstheme="minorEastAsia"/>
                <w:szCs w:val="21"/>
                <w:highlight w:val="none"/>
              </w:rPr>
              <w:t>：</w:t>
            </w:r>
            <w:r>
              <w:rPr>
                <w:rFonts w:hint="eastAsia" w:asciiTheme="minorEastAsia" w:hAnsiTheme="minorEastAsia" w:cstheme="minorEastAsia"/>
                <w:b/>
                <w:bCs/>
                <w:color w:val="auto"/>
                <w:szCs w:val="21"/>
                <w:highlight w:val="none"/>
                <w:u w:val="single"/>
              </w:rPr>
              <w:t>租赁和商务服务业</w:t>
            </w:r>
            <w:r>
              <w:rPr>
                <w:rFonts w:hint="eastAsia" w:asciiTheme="minorEastAsia" w:hAnsiTheme="minorEastAsia" w:cstheme="minorEastAsia"/>
                <w:b/>
                <w:bCs/>
                <w:color w:val="auto"/>
                <w:szCs w:val="21"/>
                <w:highlight w:val="none"/>
                <w:u w:val="single"/>
                <w:lang w:eastAsia="zh-CN"/>
              </w:rPr>
              <w:t>（供应商以此行业填写中小企业声明函）</w:t>
            </w:r>
            <w:r>
              <w:rPr>
                <w:rFonts w:hint="eastAsia" w:asciiTheme="minorEastAsia" w:hAnsiTheme="minorEastAsia" w:cstheme="minorEastAsia"/>
                <w:b/>
                <w:bCs/>
                <w:color w:val="auto"/>
                <w:szCs w:val="21"/>
                <w:highlight w:val="none"/>
                <w:u w:val="single"/>
              </w:rPr>
              <w:t xml:space="preserve"> </w:t>
            </w:r>
            <w:r>
              <w:rPr>
                <w:rFonts w:hint="eastAsia" w:asciiTheme="minorEastAsia" w:hAnsi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付款方式：</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1、付款币种：本次招标所述的项目资金均以人民币支付；</w:t>
            </w:r>
          </w:p>
          <w:p>
            <w:pPr>
              <w:spacing w:line="400" w:lineRule="exact"/>
              <w:rPr>
                <w:rFonts w:asciiTheme="minorEastAsia" w:hAnsiTheme="minorEastAsia" w:cstheme="minorEastAsia"/>
                <w:color w:val="FF0000"/>
                <w:szCs w:val="21"/>
              </w:rPr>
            </w:pPr>
            <w:r>
              <w:rPr>
                <w:rFonts w:hint="eastAsia" w:asciiTheme="minorEastAsia" w:hAnsiTheme="minorEastAsia" w:cstheme="minorEastAsia"/>
                <w:szCs w:val="21"/>
              </w:rPr>
              <w:t>2、付款方式：</w:t>
            </w:r>
            <w:r>
              <w:rPr>
                <w:rFonts w:hint="eastAsia" w:asciiTheme="minorEastAsia" w:hAnsiTheme="minorEastAsia" w:cstheme="minorEastAsia"/>
                <w:b/>
                <w:bCs/>
                <w:szCs w:val="21"/>
              </w:rPr>
              <w:t>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合同履行期限：</w:t>
            </w:r>
            <w:r>
              <w:rPr>
                <w:rFonts w:hint="eastAsia" w:asciiTheme="minorEastAsia" w:hAnsiTheme="minorEastAsia" w:eastAsiaTheme="minorEastAsia" w:cstheme="minorEastAsia"/>
                <w:b/>
                <w:kern w:val="2"/>
                <w:sz w:val="21"/>
                <w:szCs w:val="21"/>
                <w:highlight w:val="none"/>
                <w:lang w:val="en-US" w:eastAsia="zh-CN"/>
              </w:rPr>
              <w:t>自合同签订之日起三年</w:t>
            </w: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5</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合同履行地点：招标人指定地点。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6</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质量保证：</w:t>
            </w:r>
            <w:r>
              <w:rPr>
                <w:rFonts w:hint="eastAsia" w:ascii="宋体" w:hAnsi="宋体" w:eastAsia="宋体" w:cs="宋体"/>
                <w:szCs w:val="21"/>
              </w:rPr>
              <w:t>投标人提供的设备必须是全新的，且符合国家质量检测标准（对于没有国家标准的，应符合行业标准或企业标准。其中国家有强制性技术标准要求的产品，还应符合国家强制性技术标准）。该设备能够满足采购人要求，产品质量稳定，售后服务方便、快捷。投标人对所供设备提供</w:t>
            </w:r>
            <w:r>
              <w:rPr>
                <w:rFonts w:hint="eastAsia" w:ascii="宋体" w:hAnsi="宋体" w:eastAsia="宋体" w:cs="宋体"/>
                <w:b/>
                <w:szCs w:val="21"/>
              </w:rPr>
              <w:t>三年全质保和免费上门服务</w:t>
            </w:r>
            <w:r>
              <w:rPr>
                <w:rFonts w:hint="eastAsia" w:ascii="宋体" w:hAnsi="宋体" w:eastAsia="宋体" w:cs="宋体"/>
                <w:szCs w:val="21"/>
              </w:rPr>
              <w:t>（特殊情况以采购货物一览表要求为准）。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1021" w:type="dxa"/>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7</w:t>
            </w:r>
          </w:p>
        </w:tc>
        <w:tc>
          <w:tcPr>
            <w:tcW w:w="7626"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b/>
                <w:bCs/>
                <w:szCs w:val="21"/>
              </w:rPr>
              <w:t>【投标文件的报价表格的数据要求】：为保证采购人自动数据抓取的工作效率， 要求投标文件的关于价格明细或分项报价的表格，需为word或者Execl形式的原始表格(比如在word中创建表格，再通过政采云平台转为PDF的投标文件)，而不能是拍照或者扫描图片。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rPr>
        <w:tc>
          <w:tcPr>
            <w:tcW w:w="8647" w:type="dxa"/>
            <w:gridSpan w:val="2"/>
            <w:vAlign w:val="center"/>
          </w:tcPr>
          <w:p>
            <w:pPr>
              <w:spacing w:line="400" w:lineRule="exact"/>
              <w:rPr>
                <w:rFonts w:asciiTheme="minorEastAsia" w:hAnsiTheme="minorEastAsia" w:cstheme="minorEastAsia"/>
                <w:b/>
                <w:szCs w:val="21"/>
              </w:rPr>
            </w:pPr>
            <w:r>
              <w:rPr>
                <w:rFonts w:hint="eastAsia" w:asciiTheme="minorEastAsia" w:hAnsiTheme="minorEastAsia" w:cstheme="minorEastAsia"/>
                <w:szCs w:val="21"/>
              </w:rPr>
              <w:t>备注：投标人须在投标文件提交截止时间前通过CA在政采云平台上传加密的电子投标文件，本项目解密时间定为20分钟，如因投标人自身原因导致在规定时间内无法解密，视为其投标文件未递交。</w:t>
            </w:r>
          </w:p>
        </w:tc>
      </w:tr>
    </w:tbl>
    <w:p>
      <w:pPr>
        <w:rPr>
          <w:rFonts w:asciiTheme="minorEastAsia" w:hAnsiTheme="minorEastAsia" w:cstheme="minorEastAsia"/>
        </w:rPr>
      </w:pPr>
    </w:p>
    <w:p>
      <w:pPr>
        <w:pStyle w:val="4"/>
        <w:rPr>
          <w:rFonts w:asciiTheme="minorEastAsia" w:hAnsiTheme="minorEastAsia" w:eastAsiaTheme="minorEastAsia" w:cstheme="minorEastAsia"/>
        </w:rPr>
      </w:pPr>
    </w:p>
    <w:p>
      <w:pPr>
        <w:rPr>
          <w:rFonts w:asciiTheme="minorEastAsia" w:hAnsiTheme="minorEastAsia" w:cstheme="minorEastAsia"/>
        </w:rPr>
      </w:pPr>
    </w:p>
    <w:p>
      <w:pPr>
        <w:pStyle w:val="4"/>
        <w:rPr>
          <w:rFonts w:asciiTheme="minorEastAsia" w:hAnsiTheme="minorEastAsia" w:eastAsiaTheme="minorEastAsia" w:cstheme="minorEastAsia"/>
        </w:rPr>
      </w:pPr>
    </w:p>
    <w:p>
      <w:pPr>
        <w:rPr>
          <w:rFonts w:asciiTheme="minorEastAsia" w:hAnsiTheme="minorEastAsia" w:cstheme="minorEastAsia"/>
        </w:rPr>
      </w:pPr>
    </w:p>
    <w:p>
      <w:pPr>
        <w:pStyle w:val="4"/>
        <w:rPr>
          <w:rFonts w:asciiTheme="minorEastAsia" w:hAnsiTheme="minorEastAsia" w:eastAsiaTheme="minorEastAsia" w:cstheme="minorEastAsia"/>
        </w:rPr>
      </w:pPr>
    </w:p>
    <w:p>
      <w:pPr>
        <w:rPr>
          <w:rFonts w:asciiTheme="minorEastAsia" w:hAnsiTheme="minorEastAsia" w:cstheme="minorEastAsia"/>
        </w:rPr>
      </w:pPr>
    </w:p>
    <w:p>
      <w:pPr>
        <w:pStyle w:val="4"/>
        <w:rPr>
          <w:rFonts w:asciiTheme="minorEastAsia" w:hAnsiTheme="minorEastAsia" w:eastAsiaTheme="minorEastAsia" w:cstheme="minorEastAsia"/>
        </w:rPr>
      </w:pPr>
    </w:p>
    <w:p>
      <w:pPr>
        <w:rPr>
          <w:rFonts w:asciiTheme="minorEastAsia" w:hAnsi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Theme="minorEastAsia" w:hAnsi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Theme="minorEastAsia" w:hAnsiTheme="minorEastAsia" w:cstheme="minorEastAsia"/>
        </w:rPr>
      </w:pP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23" w:name="_Toc216582805"/>
      <w:bookmarkStart w:id="24" w:name="_Toc520356143"/>
      <w:bookmarkStart w:id="25" w:name="_Toc7314"/>
      <w:bookmarkStart w:id="26" w:name="_Toc98265576"/>
      <w:bookmarkStart w:id="27" w:name="_Toc518923060"/>
      <w:r>
        <w:rPr>
          <w:rFonts w:hint="eastAsia" w:asciiTheme="minorEastAsia" w:hAnsiTheme="minorEastAsia" w:eastAsiaTheme="minorEastAsia" w:cstheme="minorEastAsia"/>
          <w:b/>
          <w:color w:val="000000" w:themeColor="text1"/>
          <w:kern w:val="2"/>
          <w:sz w:val="21"/>
          <w:szCs w:val="21"/>
        </w:rPr>
        <w:t>一</w:t>
      </w:r>
      <w:bookmarkEnd w:id="23"/>
      <w:bookmarkEnd w:id="24"/>
      <w:r>
        <w:rPr>
          <w:rFonts w:hint="eastAsia" w:asciiTheme="minorEastAsia" w:hAnsiTheme="minorEastAsia" w:eastAsiaTheme="minorEastAsia" w:cstheme="minorEastAsia"/>
          <w:b/>
          <w:color w:val="000000" w:themeColor="text1"/>
          <w:kern w:val="2"/>
          <w:sz w:val="21"/>
          <w:szCs w:val="21"/>
        </w:rPr>
        <w:t>、总  则</w:t>
      </w:r>
      <w:bookmarkEnd w:id="25"/>
      <w:bookmarkEnd w:id="26"/>
      <w:bookmarkEnd w:id="27"/>
    </w:p>
    <w:p>
      <w:pPr>
        <w:adjustRightInd w:val="0"/>
        <w:snapToGrid w:val="0"/>
        <w:spacing w:line="360" w:lineRule="auto"/>
        <w:rPr>
          <w:rFonts w:asciiTheme="minorEastAsia" w:hAnsiTheme="minorEastAsia" w:cstheme="minorEastAsia"/>
          <w:b/>
          <w:color w:val="000000"/>
          <w:szCs w:val="21"/>
        </w:rPr>
      </w:pPr>
      <w:bookmarkStart w:id="28" w:name="_Toc98265577"/>
      <w:r>
        <w:rPr>
          <w:rFonts w:hint="eastAsia" w:asciiTheme="minorEastAsia" w:hAnsiTheme="minorEastAsia" w:cstheme="minorEastAsia"/>
          <w:b/>
          <w:color w:val="000000"/>
          <w:szCs w:val="21"/>
        </w:rPr>
        <w:t>1</w:t>
      </w:r>
      <w:bookmarkStart w:id="29" w:name="_Toc520356144"/>
      <w:bookmarkStart w:id="30" w:name="_Toc2591597"/>
      <w:bookmarkStart w:id="31" w:name="_Toc518923061"/>
      <w:r>
        <w:rPr>
          <w:rFonts w:hint="eastAsia" w:asciiTheme="minorEastAsia" w:hAnsiTheme="minorEastAsia" w:cstheme="minorEastAsia"/>
          <w:b/>
          <w:color w:val="000000"/>
          <w:szCs w:val="21"/>
        </w:rPr>
        <w:t>、采购人、采购代理机构及</w:t>
      </w:r>
      <w:bookmarkEnd w:id="29"/>
      <w:r>
        <w:rPr>
          <w:rFonts w:hint="eastAsia" w:asciiTheme="minorEastAsia" w:hAnsiTheme="minorEastAsia" w:cstheme="minorEastAsia"/>
          <w:b/>
          <w:color w:val="000000"/>
          <w:szCs w:val="21"/>
        </w:rPr>
        <w:t>投标人</w:t>
      </w:r>
      <w:bookmarkEnd w:id="28"/>
      <w:bookmarkEnd w:id="30"/>
      <w:bookmarkEnd w:id="31"/>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1.1采购人：是指依法开展采购活动的国家机关、事业单位、团体组织。本项目的采购人见</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1.2采购代理机构：是指集中采购机构或从事采购代理业务的社会中介机构。本项目的采购代理机构见</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1.3投标人：是指向采购人提供货物、工程或者服务的法人、非法人组织或者自然人。本文件中的投标人或供应商均指投标人。本项目的投标人须满足以下条件：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1.3.1在中华人民共和国境内注册，能够独立承担民事责任，有生产或供应能力的本国投标人。</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1.3.2具备《中华人民共和国政府采购法》第二十二条关于供应商条件的规定，遵守本项目采购人本级和上级财政部门政府采购的有关规定。</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1.3.3 以采购代理机构认可的方式获得了本项目的招标文件。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1.3.4符合</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中规定的其他要求。</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themeColor="text1"/>
          <w:szCs w:val="21"/>
        </w:rPr>
        <w:t>1.3.5若</w:t>
      </w:r>
      <w:r>
        <w:rPr>
          <w:rFonts w:hint="eastAsia" w:asciiTheme="minorEastAsia" w:hAnsiTheme="minorEastAsia" w:cstheme="minorEastAsia"/>
          <w:color w:val="000000" w:themeColor="text1"/>
          <w:szCs w:val="21"/>
          <w:u w:val="single"/>
        </w:rPr>
        <w:t>投标须知前附表</w:t>
      </w:r>
      <w:r>
        <w:rPr>
          <w:rFonts w:hint="eastAsia" w:asciiTheme="minorEastAsia" w:hAnsiTheme="minorEastAsia" w:cstheme="minorEastAsia"/>
          <w:color w:val="000000" w:themeColor="text1"/>
          <w:szCs w:val="21"/>
        </w:rPr>
        <w:t>中写明专门面向中小企业采购的，如投标人为非中小企业或所投产品为非中小企业产品，其投标将被认定为投标</w:t>
      </w:r>
      <w:r>
        <w:rPr>
          <w:rFonts w:hint="eastAsia" w:asciiTheme="minorEastAsia" w:hAnsiTheme="minorEastAsia" w:cstheme="minorEastAsia"/>
          <w:b/>
          <w:color w:val="000000" w:themeColor="text1"/>
          <w:szCs w:val="21"/>
        </w:rPr>
        <w:t>无效</w:t>
      </w:r>
      <w:r>
        <w:rPr>
          <w:rFonts w:hint="eastAsia" w:asciiTheme="minorEastAsia" w:hAnsiTheme="minorEastAsia" w:cstheme="minorEastAsia"/>
          <w:color w:val="000000" w:themeColor="text1"/>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1.3.6单位负责人为同一人或者存在直接控股、管理关系的不同投标人，其相关投标将被认定为投标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1.3.7为本项目提供过整体设计、规范编制或者项目管理、监理、检测等服务的投标人，不得再参加本项目上述服务以外的其他采购活动。否则其投标将被认定为投标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1.3.8投标人在投标过程中不得向采购人提供或给予影响其正常决策行为的任何有价值物品或服务。一经发现，其投标将被认定为投标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rPr>
          <w:rFonts w:asciiTheme="minorEastAsia" w:hAnsiTheme="minorEastAsia" w:cstheme="minorEastAsia"/>
          <w:b/>
          <w:color w:val="000000"/>
          <w:szCs w:val="21"/>
        </w:rPr>
      </w:pPr>
      <w:bookmarkStart w:id="32" w:name="_Toc2591598"/>
      <w:bookmarkStart w:id="33" w:name="_Toc518923062"/>
      <w:bookmarkStart w:id="34" w:name="_Toc98265578"/>
      <w:r>
        <w:rPr>
          <w:rFonts w:hint="eastAsia" w:asciiTheme="minorEastAsia" w:hAnsiTheme="minorEastAsia" w:cstheme="minorEastAsia"/>
          <w:b/>
          <w:color w:val="000000"/>
          <w:szCs w:val="21"/>
        </w:rPr>
        <w:t>2、资金来源</w:t>
      </w:r>
      <w:bookmarkEnd w:id="32"/>
      <w:bookmarkEnd w:id="33"/>
      <w:bookmarkEnd w:id="34"/>
    </w:p>
    <w:p>
      <w:pPr>
        <w:adjustRightInd w:val="0"/>
        <w:snapToGrid w:val="0"/>
        <w:spacing w:line="360" w:lineRule="auto"/>
        <w:ind w:firstLine="420" w:firstLineChars="200"/>
        <w:rPr>
          <w:rFonts w:asciiTheme="minorEastAsia" w:hAnsiTheme="minorEastAsia" w:cstheme="minorEastAsia"/>
          <w:color w:val="000000"/>
          <w:szCs w:val="21"/>
        </w:rPr>
      </w:pPr>
      <w:bookmarkStart w:id="35" w:name="_Toc518923063"/>
      <w:bookmarkStart w:id="36" w:name="_Toc2591599"/>
      <w:bookmarkStart w:id="37" w:name="_Toc520356145"/>
      <w:r>
        <w:rPr>
          <w:rFonts w:hint="eastAsia" w:asciiTheme="minorEastAsia" w:hAnsiTheme="minorEastAsia" w:cstheme="minorEastAsia"/>
          <w:color w:val="000000"/>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2.2项目预算金额和分包最高限价见</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2.3投标人报价超过招标文件规定的预算金额或者分包最高限价的，其投标将被认定为投标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rPr>
          <w:rFonts w:asciiTheme="minorEastAsia" w:hAnsiTheme="minorEastAsia" w:cstheme="minorEastAsia"/>
          <w:b/>
          <w:color w:val="000000"/>
          <w:szCs w:val="21"/>
        </w:rPr>
      </w:pPr>
      <w:bookmarkStart w:id="38" w:name="_Toc98265579"/>
      <w:r>
        <w:rPr>
          <w:rFonts w:hint="eastAsia" w:asciiTheme="minorEastAsia" w:hAnsiTheme="minorEastAsia" w:cstheme="minorEastAsia"/>
          <w:b/>
          <w:color w:val="000000"/>
          <w:szCs w:val="21"/>
        </w:rPr>
        <w:t>3、投标费用</w:t>
      </w:r>
      <w:bookmarkEnd w:id="35"/>
      <w:bookmarkEnd w:id="36"/>
      <w:bookmarkEnd w:id="37"/>
      <w:bookmarkEnd w:id="38"/>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不论投标的结果如何，投标人应承担所有与准备和参加投标有关的费用。</w:t>
      </w:r>
    </w:p>
    <w:p>
      <w:pPr>
        <w:adjustRightInd w:val="0"/>
        <w:snapToGrid w:val="0"/>
        <w:spacing w:line="360" w:lineRule="auto"/>
        <w:rPr>
          <w:rFonts w:asciiTheme="minorEastAsia" w:hAnsiTheme="minorEastAsia" w:cstheme="minorEastAsia"/>
          <w:b/>
          <w:color w:val="000000"/>
          <w:szCs w:val="21"/>
        </w:rPr>
      </w:pPr>
      <w:bookmarkStart w:id="39" w:name="_Toc98265580"/>
      <w:bookmarkStart w:id="40" w:name="_Toc2591600"/>
      <w:bookmarkStart w:id="41" w:name="_Toc518923064"/>
      <w:r>
        <w:rPr>
          <w:rFonts w:hint="eastAsia" w:asciiTheme="minorEastAsia" w:hAnsiTheme="minorEastAsia" w:cstheme="minorEastAsia"/>
          <w:b/>
          <w:color w:val="000000"/>
          <w:szCs w:val="21"/>
        </w:rPr>
        <w:t>4、适用法律</w:t>
      </w:r>
      <w:bookmarkEnd w:id="39"/>
      <w:bookmarkEnd w:id="40"/>
      <w:bookmarkEnd w:id="41"/>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本项目采购人、采购代理机构、投标人、评标委员会的相关行为均受《中华人民共和国政府采购法》、《中华人民共和国政府采购法实施条例》及本招标文件有关规定的约束，其权利受到上述法律法规的保护。</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42" w:name="_Toc518923065"/>
      <w:bookmarkStart w:id="43" w:name="_Toc98265581"/>
      <w:bookmarkStart w:id="44" w:name="_Toc520356146"/>
      <w:bookmarkStart w:id="45" w:name="_Toc216582806"/>
      <w:bookmarkStart w:id="46" w:name="_Toc12955"/>
      <w:r>
        <w:rPr>
          <w:rFonts w:hint="eastAsia" w:asciiTheme="minorEastAsia" w:hAnsiTheme="minorEastAsia" w:eastAsiaTheme="minorEastAsia" w:cstheme="minorEastAsia"/>
          <w:b/>
          <w:color w:val="000000" w:themeColor="text1"/>
          <w:kern w:val="2"/>
          <w:sz w:val="21"/>
          <w:szCs w:val="21"/>
        </w:rPr>
        <w:t>二、招标文件</w:t>
      </w:r>
      <w:bookmarkEnd w:id="42"/>
      <w:bookmarkEnd w:id="43"/>
      <w:bookmarkEnd w:id="44"/>
      <w:bookmarkEnd w:id="45"/>
      <w:bookmarkEnd w:id="46"/>
    </w:p>
    <w:p>
      <w:pPr>
        <w:adjustRightInd w:val="0"/>
        <w:snapToGrid w:val="0"/>
        <w:spacing w:line="360" w:lineRule="auto"/>
        <w:rPr>
          <w:rFonts w:asciiTheme="minorEastAsia" w:hAnsiTheme="minorEastAsia" w:cstheme="minorEastAsia"/>
          <w:b/>
          <w:color w:val="000000"/>
          <w:szCs w:val="21"/>
        </w:rPr>
      </w:pPr>
      <w:bookmarkStart w:id="47" w:name="_Toc520356147"/>
      <w:bookmarkStart w:id="48" w:name="_Toc98265582"/>
      <w:bookmarkStart w:id="49" w:name="_Toc518923066"/>
      <w:bookmarkStart w:id="50" w:name="_Toc2591602"/>
      <w:r>
        <w:rPr>
          <w:rFonts w:hint="eastAsia" w:asciiTheme="minorEastAsia" w:hAnsiTheme="minorEastAsia" w:cstheme="minorEastAsia"/>
          <w:b/>
          <w:color w:val="000000"/>
          <w:szCs w:val="21"/>
        </w:rPr>
        <w:t>5、招标文件构成</w:t>
      </w:r>
      <w:bookmarkEnd w:id="47"/>
      <w:bookmarkEnd w:id="48"/>
      <w:bookmarkEnd w:id="49"/>
      <w:bookmarkEnd w:id="50"/>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5.1</w:t>
      </w:r>
      <w:r>
        <w:rPr>
          <w:rFonts w:hint="eastAsia" w:asciiTheme="minorEastAsia" w:hAnsiTheme="minorEastAsia" w:cstheme="minorEastAsia"/>
          <w:color w:val="000000" w:themeColor="text1"/>
          <w:szCs w:val="21"/>
        </w:rPr>
        <w:tab/>
      </w:r>
      <w:r>
        <w:rPr>
          <w:rFonts w:hint="eastAsia" w:asciiTheme="minorEastAsia" w:hAnsiTheme="minorEastAsia" w:cstheme="minorEastAsia"/>
          <w:color w:val="000000" w:themeColor="text1"/>
          <w:szCs w:val="21"/>
        </w:rPr>
        <w:t>招标文件共6章，内容如下：</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第一章、招标公告</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第二章、投标人须知</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第三章、采购需求</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第四章、评标方法和标准</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第五章、政府采购合同</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第六章、投标文件格式</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5.2招标文件中有不一致的，有澄清的部分以最终的澄清更正内容为准；未澄清的，以投标须知前附表为准；投标须知前表不涉及的内容，以编排在后的描述为准。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themeColor="text1"/>
          <w:szCs w:val="21"/>
        </w:rPr>
        <w:t>5.3投标人应认真阅读招标文件所</w:t>
      </w:r>
      <w:r>
        <w:rPr>
          <w:rFonts w:hint="eastAsia" w:asciiTheme="minorEastAsia" w:hAnsiTheme="minorEastAsia" w:cstheme="minorEastAsia"/>
          <w:color w:val="000000"/>
          <w:szCs w:val="21"/>
        </w:rPr>
        <w:t>有的事项、格式、条款和技术规范等。如投标人没有按照招标文件要求提交全部资料，或者投标文件没有对招标文件在各方面都做出实质性响应，可能导致其投标被认定为投标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5.4现场考察或者答疑会及相关事项见</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w:t>
      </w:r>
    </w:p>
    <w:p>
      <w:pPr>
        <w:adjustRightInd w:val="0"/>
        <w:snapToGrid w:val="0"/>
        <w:spacing w:line="360" w:lineRule="auto"/>
        <w:rPr>
          <w:rFonts w:asciiTheme="minorEastAsia" w:hAnsiTheme="minorEastAsia" w:cstheme="minorEastAsia"/>
          <w:b/>
          <w:color w:val="000000"/>
          <w:szCs w:val="21"/>
        </w:rPr>
      </w:pPr>
      <w:bookmarkStart w:id="51" w:name="_Toc520356148"/>
      <w:bookmarkStart w:id="52" w:name="_Toc518923067"/>
      <w:bookmarkStart w:id="53" w:name="_Toc2591603"/>
      <w:bookmarkStart w:id="54" w:name="_Toc98265583"/>
      <w:r>
        <w:rPr>
          <w:rFonts w:hint="eastAsia" w:asciiTheme="minorEastAsia" w:hAnsiTheme="minorEastAsia" w:cstheme="minorEastAsia"/>
          <w:b/>
          <w:color w:val="000000"/>
          <w:szCs w:val="21"/>
        </w:rPr>
        <w:t>6、招标文件的澄清</w:t>
      </w:r>
      <w:bookmarkEnd w:id="51"/>
      <w:r>
        <w:rPr>
          <w:rFonts w:hint="eastAsia" w:asciiTheme="minorEastAsia" w:hAnsiTheme="minorEastAsia" w:cstheme="minorEastAsia"/>
          <w:b/>
          <w:color w:val="000000"/>
          <w:szCs w:val="21"/>
        </w:rPr>
        <w:t>与修改</w:t>
      </w:r>
      <w:bookmarkEnd w:id="52"/>
      <w:bookmarkEnd w:id="53"/>
      <w:bookmarkEnd w:id="54"/>
    </w:p>
    <w:p>
      <w:pPr>
        <w:adjustRightInd w:val="0"/>
        <w:snapToGrid w:val="0"/>
        <w:spacing w:line="360" w:lineRule="auto"/>
        <w:ind w:firstLine="420" w:firstLineChars="200"/>
        <w:rPr>
          <w:rFonts w:asciiTheme="minorEastAsia" w:hAnsiTheme="minorEastAsia" w:cstheme="minorEastAsia"/>
          <w:color w:val="000000"/>
          <w:szCs w:val="21"/>
        </w:rPr>
      </w:pPr>
      <w:bookmarkStart w:id="55" w:name="_Toc520356149"/>
      <w:bookmarkStart w:id="56" w:name="_Ref467378678"/>
      <w:bookmarkStart w:id="57" w:name="_Toc2591604"/>
      <w:bookmarkStart w:id="58" w:name="_Toc518923068"/>
      <w:r>
        <w:rPr>
          <w:rFonts w:hint="eastAsia" w:asciiTheme="minorEastAsia" w:hAnsiTheme="minorEastAsia" w:cstheme="minorEastAsia"/>
          <w:color w:val="000000"/>
          <w:szCs w:val="21"/>
        </w:rPr>
        <w:t>6.1采购人可主动地或在解答投标人提出的澄清问题时对招标文件澄清或修改。采购代理机构将以发布澄清（更正）公告的方式，澄清或修改招标文件，澄清或修改内容作为招标文件的组成部分。澄清或者修改的内容可能影响投标文件编制的，采购代理机构将以公告形式通知所有获取招标文件的潜在投标人，并对其具有约束力。</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6.2对与本项目有关的澄清与修改等通知，采购代理机构将在“政采云”平台澄清变更公告栏内以公告的形式公开发布（包括更正公告、澄清（修改）公告及中止（暂停）公告），所有获取招标文件的潜在投标人无需回函。</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6.3所有获取招标文件的潜在投标人须及时关注“政采云”平台澄清变更公告栏内发布的关于本项目的相关公告，采购代理机构一旦在“政采云”平台澄清变更公告栏内发布公告即视同为相关投标人已获取此公告文件。如因投标人未及时关注此部分信息，由此引发的后果由投标人自行承担，采购代理机构不因此承担任何责任，有关的招标活动可以继续有效地进行。</w:t>
      </w:r>
      <w:bookmarkStart w:id="59" w:name="_Toc98265584"/>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6.4采购人、采购代理机构一旦在“政采云”平台澄清变更公告栏内发布的关于本项目的相关公告，即刻发生效力。此公告文件将作为招标文件的组成部分，并更正、澄清（修改）招标文件对应部分，对所有现实的或潜在的投标人均具有约束力，而无论是否已经实际关注上述公告文件。如采购人、采购代理机构发布投标截止时间延期的公告，采购代理机构和投标人的权利及义务将受到新的截止期的约束。</w:t>
      </w:r>
    </w:p>
    <w:p>
      <w:pPr>
        <w:adjustRightInd w:val="0"/>
        <w:snapToGrid w:val="0"/>
        <w:spacing w:line="360" w:lineRule="auto"/>
        <w:rPr>
          <w:rFonts w:asciiTheme="minorEastAsia" w:hAnsiTheme="minorEastAsia" w:cstheme="minorEastAsia"/>
          <w:b/>
          <w:color w:val="000000"/>
          <w:szCs w:val="21"/>
        </w:rPr>
      </w:pPr>
      <w:r>
        <w:rPr>
          <w:rFonts w:hint="eastAsia" w:asciiTheme="minorEastAsia" w:hAnsiTheme="minorEastAsia" w:cstheme="minorEastAsia"/>
          <w:b/>
          <w:color w:val="000000"/>
          <w:szCs w:val="21"/>
        </w:rPr>
        <w:t>7</w:t>
      </w:r>
      <w:bookmarkEnd w:id="55"/>
      <w:bookmarkEnd w:id="56"/>
      <w:r>
        <w:rPr>
          <w:rFonts w:hint="eastAsia" w:asciiTheme="minorEastAsia" w:hAnsiTheme="minorEastAsia" w:cstheme="minorEastAsia"/>
          <w:b/>
          <w:color w:val="000000"/>
          <w:szCs w:val="21"/>
        </w:rPr>
        <w:t>、投标截止时间的顺延</w:t>
      </w:r>
      <w:bookmarkEnd w:id="57"/>
      <w:bookmarkEnd w:id="58"/>
      <w:bookmarkEnd w:id="59"/>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为使投标人准备投标时有足够的时间对招标文件的澄清或者修改部分进行研究，采购人将依法决定是否顺延投标截止时间。</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60" w:name="_Toc516367020"/>
      <w:bookmarkStart w:id="61" w:name="_Toc216582807"/>
      <w:bookmarkStart w:id="62" w:name="_Toc518923069"/>
      <w:bookmarkStart w:id="63" w:name="_Toc520356150"/>
      <w:bookmarkStart w:id="64" w:name="_Toc31842"/>
      <w:bookmarkStart w:id="65" w:name="_Toc98265585"/>
      <w:r>
        <w:rPr>
          <w:rFonts w:hint="eastAsia" w:asciiTheme="minorEastAsia" w:hAnsiTheme="minorEastAsia" w:eastAsiaTheme="minorEastAsia" w:cstheme="minorEastAsia"/>
          <w:b/>
          <w:color w:val="000000" w:themeColor="text1"/>
          <w:kern w:val="2"/>
          <w:sz w:val="21"/>
          <w:szCs w:val="21"/>
        </w:rPr>
        <w:t>三、投标文件</w:t>
      </w:r>
      <w:bookmarkEnd w:id="60"/>
      <w:r>
        <w:rPr>
          <w:rFonts w:hint="eastAsia" w:asciiTheme="minorEastAsia" w:hAnsiTheme="minorEastAsia" w:eastAsiaTheme="minorEastAsia" w:cstheme="minorEastAsia"/>
          <w:b/>
          <w:color w:val="000000" w:themeColor="text1"/>
          <w:kern w:val="2"/>
          <w:sz w:val="21"/>
          <w:szCs w:val="21"/>
        </w:rPr>
        <w:t>的编制</w:t>
      </w:r>
      <w:bookmarkEnd w:id="61"/>
      <w:bookmarkEnd w:id="62"/>
      <w:bookmarkEnd w:id="63"/>
      <w:bookmarkEnd w:id="64"/>
      <w:bookmarkEnd w:id="65"/>
    </w:p>
    <w:p>
      <w:pPr>
        <w:adjustRightInd w:val="0"/>
        <w:snapToGrid w:val="0"/>
        <w:spacing w:line="360" w:lineRule="auto"/>
        <w:rPr>
          <w:rFonts w:asciiTheme="minorEastAsia" w:hAnsiTheme="minorEastAsia" w:cstheme="minorEastAsia"/>
          <w:b/>
          <w:color w:val="000000"/>
          <w:szCs w:val="21"/>
        </w:rPr>
      </w:pPr>
      <w:bookmarkStart w:id="66" w:name="_Toc2591606"/>
      <w:bookmarkStart w:id="67" w:name="_Toc516367021"/>
      <w:bookmarkStart w:id="68" w:name="_Toc520356151"/>
      <w:bookmarkStart w:id="69" w:name="_Toc518923070"/>
      <w:bookmarkStart w:id="70" w:name="_Toc98265586"/>
      <w:r>
        <w:rPr>
          <w:rFonts w:hint="eastAsia" w:asciiTheme="minorEastAsia" w:hAnsiTheme="minorEastAsia" w:cstheme="minorEastAsia"/>
          <w:b/>
          <w:color w:val="000000"/>
          <w:szCs w:val="21"/>
        </w:rPr>
        <w:t>8、投标范围及投标文件中标准和计量单位的使用</w:t>
      </w:r>
      <w:bookmarkEnd w:id="66"/>
      <w:bookmarkEnd w:id="67"/>
      <w:bookmarkEnd w:id="68"/>
      <w:bookmarkEnd w:id="69"/>
      <w:bookmarkEnd w:id="70"/>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8.1</w:t>
      </w:r>
      <w:r>
        <w:rPr>
          <w:rFonts w:hint="eastAsia" w:asciiTheme="minorEastAsia" w:hAnsiTheme="minorEastAsia" w:cstheme="minorEastAsia"/>
          <w:color w:val="000000"/>
          <w:szCs w:val="21"/>
        </w:rPr>
        <w:tab/>
      </w:r>
      <w:r>
        <w:rPr>
          <w:rFonts w:hint="eastAsia" w:asciiTheme="minorEastAsia" w:hAnsiTheme="minorEastAsia" w:cstheme="minorEastAsia"/>
          <w:color w:val="000000"/>
          <w:szCs w:val="21"/>
        </w:rPr>
        <w:t>投标人可对招标文件中一个或几个分包进行投标，除非在</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中另有规定。</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8.2投标人应当对所投分包招标文件中“采购需求”所列的所有服务内容进行投标，如仅响应分包中的部分内容，其投标将被认定为投标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8.3无论招标文件中是否要求，投标人所投服务及其伴随的货物和工程均应符合国家强制性标准。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8.4 除招标文件中有特殊要求外，投标文件中所使用的计量单位，应采用中华人民共和国法定计量单位。</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8.5投标人提交的投标文件（包括技术文件和资料、图纸中的说明）以及投标人与采购代理机构就有关投标的所有来往函电均应使用中文简体字。</w:t>
      </w:r>
    </w:p>
    <w:p>
      <w:pPr>
        <w:adjustRightInd w:val="0"/>
        <w:snapToGrid w:val="0"/>
        <w:spacing w:line="360" w:lineRule="auto"/>
        <w:rPr>
          <w:rFonts w:asciiTheme="minorEastAsia" w:hAnsiTheme="minorEastAsia" w:cstheme="minorEastAsia"/>
          <w:b/>
          <w:color w:val="000000"/>
          <w:szCs w:val="21"/>
        </w:rPr>
      </w:pPr>
      <w:bookmarkStart w:id="71" w:name="_Ref467306676"/>
      <w:bookmarkStart w:id="72" w:name="_Toc516367022"/>
      <w:bookmarkStart w:id="73" w:name="_Ref467306195"/>
      <w:bookmarkStart w:id="74" w:name="_Toc98265587"/>
      <w:bookmarkStart w:id="75" w:name="_Toc518923071"/>
      <w:bookmarkStart w:id="76" w:name="_Toc520356152"/>
      <w:bookmarkStart w:id="77" w:name="_Toc2591607"/>
      <w:r>
        <w:rPr>
          <w:rFonts w:hint="eastAsia" w:asciiTheme="minorEastAsia" w:hAnsiTheme="minorEastAsia" w:cstheme="minorEastAsia"/>
          <w:b/>
          <w:color w:val="000000"/>
          <w:szCs w:val="21"/>
        </w:rPr>
        <w:t>9、投标文件</w:t>
      </w:r>
      <w:bookmarkEnd w:id="71"/>
      <w:bookmarkEnd w:id="72"/>
      <w:bookmarkEnd w:id="73"/>
      <w:r>
        <w:rPr>
          <w:rFonts w:hint="eastAsia" w:asciiTheme="minorEastAsia" w:hAnsiTheme="minorEastAsia" w:cstheme="minorEastAsia"/>
          <w:b/>
          <w:color w:val="000000"/>
          <w:szCs w:val="21"/>
        </w:rPr>
        <w:t>构成</w:t>
      </w:r>
      <w:bookmarkEnd w:id="74"/>
      <w:bookmarkEnd w:id="75"/>
      <w:bookmarkEnd w:id="76"/>
      <w:bookmarkEnd w:id="77"/>
    </w:p>
    <w:p>
      <w:pPr>
        <w:adjustRightInd w:val="0"/>
        <w:snapToGrid w:val="0"/>
        <w:spacing w:line="360" w:lineRule="auto"/>
        <w:ind w:firstLine="420" w:firstLineChars="200"/>
        <w:rPr>
          <w:rFonts w:asciiTheme="minorEastAsia" w:hAnsiTheme="minorEastAsia" w:cstheme="minorEastAsia"/>
          <w:color w:val="000000"/>
          <w:szCs w:val="21"/>
        </w:rPr>
      </w:pPr>
      <w:bookmarkStart w:id="78" w:name="_Ref467052588"/>
      <w:r>
        <w:rPr>
          <w:rFonts w:hint="eastAsia" w:asciiTheme="minorEastAsia" w:hAnsiTheme="minorEastAsia" w:cstheme="minorEastAsia"/>
          <w:color w:val="000000"/>
          <w:szCs w:val="21"/>
        </w:rPr>
        <w:t>9.1投标人应完整地按招标文件提供的投标文件格式及要求编写投标文件，投标文件应包括</w:t>
      </w:r>
      <w:bookmarkEnd w:id="78"/>
      <w:r>
        <w:rPr>
          <w:rFonts w:hint="eastAsia" w:asciiTheme="minorEastAsia" w:hAnsiTheme="minorEastAsia" w:cstheme="minorEastAsia"/>
          <w:color w:val="000000"/>
          <w:szCs w:val="21"/>
        </w:rPr>
        <w:t>招标文件要求全部内容，投标人可补充完善投标文件相应内容，以便于更好展示自身实力及便于评审。投标文件中资格审查和符合性审查涉及的事项不满足招标文件要求的，其投标将被认定为投标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9.2上述文件应按照招标文件的规定签署和盖公章或经公章授权的其他单位章（以下统称公章）。采用公章授权方式的，应当在投标文件附公章授权书（格式自定）。</w:t>
      </w:r>
    </w:p>
    <w:p>
      <w:pPr>
        <w:adjustRightInd w:val="0"/>
        <w:snapToGrid w:val="0"/>
        <w:spacing w:line="360" w:lineRule="auto"/>
        <w:rPr>
          <w:rFonts w:asciiTheme="minorEastAsia" w:hAnsiTheme="minorEastAsia" w:cstheme="minorEastAsia"/>
          <w:b/>
          <w:color w:val="000000"/>
          <w:szCs w:val="21"/>
        </w:rPr>
      </w:pPr>
      <w:bookmarkStart w:id="79" w:name="_Toc516367023"/>
      <w:bookmarkStart w:id="80" w:name="_Toc98265588"/>
      <w:bookmarkStart w:id="81" w:name="_Toc518923072"/>
      <w:bookmarkStart w:id="82" w:name="_Toc520356153"/>
      <w:bookmarkStart w:id="83" w:name="_Toc508185920"/>
      <w:bookmarkStart w:id="84" w:name="_Toc2591608"/>
      <w:bookmarkStart w:id="85" w:name="_Toc520356155"/>
      <w:r>
        <w:rPr>
          <w:rFonts w:hint="eastAsia" w:asciiTheme="minorEastAsia" w:hAnsiTheme="minorEastAsia" w:cstheme="minorEastAsia"/>
          <w:b/>
          <w:color w:val="000000"/>
          <w:szCs w:val="21"/>
        </w:rPr>
        <w:t>10、证明投标标的的合格性和符合招标文件规定的投标文件</w:t>
      </w:r>
      <w:bookmarkEnd w:id="79"/>
      <w:bookmarkEnd w:id="80"/>
      <w:bookmarkEnd w:id="81"/>
      <w:bookmarkEnd w:id="82"/>
      <w:bookmarkEnd w:id="83"/>
      <w:bookmarkEnd w:id="84"/>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10.1投标人应提交证明文件，证明其投标内容符合招标文件规定。该证明文件是投标文件的一部分。</w:t>
      </w:r>
    </w:p>
    <w:p>
      <w:pPr>
        <w:adjustRightInd w:val="0"/>
        <w:snapToGrid w:val="0"/>
        <w:spacing w:line="360" w:lineRule="auto"/>
        <w:ind w:firstLine="420" w:firstLineChars="200"/>
        <w:rPr>
          <w:rFonts w:asciiTheme="minorEastAsia" w:hAnsiTheme="minorEastAsia" w:cstheme="minorEastAsia"/>
          <w:color w:val="000000"/>
          <w:szCs w:val="21"/>
        </w:rPr>
      </w:pPr>
      <w:bookmarkStart w:id="86" w:name="_Ref467306244"/>
      <w:r>
        <w:rPr>
          <w:rFonts w:hint="eastAsia" w:asciiTheme="minorEastAsia" w:hAnsiTheme="minorEastAsia" w:cstheme="minorEastAsia"/>
          <w:color w:val="000000"/>
          <w:szCs w:val="21"/>
        </w:rPr>
        <w:t>10.2上款所述的证明文件，可以是文字资料、图纸和数据</w:t>
      </w:r>
      <w:bookmarkEnd w:id="86"/>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10.3本条所指证明文件不包括对招标文件相关部分的文字、图标的复制。</w:t>
      </w:r>
    </w:p>
    <w:p>
      <w:pPr>
        <w:adjustRightInd w:val="0"/>
        <w:snapToGrid w:val="0"/>
        <w:spacing w:line="360" w:lineRule="auto"/>
        <w:rPr>
          <w:rFonts w:asciiTheme="minorEastAsia" w:hAnsiTheme="minorEastAsia" w:cstheme="minorEastAsia"/>
          <w:b/>
          <w:color w:val="000000"/>
          <w:szCs w:val="21"/>
        </w:rPr>
      </w:pPr>
      <w:bookmarkStart w:id="87" w:name="_Toc98265589"/>
      <w:bookmarkStart w:id="88" w:name="_Toc2591609"/>
      <w:bookmarkStart w:id="89" w:name="_Toc518923073"/>
      <w:r>
        <w:rPr>
          <w:rFonts w:hint="eastAsia" w:asciiTheme="minorEastAsia" w:hAnsiTheme="minorEastAsia" w:cstheme="minorEastAsia"/>
          <w:b/>
          <w:color w:val="000000"/>
          <w:szCs w:val="21"/>
        </w:rPr>
        <w:t>11、投标报价</w:t>
      </w:r>
      <w:bookmarkEnd w:id="85"/>
      <w:bookmarkEnd w:id="87"/>
      <w:bookmarkEnd w:id="88"/>
      <w:bookmarkEnd w:id="89"/>
    </w:p>
    <w:p>
      <w:pPr>
        <w:adjustRightInd w:val="0"/>
        <w:snapToGrid w:val="0"/>
        <w:spacing w:line="360" w:lineRule="auto"/>
        <w:ind w:firstLine="420" w:firstLineChars="200"/>
        <w:rPr>
          <w:rFonts w:asciiTheme="minorEastAsia" w:hAnsiTheme="minorEastAsia" w:cstheme="minorEastAsia"/>
          <w:color w:val="000000"/>
          <w:szCs w:val="21"/>
        </w:rPr>
      </w:pPr>
      <w:bookmarkStart w:id="90" w:name="_Ref467306513"/>
      <w:bookmarkStart w:id="91" w:name="_Toc518923074"/>
      <w:bookmarkStart w:id="92" w:name="_Toc2591610"/>
      <w:bookmarkStart w:id="93" w:name="_Toc520356156"/>
      <w:r>
        <w:rPr>
          <w:rFonts w:hint="eastAsia" w:asciiTheme="minorEastAsia" w:hAnsiTheme="minorEastAsia" w:cstheme="minorEastAsia"/>
          <w:color w:val="000000"/>
          <w:szCs w:val="21"/>
        </w:rPr>
        <w:t>11.1投标人的报价应当包括满足本次招标全部采购需求所应提供的服务，以及伴随的货物和工程。所有投标均应以人民币报价，投标人的投标报价应遵守《中华人民共和国价格法》的规定进行明码标价，并详细说明服务的项目、收费标准等有关情况，投标人不得在报价之外加价，不得收取任何未予标明的费用。本项目具体报价要求见</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，否则其投标将被认定为投标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11.2投标人应在投标分项报价表上标明分项服务、伴随的货物和工程的价格（如适用）和总价，并由法定代表人或委托代理人签署。只要投报了一个确定数额的总价，无论详细价格是否全部填报了相应的金额，其报价应被视为已经包含了为完成本项工作所发生的全部费用和所需缴纳的所有价格、税、费等。在其他情况下，由于详细报价填报不完整、不清楚或存在其他任何失误，所导致的任何不利后果均应当由投标人自行承担。</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11.3采购人不接受具有附加条件的报价或多个方案的报价。最低报价不能作为中标的保证。</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11.4投标人所报的各项投标报价在合同履行过程中是固定不变的，不得以任何理由予以变更。任何包含价格调整要求的投标，将被认定为投标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rPr>
          <w:rFonts w:asciiTheme="minorEastAsia" w:hAnsiTheme="minorEastAsia" w:cstheme="minorEastAsia"/>
          <w:b/>
          <w:color w:val="000000"/>
          <w:szCs w:val="21"/>
        </w:rPr>
      </w:pPr>
      <w:bookmarkStart w:id="94" w:name="_Toc98265590"/>
      <w:r>
        <w:rPr>
          <w:rFonts w:hint="eastAsia" w:asciiTheme="minorEastAsia" w:hAnsiTheme="minorEastAsia" w:cstheme="minorEastAsia"/>
          <w:b/>
          <w:color w:val="000000"/>
          <w:szCs w:val="21"/>
        </w:rPr>
        <w:t>12、投标保证金</w:t>
      </w:r>
      <w:bookmarkEnd w:id="90"/>
      <w:bookmarkEnd w:id="91"/>
      <w:bookmarkEnd w:id="92"/>
      <w:bookmarkEnd w:id="93"/>
      <w:bookmarkEnd w:id="94"/>
    </w:p>
    <w:p>
      <w:pPr>
        <w:adjustRightInd w:val="0"/>
        <w:snapToGrid w:val="0"/>
        <w:spacing w:line="360" w:lineRule="auto"/>
        <w:ind w:firstLine="420" w:firstLineChars="200"/>
        <w:rPr>
          <w:rFonts w:asciiTheme="minorEastAsia" w:hAnsiTheme="minorEastAsia" w:cstheme="minorEastAsia"/>
          <w:color w:val="000000"/>
          <w:szCs w:val="21"/>
        </w:rPr>
      </w:pPr>
      <w:bookmarkStart w:id="95" w:name="_Ref467306302"/>
      <w:r>
        <w:rPr>
          <w:rFonts w:hint="eastAsia" w:asciiTheme="minorEastAsia" w:hAnsiTheme="minorEastAsia" w:cstheme="minorEastAsia"/>
          <w:color w:val="000000"/>
          <w:szCs w:val="21"/>
        </w:rPr>
        <w:t>12.1投标人应提交</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中规定的投标保证金</w:t>
      </w:r>
      <w:bookmarkEnd w:id="95"/>
      <w:r>
        <w:rPr>
          <w:rFonts w:hint="eastAsia" w:asciiTheme="minorEastAsia" w:hAnsiTheme="minorEastAsia" w:cstheme="minorEastAsia"/>
          <w:color w:val="000000"/>
          <w:szCs w:val="21"/>
        </w:rPr>
        <w:t>，并作为其投标的一部分。投标保证金的提交的时间以到账时间为准，如未在投标文件递交截止时间前到达指定账户，则视为其未按采购文件要求提交保证金，其投标文件</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投标保证金递交单位名称必须与投标人登记的单位名称一致,不得以分公司、办事处或其他机构名义交纳,否则视为</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12.2投标保证金可采用支票、汇票、本票、保函等非现金形式递交。投标人如采用支票、汇票、本票的形式递交时，须自行评估、考虑因异地、跨行、公休日、柜员操作等因素造成的保证金到账延迟风险，并承担相应责任。代理机构仅保证在收到支票、汇票、本票后24小时内（如遇节假日、公休日则时间顺延）递交至保证金收款银行办理入账手续，如未在规定时间内递交完成（到达招标文件指定账户），其投标文件</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投标人如采用保函形式递交时，其保函必须政采云平台要求，否则</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。投标人如采用其他非现金形式递交，如转账、电汇，须由投标人的单位账进行操作递交，否则</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12.3投标人存在下列情形的，投标保证金不予退还：</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（1）在投标有效期内，撤销投标的；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（2）中标后不按本须知第30条的规定与采购人签订合同的；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（3）中标后不按本须知第33条的规定缴纳中标服务费的；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（4）存在其他违法违规行为的。</w:t>
      </w:r>
    </w:p>
    <w:p>
      <w:pPr>
        <w:adjustRightInd w:val="0"/>
        <w:snapToGrid w:val="0"/>
        <w:spacing w:line="360" w:lineRule="auto"/>
        <w:ind w:firstLine="420" w:firstLineChars="200"/>
        <w:rPr>
          <w:rFonts w:asciiTheme="minorEastAsia" w:hAnsiTheme="minorEastAsia" w:cstheme="minorEastAsia"/>
          <w:color w:val="000000"/>
          <w:szCs w:val="21"/>
        </w:rPr>
      </w:pPr>
      <w:bookmarkStart w:id="96" w:name="_Ref467306336"/>
      <w:r>
        <w:rPr>
          <w:rFonts w:hint="eastAsia" w:asciiTheme="minorEastAsia" w:hAnsiTheme="minorEastAsia" w:cstheme="minorEastAsia"/>
          <w:color w:val="000000"/>
          <w:szCs w:val="21"/>
        </w:rPr>
        <w:t>12.</w:t>
      </w:r>
      <w:bookmarkEnd w:id="96"/>
      <w:r>
        <w:rPr>
          <w:rFonts w:hint="eastAsia" w:asciiTheme="minorEastAsia" w:hAnsiTheme="minorEastAsia" w:cstheme="minorEastAsia"/>
          <w:color w:val="000000"/>
          <w:szCs w:val="21"/>
        </w:rPr>
        <w:t>4投标人未按本须知第12.1和12.2条规定提交投标保证金的，其投标将被认定为投标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12.5联合体投标的，可以由联合体中的一方或者共同提交投标保证金。以一方名义提交投标保证金的，对联合体各方均具有约束力。</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12.6投标保证金的退还</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12.6.1中标人应在与采购人签订合同之日起5个工作日内，及时联系保证金收受机构办理投标保证金无息退还手续。</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12.6.2 未中标投标人的投标保证金将在中标通知书发出之日暨中标结果公告公布之日起5个工作日内无息退还。投标人及时联系保证金收受机构办理退还投标保证金手续。</w:t>
      </w:r>
      <w:bookmarkStart w:id="97" w:name="_Toc518923075"/>
      <w:r>
        <w:rPr>
          <w:rFonts w:hint="eastAsia" w:asciiTheme="minorEastAsia" w:hAnsiTheme="minorEastAsia" w:cstheme="minorEastAsia"/>
          <w:color w:val="000000"/>
          <w:szCs w:val="21"/>
        </w:rPr>
        <w:t>采用保函形式缴纳的投标保证金按协议执行，无需办理退款手续。</w:t>
      </w:r>
    </w:p>
    <w:bookmarkEnd w:id="97"/>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12.7 因投标人自身原因导致无法及时退还的，采购人或采购代理机构将不承担相应责任。</w:t>
      </w:r>
    </w:p>
    <w:p>
      <w:pPr>
        <w:adjustRightInd w:val="0"/>
        <w:snapToGrid w:val="0"/>
        <w:spacing w:line="360" w:lineRule="auto"/>
        <w:rPr>
          <w:rFonts w:asciiTheme="minorEastAsia" w:hAnsiTheme="minorEastAsia" w:cstheme="minorEastAsia"/>
          <w:b/>
          <w:color w:val="000000"/>
          <w:szCs w:val="21"/>
        </w:rPr>
      </w:pPr>
      <w:bookmarkStart w:id="98" w:name="_Toc98265591"/>
      <w:bookmarkStart w:id="99" w:name="_Toc2591611"/>
      <w:bookmarkStart w:id="100" w:name="_Toc520356157"/>
      <w:bookmarkStart w:id="101" w:name="_Toc518923076"/>
      <w:r>
        <w:rPr>
          <w:rFonts w:hint="eastAsia" w:asciiTheme="minorEastAsia" w:hAnsiTheme="minorEastAsia" w:cstheme="minorEastAsia"/>
          <w:b/>
          <w:color w:val="000000"/>
          <w:szCs w:val="21"/>
        </w:rPr>
        <w:t>13、投标有效期</w:t>
      </w:r>
      <w:bookmarkEnd w:id="98"/>
      <w:bookmarkEnd w:id="99"/>
      <w:bookmarkEnd w:id="100"/>
      <w:bookmarkEnd w:id="101"/>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13.1投标应在</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中规定时间内保持有效。投标有效期不满足要求的投标，其投标将被认定为投标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13.2因特殊原因，采购人或采购代理机构可以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13.3投标截止时间至本项目发布中标公告为止撤销投标，应当向采购代理机构或采购人支付本项目预算金额（或最高限价）的2%（暂定）的违约赔偿金。</w:t>
      </w:r>
    </w:p>
    <w:p>
      <w:pPr>
        <w:adjustRightInd w:val="0"/>
        <w:snapToGrid w:val="0"/>
        <w:spacing w:line="360" w:lineRule="auto"/>
        <w:rPr>
          <w:rFonts w:asciiTheme="minorEastAsia" w:hAnsiTheme="minorEastAsia" w:cstheme="minorEastAsia"/>
          <w:b/>
          <w:color w:val="000000"/>
          <w:szCs w:val="21"/>
        </w:rPr>
      </w:pPr>
      <w:bookmarkStart w:id="102" w:name="_Toc518923077"/>
      <w:bookmarkStart w:id="103" w:name="_Toc520356158"/>
      <w:bookmarkStart w:id="104" w:name="_Toc2591612"/>
      <w:bookmarkStart w:id="105" w:name="_Toc98265592"/>
      <w:r>
        <w:rPr>
          <w:rFonts w:hint="eastAsia" w:asciiTheme="minorEastAsia" w:hAnsiTheme="minorEastAsia" w:cstheme="minorEastAsia"/>
          <w:b/>
          <w:color w:val="000000"/>
          <w:szCs w:val="21"/>
        </w:rPr>
        <w:t>14</w:t>
      </w:r>
      <w:bookmarkEnd w:id="102"/>
      <w:bookmarkEnd w:id="103"/>
      <w:bookmarkEnd w:id="104"/>
      <w:r>
        <w:rPr>
          <w:rFonts w:hint="eastAsia" w:asciiTheme="minorEastAsia" w:hAnsiTheme="minorEastAsia" w:cstheme="minorEastAsia"/>
          <w:b/>
          <w:color w:val="000000"/>
          <w:szCs w:val="21"/>
        </w:rPr>
        <w:t>、投标文件的制作</w:t>
      </w:r>
      <w:bookmarkEnd w:id="105"/>
    </w:p>
    <w:p>
      <w:pPr>
        <w:adjustRightInd w:val="0"/>
        <w:snapToGrid w:val="0"/>
        <w:spacing w:line="360" w:lineRule="auto"/>
        <w:ind w:firstLine="420" w:firstLineChars="200"/>
        <w:rPr>
          <w:rFonts w:asciiTheme="minorEastAsia" w:hAnsiTheme="minorEastAsia" w:cstheme="minorEastAsia"/>
          <w:color w:val="000000"/>
          <w:szCs w:val="21"/>
        </w:rPr>
      </w:pPr>
      <w:bookmarkStart w:id="106" w:name="_Toc520356159"/>
      <w:bookmarkStart w:id="107" w:name="_Toc518923078"/>
      <w:bookmarkStart w:id="108" w:name="_Toc216582808"/>
      <w:r>
        <w:rPr>
          <w:rFonts w:hint="eastAsia" w:asciiTheme="minorEastAsia" w:hAnsiTheme="minorEastAsia" w:cstheme="minorEastAsia"/>
          <w:color w:val="000000"/>
          <w:szCs w:val="21"/>
        </w:rPr>
        <w:t>14.1电子投标文件使用政采云平台投标文件制作工具以及招标文件要求进行制作编制。投标文件制作时，不同内容按标签提示制作导入，按照招标文件中明确的投标文件顺序和格式进行编制，保证内容清晰、完整。</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14.2电子投标文件须使用投标人电子公章及法定代表人（或授权委托人）的签名。若无电子签章和签名，则视为</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响应。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投标处理。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14.3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投标文件，将导致其投标被</w:t>
      </w:r>
      <w:r>
        <w:rPr>
          <w:rFonts w:hint="eastAsia" w:asciiTheme="minorEastAsia" w:hAnsiTheme="minorEastAsia" w:cstheme="minorEastAsia"/>
          <w:b/>
          <w:color w:val="000000"/>
          <w:szCs w:val="21"/>
        </w:rPr>
        <w:t>拒绝</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14.4未按招标文件要求签署和盖章的投标文件，其投标将被认定为投标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14.5投标文件因内容、字迹潦草、表达不清或排列错乱不当所引起的后果由投标人负责。</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109" w:name="_Toc98265593"/>
      <w:bookmarkStart w:id="110" w:name="_Toc11545"/>
      <w:r>
        <w:rPr>
          <w:rFonts w:hint="eastAsia" w:asciiTheme="minorEastAsia" w:hAnsiTheme="minorEastAsia" w:eastAsiaTheme="minorEastAsia" w:cstheme="minorEastAsia"/>
          <w:b/>
          <w:color w:val="000000" w:themeColor="text1"/>
          <w:kern w:val="2"/>
          <w:sz w:val="21"/>
          <w:szCs w:val="21"/>
        </w:rPr>
        <w:t>四、投标文件的递交</w:t>
      </w:r>
      <w:bookmarkEnd w:id="106"/>
      <w:bookmarkEnd w:id="107"/>
      <w:bookmarkEnd w:id="108"/>
      <w:bookmarkEnd w:id="109"/>
      <w:bookmarkEnd w:id="110"/>
    </w:p>
    <w:p>
      <w:pPr>
        <w:adjustRightInd w:val="0"/>
        <w:snapToGrid w:val="0"/>
        <w:spacing w:line="360" w:lineRule="auto"/>
        <w:rPr>
          <w:rFonts w:asciiTheme="minorEastAsia" w:hAnsiTheme="minorEastAsia" w:cstheme="minorEastAsia"/>
          <w:b/>
          <w:color w:val="000000"/>
          <w:szCs w:val="21"/>
        </w:rPr>
      </w:pPr>
      <w:bookmarkStart w:id="111" w:name="_Toc518923079"/>
      <w:bookmarkStart w:id="112" w:name="_Toc520356160"/>
      <w:bookmarkStart w:id="113" w:name="_Toc98265594"/>
      <w:bookmarkStart w:id="114" w:name="_Toc2591614"/>
      <w:r>
        <w:rPr>
          <w:rFonts w:hint="eastAsia" w:asciiTheme="minorEastAsia" w:hAnsiTheme="minorEastAsia" w:cstheme="minorEastAsia"/>
          <w:b/>
          <w:color w:val="000000"/>
          <w:szCs w:val="21"/>
        </w:rPr>
        <w:t>15、投标文件的密封和标记</w:t>
      </w:r>
      <w:bookmarkEnd w:id="111"/>
      <w:bookmarkEnd w:id="112"/>
      <w:bookmarkEnd w:id="113"/>
      <w:bookmarkEnd w:id="114"/>
    </w:p>
    <w:p>
      <w:pPr>
        <w:adjustRightInd w:val="0"/>
        <w:snapToGrid w:val="0"/>
        <w:spacing w:line="360" w:lineRule="auto"/>
        <w:ind w:firstLine="420" w:firstLineChars="200"/>
        <w:rPr>
          <w:rFonts w:asciiTheme="minorEastAsia" w:hAnsiTheme="minorEastAsia" w:cstheme="minorEastAsia"/>
          <w:color w:val="000000"/>
          <w:szCs w:val="21"/>
        </w:rPr>
      </w:pPr>
      <w:bookmarkStart w:id="115" w:name="_Toc520356161"/>
      <w:bookmarkStart w:id="116" w:name="_Toc518923080"/>
      <w:bookmarkStart w:id="117" w:name="_Toc2591615"/>
      <w:r>
        <w:rPr>
          <w:rFonts w:hint="eastAsia" w:asciiTheme="minorEastAsia" w:hAnsiTheme="minorEastAsia" w:cstheme="minorEastAsia"/>
          <w:color w:val="000000"/>
          <w:szCs w:val="21"/>
        </w:rPr>
        <w:t>15.1投标人应通过电子投标文件制作工具严格按招标文件要求制作投标文件，在投标截止时间前完成上传经过盖章并加密的投标文件（加密和解密须用同一把数字证书）。投标人在投标截止时间前，可以对其所递交的投标文件进行修改并重新上传，但以投标截止时间前最后一次上传的投标文件为有效投标文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15.2投标截止时间以政采云中心交易平台显示的时间为准，逾期系统将自动关闭，未完成上传的投标文件视为逾期送达，将被</w:t>
      </w:r>
      <w:r>
        <w:rPr>
          <w:rFonts w:hint="eastAsia" w:asciiTheme="minorEastAsia" w:hAnsiTheme="minorEastAsia" w:cstheme="minorEastAsia"/>
          <w:b/>
          <w:color w:val="000000"/>
          <w:szCs w:val="21"/>
        </w:rPr>
        <w:t>拒绝</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15.3逾期上传或者未上传指定地点的投标文件，采购人不予受理。</w:t>
      </w:r>
    </w:p>
    <w:p>
      <w:pPr>
        <w:adjustRightInd w:val="0"/>
        <w:snapToGrid w:val="0"/>
        <w:spacing w:line="360" w:lineRule="auto"/>
        <w:rPr>
          <w:rFonts w:asciiTheme="minorEastAsia" w:hAnsiTheme="minorEastAsia" w:cstheme="minorEastAsia"/>
          <w:b/>
          <w:color w:val="000000"/>
          <w:szCs w:val="21"/>
        </w:rPr>
      </w:pPr>
      <w:bookmarkStart w:id="118" w:name="_Toc98265595"/>
      <w:r>
        <w:rPr>
          <w:rFonts w:hint="eastAsia" w:asciiTheme="minorEastAsia" w:hAnsiTheme="minorEastAsia" w:cstheme="minorEastAsia"/>
          <w:b/>
          <w:color w:val="000000"/>
          <w:szCs w:val="21"/>
        </w:rPr>
        <w:t>16、投标截止</w:t>
      </w:r>
      <w:bookmarkEnd w:id="115"/>
      <w:bookmarkEnd w:id="116"/>
      <w:bookmarkEnd w:id="117"/>
      <w:bookmarkEnd w:id="118"/>
    </w:p>
    <w:p>
      <w:pPr>
        <w:adjustRightInd w:val="0"/>
        <w:snapToGrid w:val="0"/>
        <w:spacing w:line="360" w:lineRule="auto"/>
        <w:ind w:firstLine="420" w:firstLineChars="200"/>
        <w:rPr>
          <w:rFonts w:asciiTheme="minorEastAsia" w:hAnsiTheme="minorEastAsia" w:cstheme="minorEastAsia"/>
          <w:color w:val="000000"/>
          <w:szCs w:val="21"/>
        </w:rPr>
      </w:pPr>
      <w:bookmarkStart w:id="119" w:name="_Toc520356162"/>
      <w:bookmarkStart w:id="120" w:name="_Toc518923081"/>
      <w:bookmarkStart w:id="121" w:name="_Toc2591616"/>
      <w:r>
        <w:rPr>
          <w:rFonts w:hint="eastAsia" w:asciiTheme="minorEastAsia" w:hAnsiTheme="minorEastAsia" w:cstheme="minorEastAsia"/>
          <w:color w:val="000000"/>
          <w:szCs w:val="21"/>
        </w:rPr>
        <w:t>16.1投标人应在</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中规定的截止时间前，将投标文件上传到政采云平台。</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16.2采购人和采购代理机构将拒绝接收在投标截止时间后上传的投标文件。</w:t>
      </w:r>
    </w:p>
    <w:p>
      <w:pPr>
        <w:adjustRightInd w:val="0"/>
        <w:snapToGrid w:val="0"/>
        <w:spacing w:line="360" w:lineRule="auto"/>
        <w:rPr>
          <w:rFonts w:asciiTheme="minorEastAsia" w:hAnsiTheme="minorEastAsia" w:cstheme="minorEastAsia"/>
          <w:b/>
          <w:color w:val="000000"/>
          <w:szCs w:val="21"/>
        </w:rPr>
      </w:pPr>
      <w:bookmarkStart w:id="122" w:name="_Toc98265596"/>
      <w:r>
        <w:rPr>
          <w:rFonts w:hint="eastAsia" w:asciiTheme="minorEastAsia" w:hAnsiTheme="minorEastAsia" w:cstheme="minorEastAsia"/>
          <w:b/>
          <w:color w:val="000000"/>
          <w:szCs w:val="21"/>
        </w:rPr>
        <w:t>17、投标文件的接收、修改与撤回</w:t>
      </w:r>
      <w:bookmarkEnd w:id="119"/>
      <w:bookmarkEnd w:id="120"/>
      <w:bookmarkEnd w:id="121"/>
      <w:bookmarkEnd w:id="122"/>
    </w:p>
    <w:p>
      <w:pPr>
        <w:adjustRightInd w:val="0"/>
        <w:snapToGrid w:val="0"/>
        <w:spacing w:line="360" w:lineRule="auto"/>
        <w:ind w:firstLine="420" w:firstLineChars="200"/>
        <w:rPr>
          <w:rFonts w:asciiTheme="minorEastAsia" w:hAnsiTheme="minorEastAsia" w:cstheme="minorEastAsia"/>
          <w:color w:val="000000"/>
          <w:szCs w:val="21"/>
        </w:rPr>
      </w:pPr>
      <w:bookmarkStart w:id="123" w:name="_Toc216582809"/>
      <w:bookmarkStart w:id="124" w:name="_Toc520356163"/>
      <w:bookmarkStart w:id="125" w:name="_Toc518923082"/>
      <w:r>
        <w:rPr>
          <w:rFonts w:hint="eastAsia" w:asciiTheme="minorEastAsia" w:hAnsiTheme="minorEastAsia" w:cstheme="minorEastAsia"/>
          <w:color w:val="000000"/>
          <w:szCs w:val="21"/>
        </w:rPr>
        <w:t>17.1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sz w:val="21"/>
          <w:szCs w:val="21"/>
        </w:rPr>
      </w:pPr>
      <w:bookmarkStart w:id="126" w:name="_Toc7099"/>
      <w:bookmarkStart w:id="127" w:name="_Toc98265597"/>
      <w:r>
        <w:rPr>
          <w:rFonts w:hint="eastAsia" w:asciiTheme="minorEastAsia" w:hAnsiTheme="minorEastAsia" w:eastAsiaTheme="minorEastAsia" w:cstheme="minorEastAsia"/>
          <w:b/>
          <w:color w:val="000000" w:themeColor="text1"/>
          <w:kern w:val="2"/>
          <w:sz w:val="21"/>
          <w:szCs w:val="21"/>
        </w:rPr>
        <w:t>五、开标及评标</w:t>
      </w:r>
      <w:bookmarkEnd w:id="123"/>
      <w:bookmarkEnd w:id="124"/>
      <w:bookmarkEnd w:id="125"/>
      <w:bookmarkEnd w:id="126"/>
      <w:bookmarkEnd w:id="127"/>
    </w:p>
    <w:p>
      <w:pPr>
        <w:adjustRightInd w:val="0"/>
        <w:snapToGrid w:val="0"/>
        <w:spacing w:line="360" w:lineRule="auto"/>
        <w:rPr>
          <w:rFonts w:asciiTheme="minorEastAsia" w:hAnsiTheme="minorEastAsia" w:cstheme="minorEastAsia"/>
          <w:b/>
          <w:color w:val="000000"/>
          <w:szCs w:val="21"/>
        </w:rPr>
      </w:pPr>
      <w:bookmarkStart w:id="128" w:name="_Toc2591618"/>
      <w:bookmarkStart w:id="129" w:name="_Toc98265598"/>
      <w:bookmarkStart w:id="130" w:name="_Toc518923083"/>
      <w:bookmarkStart w:id="131" w:name="_Toc520356164"/>
      <w:r>
        <w:rPr>
          <w:rFonts w:hint="eastAsia" w:asciiTheme="minorEastAsia" w:hAnsiTheme="minorEastAsia" w:cstheme="minorEastAsia"/>
          <w:b/>
          <w:color w:val="000000"/>
          <w:szCs w:val="21"/>
        </w:rPr>
        <w:t>18、开标</w:t>
      </w:r>
      <w:bookmarkEnd w:id="128"/>
      <w:bookmarkEnd w:id="129"/>
      <w:bookmarkEnd w:id="130"/>
      <w:bookmarkEnd w:id="131"/>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18.1采购人和采购代理机构将按</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中规定的开标时间和地点组织公开开标并邀请所有投标人代表参加。投标人不足3家的，不予开标。</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投标人的法定代表人或授权委托人无需到达开标现场，仅需在任意地点通过政采云不见面开标系统，使用CA密钥完成远程解密、提疑澄清、开标唱标、结果公布等交互环节。</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18.2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18.3法定代表人或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18.</w:t>
      </w:r>
      <w:bookmarkStart w:id="132" w:name="_Toc520356165"/>
      <w:r>
        <w:rPr>
          <w:rFonts w:hint="eastAsia" w:asciiTheme="minorEastAsia" w:hAnsiTheme="minorEastAsia" w:cstheme="minorEastAsia"/>
          <w:color w:val="000000"/>
          <w:szCs w:val="21"/>
        </w:rPr>
        <w:t>4投标人对开标过程和开标记录有疑义，以及认为采购人、采购代理机构相关工作人员有需要回避的情形的，应当场提出询问或者回避申请。</w:t>
      </w:r>
    </w:p>
    <w:p>
      <w:pPr>
        <w:adjustRightInd w:val="0"/>
        <w:snapToGrid w:val="0"/>
        <w:spacing w:line="360" w:lineRule="auto"/>
        <w:rPr>
          <w:rFonts w:asciiTheme="minorEastAsia" w:hAnsiTheme="minorEastAsia" w:cstheme="minorEastAsia"/>
          <w:b/>
          <w:color w:val="000000"/>
          <w:szCs w:val="21"/>
        </w:rPr>
      </w:pPr>
      <w:bookmarkStart w:id="133" w:name="_Toc2591619"/>
      <w:bookmarkStart w:id="134" w:name="_Toc518923084"/>
      <w:bookmarkStart w:id="135" w:name="_Toc98265599"/>
      <w:r>
        <w:rPr>
          <w:rFonts w:hint="eastAsia" w:asciiTheme="minorEastAsia" w:hAnsiTheme="minorEastAsia" w:cstheme="minorEastAsia"/>
          <w:b/>
          <w:color w:val="000000"/>
          <w:szCs w:val="21"/>
        </w:rPr>
        <w:t>19</w:t>
      </w:r>
      <w:bookmarkEnd w:id="132"/>
      <w:r>
        <w:rPr>
          <w:rFonts w:hint="eastAsia" w:asciiTheme="minorEastAsia" w:hAnsiTheme="minorEastAsia" w:cstheme="minorEastAsia"/>
          <w:b/>
          <w:color w:val="000000"/>
          <w:szCs w:val="21"/>
        </w:rPr>
        <w:t>、资格审查及组建评标委员会</w:t>
      </w:r>
      <w:bookmarkEnd w:id="133"/>
      <w:bookmarkEnd w:id="134"/>
      <w:bookmarkEnd w:id="135"/>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19.1采购人依据法律法规和招标文件中规定的内容，对投标人的资格进行审查。未通过资格审查的投标人不进入评标。</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通过资格审查的投标人不足3家的，不得评标。</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19.2采购人或采购代理机构将按</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中规定的时间查询投标人的信用记录。投标人存在不良信用记录的，其投标将被认定为投标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19.2.1采购人及采购代理机构将通过“信用中国”网站（www.creditchina.gov.cn）、“中国政府采购网”网站（www.ccgp.gov.cn）等渠道查询投标人的信用信息记录，对列入失信被执行人、税收、政府采购、环境保护、知识产权等领域严重失信行为的主体将</w:t>
      </w:r>
      <w:r>
        <w:rPr>
          <w:rFonts w:hint="eastAsia" w:asciiTheme="minorEastAsia" w:hAnsiTheme="minorEastAsia" w:cstheme="minorEastAsia"/>
          <w:b/>
          <w:color w:val="000000"/>
          <w:szCs w:val="21"/>
        </w:rPr>
        <w:t>拒绝</w:t>
      </w:r>
      <w:r>
        <w:rPr>
          <w:rFonts w:hint="eastAsia" w:asciiTheme="minorEastAsia" w:hAnsiTheme="minorEastAsia" w:cstheme="minorEastAsia"/>
          <w:color w:val="000000"/>
          <w:szCs w:val="21"/>
        </w:rPr>
        <w:t>其参与政府采购活动。</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采购人及采购代理机构经办人将查询网站打印、签字并存档备查（如投标文件中提供时将直接使用投标文件中提供的查询网站打印）。供应商不良信用记录以采购人及采购代理机构查询结果为准。在本招标文件规定的查询时间之外，网站信息发生的任何变更均不作为资格审查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以联合体形式参加投标的，联合体任何成员存在以上不良信用记录的，联合体投标将被认定为投标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19.2.2如采购人、采购代理机构查询的信用信息和投标人提供的查询信用信息查询结果不一致时，以采购人、采购代理机构查询结果为准，同时采购人、采购代理机构将现场查询的信用信息网页打印、签字并存档备查。投标人自行提供的与网站信息不一致的其他证明材料亦不作为资格审查的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在本招标文件规定的查询时间之外，网站信息发生的任何变更均不作为资格审查依据。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19.3 按照《中华人民共和国政府采购法》、《中华人民共和国政府采购法实施条例》及本项目本级和上级财政部门的有关规定依法组建的评标委员会，负责本项目评标工作。</w:t>
      </w:r>
      <w:bookmarkStart w:id="136" w:name="_Toc520356166"/>
    </w:p>
    <w:p>
      <w:pPr>
        <w:adjustRightInd w:val="0"/>
        <w:snapToGrid w:val="0"/>
        <w:spacing w:line="360" w:lineRule="auto"/>
        <w:rPr>
          <w:rFonts w:asciiTheme="minorEastAsia" w:hAnsiTheme="minorEastAsia" w:cstheme="minorEastAsia"/>
          <w:b/>
          <w:color w:val="000000"/>
          <w:szCs w:val="21"/>
        </w:rPr>
      </w:pPr>
      <w:bookmarkStart w:id="137" w:name="_Toc518923085"/>
      <w:bookmarkStart w:id="138" w:name="_Toc98265600"/>
      <w:bookmarkStart w:id="139" w:name="_Toc2591620"/>
      <w:r>
        <w:rPr>
          <w:rFonts w:hint="eastAsia" w:asciiTheme="minorEastAsia" w:hAnsiTheme="minorEastAsia" w:cstheme="minorEastAsia"/>
          <w:b/>
          <w:color w:val="000000"/>
          <w:szCs w:val="21"/>
        </w:rPr>
        <w:t>20、投标文件的</w:t>
      </w:r>
      <w:bookmarkEnd w:id="136"/>
      <w:r>
        <w:rPr>
          <w:rFonts w:hint="eastAsia" w:asciiTheme="minorEastAsia" w:hAnsiTheme="minorEastAsia" w:cstheme="minorEastAsia"/>
          <w:b/>
          <w:color w:val="000000"/>
          <w:szCs w:val="21"/>
        </w:rPr>
        <w:t>符合性审查与澄清</w:t>
      </w:r>
      <w:bookmarkEnd w:id="137"/>
      <w:bookmarkEnd w:id="138"/>
      <w:bookmarkEnd w:id="139"/>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20.1</w:t>
      </w:r>
      <w:bookmarkStart w:id="140" w:name="_Hlt522424701"/>
      <w:bookmarkEnd w:id="140"/>
      <w:bookmarkStart w:id="141" w:name="_Toc520356167"/>
      <w:r>
        <w:rPr>
          <w:rFonts w:hint="eastAsia" w:asciiTheme="minorEastAsia" w:hAnsiTheme="minorEastAsia" w:cstheme="minorEastAsia"/>
          <w:color w:val="000000"/>
          <w:szCs w:val="21"/>
        </w:rPr>
        <w:t>符合性审查是指依据招标文件的规定，从商务和技术的角度对投标文件的有效性和完整性进行审查，以确定是否对招标文件的实质性要求做出响应。</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20.2投标文件的澄清</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20.2.1在评标期间，评标委员会可以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评标委员会要求的方式进行，并不得超出投标文件范围或者改变投标文件的实质性内容。</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20.2.2 投标人的澄清、说明或补正将作为投标文件的一部分。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szCs w:val="21"/>
        </w:rPr>
        <w:t>20.3</w:t>
      </w:r>
      <w:r>
        <w:rPr>
          <w:rFonts w:hint="eastAsia" w:asciiTheme="minorEastAsia" w:hAnsiTheme="minorEastAsia" w:cstheme="minorEastAsia"/>
          <w:color w:val="000000"/>
          <w:szCs w:val="21"/>
        </w:rPr>
        <w:t>投标文件报价出现前后不一致的，按照下列规定修正：</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（一）投标文件中开标一览表（报价表）内容与投标文件中相应内容不一致的，以开标一览表（报价表）为准；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（二）大写金额和小写金额不一致的，以大写金额为准；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（三）单价金额小数点或者百分比有明显错位的，以开标一览表的总价为准，并修改单价；</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（四）总价金额与按单价汇总金额不一致的，以单价金额计算结果为准。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同时出现两种以上不一致的，按照前款规定的顺序修正。修正后的报价按照第20.2条的规定经投标人确认后产生约束力，投标人不确认的，将被认定为投标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对不同文字文本投标文件的解释发生异议的，以中文文本为准。</w:t>
      </w:r>
    </w:p>
    <w:p>
      <w:pPr>
        <w:adjustRightInd w:val="0"/>
        <w:snapToGrid w:val="0"/>
        <w:spacing w:line="360" w:lineRule="auto"/>
        <w:rPr>
          <w:rFonts w:asciiTheme="minorEastAsia" w:hAnsiTheme="minorEastAsia" w:cstheme="minorEastAsia"/>
          <w:b/>
          <w:color w:val="000000"/>
          <w:szCs w:val="21"/>
        </w:rPr>
      </w:pPr>
      <w:bookmarkStart w:id="142" w:name="_Toc98265601"/>
      <w:bookmarkStart w:id="143" w:name="_Toc518923086"/>
      <w:bookmarkStart w:id="144" w:name="_Toc2591621"/>
      <w:r>
        <w:rPr>
          <w:rFonts w:hint="eastAsia" w:asciiTheme="minorEastAsia" w:hAnsiTheme="minorEastAsia" w:cstheme="minorEastAsia"/>
          <w:b/>
          <w:color w:val="000000"/>
          <w:szCs w:val="21"/>
        </w:rPr>
        <w:t>21、投标偏离</w:t>
      </w:r>
      <w:bookmarkEnd w:id="142"/>
      <w:bookmarkEnd w:id="143"/>
      <w:bookmarkEnd w:id="144"/>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21.1</w:t>
      </w:r>
      <w:r>
        <w:rPr>
          <w:rFonts w:hint="eastAsia" w:asciiTheme="minorEastAsia" w:hAnsiTheme="minorEastAsia" w:cstheme="minorEastAsia"/>
          <w:szCs w:val="21"/>
        </w:rPr>
        <w:t>本条所称偏离为投标文件对招标文件的偏离，即不满足、或不响应招标文件的要求。</w:t>
      </w:r>
      <w:r>
        <w:rPr>
          <w:rFonts w:hint="eastAsia" w:asciiTheme="minorEastAsia" w:hAnsiTheme="minorEastAsia" w:cstheme="minorEastAsia"/>
          <w:color w:val="000000" w:themeColor="text1"/>
          <w:szCs w:val="21"/>
        </w:rPr>
        <w:t>评标委员会可以接受投标文件中不构成实质性偏离的不正规或不一致。</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21.2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w:t>
      </w:r>
      <w:r>
        <w:rPr>
          <w:rFonts w:hint="eastAsia" w:asciiTheme="minorEastAsia" w:hAnsiTheme="minorEastAsia" w:cstheme="minorEastAsia"/>
          <w:b/>
          <w:color w:val="000000" w:themeColor="text1"/>
          <w:szCs w:val="21"/>
        </w:rPr>
        <w:t>拒绝</w:t>
      </w:r>
      <w:r>
        <w:rPr>
          <w:rFonts w:hint="eastAsia" w:asciiTheme="minorEastAsia" w:hAnsiTheme="minorEastAsia" w:cstheme="minorEastAsia"/>
          <w:color w:val="000000" w:themeColor="text1"/>
          <w:szCs w:val="21"/>
        </w:rPr>
        <w:t>。</w:t>
      </w:r>
    </w:p>
    <w:p>
      <w:pPr>
        <w:adjustRightInd w:val="0"/>
        <w:snapToGrid w:val="0"/>
        <w:spacing w:line="360" w:lineRule="auto"/>
        <w:ind w:firstLine="420" w:firstLineChars="200"/>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21.3投标文件必须严格按照招标文件要求的内容及格式编写响应文件，不准有空项；无相应内容可填的项，应填写“无”、“未测试”、“没有相应指标”等明确的回答文字。由于编排混乱导致投标文件被误读或查找不到，其责任由投标人承担。本招标文件中凡是标记“★”的或明确使用“拒绝”、“不接受”、“无效”、“不得”等文字规定的条款均属于实质性要求，投标人必须一一响应并提供相关证明（或承诺），否则视为不响应，其投标文件将被</w:t>
      </w:r>
      <w:r>
        <w:rPr>
          <w:rFonts w:hint="eastAsia" w:asciiTheme="minorEastAsia" w:hAnsiTheme="minorEastAsia" w:cstheme="minorEastAsia"/>
          <w:b/>
          <w:color w:val="000000" w:themeColor="text1"/>
          <w:szCs w:val="21"/>
        </w:rPr>
        <w:t>拒绝</w:t>
      </w:r>
      <w:r>
        <w:rPr>
          <w:rFonts w:hint="eastAsia" w:asciiTheme="minorEastAsia" w:hAnsiTheme="minorEastAsia" w:cstheme="minorEastAsia"/>
          <w:color w:val="000000" w:themeColor="text1"/>
          <w:szCs w:val="21"/>
        </w:rPr>
        <w:t>。</w:t>
      </w:r>
    </w:p>
    <w:p>
      <w:pPr>
        <w:adjustRightInd w:val="0"/>
        <w:snapToGrid w:val="0"/>
        <w:spacing w:line="360" w:lineRule="auto"/>
        <w:rPr>
          <w:rFonts w:asciiTheme="minorEastAsia" w:hAnsiTheme="minorEastAsia" w:cstheme="minorEastAsia"/>
          <w:b/>
          <w:color w:val="000000"/>
          <w:szCs w:val="21"/>
        </w:rPr>
      </w:pPr>
      <w:bookmarkStart w:id="145" w:name="_Toc518923087"/>
      <w:bookmarkStart w:id="146" w:name="_Toc2591622"/>
      <w:bookmarkStart w:id="147" w:name="_Toc98265602"/>
      <w:r>
        <w:rPr>
          <w:rFonts w:hint="eastAsia" w:asciiTheme="minorEastAsia" w:hAnsiTheme="minorEastAsia" w:cstheme="minorEastAsia"/>
          <w:b/>
          <w:color w:val="000000"/>
          <w:szCs w:val="21"/>
        </w:rPr>
        <w:t>22、投标无效</w:t>
      </w:r>
      <w:bookmarkEnd w:id="145"/>
      <w:bookmarkEnd w:id="146"/>
      <w:bookmarkEnd w:id="147"/>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22.1在比较与评价之前，根据招标文件的规定，评标委员会要审查每份投标文件是否响应了招标文件的要求。投标人不得通过修正或撤销不符合要求的偏离，从而使其投标成为实质上响应的投标。</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22.2如发现下列情况之一的，其投标将被认定为投标</w:t>
      </w:r>
      <w:r>
        <w:rPr>
          <w:rFonts w:hint="eastAsia" w:asciiTheme="minorEastAsia" w:hAnsiTheme="minorEastAsia" w:cstheme="minorEastAsia"/>
          <w:b/>
          <w:color w:val="000000"/>
          <w:szCs w:val="21"/>
        </w:rPr>
        <w:t>无效</w:t>
      </w:r>
      <w:r>
        <w:rPr>
          <w:rFonts w:hint="eastAsia" w:asciiTheme="minorEastAsia" w:hAnsiTheme="minorEastAsia" w:cstheme="minorEastAsia"/>
          <w:color w:val="000000"/>
          <w:szCs w:val="21"/>
        </w:rPr>
        <w:t>：</w:t>
      </w:r>
    </w:p>
    <w:p>
      <w:pPr>
        <w:adjustRightInd w:val="0"/>
        <w:snapToGrid w:val="0"/>
        <w:spacing w:line="360" w:lineRule="auto"/>
        <w:ind w:firstLine="420" w:firstLineChars="200"/>
        <w:rPr>
          <w:rFonts w:asciiTheme="minorEastAsia" w:hAnsiTheme="minorEastAsia" w:cstheme="minorEastAsia"/>
          <w:color w:val="000000"/>
          <w:szCs w:val="21"/>
        </w:rPr>
      </w:pPr>
      <w:bookmarkStart w:id="148" w:name="_Toc98265603"/>
      <w:bookmarkStart w:id="149" w:name="_Toc518923088"/>
      <w:bookmarkStart w:id="150" w:name="_Toc2591623"/>
      <w:r>
        <w:rPr>
          <w:rFonts w:hint="eastAsia" w:asciiTheme="minorEastAsia" w:hAnsiTheme="minorEastAsia" w:cstheme="minorEastAsia"/>
          <w:color w:val="000000"/>
          <w:szCs w:val="21"/>
        </w:rPr>
        <w:t>（1）未按照招标文件规定要求签署、盖章的；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w:t>
      </w:r>
      <w:r>
        <w:rPr>
          <w:rFonts w:hint="eastAsia" w:asciiTheme="minorEastAsia" w:hAnsiTheme="minorEastAsia" w:cstheme="minorEastAsia"/>
          <w:color w:val="000000" w:themeColor="text1"/>
          <w:szCs w:val="21"/>
        </w:rPr>
        <w:t>未满足招标文件中商务条款和技术条款的实质性要求；</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（3）未满足招标文件中条款（包括用“拒绝”、“不接受”、“无效”、“不得”等文字规定或标注“★”符号的条款，及法律、法规和规章规定的其他内容等）的实质性要求；</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（4）属于串通投标，或者依法被视为串通投标；</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（5）评标委员会认为投标人的报价明显低于其他通过符合性审查投标人的报价，有可能影响履约的，且投标人未按照规定证明其报价合理性的；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（6）投标文件含有采购人不能接受的附加条件的；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（7）不符合法规和招标文件中规定的其他实质性要求的。</w:t>
      </w:r>
    </w:p>
    <w:p>
      <w:pPr>
        <w:adjustRightInd w:val="0"/>
        <w:snapToGrid w:val="0"/>
        <w:spacing w:line="360" w:lineRule="auto"/>
        <w:rPr>
          <w:rFonts w:asciiTheme="minorEastAsia" w:hAnsiTheme="minorEastAsia" w:cstheme="minorEastAsia"/>
          <w:b/>
          <w:color w:val="000000"/>
          <w:szCs w:val="21"/>
        </w:rPr>
      </w:pPr>
      <w:r>
        <w:rPr>
          <w:rFonts w:hint="eastAsia" w:asciiTheme="minorEastAsia" w:hAnsiTheme="minorEastAsia" w:cstheme="minorEastAsia"/>
          <w:b/>
          <w:color w:val="000000"/>
          <w:szCs w:val="21"/>
        </w:rPr>
        <w:t>23</w:t>
      </w:r>
      <w:bookmarkEnd w:id="141"/>
      <w:r>
        <w:rPr>
          <w:rFonts w:hint="eastAsia" w:asciiTheme="minorEastAsia" w:hAnsiTheme="minorEastAsia" w:cstheme="minorEastAsia"/>
          <w:b/>
          <w:color w:val="000000"/>
          <w:szCs w:val="21"/>
        </w:rPr>
        <w:t>、比较与评价</w:t>
      </w:r>
      <w:bookmarkEnd w:id="148"/>
      <w:bookmarkEnd w:id="149"/>
      <w:bookmarkEnd w:id="150"/>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23.1经符合性审查合格的投标文件，评标委员会将根据招标文件确定的评标方法和标准，对其技术部分和商务部分作进一步的比较和评价。</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23.2评标严格按照招标文件的要求和条件进行。根据实际情况，在</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中规定采用下列一种评标方法，详细评标标准见招标文件第四章：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（1）最低评标价法，是指投标文件满足招标文件全部实质性要求，且投标报价最低的投标人为中标候选人的评标方法。</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Theme="minorEastAsia" w:hAnsiTheme="minorEastAsia" w:cstheme="minorEastAsia"/>
          <w:b/>
          <w:color w:val="000000"/>
          <w:szCs w:val="21"/>
        </w:rPr>
      </w:pPr>
      <w:bookmarkStart w:id="151" w:name="_Toc520356168"/>
      <w:bookmarkStart w:id="152" w:name="_Toc518923089"/>
      <w:bookmarkStart w:id="153" w:name="_Toc98265604"/>
      <w:bookmarkStart w:id="154" w:name="_Toc2591624"/>
      <w:r>
        <w:rPr>
          <w:rFonts w:hint="eastAsia" w:asciiTheme="minorEastAsia" w:hAnsiTheme="minorEastAsia" w:cstheme="minorEastAsia"/>
          <w:b/>
          <w:color w:val="000000"/>
          <w:szCs w:val="21"/>
        </w:rPr>
        <w:t>24</w:t>
      </w:r>
      <w:bookmarkEnd w:id="151"/>
      <w:r>
        <w:rPr>
          <w:rFonts w:hint="eastAsia" w:asciiTheme="minorEastAsia" w:hAnsiTheme="minorEastAsia" w:cstheme="minorEastAsia"/>
          <w:b/>
          <w:color w:val="000000"/>
          <w:szCs w:val="21"/>
        </w:rPr>
        <w:t>、废标</w:t>
      </w:r>
      <w:bookmarkEnd w:id="152"/>
      <w:bookmarkEnd w:id="153"/>
      <w:bookmarkEnd w:id="154"/>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出现下列情形之一，将导致项目废标： </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（1）符合专业条件的投标人或者对招标文件做实质性响应的投标人不足三家；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（2）出现影响采购公正的违法、违规行为的；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（3）投标人的报价均超过了采购预算</w:t>
      </w:r>
      <w:r>
        <w:rPr>
          <w:rFonts w:hint="eastAsia" w:asciiTheme="minorEastAsia" w:hAnsiTheme="minorEastAsia" w:cstheme="minorEastAsia"/>
          <w:color w:val="000000"/>
          <w:szCs w:val="21"/>
          <w:lang w:eastAsia="zh-CN"/>
        </w:rPr>
        <w:t>或最高限价</w:t>
      </w:r>
      <w:r>
        <w:rPr>
          <w:rFonts w:hint="eastAsia" w:asciiTheme="minorEastAsia" w:hAnsiTheme="minorEastAsia" w:cstheme="minorEastAsia"/>
          <w:color w:val="000000"/>
          <w:szCs w:val="21"/>
        </w:rPr>
        <w:t>，采购人不能支付的；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（4）因重大变故，采购任务取消的。   </w:t>
      </w:r>
    </w:p>
    <w:p>
      <w:pPr>
        <w:adjustRightInd w:val="0"/>
        <w:snapToGrid w:val="0"/>
        <w:spacing w:line="360" w:lineRule="auto"/>
        <w:rPr>
          <w:rFonts w:asciiTheme="minorEastAsia" w:hAnsiTheme="minorEastAsia" w:cstheme="minorEastAsia"/>
          <w:b/>
          <w:color w:val="000000"/>
          <w:szCs w:val="21"/>
        </w:rPr>
      </w:pPr>
      <w:bookmarkStart w:id="155" w:name="_Toc98265605"/>
      <w:bookmarkStart w:id="156" w:name="_Toc518923090"/>
      <w:bookmarkStart w:id="157" w:name="_Toc2591625"/>
      <w:bookmarkStart w:id="158" w:name="_Toc520356169"/>
      <w:r>
        <w:rPr>
          <w:rFonts w:hint="eastAsia" w:asciiTheme="minorEastAsia" w:hAnsiTheme="minorEastAsia" w:cstheme="minorEastAsia"/>
          <w:b/>
          <w:color w:val="000000"/>
          <w:szCs w:val="21"/>
        </w:rPr>
        <w:t>25、保密原则</w:t>
      </w:r>
      <w:bookmarkEnd w:id="155"/>
      <w:bookmarkEnd w:id="156"/>
      <w:bookmarkEnd w:id="157"/>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25.1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25.2采购人、采购代理机构将采取必要措施，保证评标在严格保密的情况下进行。有关人员对评标情况以及在评标过程中获悉的国家秘密、商业秘密负有保密责任。</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25.3政府采购评审专家应当遵守评审工作纪律，不得泄露评审文件、评审情况和评审中获悉的商业秘密。</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sz w:val="21"/>
          <w:szCs w:val="21"/>
        </w:rPr>
      </w:pPr>
      <w:bookmarkStart w:id="159" w:name="_Toc216582810"/>
      <w:bookmarkStart w:id="160" w:name="_Toc3250"/>
      <w:bookmarkStart w:id="161" w:name="_Toc98265606"/>
      <w:bookmarkStart w:id="162" w:name="_Toc518923091"/>
      <w:r>
        <w:rPr>
          <w:rFonts w:hint="eastAsia" w:asciiTheme="minorEastAsia" w:hAnsiTheme="minorEastAsia" w:eastAsiaTheme="minorEastAsia" w:cstheme="minorEastAsia"/>
          <w:b/>
          <w:color w:val="000000" w:themeColor="text1"/>
          <w:kern w:val="2"/>
          <w:sz w:val="21"/>
          <w:szCs w:val="21"/>
        </w:rPr>
        <w:t>六</w:t>
      </w:r>
      <w:bookmarkEnd w:id="158"/>
      <w:r>
        <w:rPr>
          <w:rFonts w:hint="eastAsia" w:asciiTheme="minorEastAsia" w:hAnsiTheme="minorEastAsia" w:eastAsiaTheme="minorEastAsia" w:cstheme="minorEastAsia"/>
          <w:b/>
          <w:color w:val="000000" w:themeColor="text1"/>
          <w:kern w:val="2"/>
          <w:sz w:val="21"/>
          <w:szCs w:val="21"/>
        </w:rPr>
        <w:t>、确定中标</w:t>
      </w:r>
      <w:bookmarkEnd w:id="159"/>
      <w:bookmarkEnd w:id="160"/>
      <w:bookmarkEnd w:id="161"/>
      <w:bookmarkEnd w:id="162"/>
    </w:p>
    <w:p>
      <w:pPr>
        <w:adjustRightInd w:val="0"/>
        <w:snapToGrid w:val="0"/>
        <w:spacing w:line="360" w:lineRule="auto"/>
        <w:rPr>
          <w:rFonts w:asciiTheme="minorEastAsia" w:hAnsiTheme="minorEastAsia" w:cstheme="minorEastAsia"/>
          <w:b/>
          <w:color w:val="000000"/>
          <w:szCs w:val="21"/>
        </w:rPr>
      </w:pPr>
      <w:bookmarkStart w:id="163" w:name="_Toc518923092"/>
      <w:bookmarkStart w:id="164" w:name="_Ref467307010"/>
      <w:bookmarkStart w:id="165" w:name="_Toc2591627"/>
      <w:bookmarkStart w:id="166" w:name="_Toc98265607"/>
      <w:bookmarkStart w:id="167" w:name="_Toc520356170"/>
      <w:r>
        <w:rPr>
          <w:rFonts w:hint="eastAsia" w:asciiTheme="minorEastAsia" w:hAnsiTheme="minorEastAsia" w:cstheme="minorEastAsia"/>
          <w:b/>
          <w:color w:val="000000"/>
          <w:szCs w:val="21"/>
        </w:rPr>
        <w:t>26、中标候选人的确定原则及标准</w:t>
      </w:r>
      <w:bookmarkEnd w:id="163"/>
      <w:bookmarkEnd w:id="164"/>
      <w:bookmarkEnd w:id="165"/>
      <w:bookmarkEnd w:id="166"/>
      <w:bookmarkEnd w:id="167"/>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除评标委员会受采购人委托直接确定中标投标人的情形外，对实质上响应招标文件的投标人按下列方法进行排序，确定中标候选人：</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（2）采用综合评分法的，评标结果按评审后得分由高到低顺序排列。得分相同的，按修正和扣除后的投标报价由低到高顺序排列。得分与投标报价均相同的处理方式详见招标文件第6章。</w:t>
      </w:r>
    </w:p>
    <w:p>
      <w:pPr>
        <w:adjustRightInd w:val="0"/>
        <w:snapToGrid w:val="0"/>
        <w:spacing w:line="360" w:lineRule="auto"/>
        <w:rPr>
          <w:rFonts w:asciiTheme="minorEastAsia" w:hAnsiTheme="minorEastAsia" w:cstheme="minorEastAsia"/>
          <w:b/>
          <w:color w:val="000000"/>
          <w:szCs w:val="21"/>
        </w:rPr>
      </w:pPr>
      <w:bookmarkStart w:id="168" w:name="_Toc520356171"/>
      <w:bookmarkStart w:id="169" w:name="_Toc2591628"/>
      <w:bookmarkStart w:id="170" w:name="_Toc98265608"/>
      <w:bookmarkStart w:id="171" w:name="_Toc518923093"/>
      <w:r>
        <w:rPr>
          <w:rFonts w:hint="eastAsia" w:asciiTheme="minorEastAsia" w:hAnsiTheme="minorEastAsia" w:cstheme="minorEastAsia"/>
          <w:b/>
          <w:color w:val="000000"/>
          <w:szCs w:val="21"/>
        </w:rPr>
        <w:t>27</w:t>
      </w:r>
      <w:bookmarkEnd w:id="168"/>
      <w:r>
        <w:rPr>
          <w:rFonts w:hint="eastAsia" w:asciiTheme="minorEastAsia" w:hAnsiTheme="minorEastAsia" w:cstheme="minorEastAsia"/>
          <w:b/>
          <w:color w:val="000000"/>
          <w:szCs w:val="21"/>
        </w:rPr>
        <w:t>、确定中标候选人和中标人</w:t>
      </w:r>
      <w:bookmarkEnd w:id="169"/>
      <w:bookmarkEnd w:id="170"/>
      <w:bookmarkEnd w:id="171"/>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27.1评标委员会将根据评标标准，按</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中规定数量推荐中标候选人；或根据采购人的委托，直接确定中标人。</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27.2按投标人须知前附表中规定，由评标委员会直接确定中标投标人。</w:t>
      </w:r>
    </w:p>
    <w:p>
      <w:pPr>
        <w:adjustRightInd w:val="0"/>
        <w:snapToGrid w:val="0"/>
        <w:spacing w:line="360" w:lineRule="auto"/>
        <w:rPr>
          <w:rFonts w:asciiTheme="minorEastAsia" w:hAnsiTheme="minorEastAsia" w:cstheme="minorEastAsia"/>
          <w:b/>
          <w:color w:val="000000"/>
          <w:szCs w:val="21"/>
        </w:rPr>
      </w:pPr>
      <w:bookmarkStart w:id="172" w:name="_Toc520356173"/>
      <w:bookmarkStart w:id="173" w:name="_Toc2591629"/>
      <w:bookmarkStart w:id="174" w:name="_Toc518923094"/>
      <w:bookmarkStart w:id="175" w:name="_Ref467306874"/>
      <w:bookmarkStart w:id="176" w:name="_Toc98265609"/>
      <w:r>
        <w:rPr>
          <w:rFonts w:hint="eastAsia" w:asciiTheme="minorEastAsia" w:hAnsiTheme="minorEastAsia" w:cstheme="minorEastAsia"/>
          <w:b/>
          <w:color w:val="000000"/>
          <w:szCs w:val="21"/>
        </w:rPr>
        <w:t>28</w:t>
      </w:r>
      <w:bookmarkEnd w:id="172"/>
      <w:bookmarkEnd w:id="173"/>
      <w:bookmarkEnd w:id="174"/>
      <w:bookmarkEnd w:id="175"/>
      <w:r>
        <w:rPr>
          <w:rFonts w:hint="eastAsia" w:asciiTheme="minorEastAsia" w:hAnsiTheme="minorEastAsia" w:cstheme="minorEastAsia"/>
          <w:b/>
          <w:color w:val="000000"/>
          <w:szCs w:val="21"/>
        </w:rPr>
        <w:t>、发出中标通知书</w:t>
      </w:r>
      <w:bookmarkEnd w:id="176"/>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在投标有效期内，中标投标人确定后，采购人或者采购代理机构发布中标公告。在公告中标结果的同时，向中标投标人发出中标通知书，中标通知书是合同的组成部分。</w:t>
      </w:r>
      <w:bookmarkStart w:id="177" w:name="_Toc520356174"/>
    </w:p>
    <w:p>
      <w:pPr>
        <w:adjustRightInd w:val="0"/>
        <w:snapToGrid w:val="0"/>
        <w:spacing w:line="360" w:lineRule="auto"/>
        <w:rPr>
          <w:rFonts w:asciiTheme="minorEastAsia" w:hAnsiTheme="minorEastAsia" w:cstheme="minorEastAsia"/>
          <w:b/>
          <w:color w:val="000000"/>
          <w:szCs w:val="21"/>
        </w:rPr>
      </w:pPr>
      <w:bookmarkStart w:id="178" w:name="_Toc98265610"/>
      <w:r>
        <w:rPr>
          <w:rFonts w:hint="eastAsia" w:asciiTheme="minorEastAsia" w:hAnsiTheme="minorEastAsia" w:cstheme="minorEastAsia"/>
          <w:b/>
          <w:color w:val="000000"/>
          <w:szCs w:val="21"/>
        </w:rPr>
        <w:t>29、告知招标结果</w:t>
      </w:r>
      <w:bookmarkEnd w:id="178"/>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在公告中标结果的同时，告知未通过资格审查投标人未通过的原因；采用综合评分法评审的，还将告知未中标投标人本人的评审得分和排序。</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179" w:name="_Toc1445"/>
      <w:r>
        <w:rPr>
          <w:rFonts w:hint="eastAsia" w:asciiTheme="minorEastAsia" w:hAnsiTheme="minorEastAsia" w:eastAsiaTheme="minorEastAsia" w:cstheme="minorEastAsia"/>
          <w:b/>
          <w:color w:val="000000" w:themeColor="text1"/>
          <w:kern w:val="2"/>
          <w:sz w:val="21"/>
          <w:szCs w:val="21"/>
        </w:rPr>
        <w:t>七、签订合同</w:t>
      </w:r>
      <w:bookmarkEnd w:id="179"/>
    </w:p>
    <w:bookmarkEnd w:id="177"/>
    <w:p>
      <w:pPr>
        <w:adjustRightInd w:val="0"/>
        <w:snapToGrid w:val="0"/>
        <w:spacing w:line="360" w:lineRule="auto"/>
        <w:rPr>
          <w:rFonts w:asciiTheme="minorEastAsia" w:hAnsiTheme="minorEastAsia" w:cstheme="minorEastAsia"/>
          <w:b/>
          <w:color w:val="000000"/>
          <w:szCs w:val="21"/>
        </w:rPr>
      </w:pPr>
      <w:r>
        <w:rPr>
          <w:rFonts w:hint="eastAsia" w:asciiTheme="minorEastAsia" w:hAnsiTheme="minorEastAsia" w:cstheme="minorEastAsia"/>
          <w:b/>
          <w:color w:val="000000"/>
          <w:szCs w:val="21"/>
        </w:rPr>
        <w:t>30、签订合同</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30.1中标投标人应当自发出中标通知书之日起30日内，与采购人签订合同。</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30.2招标文件、中标投标人的投标文件及其澄清文件等，均为签订合同的依据。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30.3如中标投标人拒绝与采购人签订合同的，中标投标人须按投标保证承诺书内容向采购人和采购代理机构支付赔偿；采购人可以按照评标报告推荐的中标候选人排序，确定下一中标候选人为中标投标人，也可以重新开展采购活动。</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30.4当出现法规规定的中标无效或中标结果无效情形时，采购人可与排名下一位的中标候选人另行签订合同，或依法重新开展采购活动。</w:t>
      </w:r>
    </w:p>
    <w:p>
      <w:pPr>
        <w:adjustRightInd w:val="0"/>
        <w:snapToGrid w:val="0"/>
        <w:spacing w:line="360" w:lineRule="auto"/>
        <w:rPr>
          <w:rFonts w:asciiTheme="minorEastAsia" w:hAnsiTheme="minorEastAsia" w:cstheme="minorEastAsia"/>
          <w:b/>
          <w:color w:val="000000"/>
          <w:szCs w:val="21"/>
        </w:rPr>
      </w:pPr>
      <w:bookmarkStart w:id="180" w:name="_Toc520356175"/>
      <w:bookmarkStart w:id="181" w:name="_Toc518923096"/>
      <w:bookmarkStart w:id="182" w:name="_Ref467306377"/>
      <w:bookmarkStart w:id="183" w:name="_Toc2591631"/>
      <w:bookmarkStart w:id="184" w:name="_Ref467307062"/>
      <w:bookmarkStart w:id="185" w:name="_Ref467306978"/>
      <w:bookmarkStart w:id="186" w:name="_Ref467307204"/>
      <w:bookmarkStart w:id="187" w:name="_Toc98265611"/>
      <w:r>
        <w:rPr>
          <w:rFonts w:hint="eastAsia" w:asciiTheme="minorEastAsia" w:hAnsiTheme="minorEastAsia" w:cstheme="minorEastAsia"/>
          <w:b/>
          <w:color w:val="000000"/>
          <w:szCs w:val="21"/>
        </w:rPr>
        <w:t>31</w:t>
      </w:r>
      <w:bookmarkEnd w:id="180"/>
      <w:bookmarkEnd w:id="181"/>
      <w:bookmarkEnd w:id="182"/>
      <w:bookmarkEnd w:id="183"/>
      <w:bookmarkEnd w:id="184"/>
      <w:bookmarkEnd w:id="185"/>
      <w:bookmarkEnd w:id="186"/>
      <w:r>
        <w:rPr>
          <w:rFonts w:hint="eastAsia" w:asciiTheme="minorEastAsia" w:hAnsiTheme="minorEastAsia" w:cstheme="minorEastAsia"/>
          <w:b/>
          <w:color w:val="000000"/>
          <w:szCs w:val="21"/>
        </w:rPr>
        <w:t>、履约保证金</w:t>
      </w:r>
      <w:bookmarkEnd w:id="187"/>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31.1如果需要履约保证金，中标投标人应按照</w:t>
      </w:r>
      <w:r>
        <w:rPr>
          <w:rFonts w:hint="eastAsia" w:asciiTheme="minorEastAsia" w:hAnsiTheme="minorEastAsia" w:cstheme="minorEastAsia"/>
          <w:color w:val="000000"/>
          <w:szCs w:val="21"/>
          <w:u w:val="single"/>
        </w:rPr>
        <w:t>投标须知前附表</w:t>
      </w:r>
      <w:r>
        <w:rPr>
          <w:rFonts w:hint="eastAsia" w:asciiTheme="minorEastAsia" w:hAnsiTheme="minorEastAsia" w:cstheme="minorEastAsia"/>
          <w:color w:val="000000"/>
          <w:szCs w:val="21"/>
        </w:rPr>
        <w:t>规定向采购人履约保证金。经采购人同意，中标投标人也可以自愿采用其他履约保证金的提供方式。</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31.2</w:t>
      </w:r>
      <w:bookmarkStart w:id="188" w:name="_Ref467307090"/>
      <w:bookmarkStart w:id="189" w:name="_Ref467306425"/>
      <w:bookmarkStart w:id="190" w:name="_Toc520356176"/>
      <w:r>
        <w:rPr>
          <w:rFonts w:hint="eastAsia" w:asciiTheme="minorEastAsia" w:hAnsiTheme="minorEastAsia" w:cstheme="minorEastAsia"/>
          <w:color w:val="000000"/>
          <w:szCs w:val="21"/>
        </w:rPr>
        <w:t>如果中标投标人没有按照上述履约保证金的规定执行，将被视为放弃中标资格，中标投标人须按投标保证承诺书的承诺向采购人和采购代理机构支付赔偿。在此情况下，采购人可确定下一候选人为中标投标人，也可以重新开展采购活动。</w:t>
      </w:r>
    </w:p>
    <w:p>
      <w:pPr>
        <w:adjustRightInd w:val="0"/>
        <w:snapToGrid w:val="0"/>
        <w:spacing w:line="360" w:lineRule="auto"/>
        <w:rPr>
          <w:rFonts w:asciiTheme="minorEastAsia" w:hAnsiTheme="minorEastAsia" w:cstheme="minorEastAsia"/>
          <w:b/>
          <w:color w:val="000000"/>
          <w:szCs w:val="21"/>
        </w:rPr>
      </w:pPr>
      <w:bookmarkStart w:id="191" w:name="_Toc2591632"/>
      <w:bookmarkStart w:id="192" w:name="_Toc518923097"/>
      <w:bookmarkStart w:id="193" w:name="_Toc98265612"/>
      <w:r>
        <w:rPr>
          <w:rFonts w:hint="eastAsia" w:asciiTheme="minorEastAsia" w:hAnsiTheme="minorEastAsia" w:cstheme="minorEastAsia"/>
          <w:b/>
          <w:color w:val="000000"/>
          <w:szCs w:val="21"/>
        </w:rPr>
        <w:t>32</w:t>
      </w:r>
      <w:bookmarkEnd w:id="188"/>
      <w:bookmarkEnd w:id="189"/>
      <w:bookmarkEnd w:id="190"/>
      <w:bookmarkEnd w:id="191"/>
      <w:bookmarkEnd w:id="192"/>
      <w:r>
        <w:rPr>
          <w:rFonts w:hint="eastAsia" w:asciiTheme="minorEastAsia" w:hAnsiTheme="minorEastAsia" w:cstheme="minorEastAsia"/>
          <w:b/>
          <w:color w:val="000000"/>
          <w:szCs w:val="21"/>
        </w:rPr>
        <w:t>、预付款</w:t>
      </w:r>
      <w:bookmarkEnd w:id="193"/>
    </w:p>
    <w:p>
      <w:pPr>
        <w:adjustRightInd w:val="0"/>
        <w:snapToGrid w:val="0"/>
        <w:spacing w:line="360" w:lineRule="auto"/>
        <w:ind w:firstLine="420" w:firstLineChars="200"/>
        <w:rPr>
          <w:rFonts w:asciiTheme="minorEastAsia" w:hAnsiTheme="minorEastAsia" w:cstheme="minorEastAsia"/>
          <w:color w:val="000000"/>
          <w:szCs w:val="21"/>
        </w:rPr>
      </w:pPr>
      <w:bookmarkStart w:id="194" w:name="_Toc518923098"/>
      <w:bookmarkStart w:id="195" w:name="_Toc2591633"/>
      <w:r>
        <w:rPr>
          <w:rFonts w:hint="eastAsia" w:asciiTheme="minorEastAsia" w:hAnsiTheme="minorEastAsia" w:cstheme="minorEastAsia"/>
          <w:color w:val="000000"/>
          <w:szCs w:val="21"/>
        </w:rPr>
        <w:t>32.1预付款是在指政府采购合同签订后、履行前，采购人向中标投标人预先支付部分合同款项，预付款比例按照</w:t>
      </w:r>
      <w:r>
        <w:rPr>
          <w:rFonts w:hint="eastAsia" w:asciiTheme="minorEastAsia" w:hAnsiTheme="minorEastAsia" w:cstheme="minorEastAsia"/>
          <w:color w:val="000000"/>
          <w:szCs w:val="21"/>
          <w:u w:val="single"/>
        </w:rPr>
        <w:t>投标须知前附表</w:t>
      </w:r>
      <w:r>
        <w:rPr>
          <w:rFonts w:hint="eastAsia" w:asciiTheme="minorEastAsia" w:hAnsiTheme="minorEastAsia" w:cstheme="minorEastAsia"/>
          <w:color w:val="000000"/>
          <w:szCs w:val="21"/>
        </w:rPr>
        <w:t>规定执行。</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32.2如采购人要求，中标投标人在收到预付款前，需向采购人提供预付款保函。预付款保函是指中标投标人向银行或者有资质的专业的担保机构申请，由其向采购人出具的确保预付款直接或者间接用于政府采购合同履约或者保障政府采购履约质量的银行保函或者担保保函等。</w:t>
      </w:r>
    </w:p>
    <w:p>
      <w:pPr>
        <w:pStyle w:val="23"/>
        <w:autoSpaceDE w:val="0"/>
        <w:spacing w:before="0" w:beforeAutospacing="0" w:after="0" w:afterAutospacing="0" w:line="360" w:lineRule="auto"/>
        <w:jc w:val="both"/>
        <w:outlineLvl w:val="1"/>
        <w:rPr>
          <w:rFonts w:asciiTheme="minorEastAsia" w:hAnsiTheme="minorEastAsia" w:eastAsiaTheme="minorEastAsia" w:cstheme="minorEastAsia"/>
          <w:b/>
          <w:color w:val="000000" w:themeColor="text1"/>
          <w:kern w:val="2"/>
          <w:sz w:val="21"/>
          <w:szCs w:val="21"/>
        </w:rPr>
      </w:pPr>
      <w:bookmarkStart w:id="196" w:name="_Toc28663"/>
      <w:r>
        <w:rPr>
          <w:rFonts w:hint="eastAsia" w:asciiTheme="minorEastAsia" w:hAnsiTheme="minorEastAsia" w:eastAsiaTheme="minorEastAsia" w:cstheme="minorEastAsia"/>
          <w:b/>
          <w:color w:val="000000" w:themeColor="text1"/>
          <w:kern w:val="2"/>
          <w:sz w:val="21"/>
          <w:szCs w:val="21"/>
        </w:rPr>
        <w:t>八、其他</w:t>
      </w:r>
      <w:bookmarkEnd w:id="196"/>
    </w:p>
    <w:p>
      <w:pPr>
        <w:adjustRightInd w:val="0"/>
        <w:snapToGrid w:val="0"/>
        <w:spacing w:line="360" w:lineRule="auto"/>
        <w:rPr>
          <w:rFonts w:asciiTheme="minorEastAsia" w:hAnsiTheme="minorEastAsia" w:cstheme="minorEastAsia"/>
          <w:b/>
          <w:color w:val="000000"/>
          <w:szCs w:val="21"/>
        </w:rPr>
      </w:pPr>
      <w:bookmarkStart w:id="197" w:name="_Toc98265613"/>
      <w:r>
        <w:rPr>
          <w:rFonts w:hint="eastAsia" w:asciiTheme="minorEastAsia" w:hAnsiTheme="minorEastAsia" w:cstheme="minorEastAsia"/>
          <w:b/>
          <w:color w:val="000000"/>
          <w:szCs w:val="21"/>
        </w:rPr>
        <w:t>33</w:t>
      </w:r>
      <w:bookmarkEnd w:id="194"/>
      <w:bookmarkEnd w:id="195"/>
      <w:r>
        <w:rPr>
          <w:rFonts w:hint="eastAsia" w:asciiTheme="minorEastAsia" w:hAnsiTheme="minorEastAsia" w:cstheme="minorEastAsia"/>
          <w:b/>
          <w:color w:val="000000"/>
          <w:szCs w:val="21"/>
        </w:rPr>
        <w:t>、招标代理费</w:t>
      </w:r>
      <w:bookmarkEnd w:id="197"/>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本项目是否由中标投标人向采购代理机构支付招标代理费，按照</w:t>
      </w:r>
      <w:r>
        <w:rPr>
          <w:rFonts w:hint="eastAsia" w:asciiTheme="minorEastAsia" w:hAnsiTheme="minorEastAsia" w:cstheme="minorEastAsia"/>
          <w:color w:val="000000"/>
          <w:szCs w:val="21"/>
          <w:u w:val="single"/>
        </w:rPr>
        <w:t>投标须知前附表</w:t>
      </w:r>
      <w:r>
        <w:rPr>
          <w:rFonts w:hint="eastAsia" w:asciiTheme="minorEastAsia" w:hAnsiTheme="minorEastAsia" w:cstheme="minorEastAsia"/>
          <w:color w:val="000000"/>
          <w:szCs w:val="21"/>
        </w:rPr>
        <w:t>规定执行。</w:t>
      </w:r>
    </w:p>
    <w:p>
      <w:pPr>
        <w:adjustRightInd w:val="0"/>
        <w:snapToGrid w:val="0"/>
        <w:spacing w:line="360" w:lineRule="auto"/>
        <w:rPr>
          <w:rFonts w:asciiTheme="minorEastAsia" w:hAnsiTheme="minorEastAsia" w:cstheme="minorEastAsia"/>
          <w:b/>
          <w:color w:val="000000"/>
          <w:szCs w:val="21"/>
        </w:rPr>
      </w:pPr>
      <w:bookmarkStart w:id="198" w:name="_Toc2591634"/>
      <w:bookmarkStart w:id="199" w:name="_Toc518923099"/>
      <w:bookmarkStart w:id="200" w:name="_Toc98265614"/>
      <w:r>
        <w:rPr>
          <w:rFonts w:hint="eastAsia" w:asciiTheme="minorEastAsia" w:hAnsiTheme="minorEastAsia" w:cstheme="minorEastAsia"/>
          <w:b/>
          <w:color w:val="000000"/>
          <w:szCs w:val="21"/>
        </w:rPr>
        <w:t>34</w:t>
      </w:r>
      <w:bookmarkEnd w:id="198"/>
      <w:bookmarkEnd w:id="199"/>
      <w:bookmarkStart w:id="201" w:name="_Toc518923100"/>
      <w:bookmarkStart w:id="202" w:name="_Toc2591635"/>
      <w:r>
        <w:rPr>
          <w:rFonts w:hint="eastAsia" w:asciiTheme="minorEastAsia" w:hAnsiTheme="minorEastAsia" w:cstheme="minorEastAsia"/>
          <w:b/>
          <w:color w:val="000000"/>
          <w:szCs w:val="21"/>
        </w:rPr>
        <w:t>、</w:t>
      </w:r>
      <w:bookmarkEnd w:id="200"/>
      <w:bookmarkEnd w:id="201"/>
      <w:bookmarkEnd w:id="202"/>
      <w:r>
        <w:rPr>
          <w:rFonts w:hint="eastAsia" w:asciiTheme="minorEastAsia" w:hAnsiTheme="minorEastAsia" w:cstheme="minorEastAsia"/>
          <w:b/>
          <w:color w:val="000000"/>
          <w:szCs w:val="21"/>
        </w:rPr>
        <w:t>询问、质疑和投诉</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34.1询问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34.1.1投标人对政府采购活动事项有疑问的，可以向采购人或采购代理机构提出询问，采购人或采购代理机构将3个工作日内作出答复，但答复的内容不得涉及商业秘密。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34.1.1投标人提出的询问超出采购人对采购代理机构委托授权范围的，采购代理机构将告知供应商向采购人提出。必要时，采购人或采购代理机构将组织政府采购评审专家配合询问。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34.1.1投标人提出询问的形式不做具体要求，但采购人或代理机构作出的答复仅通过电电话形式进行，并且采购人或代理机构对供应商由此而做出的推论、理解和结论概不负责。</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34.2质疑</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34.2.1投标人认为采购文件、采购过程和中标、成交结果使自己的权益受到损害的，可以在知道或者应知其权益受到损害之日起7个工作日内，以书面形式向采购人提出质疑。采购人应当在收到供应商的书面质疑后7个工作日内作出答复，并以书面形式通知质疑供应商和其他有关供应商，但答复的内容不得涉及商业秘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34.2.2投标人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34.2.3如本采购文件无特殊要求，本项目要求投标人在法定质疑期内一次性提出针对同一采购程序环节的质疑。提出质疑的投标人应当是参与所质疑项目采购活动的投标人。潜在投标人已依法获取其可质疑的采购文件的，可以对该文件提出质疑。对采购文件提出质疑的，应当在获取采购文件或者采购文件公告期限届满之日起7个工作日内提出。</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34.2.4质疑投标人应按照财政部制定的《政府采购质疑函范本》格式（可从财政部官方网站下载）和《政府采购质疑和投诉办法》的要求进行，投标人提出质疑书应当包括下列主要内容：</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（1）质疑人的名称、地址、电话等；</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（2）质疑人法人签章和单位公章；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（3）具体的质疑事项及事实依据；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（4）明确的请求和必要（合法来源）的证明材料；</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（5）以联合体形式参与资格预审的，则必须联合体各方共同签署、盖章；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（6）提起质疑的日期。</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特注：未按上述程序规定的必备内容进行质疑的，采购人或代理机构将不予以受理。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34.2.5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34.2.6质疑人可以委托代理人办理质疑事项，代理人办理质疑事项时，除提交质疑书外，还应当提交质疑人的授权委托书及代理人的有效身份证明，授权委托书应当载明委托代理的具体权限和事项。</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34.2.7被质疑人应当在受理质疑后7个工作日内作出答复，并以书面形式通知质疑人和其他有关供应商，答复内容仅限于供应商所质疑的内容，不得涉及国家秘密和商业秘密。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34.3投标人询问及质疑可按</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中的联系方式进行询问及质疑。</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34.4投诉</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34.4.1质疑人如对答复不满意或在规定时间内未做出回复的，可在答复期满后15个工作日内向本项目管辖内的政府采购监督部门提起投诉。供应商投诉应当有明确的请求和必要的证明材料。</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34.4.2投诉人提起投诉应符合以下条件：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(1)投诉人应是参与项目的供应商；</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(2)投诉前已依法进行质疑；</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(3)投诉书内容符合中华人民共和国财政部94号令《政府采购质疑和投诉办法》的规定；</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(4)在投诉有效期内；</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(5)同一投诉事项未经处理的；</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(6)相关法律、法规和省级以上人民政府财政部门规定的其他条件。</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34.4.3投标人投诉时，应当当面提交投诉书，投诉书应当包括下列主要内容：</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(1)投诉人的姓名或者名称、住所、联系方式及相关证明；</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(2)被投诉人的名称、住所、联系方式；</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(3)具体的投诉事项、事实根据和法律依据；</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(4)质疑和质疑答复情况及相关证明材料；</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(5)提起投诉的日期。</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投诉人为自然人的，应当由本人签字。投诉人为法人的，应当由其法定代表人签字并加盖单位公章。投诉人为其他组织的，应当由其主要负责人签字盖章并加盖单位公章。</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34.4.4投诉人可以授权代理人办理投诉事务。代理人办理投诉事务时，除提交投诉书外，还应当向监督部门提交投诉人的授权委托书，授权委托书应当载明委托代理的具体权限和事项。</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34.4.5投诉人可按</w:t>
      </w:r>
      <w:r>
        <w:rPr>
          <w:rFonts w:hint="eastAsia" w:asciiTheme="minorEastAsia" w:hAnsiTheme="minorEastAsia" w:cstheme="minorEastAsia"/>
          <w:color w:val="000000"/>
          <w:szCs w:val="21"/>
          <w:u w:val="single"/>
        </w:rPr>
        <w:t>投标人须知前附表</w:t>
      </w:r>
      <w:r>
        <w:rPr>
          <w:rFonts w:hint="eastAsia" w:asciiTheme="minorEastAsia" w:hAnsiTheme="minorEastAsia" w:cstheme="minorEastAsia"/>
          <w:color w:val="000000"/>
          <w:szCs w:val="21"/>
        </w:rPr>
        <w:t>中的联系方式进行投诉。投诉人不符合上述规定提起的投诉，政府采购监督部门不予受理。</w:t>
      </w:r>
    </w:p>
    <w:p>
      <w:pPr>
        <w:adjustRightInd w:val="0"/>
        <w:snapToGrid w:val="0"/>
        <w:spacing w:line="360" w:lineRule="auto"/>
        <w:rPr>
          <w:rFonts w:asciiTheme="minorEastAsia" w:hAnsiTheme="minorEastAsia" w:cstheme="minorEastAsia"/>
          <w:b/>
          <w:color w:val="000000"/>
          <w:szCs w:val="21"/>
        </w:rPr>
      </w:pPr>
      <w:bookmarkStart w:id="203" w:name="_Toc2591636"/>
      <w:bookmarkStart w:id="204" w:name="_Toc518923101"/>
      <w:bookmarkStart w:id="205" w:name="_Toc98265615"/>
      <w:r>
        <w:rPr>
          <w:rFonts w:hint="eastAsia" w:asciiTheme="minorEastAsia" w:hAnsiTheme="minorEastAsia" w:cstheme="minorEastAsia"/>
          <w:b/>
          <w:color w:val="000000"/>
          <w:szCs w:val="21"/>
        </w:rPr>
        <w:t>35、人员回避</w:t>
      </w:r>
      <w:bookmarkEnd w:id="203"/>
      <w:bookmarkEnd w:id="204"/>
      <w:bookmarkEnd w:id="205"/>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投标人认为采购人员及其相关人员有法律法规所列与其他投标人有利害关系的，可以向采购人或采购代理机构书面提出回避申请，并说明理由。</w:t>
      </w:r>
    </w:p>
    <w:p>
      <w:pPr>
        <w:adjustRightInd w:val="0"/>
        <w:snapToGrid w:val="0"/>
        <w:spacing w:line="360" w:lineRule="auto"/>
        <w:rPr>
          <w:rFonts w:asciiTheme="minorEastAsia" w:hAnsiTheme="minorEastAsia" w:cstheme="minorEastAsia"/>
          <w:b/>
          <w:color w:val="000000"/>
          <w:szCs w:val="21"/>
        </w:rPr>
      </w:pPr>
      <w:bookmarkStart w:id="206" w:name="_Toc2591637"/>
      <w:bookmarkStart w:id="207" w:name="_Toc98265616"/>
      <w:bookmarkStart w:id="208" w:name="_Toc518923102"/>
      <w:r>
        <w:rPr>
          <w:rFonts w:hint="eastAsia" w:asciiTheme="minorEastAsia" w:hAnsiTheme="minorEastAsia" w:cstheme="minorEastAsia"/>
          <w:b/>
          <w:color w:val="000000"/>
          <w:szCs w:val="21"/>
        </w:rPr>
        <w:t>36、</w:t>
      </w:r>
      <w:bookmarkEnd w:id="206"/>
      <w:bookmarkEnd w:id="207"/>
      <w:bookmarkEnd w:id="208"/>
      <w:r>
        <w:rPr>
          <w:rFonts w:hint="eastAsia" w:asciiTheme="minorEastAsia" w:hAnsiTheme="minorEastAsia" w:cstheme="minorEastAsia"/>
          <w:b/>
          <w:color w:val="000000"/>
          <w:szCs w:val="21"/>
        </w:rPr>
        <w:t>其他</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36.1《中华人民共和国政府采购法》第二十二条第一款第五项所称重大违法记录，是指供应商因违法经营受到刑事处罚或者责令停产停业、吊销许可证或者执照、较大数额罚款等行政处罚。所称“较大数额罚款”认定为200万元以上的罚款。</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36.2按照财政部《关于规范政府采购行政处罚有关问题的通知》的规定，各级人民政府财政部门依法对参加政府采购活动的供应商,作出的禁止参加政府采购活动等行政处罚决定在全国范围内生效。</w:t>
      </w:r>
    </w:p>
    <w:p>
      <w:pPr>
        <w:adjustRightInd w:val="0"/>
        <w:snapToGrid w:val="0"/>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36.3供应商在参加政府采购活动前3年内因违法经营被禁止在一定期限内参加政府采购活动，期限届满的，可以参加政府采购活动。</w:t>
      </w: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7"/>
      </w:pPr>
    </w:p>
    <w:p>
      <w:pPr>
        <w:pStyle w:val="19"/>
      </w:pPr>
    </w:p>
    <w:p>
      <w:pPr>
        <w:rPr>
          <w:rFonts w:asciiTheme="minorEastAsia" w:hAnsiTheme="minorEastAsia" w:cstheme="minorEastAsia"/>
        </w:rPr>
      </w:pPr>
    </w:p>
    <w:p>
      <w:pPr>
        <w:tabs>
          <w:tab w:val="left" w:pos="0"/>
        </w:tabs>
        <w:spacing w:line="360" w:lineRule="auto"/>
        <w:jc w:val="center"/>
        <w:outlineLvl w:val="0"/>
        <w:rPr>
          <w:rFonts w:ascii="宋体" w:hAnsi="宋体" w:eastAsia="宋体" w:cs="宋体"/>
          <w:b/>
          <w:color w:val="000000" w:themeColor="text1"/>
          <w:sz w:val="36"/>
        </w:rPr>
      </w:pPr>
      <w:bookmarkStart w:id="209" w:name="_Toc121844766"/>
      <w:bookmarkStart w:id="210" w:name="_Toc18283"/>
      <w:r>
        <w:rPr>
          <w:rFonts w:hint="eastAsia" w:ascii="宋体" w:hAnsi="宋体" w:eastAsia="宋体" w:cs="宋体"/>
          <w:b/>
          <w:color w:val="000000" w:themeColor="text1"/>
          <w:sz w:val="36"/>
        </w:rPr>
        <w:t>第三章、采购需求</w:t>
      </w:r>
      <w:bookmarkEnd w:id="209"/>
      <w:bookmarkEnd w:id="210"/>
    </w:p>
    <w:p>
      <w:pPr>
        <w:spacing w:line="440" w:lineRule="exact"/>
        <w:jc w:val="left"/>
        <w:textAlignment w:val="baseline"/>
        <w:rPr>
          <w:rStyle w:val="61"/>
          <w:rFonts w:ascii="宋体" w:hAnsi="宋体" w:eastAsia="宋体" w:cs="宋体"/>
          <w:sz w:val="21"/>
          <w:szCs w:val="21"/>
        </w:rPr>
      </w:pPr>
      <w:r>
        <w:rPr>
          <w:rStyle w:val="61"/>
          <w:rFonts w:hint="eastAsia" w:ascii="宋体" w:hAnsi="宋体" w:eastAsia="宋体" w:cs="宋体"/>
          <w:sz w:val="21"/>
          <w:szCs w:val="21"/>
        </w:rPr>
        <w:t>一、项目概况</w:t>
      </w:r>
    </w:p>
    <w:p>
      <w:pPr>
        <w:snapToGrid w:val="0"/>
        <w:spacing w:line="360" w:lineRule="auto"/>
        <w:textAlignment w:val="baseline"/>
        <w:rPr>
          <w:rStyle w:val="61"/>
          <w:rFonts w:hint="default" w:ascii="宋体" w:hAnsi="宋体" w:eastAsia="宋体" w:cs="宋体"/>
          <w:b w:val="0"/>
          <w:bCs/>
          <w:color w:val="000000"/>
          <w:sz w:val="21"/>
          <w:szCs w:val="21"/>
          <w:highlight w:val="none"/>
          <w:lang w:val="en-US" w:eastAsia="zh-CN"/>
        </w:rPr>
      </w:pPr>
      <w:r>
        <w:rPr>
          <w:rStyle w:val="61"/>
          <w:rFonts w:hint="eastAsia" w:ascii="宋体" w:hAnsi="宋体" w:eastAsia="宋体" w:cs="宋体"/>
          <w:b w:val="0"/>
          <w:sz w:val="21"/>
          <w:szCs w:val="21"/>
        </w:rPr>
        <w:t>本次采购内容为新疆自治区人民医院妇产科远程胎儿监护判图回复</w:t>
      </w:r>
      <w:r>
        <w:rPr>
          <w:rStyle w:val="61"/>
          <w:rFonts w:hint="eastAsia" w:ascii="宋体" w:hAnsi="宋体" w:eastAsia="宋体" w:cs="宋体"/>
          <w:b w:val="0"/>
          <w:kern w:val="0"/>
          <w:sz w:val="21"/>
          <w:szCs w:val="21"/>
        </w:rPr>
        <w:t>服务</w:t>
      </w:r>
      <w:r>
        <w:rPr>
          <w:rStyle w:val="61"/>
          <w:rFonts w:hint="eastAsia" w:ascii="宋体" w:hAnsi="宋体" w:eastAsia="宋体" w:cs="宋体"/>
          <w:b w:val="0"/>
          <w:sz w:val="21"/>
          <w:szCs w:val="21"/>
        </w:rPr>
        <w:t>，包括但不限于提供远程监护系统1套、远程胎儿监护终端100台、院内胎儿监护设备10台、配备1名远程监护服务人员常驻医院，进行远程监护设备租赁、设备维护保养、教会孕妇使用设备、远程租赁费用结算等全部服务工作</w:t>
      </w:r>
      <w:r>
        <w:rPr>
          <w:rStyle w:val="61"/>
          <w:rFonts w:hint="eastAsia" w:ascii="宋体" w:hAnsi="宋体" w:eastAsia="宋体" w:cs="宋体"/>
          <w:b w:val="0"/>
          <w:sz w:val="21"/>
          <w:szCs w:val="21"/>
          <w:highlight w:val="none"/>
        </w:rPr>
        <w:t>。</w:t>
      </w:r>
      <w:r>
        <w:rPr>
          <w:rFonts w:hint="eastAsia" w:asciiTheme="minorEastAsia" w:hAnsiTheme="minorEastAsia" w:eastAsiaTheme="minorEastAsia" w:cstheme="minorEastAsia"/>
          <w:b w:val="0"/>
          <w:bCs/>
          <w:kern w:val="2"/>
          <w:sz w:val="21"/>
          <w:szCs w:val="21"/>
          <w:highlight w:val="none"/>
          <w:lang w:val="en-US" w:eastAsia="zh-CN"/>
        </w:rPr>
        <w:t>本项目预算金额为30万元/年</w:t>
      </w:r>
      <w:r>
        <w:rPr>
          <w:rFonts w:hint="eastAsia" w:asciiTheme="minorEastAsia" w:hAnsiTheme="minorEastAsia" w:cstheme="minorEastAsia"/>
          <w:b w:val="0"/>
          <w:bCs/>
          <w:kern w:val="2"/>
          <w:sz w:val="21"/>
          <w:szCs w:val="21"/>
          <w:highlight w:val="none"/>
          <w:lang w:val="en-US" w:eastAsia="zh-CN"/>
        </w:rPr>
        <w:t>。</w:t>
      </w:r>
    </w:p>
    <w:p>
      <w:pPr>
        <w:snapToGrid w:val="0"/>
        <w:spacing w:line="360" w:lineRule="auto"/>
        <w:textAlignment w:val="baseline"/>
        <w:rPr>
          <w:rStyle w:val="61"/>
          <w:rFonts w:ascii="宋体" w:hAnsi="宋体" w:eastAsia="宋体" w:cs="宋体"/>
          <w:b w:val="0"/>
          <w:bCs/>
          <w:color w:val="000000"/>
          <w:sz w:val="21"/>
          <w:szCs w:val="21"/>
        </w:rPr>
      </w:pPr>
      <w:r>
        <w:rPr>
          <w:rStyle w:val="61"/>
          <w:rFonts w:hint="eastAsia" w:ascii="宋体" w:hAnsi="宋体" w:eastAsia="宋体" w:cs="宋体"/>
          <w:color w:val="000000"/>
          <w:sz w:val="21"/>
          <w:szCs w:val="21"/>
        </w:rPr>
        <w:t>二、招标内容</w:t>
      </w:r>
      <w:r>
        <w:rPr>
          <w:rStyle w:val="61"/>
          <w:rFonts w:hint="eastAsia" w:ascii="宋体" w:hAnsi="宋体" w:eastAsia="宋体" w:cs="宋体"/>
          <w:b w:val="0"/>
          <w:bCs/>
          <w:color w:val="000000"/>
          <w:sz w:val="21"/>
          <w:szCs w:val="21"/>
        </w:rPr>
        <w:t>：选取远程胎儿监护服务商1家。</w:t>
      </w:r>
    </w:p>
    <w:p>
      <w:pPr>
        <w:snapToGrid w:val="0"/>
        <w:spacing w:line="360" w:lineRule="auto"/>
        <w:textAlignment w:val="baseline"/>
        <w:rPr>
          <w:rStyle w:val="61"/>
          <w:rFonts w:ascii="宋体" w:hAnsi="宋体" w:eastAsia="宋体" w:cs="宋体"/>
          <w:color w:val="000000"/>
          <w:sz w:val="21"/>
          <w:szCs w:val="21"/>
        </w:rPr>
      </w:pPr>
      <w:r>
        <w:rPr>
          <w:rStyle w:val="61"/>
          <w:rFonts w:hint="eastAsia" w:ascii="宋体" w:hAnsi="宋体" w:eastAsia="宋体" w:cs="宋体"/>
          <w:color w:val="000000"/>
          <w:sz w:val="21"/>
          <w:szCs w:val="21"/>
        </w:rPr>
        <w:t>三、投标人的服务要求</w:t>
      </w:r>
    </w:p>
    <w:p>
      <w:pPr>
        <w:snapToGrid w:val="0"/>
        <w:spacing w:line="360" w:lineRule="auto"/>
        <w:textAlignment w:val="baseline"/>
        <w:rPr>
          <w:rFonts w:ascii="宋体" w:hAnsi="宋体" w:eastAsia="宋体" w:cs="宋体"/>
          <w:bCs/>
          <w:szCs w:val="21"/>
        </w:rPr>
      </w:pPr>
      <w:r>
        <w:rPr>
          <w:rStyle w:val="61"/>
          <w:rFonts w:hint="eastAsia" w:ascii="宋体" w:hAnsi="宋体" w:cs="宋体"/>
          <w:b w:val="0"/>
          <w:color w:val="000000"/>
          <w:kern w:val="0"/>
          <w:sz w:val="21"/>
          <w:szCs w:val="21"/>
        </w:rPr>
        <w:t>3.</w:t>
      </w:r>
      <w:r>
        <w:rPr>
          <w:rStyle w:val="61"/>
          <w:rFonts w:hint="eastAsia" w:ascii="宋体" w:hAnsi="宋体" w:eastAsia="宋体" w:cs="宋体"/>
          <w:b w:val="0"/>
          <w:color w:val="000000"/>
          <w:kern w:val="0"/>
          <w:sz w:val="21"/>
          <w:szCs w:val="21"/>
        </w:rPr>
        <w:t>1</w:t>
      </w:r>
      <w:r>
        <w:rPr>
          <w:rFonts w:hint="eastAsia" w:ascii="宋体" w:hAnsi="宋体" w:eastAsia="宋体" w:cs="宋体"/>
          <w:szCs w:val="21"/>
        </w:rPr>
        <w:t>参与竞争性磋商的供应商须为信誉好、实力强，</w:t>
      </w:r>
      <w:r>
        <w:rPr>
          <w:rFonts w:hint="eastAsia" w:ascii="宋体" w:hAnsi="宋体" w:eastAsia="宋体" w:cs="宋体"/>
          <w:bCs/>
          <w:szCs w:val="21"/>
        </w:rPr>
        <w:t>符合《政府采购法》第二十二条规定的法人。</w:t>
      </w:r>
    </w:p>
    <w:p>
      <w:pPr>
        <w:pStyle w:val="63"/>
        <w:snapToGrid w:val="0"/>
        <w:spacing w:before="0" w:beforeAutospacing="0" w:after="0" w:afterAutospacing="0" w:line="360" w:lineRule="auto"/>
        <w:jc w:val="both"/>
        <w:rPr>
          <w:rStyle w:val="61"/>
          <w:rFonts w:ascii="宋体" w:hAnsi="宋体" w:eastAsia="宋体" w:cs="宋体"/>
          <w:b w:val="0"/>
          <w:color w:val="000000"/>
          <w:sz w:val="21"/>
          <w:szCs w:val="21"/>
        </w:rPr>
      </w:pPr>
      <w:r>
        <w:rPr>
          <w:rStyle w:val="61"/>
          <w:rFonts w:hint="eastAsia" w:ascii="宋体" w:hAnsi="宋体" w:cs="宋体"/>
          <w:b w:val="0"/>
          <w:color w:val="000000"/>
          <w:kern w:val="0"/>
          <w:sz w:val="21"/>
          <w:szCs w:val="21"/>
        </w:rPr>
        <w:t>3.2</w:t>
      </w:r>
      <w:r>
        <w:rPr>
          <w:rStyle w:val="61"/>
          <w:rFonts w:hint="eastAsia" w:ascii="宋体" w:hAnsi="宋体" w:eastAsia="宋体" w:cs="宋体"/>
          <w:b w:val="0"/>
          <w:color w:val="000000"/>
          <w:sz w:val="21"/>
          <w:szCs w:val="21"/>
        </w:rPr>
        <w:t>投标人需要具备完善的远程监护服务质量管理制度，保障判图回复的质量及回复的及时性。</w:t>
      </w:r>
    </w:p>
    <w:p>
      <w:pPr>
        <w:pStyle w:val="63"/>
        <w:snapToGrid w:val="0"/>
        <w:spacing w:before="0" w:beforeAutospacing="0" w:after="0" w:afterAutospacing="0" w:line="360" w:lineRule="auto"/>
        <w:jc w:val="both"/>
        <w:rPr>
          <w:rStyle w:val="61"/>
          <w:rFonts w:ascii="宋体" w:hAnsi="宋体" w:eastAsia="宋体" w:cs="宋体"/>
          <w:b w:val="0"/>
          <w:color w:val="000000"/>
          <w:sz w:val="21"/>
          <w:szCs w:val="21"/>
        </w:rPr>
      </w:pPr>
      <w:r>
        <w:rPr>
          <w:rStyle w:val="61"/>
          <w:rFonts w:hint="eastAsia" w:ascii="宋体" w:hAnsi="宋体" w:eastAsia="宋体" w:cs="宋体"/>
          <w:b w:val="0"/>
          <w:color w:val="000000"/>
          <w:sz w:val="21"/>
          <w:szCs w:val="21"/>
        </w:rPr>
        <w:t>3.3投标人承诺在采购人认为必要时请相关专家到医院进行技术培训讲课，举办学术交流，投标人需提供检测方面培训，协助采购人提高医生的诊断水平；在采购人需要时，协助采购人做好质量管理。</w:t>
      </w:r>
    </w:p>
    <w:p>
      <w:pPr>
        <w:snapToGrid w:val="0"/>
        <w:spacing w:line="360" w:lineRule="auto"/>
        <w:jc w:val="left"/>
        <w:textAlignment w:val="baseline"/>
        <w:rPr>
          <w:rStyle w:val="61"/>
          <w:rFonts w:ascii="宋体" w:hAnsi="宋体" w:eastAsia="宋体" w:cs="宋体"/>
          <w:b w:val="0"/>
          <w:color w:val="000000"/>
          <w:sz w:val="21"/>
          <w:szCs w:val="21"/>
        </w:rPr>
      </w:pPr>
      <w:r>
        <w:rPr>
          <w:rStyle w:val="61"/>
          <w:rFonts w:hint="eastAsia" w:ascii="宋体" w:hAnsi="宋体" w:cs="宋体"/>
          <w:b w:val="0"/>
          <w:color w:val="000000"/>
          <w:sz w:val="21"/>
          <w:szCs w:val="21"/>
        </w:rPr>
        <w:t>3.</w:t>
      </w:r>
      <w:r>
        <w:rPr>
          <w:rStyle w:val="61"/>
          <w:rFonts w:hint="eastAsia" w:ascii="宋体" w:hAnsi="宋体" w:eastAsia="宋体" w:cs="宋体"/>
          <w:b w:val="0"/>
          <w:color w:val="000000"/>
          <w:sz w:val="21"/>
          <w:szCs w:val="21"/>
        </w:rPr>
        <w:t>4投标人承诺对所有监护在第一时间内进行判图回复处理，所有异常监护无漏诊，无风险。</w:t>
      </w:r>
    </w:p>
    <w:p>
      <w:pPr>
        <w:snapToGrid w:val="0"/>
        <w:spacing w:line="360" w:lineRule="auto"/>
        <w:textAlignment w:val="baseline"/>
        <w:rPr>
          <w:rStyle w:val="61"/>
          <w:rFonts w:ascii="宋体" w:hAnsi="宋体" w:eastAsia="宋体" w:cs="宋体"/>
          <w:b w:val="0"/>
          <w:color w:val="000000"/>
          <w:sz w:val="21"/>
          <w:szCs w:val="21"/>
        </w:rPr>
      </w:pPr>
      <w:r>
        <w:rPr>
          <w:rStyle w:val="61"/>
          <w:rFonts w:hint="eastAsia" w:ascii="宋体" w:hAnsi="宋体" w:cs="宋体"/>
          <w:b w:val="0"/>
          <w:color w:val="000000"/>
          <w:sz w:val="21"/>
          <w:szCs w:val="21"/>
        </w:rPr>
        <w:t>3.</w:t>
      </w:r>
      <w:r>
        <w:rPr>
          <w:rStyle w:val="61"/>
          <w:rFonts w:hint="eastAsia" w:ascii="宋体" w:hAnsi="宋体" w:eastAsia="宋体" w:cs="宋体"/>
          <w:b w:val="0"/>
          <w:color w:val="000000"/>
          <w:sz w:val="21"/>
          <w:szCs w:val="21"/>
        </w:rPr>
        <w:t>5投标人承诺对所有监护系统及设备做好维护保养等管理工作，保障所有设备处于完好状态。对有问题或异常设备绝不能租赁给孕妇使用，及时返还厂家进行维修或更换。</w:t>
      </w:r>
    </w:p>
    <w:p>
      <w:pPr>
        <w:snapToGrid w:val="0"/>
        <w:spacing w:line="360" w:lineRule="auto"/>
        <w:textAlignment w:val="baseline"/>
        <w:rPr>
          <w:rStyle w:val="61"/>
          <w:rFonts w:ascii="宋体" w:hAnsi="宋体" w:eastAsia="宋体" w:cs="宋体"/>
          <w:b w:val="0"/>
          <w:color w:val="000000"/>
          <w:sz w:val="21"/>
          <w:szCs w:val="21"/>
        </w:rPr>
      </w:pPr>
      <w:r>
        <w:rPr>
          <w:rStyle w:val="61"/>
          <w:rFonts w:hint="eastAsia" w:ascii="宋体" w:hAnsi="宋体" w:cs="宋体"/>
          <w:b w:val="0"/>
          <w:color w:val="000000"/>
          <w:sz w:val="21"/>
          <w:szCs w:val="21"/>
        </w:rPr>
        <w:t>3.</w:t>
      </w:r>
      <w:r>
        <w:rPr>
          <w:rStyle w:val="61"/>
          <w:rFonts w:hint="eastAsia" w:ascii="宋体" w:hAnsi="宋体" w:eastAsia="宋体" w:cs="宋体"/>
          <w:b w:val="0"/>
          <w:color w:val="000000"/>
          <w:sz w:val="21"/>
          <w:szCs w:val="21"/>
        </w:rPr>
        <w:t>6投标人承诺每季度对监护服务质量、服务及时性、设备运行情况、设备维护情况等进行一次检查，并将检查记录上报采购人。</w:t>
      </w:r>
    </w:p>
    <w:p>
      <w:pPr>
        <w:spacing w:line="360" w:lineRule="auto"/>
        <w:rPr>
          <w:rFonts w:ascii="宋体" w:hAnsi="宋体" w:eastAsia="宋体" w:cs="宋体"/>
          <w:szCs w:val="21"/>
        </w:rPr>
      </w:pPr>
      <w:r>
        <w:rPr>
          <w:rFonts w:hint="eastAsia" w:ascii="宋体" w:hAnsi="宋体" w:cs="宋体"/>
          <w:szCs w:val="21"/>
        </w:rPr>
        <w:t>3.</w:t>
      </w:r>
      <w:r>
        <w:rPr>
          <w:rFonts w:hint="eastAsia" w:ascii="宋体" w:hAnsi="宋体" w:eastAsia="宋体" w:cs="宋体"/>
          <w:szCs w:val="21"/>
        </w:rPr>
        <w:t>7投标人提供的设备必须是全新的，且符合国家质量检测标准（对于没有国家标准的，应符合行业标准或企业标准。其中国家有强制性技术标准要求的产品，还应符合国家强制性技术标准）。该设备能够满足采购人要求，产品质量稳定，售后服务方便、快捷。投标人对所供设备提供</w:t>
      </w:r>
      <w:r>
        <w:rPr>
          <w:rFonts w:hint="eastAsia" w:ascii="宋体" w:hAnsi="宋体" w:eastAsia="宋体" w:cs="宋体"/>
          <w:b/>
          <w:szCs w:val="21"/>
        </w:rPr>
        <w:t>三年全质保和免费上门服务</w:t>
      </w:r>
      <w:r>
        <w:rPr>
          <w:rFonts w:hint="eastAsia" w:ascii="宋体" w:hAnsi="宋体" w:eastAsia="宋体" w:cs="宋体"/>
          <w:szCs w:val="21"/>
        </w:rPr>
        <w:t>。</w:t>
      </w:r>
    </w:p>
    <w:p>
      <w:pPr>
        <w:snapToGrid w:val="0"/>
        <w:spacing w:line="360" w:lineRule="auto"/>
        <w:textAlignment w:val="baseline"/>
        <w:rPr>
          <w:rFonts w:ascii="宋体" w:hAnsi="宋体" w:eastAsia="宋体" w:cs="宋体"/>
          <w:b/>
          <w:color w:val="000000"/>
          <w:szCs w:val="21"/>
        </w:rPr>
      </w:pPr>
      <w:r>
        <w:rPr>
          <w:rFonts w:hint="eastAsia" w:ascii="宋体" w:hAnsi="宋体" w:cs="宋体"/>
          <w:bCs/>
          <w:color w:val="000000"/>
          <w:szCs w:val="21"/>
        </w:rPr>
        <w:t>3.</w:t>
      </w:r>
      <w:r>
        <w:rPr>
          <w:rFonts w:hint="eastAsia" w:ascii="宋体" w:hAnsi="宋体" w:eastAsia="宋体" w:cs="宋体"/>
          <w:bCs/>
          <w:color w:val="000000"/>
          <w:szCs w:val="21"/>
        </w:rPr>
        <w:t>8</w:t>
      </w:r>
      <w:r>
        <w:rPr>
          <w:rFonts w:hint="eastAsia" w:ascii="宋体" w:hAnsi="宋体" w:eastAsia="宋体" w:cs="宋体"/>
          <w:bCs/>
          <w:szCs w:val="21"/>
        </w:rPr>
        <w:t>投</w:t>
      </w:r>
      <w:r>
        <w:rPr>
          <w:rFonts w:hint="eastAsia" w:ascii="宋体" w:hAnsi="宋体" w:eastAsia="宋体" w:cs="宋体"/>
          <w:szCs w:val="21"/>
        </w:rPr>
        <w:t>标人应在采购人规定的时间内将全部设备安装、调试完毕，提供给采购人正常使用，并免费提供产品使用说明书及有关设备使用和管理的培训。</w:t>
      </w:r>
    </w:p>
    <w:p>
      <w:pPr>
        <w:snapToGrid w:val="0"/>
        <w:spacing w:line="360" w:lineRule="auto"/>
        <w:textAlignment w:val="baseline"/>
        <w:rPr>
          <w:rStyle w:val="61"/>
          <w:rFonts w:ascii="宋体" w:hAnsi="宋体" w:eastAsia="宋体" w:cs="宋体"/>
          <w:sz w:val="21"/>
          <w:szCs w:val="21"/>
        </w:rPr>
      </w:pPr>
      <w:r>
        <w:rPr>
          <w:rStyle w:val="61"/>
          <w:rFonts w:hint="eastAsia" w:ascii="宋体" w:hAnsi="宋体" w:eastAsia="宋体" w:cs="宋体"/>
          <w:sz w:val="21"/>
          <w:szCs w:val="21"/>
        </w:rPr>
        <w:t>四、商务要求</w:t>
      </w:r>
    </w:p>
    <w:p>
      <w:pPr>
        <w:snapToGrid w:val="0"/>
        <w:spacing w:line="360" w:lineRule="auto"/>
        <w:textAlignment w:val="baseline"/>
        <w:rPr>
          <w:rStyle w:val="61"/>
          <w:rFonts w:ascii="宋体" w:hAnsi="宋体" w:cs="宋体" w:eastAsiaTheme="minorEastAsia"/>
          <w:b w:val="0"/>
          <w:sz w:val="21"/>
          <w:szCs w:val="21"/>
          <w:highlight w:val="none"/>
          <w:shd w:val="clear" w:color="auto" w:fill="FFFF00"/>
        </w:rPr>
      </w:pPr>
      <w:r>
        <w:rPr>
          <w:rStyle w:val="61"/>
          <w:rFonts w:hint="eastAsia" w:ascii="宋体" w:hAnsi="宋体" w:eastAsia="宋体" w:cs="宋体"/>
          <w:b w:val="0"/>
          <w:kern w:val="0"/>
          <w:sz w:val="21"/>
          <w:szCs w:val="21"/>
        </w:rPr>
        <w:t>1、投标价：</w:t>
      </w:r>
      <w:r>
        <w:rPr>
          <w:rFonts w:hint="eastAsia" w:asciiTheme="minorEastAsia" w:hAnsiTheme="minorEastAsia" w:cstheme="minorEastAsia"/>
          <w:b/>
          <w:bCs/>
          <w:szCs w:val="21"/>
          <w:highlight w:val="none"/>
        </w:rPr>
        <w:t>投标人的报价不得高于该监护项目新疆医疗服务价格收取标准的</w:t>
      </w:r>
      <w:r>
        <w:rPr>
          <w:rFonts w:hint="eastAsia" w:asciiTheme="minorEastAsia" w:hAnsiTheme="minorEastAsia" w:cstheme="minorEastAsia"/>
          <w:b/>
          <w:bCs/>
          <w:szCs w:val="21"/>
          <w:highlight w:val="none"/>
          <w:lang w:val="en-US" w:eastAsia="zh-CN"/>
        </w:rPr>
        <w:t>7</w:t>
      </w:r>
      <w:r>
        <w:rPr>
          <w:rFonts w:hint="eastAsia" w:asciiTheme="minorEastAsia" w:hAnsiTheme="minorEastAsia" w:cstheme="minorEastAsia"/>
          <w:b/>
          <w:bCs/>
          <w:szCs w:val="21"/>
          <w:highlight w:val="none"/>
        </w:rPr>
        <w:t>0%。</w:t>
      </w:r>
    </w:p>
    <w:p>
      <w:pPr>
        <w:pStyle w:val="67"/>
        <w:snapToGrid w:val="0"/>
        <w:spacing w:line="360" w:lineRule="auto"/>
        <w:rPr>
          <w:rStyle w:val="61"/>
          <w:rFonts w:ascii="宋体" w:hAnsi="宋体" w:eastAsia="宋体" w:cs="宋体"/>
          <w:b w:val="0"/>
          <w:sz w:val="21"/>
          <w:szCs w:val="21"/>
        </w:rPr>
      </w:pPr>
      <w:r>
        <w:rPr>
          <w:rStyle w:val="61"/>
          <w:rFonts w:hint="eastAsia" w:ascii="宋体" w:hAnsi="宋体" w:eastAsia="宋体" w:cs="宋体"/>
          <w:b w:val="0"/>
          <w:sz w:val="21"/>
          <w:szCs w:val="21"/>
        </w:rPr>
        <w:t>1.1合同期内，如遇政策性收费价格下调，服务费价格按下调后实际价格与原比例的乘积计算；如遇政策性收费价格上调，合同价不予调整；如遇上级政策变动与本合同冲突，以上级政策为准，本合同自行终止。</w:t>
      </w:r>
    </w:p>
    <w:p>
      <w:pPr>
        <w:snapToGrid w:val="0"/>
        <w:spacing w:line="360" w:lineRule="auto"/>
        <w:textAlignment w:val="baseline"/>
        <w:rPr>
          <w:rStyle w:val="61"/>
          <w:rFonts w:ascii="宋体" w:hAnsi="宋体" w:eastAsia="宋体" w:cs="宋体"/>
          <w:b w:val="0"/>
          <w:bCs/>
          <w:sz w:val="21"/>
          <w:szCs w:val="21"/>
        </w:rPr>
      </w:pPr>
      <w:r>
        <w:rPr>
          <w:rStyle w:val="61"/>
          <w:rFonts w:hint="eastAsia" w:ascii="宋体" w:hAnsi="宋体" w:eastAsia="宋体" w:cs="宋体"/>
          <w:b w:val="0"/>
          <w:sz w:val="21"/>
          <w:szCs w:val="21"/>
        </w:rPr>
        <w:t>1.2服务费包括但不限于远程监护系统及设备成本、办理远程监护设备租赁、设备维护保养、教会孕妇使用设备培训、办理远程租赁费用结算等全部服务工作</w:t>
      </w:r>
      <w:r>
        <w:rPr>
          <w:rStyle w:val="61"/>
          <w:rFonts w:hint="eastAsia" w:ascii="宋体" w:hAnsi="宋体" w:eastAsia="宋体" w:cs="宋体"/>
          <w:b w:val="0"/>
          <w:kern w:val="1"/>
          <w:sz w:val="21"/>
          <w:szCs w:val="21"/>
        </w:rPr>
        <w:t>所产生的一切费用，</w:t>
      </w:r>
      <w:r>
        <w:rPr>
          <w:rStyle w:val="61"/>
          <w:rFonts w:hint="eastAsia" w:ascii="宋体" w:hAnsi="宋体" w:eastAsia="宋体" w:cs="宋体"/>
          <w:b w:val="0"/>
          <w:sz w:val="21"/>
          <w:szCs w:val="21"/>
        </w:rPr>
        <w:t>医院除支付该服务费后，</w:t>
      </w:r>
      <w:r>
        <w:rPr>
          <w:rStyle w:val="61"/>
          <w:rFonts w:hint="eastAsia" w:ascii="宋体" w:hAnsi="宋体" w:eastAsia="宋体" w:cs="宋体"/>
          <w:b w:val="0"/>
          <w:bCs/>
          <w:sz w:val="21"/>
          <w:szCs w:val="21"/>
        </w:rPr>
        <w:t>不再另外支付任何其他费用。</w:t>
      </w:r>
    </w:p>
    <w:p>
      <w:pPr>
        <w:snapToGrid w:val="0"/>
        <w:spacing w:line="360" w:lineRule="auto"/>
        <w:textAlignment w:val="baseline"/>
        <w:rPr>
          <w:rStyle w:val="61"/>
          <w:rFonts w:ascii="宋体" w:hAnsi="宋体" w:eastAsia="宋体" w:cs="宋体"/>
          <w:b w:val="0"/>
          <w:bCs/>
          <w:sz w:val="21"/>
          <w:szCs w:val="21"/>
        </w:rPr>
      </w:pPr>
      <w:r>
        <w:rPr>
          <w:rStyle w:val="61"/>
          <w:rFonts w:hint="eastAsia" w:ascii="宋体" w:hAnsi="宋体" w:eastAsia="宋体" w:cs="宋体"/>
          <w:b w:val="0"/>
          <w:bCs/>
          <w:sz w:val="21"/>
          <w:szCs w:val="21"/>
        </w:rPr>
        <w:t>1.3双方每月5日前核算上月实际发生例数，自发票开具之日起3个工作日甲方按季度给乙方支付信息技术服务费(上述日期遇节假日顺延）；信息技术服务费支付情况参照签订协议具体支付条款进行支付。</w:t>
      </w:r>
    </w:p>
    <w:p>
      <w:pPr>
        <w:numPr>
          <w:ilvl w:val="0"/>
          <w:numId w:val="3"/>
        </w:numPr>
        <w:snapToGrid w:val="0"/>
        <w:spacing w:line="360" w:lineRule="auto"/>
        <w:textAlignment w:val="baseline"/>
        <w:rPr>
          <w:rStyle w:val="61"/>
          <w:rFonts w:ascii="宋体" w:hAnsi="宋体" w:eastAsia="宋体" w:cs="宋体"/>
          <w:b w:val="0"/>
          <w:bCs/>
          <w:sz w:val="21"/>
          <w:szCs w:val="21"/>
          <w:highlight w:val="none"/>
        </w:rPr>
      </w:pPr>
      <w:r>
        <w:rPr>
          <w:rStyle w:val="61"/>
          <w:rFonts w:hint="eastAsia" w:ascii="宋体" w:hAnsi="宋体" w:eastAsia="宋体" w:cs="宋体"/>
          <w:b w:val="0"/>
          <w:bCs/>
          <w:sz w:val="21"/>
          <w:szCs w:val="21"/>
        </w:rPr>
        <w:t>服务期：</w:t>
      </w:r>
      <w:r>
        <w:rPr>
          <w:rFonts w:hint="eastAsia" w:asciiTheme="minorEastAsia" w:hAnsiTheme="minorEastAsia" w:eastAsiaTheme="minorEastAsia" w:cstheme="minorEastAsia"/>
          <w:b/>
          <w:kern w:val="2"/>
          <w:sz w:val="21"/>
          <w:szCs w:val="21"/>
          <w:highlight w:val="none"/>
          <w:lang w:val="en-US" w:eastAsia="zh-CN"/>
        </w:rPr>
        <w:t>自合同签订之日起三年。</w:t>
      </w:r>
    </w:p>
    <w:p>
      <w:pPr>
        <w:numPr>
          <w:ilvl w:val="0"/>
          <w:numId w:val="3"/>
        </w:numPr>
        <w:snapToGrid w:val="0"/>
        <w:spacing w:line="360" w:lineRule="auto"/>
        <w:textAlignment w:val="baseline"/>
        <w:rPr>
          <w:rStyle w:val="61"/>
          <w:rFonts w:ascii="宋体" w:hAnsi="宋体" w:eastAsia="宋体" w:cs="宋体"/>
          <w:b w:val="0"/>
          <w:bCs/>
          <w:sz w:val="21"/>
          <w:szCs w:val="21"/>
        </w:rPr>
      </w:pPr>
      <w:r>
        <w:rPr>
          <w:rStyle w:val="61"/>
          <w:rFonts w:hint="eastAsia" w:ascii="宋体" w:hAnsi="宋体" w:eastAsia="宋体" w:cs="宋体"/>
          <w:b w:val="0"/>
          <w:bCs/>
          <w:sz w:val="21"/>
          <w:szCs w:val="21"/>
        </w:rPr>
        <w:t>付款方式：</w:t>
      </w:r>
      <w:r>
        <w:rPr>
          <w:rFonts w:hint="eastAsia" w:asciiTheme="minorEastAsia" w:hAnsiTheme="minorEastAsia" w:cstheme="minorEastAsia"/>
          <w:b/>
          <w:bCs/>
          <w:szCs w:val="21"/>
        </w:rPr>
        <w:t>最终付款方式以和甲方单位签订合同为主</w:t>
      </w:r>
      <w:r>
        <w:rPr>
          <w:rFonts w:hint="eastAsia" w:asciiTheme="minorEastAsia" w:hAnsiTheme="minorEastAsia" w:cstheme="minorEastAsia"/>
          <w:b/>
          <w:bCs/>
          <w:szCs w:val="21"/>
          <w:lang w:eastAsia="zh-CN"/>
        </w:rPr>
        <w:t>。</w:t>
      </w:r>
    </w:p>
    <w:p>
      <w:pPr>
        <w:numPr>
          <w:ilvl w:val="0"/>
          <w:numId w:val="4"/>
        </w:numPr>
        <w:spacing w:line="360" w:lineRule="auto"/>
        <w:rPr>
          <w:rFonts w:ascii="宋体" w:hAnsi="宋体" w:eastAsia="宋体" w:cs="宋体"/>
          <w:b/>
          <w:szCs w:val="21"/>
        </w:rPr>
      </w:pPr>
      <w:r>
        <w:rPr>
          <w:rFonts w:hint="eastAsia" w:ascii="宋体" w:hAnsi="宋体" w:eastAsia="宋体" w:cs="宋体"/>
          <w:b/>
          <w:szCs w:val="21"/>
        </w:rPr>
        <w:t>远程胎儿监护系统技术功能及服务要求</w:t>
      </w:r>
    </w:p>
    <w:p>
      <w:pPr>
        <w:numPr>
          <w:ilvl w:val="0"/>
          <w:numId w:val="5"/>
        </w:numPr>
        <w:spacing w:line="360" w:lineRule="auto"/>
        <w:rPr>
          <w:rFonts w:ascii="宋体" w:hAnsi="宋体" w:eastAsia="宋体" w:cs="宋体"/>
          <w:b/>
          <w:bCs/>
          <w:szCs w:val="21"/>
        </w:rPr>
      </w:pPr>
      <w:r>
        <w:rPr>
          <w:rFonts w:hint="eastAsia" w:ascii="宋体" w:hAnsi="宋体" w:eastAsia="宋体" w:cs="宋体"/>
          <w:b/>
          <w:bCs/>
          <w:szCs w:val="21"/>
        </w:rPr>
        <w:t>远程胎儿监护系统设备配置：</w:t>
      </w:r>
    </w:p>
    <w:p>
      <w:pPr>
        <w:spacing w:line="360" w:lineRule="auto"/>
        <w:rPr>
          <w:rFonts w:hint="eastAsia" w:ascii="宋体" w:hAnsi="宋体" w:eastAsia="宋体" w:cs="宋体"/>
          <w:szCs w:val="21"/>
          <w:lang w:eastAsia="zh-CN"/>
        </w:rPr>
      </w:pPr>
      <w:r>
        <w:rPr>
          <w:rFonts w:hint="eastAsia" w:ascii="宋体" w:hAnsi="宋体" w:eastAsia="宋体" w:cs="宋体"/>
          <w:szCs w:val="21"/>
        </w:rPr>
        <w:t>1.1提供远程胎儿监护仪100台，监护仪数量可根据临床需求随时增加</w:t>
      </w:r>
      <w:r>
        <w:rPr>
          <w:rFonts w:hint="eastAsia" w:ascii="宋体" w:hAnsi="宋体" w:eastAsia="宋体" w:cs="宋体"/>
          <w:szCs w:val="21"/>
          <w:lang w:eastAsia="zh-CN"/>
        </w:rPr>
        <w:t>。</w:t>
      </w:r>
    </w:p>
    <w:p>
      <w:pPr>
        <w:spacing w:line="360" w:lineRule="auto"/>
        <w:rPr>
          <w:rFonts w:hint="eastAsia" w:ascii="宋体" w:hAnsi="宋体" w:eastAsia="宋体" w:cs="宋体"/>
          <w:szCs w:val="21"/>
          <w:lang w:eastAsia="zh-CN"/>
        </w:rPr>
      </w:pPr>
      <w:r>
        <w:rPr>
          <w:rFonts w:hint="eastAsia" w:ascii="宋体" w:hAnsi="宋体" w:eastAsia="宋体" w:cs="宋体"/>
          <w:szCs w:val="21"/>
        </w:rPr>
        <w:t>1.2提供院内胎儿中央监护工作站1套，院内胎儿监护仪10台</w:t>
      </w:r>
      <w:r>
        <w:rPr>
          <w:rFonts w:hint="eastAsia" w:ascii="宋体" w:hAnsi="宋体" w:eastAsia="宋体" w:cs="宋体"/>
          <w:szCs w:val="21"/>
          <w:lang w:eastAsia="zh-CN"/>
        </w:rPr>
        <w:t>。</w:t>
      </w:r>
    </w:p>
    <w:p>
      <w:pPr>
        <w:spacing w:line="360" w:lineRule="auto"/>
        <w:rPr>
          <w:rFonts w:ascii="宋体" w:hAnsi="宋体" w:eastAsia="宋体" w:cs="宋体"/>
          <w:szCs w:val="21"/>
        </w:rPr>
      </w:pPr>
      <w:r>
        <w:rPr>
          <w:rFonts w:hint="eastAsia" w:ascii="宋体" w:hAnsi="宋体" w:eastAsia="宋体" w:cs="宋体"/>
          <w:szCs w:val="21"/>
        </w:rPr>
        <w:t>1.3院内监护和院外远程监护共用一套工作站，实现院内院外胎儿监护一体化管理。</w:t>
      </w:r>
    </w:p>
    <w:p>
      <w:pPr>
        <w:spacing w:line="360" w:lineRule="auto"/>
        <w:rPr>
          <w:rFonts w:ascii="宋体" w:hAnsi="宋体" w:eastAsia="宋体" w:cs="宋体"/>
          <w:szCs w:val="21"/>
        </w:rPr>
      </w:pPr>
      <w:r>
        <w:rPr>
          <w:rFonts w:hint="eastAsia" w:ascii="宋体" w:hAnsi="宋体" w:eastAsia="宋体" w:cs="宋体"/>
          <w:szCs w:val="21"/>
        </w:rPr>
        <w:t>1.4远程胎儿监护与医院现有的院内胎儿监护系统可以联网配套使用。</w:t>
      </w:r>
    </w:p>
    <w:p>
      <w:pPr>
        <w:pStyle w:val="10"/>
        <w:tabs>
          <w:tab w:val="left" w:pos="1365"/>
          <w:tab w:val="left" w:pos="1575"/>
          <w:tab w:val="clear" w:pos="567"/>
        </w:tabs>
        <w:spacing w:before="0" w:line="360" w:lineRule="auto"/>
        <w:rPr>
          <w:rFonts w:cs="宋体"/>
          <w:b/>
          <w:bCs/>
          <w:sz w:val="21"/>
          <w:szCs w:val="21"/>
        </w:rPr>
      </w:pPr>
      <w:r>
        <w:rPr>
          <w:rFonts w:hint="eastAsia" w:cs="宋体"/>
          <w:b/>
          <w:bCs/>
          <w:sz w:val="21"/>
          <w:szCs w:val="21"/>
        </w:rPr>
        <w:t>2、远程胎儿监护系统功能服务及技术要求</w:t>
      </w:r>
    </w:p>
    <w:p>
      <w:pPr>
        <w:spacing w:line="360" w:lineRule="auto"/>
        <w:rPr>
          <w:rFonts w:ascii="宋体" w:hAnsi="宋体" w:eastAsia="宋体" w:cs="宋体"/>
          <w:szCs w:val="21"/>
        </w:rPr>
      </w:pPr>
      <w:r>
        <w:rPr>
          <w:rFonts w:hint="eastAsia" w:ascii="宋体" w:hAnsi="宋体" w:eastAsia="宋体" w:cs="宋体"/>
          <w:szCs w:val="21"/>
        </w:rPr>
        <w:t>2.1工作站1套；计算机：i3-10500 ,3.1Ghz/8G内存/128G固态+1T/P400 ,2G/20寸彩色液晶显示器，激光打印机，winds10常规操作系统。</w:t>
      </w:r>
    </w:p>
    <w:p>
      <w:pPr>
        <w:spacing w:line="360" w:lineRule="auto"/>
        <w:rPr>
          <w:rFonts w:ascii="宋体" w:hAnsi="宋体" w:eastAsia="宋体" w:cs="宋体"/>
          <w:szCs w:val="21"/>
        </w:rPr>
      </w:pPr>
      <w:r>
        <w:rPr>
          <w:rFonts w:hint="eastAsia" w:ascii="宋体" w:hAnsi="宋体" w:eastAsia="宋体" w:cs="宋体"/>
          <w:szCs w:val="21"/>
        </w:rPr>
        <w:t>2.2院内监护与院外远程监护共用一套工作站，能实时接收显示院内监护与院外远程监护的胎儿胎心率、宫缩压力、胎动信息及变化曲线，并能进行AI智能分析、存储、打印等管理。</w:t>
      </w:r>
    </w:p>
    <w:p>
      <w:pPr>
        <w:tabs>
          <w:tab w:val="left" w:pos="540"/>
          <w:tab w:val="left" w:pos="900"/>
        </w:tabs>
        <w:snapToGrid w:val="0"/>
        <w:spacing w:line="360" w:lineRule="auto"/>
        <w:rPr>
          <w:rFonts w:ascii="宋体" w:hAnsi="宋体" w:eastAsia="宋体" w:cs="宋体"/>
          <w:szCs w:val="21"/>
        </w:rPr>
      </w:pPr>
      <w:r>
        <w:rPr>
          <w:rFonts w:hint="eastAsia" w:ascii="宋体" w:hAnsi="宋体" w:eastAsia="宋体" w:cs="宋体"/>
          <w:szCs w:val="21"/>
        </w:rPr>
        <w:t>2.3具有胎儿监护AI智能分析功能：对每一时刻胎儿胎心率基线高低、各种加速、减速的变化、细变异大小、宫缩的变化及胎动情况实时分析，并将自动分析结果实时显示在屏幕上，最后能对整个监护的全部信息按无刺激试验（NST）或宫缩试验（OCT、CST）进行综合分析，给出智能分析报告包括监护结论及胎儿评分。为确保自动分析结果的准确性和临床符合性，供应商必须提供胎儿监护自动分析的临床试验报告复印件及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2.4具有正常监护报告自动回复功能：系统能够将正常监护报告自动回复到孕妇手机中。供应商需在响应文件中提供该项功能的产品检测报告复印件作为佐证材料。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2.5具有异常监护智能筛选功能：系统自动将异常监护筛选出来列表显示，方便医生查看分析处理回复。供应商需在响应文件中提供该项功能的产品检测报告复印件作为佐证材料。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2.6具有异常监护语音提示及自动拨打医生值班电话提醒功能：如有异常监护，系统会自动通过语音提示或自动拨打医生值班电话或医生手机号，提示医生 及时回复处理。供应商需在响应文件中提供该项功能的产品检测报告复印件作为佐证材料。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2.7具有异常监护自动语音通知孕妇功能：如果医生超过规定时间未回复，系统自动拨打孕妇手机号，通知孕妇尽快与医生联系或到医院做进一步检查。供应商需在响应文件中提供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2.8具有电话自动录音功能：系统对医生与孕妇的通话进行全程自动录音，保留重要依据，并能进行回放。供应商需在响应文件中提供该项功能的产品检测报告复印件作为佐证材料。</w:t>
      </w:r>
    </w:p>
    <w:p>
      <w:pPr>
        <w:spacing w:line="360" w:lineRule="auto"/>
        <w:rPr>
          <w:rFonts w:ascii="宋体" w:hAnsi="宋体" w:eastAsia="宋体" w:cs="宋体"/>
          <w:szCs w:val="21"/>
        </w:rPr>
      </w:pPr>
      <w:r>
        <w:rPr>
          <w:rFonts w:hint="eastAsia" w:ascii="宋体" w:hAnsi="宋体" w:eastAsia="宋体" w:cs="宋体"/>
          <w:szCs w:val="21"/>
        </w:rPr>
        <w:t>2.9具有三级监护管理功能：确保所有监护及时回复，异常监护无漏诊。</w:t>
      </w:r>
    </w:p>
    <w:p>
      <w:pPr>
        <w:spacing w:line="360" w:lineRule="auto"/>
        <w:rPr>
          <w:rFonts w:ascii="宋体" w:hAnsi="宋体" w:eastAsia="宋体" w:cs="宋体"/>
          <w:szCs w:val="21"/>
        </w:rPr>
      </w:pPr>
      <w:r>
        <w:rPr>
          <w:rFonts w:hint="eastAsia" w:ascii="宋体" w:hAnsi="宋体" w:eastAsia="宋体" w:cs="宋体"/>
          <w:szCs w:val="21"/>
        </w:rPr>
        <w:t>2.10具有线上孕妇学校功能：孕妇通过手机APP，可以随时随地在线学习和胎教。</w:t>
      </w:r>
    </w:p>
    <w:p>
      <w:pPr>
        <w:spacing w:line="360" w:lineRule="auto"/>
        <w:rPr>
          <w:rFonts w:ascii="宋体" w:hAnsi="宋体" w:eastAsia="宋体" w:cs="宋体"/>
          <w:szCs w:val="21"/>
        </w:rPr>
      </w:pPr>
      <w:r>
        <w:rPr>
          <w:rFonts w:hint="eastAsia" w:ascii="宋体" w:hAnsi="宋体" w:eastAsia="宋体" w:cs="宋体"/>
          <w:szCs w:val="21"/>
        </w:rPr>
        <w:t>2.11监护曲线实时滚动显示：胎儿监护信息曲线实时传输到医院监护工作站上进行显示，监护曲线采用从右至左滚动显示方式，时空特性连续。</w:t>
      </w:r>
    </w:p>
    <w:p>
      <w:pPr>
        <w:spacing w:line="360" w:lineRule="auto"/>
        <w:rPr>
          <w:rFonts w:ascii="宋体" w:hAnsi="宋体" w:eastAsia="宋体" w:cs="宋体"/>
          <w:szCs w:val="21"/>
        </w:rPr>
      </w:pPr>
      <w:r>
        <w:rPr>
          <w:rFonts w:hint="eastAsia" w:ascii="宋体" w:hAnsi="宋体" w:eastAsia="宋体" w:cs="宋体"/>
          <w:szCs w:val="21"/>
        </w:rPr>
        <w:t>2.12实时在监护曲线的旁边进行文字标注说明，形成电子病历，方便医护人员查阅、分析，保留重要临床依据。</w:t>
      </w:r>
    </w:p>
    <w:p>
      <w:pPr>
        <w:spacing w:line="360" w:lineRule="auto"/>
        <w:rPr>
          <w:rFonts w:ascii="宋体" w:hAnsi="宋体" w:eastAsia="宋体" w:cs="宋体"/>
          <w:szCs w:val="21"/>
        </w:rPr>
      </w:pPr>
      <w:r>
        <w:rPr>
          <w:rFonts w:hint="eastAsia" w:ascii="宋体" w:hAnsi="宋体" w:eastAsia="宋体" w:cs="宋体"/>
          <w:szCs w:val="21"/>
        </w:rPr>
        <w:t>2.13工作站可存储上千万个监护记录，保存孕妇资料：可按日期/住院号/姓名搜索孕妇信息，3种方式可任选。</w:t>
      </w:r>
    </w:p>
    <w:p>
      <w:pPr>
        <w:spacing w:line="360" w:lineRule="auto"/>
        <w:rPr>
          <w:rFonts w:ascii="宋体" w:hAnsi="宋体" w:eastAsia="宋体" w:cs="宋体"/>
          <w:szCs w:val="21"/>
        </w:rPr>
      </w:pPr>
      <w:r>
        <w:rPr>
          <w:rFonts w:hint="eastAsia" w:ascii="宋体" w:hAnsi="宋体" w:eastAsia="宋体" w:cs="宋体"/>
          <w:szCs w:val="21"/>
        </w:rPr>
        <w:t>2.14具有声光报警功能：当监护信息异常时，自动进行声光报警，报警界限可调。</w:t>
      </w:r>
    </w:p>
    <w:p>
      <w:pPr>
        <w:spacing w:line="360" w:lineRule="auto"/>
        <w:rPr>
          <w:rFonts w:ascii="宋体" w:hAnsi="宋体" w:eastAsia="宋体" w:cs="宋体"/>
          <w:szCs w:val="21"/>
        </w:rPr>
      </w:pPr>
      <w:r>
        <w:rPr>
          <w:rFonts w:hint="eastAsia" w:ascii="宋体" w:hAnsi="宋体" w:eastAsia="宋体" w:cs="宋体"/>
          <w:szCs w:val="21"/>
        </w:rPr>
        <w:t>2.15可选单床/多床多种显示方式，系统会根据正在监护的床位数多少对屏幕进行自动分割显示，以便利用屏幕最大化显示有关监护信息。</w:t>
      </w:r>
    </w:p>
    <w:p>
      <w:pPr>
        <w:spacing w:line="360" w:lineRule="auto"/>
        <w:rPr>
          <w:rFonts w:ascii="宋体" w:hAnsi="宋体" w:eastAsia="宋体" w:cs="宋体"/>
          <w:szCs w:val="21"/>
        </w:rPr>
      </w:pPr>
      <w:r>
        <w:rPr>
          <w:rFonts w:hint="eastAsia" w:ascii="宋体" w:hAnsi="宋体" w:eastAsia="宋体" w:cs="宋体"/>
          <w:szCs w:val="21"/>
        </w:rPr>
        <w:t>2.16具有全图浏览打印功能：一屏幕可以显示20min（或60min）的监护画面；支持A4/B5复印纸打印，一张A4/B5复印纸可打印60min的监护信息曲线及智能分析报告。</w:t>
      </w:r>
    </w:p>
    <w:p>
      <w:pPr>
        <w:jc w:val="left"/>
        <w:outlineLvl w:val="9"/>
        <w:rPr>
          <w:rFonts w:ascii="宋体" w:hAnsi="宋体" w:eastAsia="宋体" w:cs="宋体"/>
          <w:b w:val="0"/>
          <w:color w:val="auto"/>
          <w:sz w:val="21"/>
          <w:szCs w:val="21"/>
        </w:rPr>
      </w:pPr>
      <w:r>
        <w:rPr>
          <w:rFonts w:hint="eastAsia" w:ascii="宋体" w:hAnsi="宋体" w:eastAsia="宋体" w:cs="宋体"/>
          <w:b w:val="0"/>
          <w:sz w:val="21"/>
          <w:szCs w:val="21"/>
        </w:rPr>
        <w:t>2.1</w:t>
      </w:r>
      <w:r>
        <w:rPr>
          <w:rFonts w:hint="eastAsia" w:ascii="宋体" w:hAnsi="宋体" w:eastAsia="宋体" w:cs="宋体"/>
          <w:b w:val="0"/>
          <w:color w:val="auto"/>
          <w:sz w:val="21"/>
          <w:szCs w:val="21"/>
        </w:rPr>
        <w:t>7供应商提供具有专业资质的医护人员24小时远程监护服务，监护结束后5分钟之内必须将监护报告发到孕妇手机中。对于异常监护，应立即打电话通知孕妇注意事项或立即去医院做进一步检查处理。否则造成的医疗纠纷由供应商负责。</w:t>
      </w:r>
    </w:p>
    <w:p>
      <w:pPr>
        <w:spacing w:line="360" w:lineRule="auto"/>
        <w:rPr>
          <w:rFonts w:ascii="宋体" w:hAnsi="宋体" w:eastAsia="宋体" w:cs="宋体"/>
          <w:color w:val="auto"/>
          <w:szCs w:val="21"/>
        </w:rPr>
      </w:pPr>
      <w:r>
        <w:rPr>
          <w:rFonts w:hint="eastAsia" w:ascii="宋体" w:hAnsi="宋体" w:eastAsia="宋体" w:cs="宋体"/>
          <w:color w:val="auto"/>
          <w:szCs w:val="21"/>
        </w:rPr>
        <w:t>2.18供应商提供远程监护服务期间设备维护维修保养由供应商负责。</w:t>
      </w:r>
    </w:p>
    <w:p>
      <w:pPr>
        <w:spacing w:line="360" w:lineRule="auto"/>
        <w:jc w:val="left"/>
        <w:rPr>
          <w:rFonts w:ascii="宋体" w:hAnsi="宋体" w:eastAsia="宋体" w:cs="宋体"/>
          <w:color w:val="auto"/>
          <w:szCs w:val="21"/>
        </w:rPr>
      </w:pPr>
      <w:r>
        <w:rPr>
          <w:rFonts w:hint="eastAsia" w:ascii="宋体" w:hAnsi="宋体" w:eastAsia="宋体" w:cs="宋体"/>
          <w:color w:val="auto"/>
          <w:szCs w:val="21"/>
        </w:rPr>
        <w:t>2.19供应商提供一名客服在医院管理远程胎心监护的租用及教孕妇如何使用远程胎心监护。</w:t>
      </w:r>
    </w:p>
    <w:p>
      <w:pPr>
        <w:spacing w:line="360" w:lineRule="auto"/>
        <w:rPr>
          <w:rFonts w:ascii="宋体" w:hAnsi="宋体" w:eastAsia="宋体" w:cs="宋体"/>
          <w:b/>
          <w:szCs w:val="21"/>
        </w:rPr>
      </w:pPr>
      <w:r>
        <w:rPr>
          <w:rFonts w:hint="eastAsia" w:ascii="宋体" w:hAnsi="宋体" w:eastAsia="宋体" w:cs="宋体"/>
          <w:b/>
          <w:szCs w:val="21"/>
        </w:rPr>
        <w:t>3、孕妇APP功能要求</w:t>
      </w:r>
    </w:p>
    <w:p>
      <w:pPr>
        <w:pStyle w:val="10"/>
        <w:tabs>
          <w:tab w:val="left" w:pos="1365"/>
          <w:tab w:val="left" w:pos="1575"/>
          <w:tab w:val="clear" w:pos="567"/>
        </w:tabs>
        <w:spacing w:before="0" w:line="360" w:lineRule="auto"/>
        <w:rPr>
          <w:rFonts w:cs="宋体"/>
          <w:sz w:val="21"/>
          <w:szCs w:val="21"/>
        </w:rPr>
      </w:pPr>
      <w:r>
        <w:rPr>
          <w:rFonts w:hint="eastAsia" w:cs="宋体"/>
          <w:sz w:val="21"/>
          <w:szCs w:val="21"/>
        </w:rPr>
        <w:t>3.1能够实时显示胎儿胎心率、宫缩压力、胎动信息及变化曲线，监护曲线连续滚动。</w:t>
      </w:r>
    </w:p>
    <w:p>
      <w:pPr>
        <w:pStyle w:val="10"/>
        <w:tabs>
          <w:tab w:val="left" w:pos="1365"/>
          <w:tab w:val="left" w:pos="1575"/>
          <w:tab w:val="clear" w:pos="567"/>
        </w:tabs>
        <w:spacing w:before="0" w:line="360" w:lineRule="auto"/>
        <w:rPr>
          <w:rFonts w:cs="宋体"/>
          <w:sz w:val="21"/>
          <w:szCs w:val="21"/>
        </w:rPr>
      </w:pPr>
      <w:r>
        <w:rPr>
          <w:rFonts w:hint="eastAsia" w:cs="宋体"/>
          <w:sz w:val="21"/>
          <w:szCs w:val="21"/>
        </w:rPr>
        <w:t>3.2具有监护曲线回放功能，能够回放过去监护的信息及曲线。</w:t>
      </w:r>
    </w:p>
    <w:p>
      <w:pPr>
        <w:pStyle w:val="10"/>
        <w:tabs>
          <w:tab w:val="left" w:pos="1365"/>
          <w:tab w:val="left" w:pos="1575"/>
          <w:tab w:val="clear" w:pos="567"/>
        </w:tabs>
        <w:spacing w:before="0" w:line="360" w:lineRule="auto"/>
        <w:rPr>
          <w:rFonts w:cs="宋体"/>
          <w:b/>
          <w:sz w:val="21"/>
          <w:szCs w:val="21"/>
        </w:rPr>
      </w:pPr>
      <w:r>
        <w:rPr>
          <w:rFonts w:hint="eastAsia" w:cs="宋体"/>
          <w:sz w:val="21"/>
          <w:szCs w:val="21"/>
        </w:rPr>
        <w:t>3.3能够将监护曲线及分析报告通过微信进行分享。</w:t>
      </w:r>
    </w:p>
    <w:p>
      <w:pPr>
        <w:spacing w:line="360" w:lineRule="auto"/>
        <w:rPr>
          <w:rFonts w:ascii="宋体" w:hAnsi="宋体" w:eastAsia="宋体" w:cs="宋体"/>
          <w:b/>
          <w:szCs w:val="21"/>
        </w:rPr>
      </w:pPr>
      <w:r>
        <w:rPr>
          <w:rFonts w:hint="eastAsia" w:ascii="宋体" w:hAnsi="宋体" w:eastAsia="宋体" w:cs="宋体"/>
          <w:b/>
          <w:szCs w:val="21"/>
        </w:rPr>
        <w:t>4、胎儿监护仪主要技术指标及要求</w:t>
      </w:r>
    </w:p>
    <w:p>
      <w:pPr>
        <w:snapToGrid w:val="0"/>
        <w:spacing w:line="360" w:lineRule="auto"/>
        <w:rPr>
          <w:rFonts w:ascii="宋体" w:hAnsi="宋体" w:eastAsia="宋体" w:cs="宋体"/>
          <w:szCs w:val="21"/>
        </w:rPr>
      </w:pPr>
      <w:r>
        <w:rPr>
          <w:rFonts w:hint="eastAsia" w:ascii="宋体" w:hAnsi="宋体" w:eastAsia="宋体" w:cs="宋体"/>
          <w:szCs w:val="21"/>
        </w:rPr>
        <w:t>4.1能够实时监护胎儿的胎心率、宫缩压力及胎动的变化。</w:t>
      </w:r>
    </w:p>
    <w:p>
      <w:pPr>
        <w:snapToGrid w:val="0"/>
        <w:spacing w:line="360" w:lineRule="auto"/>
        <w:ind w:left="17"/>
        <w:rPr>
          <w:rFonts w:ascii="宋体" w:hAnsi="宋体" w:eastAsia="宋体" w:cs="宋体"/>
          <w:szCs w:val="21"/>
        </w:rPr>
      </w:pPr>
      <w:r>
        <w:rPr>
          <w:rFonts w:hint="eastAsia" w:ascii="宋体" w:hAnsi="宋体" w:eastAsia="宋体" w:cs="宋体"/>
          <w:szCs w:val="21"/>
        </w:rPr>
        <w:t>4.2采用高亮度液晶屏数字显示胎心率、宫缩压力及胎动数值。</w:t>
      </w:r>
    </w:p>
    <w:p>
      <w:pPr>
        <w:pStyle w:val="10"/>
        <w:tabs>
          <w:tab w:val="left" w:pos="1365"/>
          <w:tab w:val="left" w:pos="1575"/>
          <w:tab w:val="clear" w:pos="567"/>
        </w:tabs>
        <w:spacing w:before="0" w:line="360" w:lineRule="auto"/>
        <w:rPr>
          <w:rFonts w:cs="宋体"/>
          <w:sz w:val="21"/>
          <w:szCs w:val="21"/>
        </w:rPr>
      </w:pPr>
      <w:r>
        <w:rPr>
          <w:rFonts w:hint="eastAsia" w:cs="宋体"/>
          <w:sz w:val="21"/>
          <w:szCs w:val="21"/>
        </w:rPr>
        <w:t>4.3通过蓝牙与手机进行数据传输，在手机上显示胎心瞬时数值及变化曲线，监护曲线由右向左滚动显示，时空特性连续。</w:t>
      </w:r>
    </w:p>
    <w:p>
      <w:pPr>
        <w:pStyle w:val="10"/>
        <w:tabs>
          <w:tab w:val="left" w:pos="1365"/>
          <w:tab w:val="left" w:pos="1575"/>
          <w:tab w:val="clear" w:pos="567"/>
        </w:tabs>
        <w:spacing w:before="0" w:line="360" w:lineRule="auto"/>
        <w:rPr>
          <w:rFonts w:cs="宋体"/>
          <w:sz w:val="21"/>
          <w:szCs w:val="21"/>
        </w:rPr>
      </w:pPr>
      <w:r>
        <w:rPr>
          <w:rFonts w:hint="eastAsia" w:cs="宋体"/>
          <w:sz w:val="21"/>
          <w:szCs w:val="21"/>
        </w:rPr>
        <w:t>4.4多晶片脉冲波胎心探头，胎心捕捉范围宽，抗干扰能力强。</w:t>
      </w:r>
    </w:p>
    <w:p>
      <w:pPr>
        <w:pStyle w:val="10"/>
        <w:tabs>
          <w:tab w:val="left" w:pos="1365"/>
          <w:tab w:val="left" w:pos="1575"/>
          <w:tab w:val="clear" w:pos="567"/>
        </w:tabs>
        <w:spacing w:before="0" w:line="360" w:lineRule="auto"/>
        <w:rPr>
          <w:rFonts w:cs="宋体"/>
          <w:sz w:val="21"/>
          <w:szCs w:val="21"/>
        </w:rPr>
      </w:pPr>
      <w:r>
        <w:rPr>
          <w:rFonts w:hint="eastAsia" w:cs="宋体"/>
          <w:sz w:val="21"/>
          <w:szCs w:val="21"/>
        </w:rPr>
        <w:t>4.5全数字化自动同步、自动跟踪和数字信号自相关处理，胎心检测准确可靠。</w:t>
      </w:r>
    </w:p>
    <w:p>
      <w:pPr>
        <w:spacing w:line="360" w:lineRule="auto"/>
        <w:rPr>
          <w:rFonts w:ascii="宋体" w:hAnsi="宋体" w:eastAsia="宋体" w:cs="宋体"/>
          <w:szCs w:val="21"/>
        </w:rPr>
      </w:pPr>
      <w:r>
        <w:rPr>
          <w:rFonts w:hint="eastAsia" w:ascii="宋体" w:hAnsi="宋体" w:eastAsia="宋体" w:cs="宋体"/>
          <w:szCs w:val="21"/>
        </w:rPr>
        <w:t>4.6国家专利探头主机一体化设计，探头与主机之间没有电缆线，结构紧凑，携带使用方便。供应商须提供专利证书复印件作为佐证材料。</w:t>
      </w:r>
    </w:p>
    <w:p>
      <w:pPr>
        <w:spacing w:line="360" w:lineRule="auto"/>
        <w:rPr>
          <w:rFonts w:ascii="宋体" w:hAnsi="宋体" w:eastAsia="宋体" w:cs="宋体"/>
          <w:szCs w:val="21"/>
        </w:rPr>
      </w:pPr>
      <w:r>
        <w:rPr>
          <w:rFonts w:hint="eastAsia" w:ascii="宋体" w:hAnsi="宋体" w:eastAsia="宋体" w:cs="宋体"/>
          <w:szCs w:val="21"/>
        </w:rPr>
        <w:t>4.7主机自带喇叭，实时监听胎心音，方便查找胎心最佳位置。</w:t>
      </w:r>
    </w:p>
    <w:p>
      <w:pPr>
        <w:spacing w:line="360" w:lineRule="auto"/>
        <w:rPr>
          <w:rFonts w:ascii="宋体" w:hAnsi="宋体" w:eastAsia="宋体" w:cs="宋体"/>
          <w:szCs w:val="21"/>
        </w:rPr>
      </w:pPr>
      <w:r>
        <w:rPr>
          <w:rFonts w:hint="eastAsia" w:ascii="宋体" w:hAnsi="宋体" w:eastAsia="宋体" w:cs="宋体"/>
          <w:szCs w:val="21"/>
        </w:rPr>
        <w:t>4.8内置锂电池，一次充电，连续使用时间不小于5小时。</w:t>
      </w:r>
    </w:p>
    <w:p>
      <w:pPr>
        <w:spacing w:line="360" w:lineRule="auto"/>
        <w:rPr>
          <w:rFonts w:ascii="宋体" w:hAnsi="宋体" w:eastAsia="宋体" w:cs="宋体"/>
          <w:szCs w:val="21"/>
        </w:rPr>
      </w:pPr>
      <w:r>
        <w:rPr>
          <w:rFonts w:hint="eastAsia" w:ascii="宋体" w:hAnsi="宋体" w:eastAsia="宋体" w:cs="宋体"/>
          <w:szCs w:val="21"/>
        </w:rPr>
        <w:t>4.9胎儿监护指标</w:t>
      </w:r>
    </w:p>
    <w:p>
      <w:pPr>
        <w:spacing w:line="360" w:lineRule="auto"/>
        <w:rPr>
          <w:rFonts w:ascii="宋体" w:hAnsi="宋体" w:eastAsia="宋体" w:cs="宋体"/>
          <w:szCs w:val="21"/>
        </w:rPr>
      </w:pPr>
      <w:r>
        <w:rPr>
          <w:rFonts w:hint="eastAsia" w:ascii="宋体" w:hAnsi="宋体" w:eastAsia="宋体" w:cs="宋体"/>
          <w:szCs w:val="21"/>
        </w:rPr>
        <w:t>（1）监护参数：胎心率、宫缩压力、胎动</w:t>
      </w:r>
    </w:p>
    <w:p>
      <w:pPr>
        <w:spacing w:line="360" w:lineRule="auto"/>
        <w:rPr>
          <w:rFonts w:ascii="宋体" w:hAnsi="宋体" w:eastAsia="宋体" w:cs="宋体"/>
          <w:szCs w:val="21"/>
        </w:rPr>
      </w:pPr>
      <w:r>
        <w:rPr>
          <w:rFonts w:hint="eastAsia" w:ascii="宋体" w:hAnsi="宋体" w:eastAsia="宋体" w:cs="宋体"/>
          <w:szCs w:val="21"/>
        </w:rPr>
        <w:t>（2）超声发射频率及方式：1.0MHz数字脉冲超声宽带方式</w:t>
      </w:r>
    </w:p>
    <w:p>
      <w:pPr>
        <w:spacing w:line="360" w:lineRule="auto"/>
        <w:rPr>
          <w:rFonts w:ascii="宋体" w:hAnsi="宋体" w:eastAsia="宋体" w:cs="宋体"/>
          <w:szCs w:val="21"/>
        </w:rPr>
      </w:pPr>
      <w:r>
        <w:rPr>
          <w:rFonts w:hint="eastAsia" w:ascii="宋体" w:hAnsi="宋体" w:eastAsia="宋体" w:cs="宋体"/>
          <w:szCs w:val="21"/>
        </w:rPr>
        <w:t>（3）超声输出强度：&lt;5mW/cm</w:t>
      </w:r>
      <w:r>
        <w:rPr>
          <w:rFonts w:hint="eastAsia" w:ascii="宋体" w:hAnsi="宋体" w:eastAsia="宋体" w:cs="宋体"/>
          <w:szCs w:val="21"/>
          <w:vertAlign w:val="superscript"/>
        </w:rPr>
        <w:t>2</w:t>
      </w:r>
    </w:p>
    <w:p>
      <w:pPr>
        <w:spacing w:line="360" w:lineRule="auto"/>
        <w:rPr>
          <w:rFonts w:ascii="宋体" w:hAnsi="宋体" w:eastAsia="宋体" w:cs="宋体"/>
          <w:szCs w:val="21"/>
        </w:rPr>
      </w:pPr>
      <w:r>
        <w:rPr>
          <w:rFonts w:hint="eastAsia" w:ascii="宋体" w:hAnsi="宋体" w:eastAsia="宋体" w:cs="宋体"/>
          <w:szCs w:val="21"/>
        </w:rPr>
        <w:t xml:space="preserve">（4）胎心率测量范围：40-220bpm；误差不大于±2BPM； </w:t>
      </w:r>
    </w:p>
    <w:p>
      <w:pPr>
        <w:pStyle w:val="2"/>
        <w:spacing w:line="360" w:lineRule="auto"/>
      </w:pPr>
      <w:r>
        <w:rPr>
          <w:rFonts w:hint="eastAsia" w:hAnsi="宋体" w:cs="宋体"/>
          <w:szCs w:val="21"/>
        </w:rPr>
        <w:t>（5）宫缩压力测量范围：0－100单位，</w:t>
      </w:r>
      <w:bookmarkStart w:id="211" w:name="_Toc16681"/>
      <w:bookmarkStart w:id="212" w:name="_Toc3000"/>
      <w:r>
        <w:rPr>
          <w:rFonts w:hint="eastAsia" w:hAnsi="宋体" w:cs="宋体"/>
          <w:szCs w:val="21"/>
        </w:rPr>
        <w:t>非线性误差不大于±10%</w:t>
      </w:r>
      <w:bookmarkEnd w:id="211"/>
      <w:bookmarkEnd w:id="212"/>
      <w:r>
        <w:rPr>
          <w:rFonts w:hint="eastAsia" w:hAnsi="宋体" w:cs="宋体"/>
          <w:szCs w:val="21"/>
        </w:rPr>
        <w:t>。</w:t>
      </w:r>
    </w:p>
    <w:p>
      <w:pPr>
        <w:tabs>
          <w:tab w:val="left" w:pos="0"/>
        </w:tabs>
        <w:spacing w:line="360" w:lineRule="auto"/>
        <w:jc w:val="center"/>
        <w:outlineLvl w:val="9"/>
        <w:rPr>
          <w:rFonts w:asciiTheme="minorEastAsia" w:hAnsiTheme="minorEastAsia" w:cstheme="minorEastAsia"/>
          <w:b/>
          <w:color w:val="000000" w:themeColor="text1"/>
          <w:sz w:val="36"/>
        </w:rPr>
      </w:pPr>
    </w:p>
    <w:p>
      <w:pPr>
        <w:tabs>
          <w:tab w:val="left" w:pos="0"/>
        </w:tabs>
        <w:spacing w:line="360" w:lineRule="auto"/>
        <w:jc w:val="center"/>
        <w:rPr>
          <w:rFonts w:asciiTheme="minorEastAsia" w:hAnsiTheme="minorEastAsia" w:cstheme="minorEastAsia"/>
          <w:b/>
          <w:color w:val="000000" w:themeColor="text1"/>
          <w:sz w:val="36"/>
        </w:rPr>
      </w:pPr>
    </w:p>
    <w:p>
      <w:pPr>
        <w:rPr>
          <w:rFonts w:asciiTheme="minorEastAsia" w:hAnsiTheme="minorEastAsia" w:cstheme="minorEastAsia"/>
        </w:rPr>
      </w:pPr>
    </w:p>
    <w:p>
      <w:pPr>
        <w:rPr>
          <w:rFonts w:asciiTheme="minorEastAsia" w:hAnsiTheme="minorEastAsia" w:cstheme="minorEastAsia"/>
          <w:b/>
          <w:color w:val="000000" w:themeColor="text1"/>
          <w:sz w:val="36"/>
        </w:rPr>
      </w:pPr>
      <w:bookmarkStart w:id="213" w:name="_Toc216582826"/>
      <w:bookmarkStart w:id="214" w:name="_Toc218935355"/>
      <w:bookmarkStart w:id="215" w:name="_Toc571553702"/>
      <w:bookmarkStart w:id="216" w:name="_Toc219175639"/>
      <w:bookmarkStart w:id="217" w:name="_Toc518923127"/>
      <w:bookmarkStart w:id="218" w:name="_Toc507399907"/>
      <w:r>
        <w:rPr>
          <w:rFonts w:hint="eastAsia" w:asciiTheme="minorEastAsia" w:hAnsiTheme="minorEastAsia" w:cstheme="minorEastAsia"/>
          <w:b/>
          <w:color w:val="000000" w:themeColor="text1"/>
          <w:sz w:val="36"/>
        </w:rPr>
        <w:br w:type="page"/>
      </w:r>
    </w:p>
    <w:p>
      <w:pPr>
        <w:tabs>
          <w:tab w:val="left" w:pos="0"/>
        </w:tabs>
        <w:spacing w:line="360" w:lineRule="auto"/>
        <w:jc w:val="center"/>
        <w:outlineLvl w:val="0"/>
        <w:rPr>
          <w:rFonts w:asciiTheme="minorEastAsia" w:hAnsiTheme="minorEastAsia" w:cstheme="minorEastAsia"/>
          <w:b/>
          <w:color w:val="000000"/>
          <w:sz w:val="36"/>
        </w:rPr>
      </w:pPr>
      <w:bookmarkStart w:id="219" w:name="_Toc31747"/>
      <w:r>
        <w:rPr>
          <w:rFonts w:hint="eastAsia" w:asciiTheme="minorEastAsia" w:hAnsiTheme="minorEastAsia" w:cstheme="minorEastAsia"/>
          <w:b/>
          <w:color w:val="000000" w:themeColor="text1"/>
          <w:sz w:val="36"/>
        </w:rPr>
        <w:t>第四章、</w:t>
      </w:r>
      <w:r>
        <w:rPr>
          <w:rFonts w:hint="eastAsia" w:asciiTheme="minorEastAsia" w:hAnsiTheme="minorEastAsia" w:cstheme="minorEastAsia"/>
          <w:b/>
          <w:color w:val="000000"/>
          <w:sz w:val="36"/>
        </w:rPr>
        <w:t>评标方法和标准</w:t>
      </w:r>
      <w:bookmarkEnd w:id="213"/>
      <w:bookmarkEnd w:id="214"/>
      <w:bookmarkEnd w:id="215"/>
      <w:bookmarkEnd w:id="216"/>
      <w:bookmarkEnd w:id="217"/>
      <w:bookmarkEnd w:id="218"/>
      <w:bookmarkEnd w:id="219"/>
    </w:p>
    <w:p>
      <w:pPr>
        <w:pStyle w:val="10"/>
        <w:tabs>
          <w:tab w:val="clear" w:pos="567"/>
        </w:tabs>
        <w:spacing w:before="0" w:line="360" w:lineRule="auto"/>
        <w:ind w:firstLine="540" w:firstLineChars="225"/>
        <w:rPr>
          <w:rFonts w:asciiTheme="minorEastAsia" w:hAnsiTheme="minorEastAsia" w:eastAsiaTheme="minorEastAsia" w:cstheme="minorEastAsia"/>
        </w:rPr>
      </w:pP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评标委员会将按照《中华人民共和国政府采购法》及其相关规范规定、本项目招标文件的规定进行评标工作，采购代理机构负责评标的组织工作。工作程序如下：</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kern w:val="2"/>
          <w:sz w:val="21"/>
          <w:szCs w:val="21"/>
        </w:rPr>
      </w:pPr>
      <w:bookmarkStart w:id="220" w:name="_Toc4066"/>
      <w:r>
        <w:rPr>
          <w:rFonts w:hint="eastAsia" w:asciiTheme="minorEastAsia" w:hAnsiTheme="minorEastAsia" w:eastAsiaTheme="minorEastAsia" w:cstheme="minorEastAsia"/>
          <w:b/>
          <w:color w:val="000000" w:themeColor="text1"/>
          <w:kern w:val="2"/>
          <w:sz w:val="21"/>
          <w:szCs w:val="21"/>
        </w:rPr>
        <w:t>一、</w:t>
      </w:r>
      <w:r>
        <w:rPr>
          <w:rFonts w:hint="eastAsia" w:asciiTheme="minorEastAsia" w:hAnsiTheme="minorEastAsia" w:eastAsiaTheme="minorEastAsia" w:cstheme="minorEastAsia"/>
          <w:b/>
          <w:color w:val="000000"/>
          <w:kern w:val="2"/>
          <w:sz w:val="21"/>
          <w:szCs w:val="21"/>
        </w:rPr>
        <w:t>评标准备</w:t>
      </w:r>
      <w:bookmarkEnd w:id="220"/>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评标委员会将按照本项目招标文件的规定进行评标工作，采购代理机构负责评标的组织工作。工作程序如下：</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1.1核对评审专家身份和采购人代表授权函；</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1.2宣布评标纪律，集中保管通讯工具；</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1.3公布投标人名单，告知评审专家应当回避的情形；</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1.4组织评标委员会推选评标组长；</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kern w:val="2"/>
          <w:sz w:val="21"/>
          <w:szCs w:val="21"/>
        </w:rPr>
      </w:pPr>
      <w:bookmarkStart w:id="221" w:name="_Toc32542"/>
      <w:r>
        <w:rPr>
          <w:rFonts w:hint="eastAsia" w:asciiTheme="minorEastAsia" w:hAnsiTheme="minorEastAsia" w:eastAsiaTheme="minorEastAsia" w:cstheme="minorEastAsia"/>
          <w:b/>
          <w:color w:val="000000" w:themeColor="text1"/>
          <w:kern w:val="2"/>
          <w:sz w:val="21"/>
          <w:szCs w:val="21"/>
        </w:rPr>
        <w:t>二、评标方法</w:t>
      </w:r>
      <w:bookmarkEnd w:id="221"/>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如本项目评标方法为最低评标价法，评标委员会在审查投标文件满足招标文件全部实质性要求后，按投标报价从低到高顺序确定中标候选人。除了算术修正和落实政府采购政策需进行的价格扣除外，不得对投标人的投标价格进行任何调整。</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如本项目评标方法为综合评分法，评标委员会对满足招标文件全部实质性要求的投标文件，按照招标文件规定的评审因素的量化指标进行评审打分，以评审得分从高到低顺序确定中标候选人。</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评标委员会每位成员独立对每个有效投标人的投标文件进行评价、打分；然后汇总每个投标人的得分，计算得分平均值，以平均值由高到低进行排序，按排序顺序推荐中标候选投标人。分值计算保留小数点后一位，第二位四舍五入。</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2.3本招标项目的评标因素包括投标报价、技术或者服务水平、履约能力、售后服务等，但不包括投标人资格条件。</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2.4招标人对投标文件的判定，只依据投标内容本身，不依靠开标后的任何外来证明（除招标文件另有约定外）。如投标人提交的资质证明或其他内容不齐全，由此造成的后果由投标人自己负责。</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themeColor="text1"/>
          <w:kern w:val="2"/>
          <w:sz w:val="21"/>
          <w:szCs w:val="21"/>
        </w:rPr>
      </w:pPr>
      <w:bookmarkStart w:id="222" w:name="_Toc26851"/>
      <w:r>
        <w:rPr>
          <w:rFonts w:hint="eastAsia" w:asciiTheme="minorEastAsia" w:hAnsiTheme="minorEastAsia" w:eastAsiaTheme="minorEastAsia" w:cstheme="minorEastAsia"/>
          <w:b/>
          <w:color w:val="000000" w:themeColor="text1"/>
          <w:kern w:val="2"/>
          <w:sz w:val="21"/>
          <w:szCs w:val="21"/>
        </w:rPr>
        <w:t>三、</w:t>
      </w:r>
      <w:r>
        <w:rPr>
          <w:rFonts w:hint="eastAsia" w:asciiTheme="minorEastAsia" w:hAnsiTheme="minorEastAsia" w:eastAsiaTheme="minorEastAsia" w:cstheme="minorEastAsia"/>
          <w:b/>
          <w:color w:val="000000"/>
          <w:kern w:val="2"/>
          <w:sz w:val="21"/>
          <w:szCs w:val="21"/>
        </w:rPr>
        <w:t>投标文件的初步评审</w:t>
      </w:r>
      <w:bookmarkEnd w:id="222"/>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3.1初步评审分为资格性检查和符合性检查。</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3.1.1资格性检查；采购人、采购代理机构应当依法对供应商的资格进行审查，以确定供应商是否具备投标资格。</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3.1.3供应商不得通过修正或撤销不合要求的偏离从而使其投标成为实质上响应的投标。</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3.2有下列情形之一时，评标委员会应予废标，并将理由通知所有投标：</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（1）符合专业条件的投标人或者对招标文件作实质性响应的投标人不足三家的；</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（2）出现影响招标公正的违法、违规行为的；</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（3）投标人的报价均超过了采购预算；</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（4）因重大变故，采购任务取消的。</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kern w:val="2"/>
          <w:sz w:val="21"/>
          <w:szCs w:val="21"/>
        </w:rPr>
      </w:pPr>
      <w:bookmarkStart w:id="223" w:name="_Toc8536"/>
      <w:r>
        <w:rPr>
          <w:rFonts w:hint="eastAsia" w:asciiTheme="minorEastAsia" w:hAnsiTheme="minorEastAsia" w:eastAsiaTheme="minorEastAsia" w:cstheme="minorEastAsia"/>
          <w:b/>
          <w:color w:val="000000" w:themeColor="text1"/>
          <w:kern w:val="2"/>
          <w:sz w:val="21"/>
          <w:szCs w:val="21"/>
        </w:rPr>
        <w:t>四、</w:t>
      </w:r>
      <w:r>
        <w:rPr>
          <w:rFonts w:hint="eastAsia" w:asciiTheme="minorEastAsia" w:hAnsiTheme="minorEastAsia" w:eastAsiaTheme="minorEastAsia" w:cstheme="minorEastAsia"/>
          <w:b/>
          <w:color w:val="000000"/>
          <w:kern w:val="2"/>
          <w:sz w:val="21"/>
          <w:szCs w:val="21"/>
        </w:rPr>
        <w:t>澄清有关问题</w:t>
      </w:r>
      <w:bookmarkEnd w:id="223"/>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对投标文件中含义不明确、同类问题表述不一致或者有明显文字和计算错误的内容，评标委员会将以书面形式通知供应商作出必要的澄清、说明，但不得超出投标文件的范围或对投标文件做实质性的修改（计算错误修正除外）。评标委员会不接受供应商主动提出的澄清、说明。</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4.2投标人不得对下列内容进行澄清或补充：</w:t>
      </w:r>
    </w:p>
    <w:p>
      <w:pPr>
        <w:pStyle w:val="10"/>
        <w:tabs>
          <w:tab w:val="clear" w:pos="567"/>
        </w:tabs>
        <w:spacing w:before="0" w:line="360" w:lineRule="auto"/>
        <w:ind w:firstLine="472" w:firstLineChars="225"/>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（1）开标时未宣读的投标价格、价格折扣，或在投标文件中未标明的价格、折扣等实质性内容。</w:t>
      </w:r>
    </w:p>
    <w:p>
      <w:pPr>
        <w:pStyle w:val="10"/>
        <w:tabs>
          <w:tab w:val="clear" w:pos="567"/>
        </w:tabs>
        <w:spacing w:before="0" w:line="360" w:lineRule="auto"/>
        <w:ind w:firstLine="472" w:firstLineChars="225"/>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（2）对招标文件中标记“★”的或用“拒绝”、“不接受”、“无效”、“不得”等文字规定的条款及法律、法规和规章规定的其他内容等。</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4.3投标文件报价出现前后不一致的，除招标文件另有规定外，按照下列规定修正：</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（一）投标文件中开标一览表（报价表）内容与投标文件中相应内容不一致的，以开标一览表（报价表）为准；</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（二）大写金额和小写金额不一致的，以大写金额为准；</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（三）单价金额小数点或者百分比有明显错位的，以开标一览表的总价为准，并修改单价；</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（四）总价金额与按单价汇总金额不一致的，以单价金额计算结果为准。</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同时出现两种以上不一致的，按照以上规定的顺序修正。修正后的报价经供应商确认后产生约束力，供应商不确认的，其投标无效。</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评标委员会认为供应商的报价明显低于其他通过符合性审查供应商的报价，有可能影响产品质量或者不能诚信履约的，该供应商在评标现场合理的时间内提供书面说明，必要时提交相关证明材料；投标人不能证明其报价合理性的，评标委员会将其作为无效投标处理。</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4.5供应商的澄清、说明或者补正应该采用书面形式，由法定代表人或其授权的代理人签字，并按评标委员会的通知要求递交。</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4.6有效的书面澄清材料，是投标文件的补充材料，成为投标文件的组成部分。</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kern w:val="2"/>
          <w:sz w:val="21"/>
          <w:szCs w:val="21"/>
        </w:rPr>
      </w:pPr>
      <w:bookmarkStart w:id="224" w:name="_Toc541"/>
      <w:r>
        <w:rPr>
          <w:rFonts w:hint="eastAsia" w:asciiTheme="minorEastAsia" w:hAnsiTheme="minorEastAsia" w:eastAsiaTheme="minorEastAsia" w:cstheme="minorEastAsia"/>
          <w:b/>
          <w:color w:val="000000"/>
          <w:kern w:val="2"/>
          <w:sz w:val="21"/>
          <w:szCs w:val="21"/>
        </w:rPr>
        <w:t>五、投标文件的详细评审</w:t>
      </w:r>
      <w:bookmarkEnd w:id="224"/>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5.1评标委员会应按照招标文件中规定的评标方法、标准和评标因素，对资格性检查和符合性检查合格的投标文件进行详细评审。</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5.2评标时，评标委员会各成员应当独立对每个供应商的投标文件进行评价、评分，然后汇总每个供应商每项评分因素的得分。</w:t>
      </w:r>
    </w:p>
    <w:p>
      <w:pPr>
        <w:spacing w:line="360" w:lineRule="auto"/>
        <w:ind w:firstLine="420" w:firstLineChars="200"/>
        <w:rPr>
          <w:rFonts w:asciiTheme="minorEastAsia" w:hAnsiTheme="minorEastAsia" w:cstheme="minorEastAsia"/>
          <w:b/>
          <w:color w:val="000000"/>
          <w:szCs w:val="21"/>
        </w:rPr>
      </w:pPr>
      <w:r>
        <w:rPr>
          <w:rFonts w:hint="eastAsia" w:asciiTheme="minorEastAsia" w:hAnsiTheme="minorEastAsia" w:cstheme="minorEastAsia"/>
          <w:szCs w:val="21"/>
        </w:rPr>
        <w:t>5.3中标候选人并列式时的处理方式：采用综合评标法，综合得分相同，按报价由低向高依次排序。</w:t>
      </w:r>
    </w:p>
    <w:p>
      <w:pPr>
        <w:pStyle w:val="23"/>
        <w:autoSpaceDE w:val="0"/>
        <w:spacing w:before="0" w:beforeAutospacing="0" w:after="0" w:afterAutospacing="0" w:line="360" w:lineRule="auto"/>
        <w:jc w:val="both"/>
        <w:rPr>
          <w:rFonts w:asciiTheme="minorEastAsia" w:hAnsiTheme="minorEastAsia" w:eastAsiaTheme="minorEastAsia" w:cstheme="minorEastAsia"/>
          <w:b/>
          <w:color w:val="000000"/>
          <w:kern w:val="2"/>
          <w:sz w:val="21"/>
          <w:szCs w:val="21"/>
        </w:rPr>
      </w:pPr>
      <w:bookmarkStart w:id="225" w:name="_Toc16148"/>
      <w:r>
        <w:rPr>
          <w:rFonts w:hint="eastAsia" w:asciiTheme="minorEastAsia" w:hAnsiTheme="minorEastAsia" w:eastAsiaTheme="minorEastAsia" w:cstheme="minorEastAsia"/>
          <w:b/>
          <w:color w:val="000000"/>
          <w:kern w:val="2"/>
          <w:sz w:val="21"/>
          <w:szCs w:val="21"/>
        </w:rPr>
        <w:t>六、推荐中标候选人名单</w:t>
      </w:r>
      <w:bookmarkEnd w:id="225"/>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6.1评标委员会依据招标文件及相关澄清答复对每份投标文件进行评分。每个投标的得分是所有评委给其打分的平均值。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评标委员会将根据评标标准和评标排序，推荐不超过三名中标候选人，并形成评标报告。</w:t>
      </w: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ind w:left="-181" w:leftChars="-86" w:firstLine="577" w:firstLineChars="275"/>
        <w:rPr>
          <w:rFonts w:asciiTheme="minorEastAsia" w:hAnsiTheme="minorEastAsia" w:eastAsiaTheme="minorEastAsia" w:cstheme="minorEastAsia"/>
          <w:sz w:val="21"/>
          <w:szCs w:val="21"/>
        </w:rPr>
      </w:pPr>
    </w:p>
    <w:p>
      <w:pPr>
        <w:pStyle w:val="10"/>
        <w:tabs>
          <w:tab w:val="clear" w:pos="567"/>
        </w:tabs>
        <w:spacing w:before="0" w:line="360" w:lineRule="auto"/>
        <w:jc w:val="center"/>
        <w:rPr>
          <w:rFonts w:asciiTheme="minorEastAsia" w:hAnsiTheme="minorEastAsia" w:eastAsiaTheme="minorEastAsia" w:cstheme="minorEastAsia"/>
          <w:b/>
          <w:bCs/>
          <w:color w:val="000000" w:themeColor="text1"/>
          <w:kern w:val="0"/>
          <w:sz w:val="32"/>
          <w:szCs w:val="32"/>
        </w:rPr>
      </w:pPr>
      <w:r>
        <w:rPr>
          <w:rFonts w:hint="eastAsia" w:asciiTheme="minorEastAsia" w:hAnsiTheme="minorEastAsia" w:eastAsiaTheme="minorEastAsia" w:cstheme="minorEastAsia"/>
          <w:b/>
          <w:bCs/>
          <w:color w:val="000000" w:themeColor="text1"/>
          <w:kern w:val="0"/>
          <w:sz w:val="32"/>
          <w:szCs w:val="32"/>
        </w:rPr>
        <w:t>一、资格审查表</w:t>
      </w:r>
    </w:p>
    <w:tbl>
      <w:tblPr>
        <w:tblStyle w:val="24"/>
        <w:tblW w:w="9171" w:type="dxa"/>
        <w:jc w:val="center"/>
        <w:tblLayout w:type="autofit"/>
        <w:tblCellMar>
          <w:top w:w="0" w:type="dxa"/>
          <w:left w:w="108" w:type="dxa"/>
          <w:bottom w:w="0" w:type="dxa"/>
          <w:right w:w="108" w:type="dxa"/>
        </w:tblCellMar>
      </w:tblPr>
      <w:tblGrid>
        <w:gridCol w:w="578"/>
        <w:gridCol w:w="1446"/>
        <w:gridCol w:w="5211"/>
        <w:gridCol w:w="623"/>
        <w:gridCol w:w="669"/>
        <w:gridCol w:w="644"/>
      </w:tblGrid>
      <w:tr>
        <w:tblPrEx>
          <w:tblCellMar>
            <w:top w:w="0" w:type="dxa"/>
            <w:left w:w="108" w:type="dxa"/>
            <w:bottom w:w="0" w:type="dxa"/>
            <w:right w:w="108" w:type="dxa"/>
          </w:tblCellMar>
        </w:tblPrEx>
        <w:trPr>
          <w:jc w:val="center"/>
        </w:trPr>
        <w:tc>
          <w:tcPr>
            <w:tcW w:w="2024" w:type="dxa"/>
            <w:gridSpan w:val="2"/>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bookmarkStart w:id="226" w:name="_Toc2591659"/>
            <w:bookmarkStart w:id="227" w:name="_Toc86837982"/>
            <w:bookmarkStart w:id="228" w:name="_Toc78571234"/>
            <w:bookmarkStart w:id="229" w:name="_Toc87629904"/>
            <w:bookmarkStart w:id="230" w:name="_Toc13504185"/>
            <w:bookmarkStart w:id="231" w:name="_Toc95667870"/>
            <w:bookmarkStart w:id="232" w:name="_Toc79146344"/>
            <w:bookmarkStart w:id="233" w:name="_Toc95668104"/>
            <w:bookmarkStart w:id="234" w:name="_Toc86839062"/>
            <w:bookmarkStart w:id="235" w:name="_Toc87629997"/>
            <w:bookmarkStart w:id="236" w:name="_Toc78657903"/>
            <w:bookmarkStart w:id="237" w:name="_Toc13653235"/>
            <w:bookmarkStart w:id="238" w:name="_Toc79139681"/>
            <w:r>
              <w:rPr>
                <w:rFonts w:hint="eastAsia" w:asciiTheme="minorEastAsia" w:hAnsiTheme="minorEastAsia" w:eastAsiaTheme="minorEastAsia" w:cstheme="minorEastAsia"/>
                <w:szCs w:val="21"/>
              </w:rPr>
              <w:t>审查内容</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审查标准</w:t>
            </w:r>
          </w:p>
        </w:tc>
        <w:tc>
          <w:tcPr>
            <w:tcW w:w="1936" w:type="dxa"/>
            <w:gridSpan w:val="3"/>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投标企业名称</w:t>
            </w:r>
          </w:p>
        </w:tc>
      </w:tr>
      <w:tr>
        <w:trPr>
          <w:jc w:val="center"/>
        </w:trPr>
        <w:tc>
          <w:tcPr>
            <w:tcW w:w="2024" w:type="dxa"/>
            <w:gridSpan w:val="2"/>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669"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644"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tblPrEx>
          <w:tblCellMar>
            <w:top w:w="0" w:type="dxa"/>
            <w:left w:w="108" w:type="dxa"/>
            <w:bottom w:w="0" w:type="dxa"/>
            <w:right w:w="108" w:type="dxa"/>
          </w:tblCellMar>
        </w:tblPrEx>
        <w:trPr>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具有独立承担民事责任的能力</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法人或者其他组织的营业执照等证明文件；自然人需提供身份证明；</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881"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投标人代表身份证明</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提供有效的《法定代表人资格证明书》或《法定代表人授权委托书》；</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rPr>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健全的财务会计制度</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提供上年度（2022年）财务审计报告或半年内任意一个月财务报表（财务报表应至少包括资产负债表、损益表、现金流量表或财务状况变动表，当月新成立公司不需提供）；</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1080"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缴纳税收</w:t>
            </w:r>
          </w:p>
        </w:tc>
        <w:tc>
          <w:tcPr>
            <w:tcW w:w="5211" w:type="dxa"/>
            <w:tcBorders>
              <w:top w:val="single" w:color="auto" w:sz="4" w:space="0"/>
              <w:left w:val="single" w:color="auto" w:sz="4" w:space="0"/>
              <w:bottom w:val="single" w:color="auto" w:sz="4" w:space="0"/>
              <w:right w:val="single" w:color="auto" w:sz="4" w:space="0"/>
            </w:tcBorders>
            <w:noWrap/>
            <w:vAlign w:val="center"/>
          </w:tcPr>
          <w:p>
            <w:pPr>
              <w:spacing w:after="100" w:afterAutospacing="1"/>
              <w:rPr>
                <w:rFonts w:asciiTheme="minorEastAsia" w:hAnsiTheme="minorEastAsia" w:cstheme="minorEastAsia"/>
                <w:szCs w:val="21"/>
              </w:rPr>
            </w:pPr>
            <w:r>
              <w:rPr>
                <w:rFonts w:hint="eastAsia" w:asciiTheme="minorEastAsia" w:hAnsiTheme="minorEastAsia" w:cstheme="minorEastAsia"/>
                <w:szCs w:val="21"/>
              </w:rPr>
              <w:t>提供的近半年内任意一月依法缴纳税收证明，当月新成立公司不需提供；无需纳税或免税的也需提供相应证明材料；</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1020"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缴纳社会保障资金</w:t>
            </w:r>
          </w:p>
        </w:tc>
        <w:tc>
          <w:tcPr>
            <w:tcW w:w="5211" w:type="dxa"/>
            <w:tcBorders>
              <w:top w:val="single" w:color="auto" w:sz="4" w:space="0"/>
              <w:left w:val="single" w:color="auto" w:sz="4" w:space="0"/>
              <w:bottom w:val="single" w:color="auto" w:sz="4" w:space="0"/>
              <w:right w:val="single" w:color="auto" w:sz="4" w:space="0"/>
            </w:tcBorders>
            <w:noWrap/>
            <w:vAlign w:val="center"/>
          </w:tcPr>
          <w:p>
            <w:pPr>
              <w:spacing w:after="100" w:afterAutospacing="1"/>
              <w:rPr>
                <w:rFonts w:asciiTheme="minorEastAsia" w:hAnsiTheme="minorEastAsia" w:cstheme="minorEastAsia"/>
                <w:szCs w:val="21"/>
              </w:rPr>
            </w:pPr>
            <w:r>
              <w:rPr>
                <w:rFonts w:hint="eastAsia" w:asciiTheme="minorEastAsia" w:hAnsiTheme="minorEastAsia" w:cstheme="minorEastAsia"/>
                <w:szCs w:val="21"/>
              </w:rPr>
              <w:t>提供社保缴纳证明（近半年内任意一月社保缴纳证明，当月新成立公司不需提供）；</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rPr>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履行合同所必需的设备和能力</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提供具有履行合同所必需的设备和专业技术能力相关证明材料或声明；</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提供无重大违法记录声明书</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参加政府采购活动前3年内在经营活动中没有重大违法记录的书面声明；</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rPr>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投标保证金缴纳凭证复印件：投标人可将本项目投标保证金支付的汇款凭证、支票、汇票或保证金收据（如有）或政采云电子保函的复印件作为缴纳凭证放在投标文件中，复印件上应加盖本单位章；</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rPr>
          <w:trHeight w:val="1995"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446"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信用查询结果</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1“信用中国”（www.creditchina.gov.cn）未被列入重大税收违法案件当事人名单；</w:t>
            </w:r>
          </w:p>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2“中国政府采购网”（www.ccgp.gov.cn）网站上未被列入政府采购严重违法失信行为记录名单；</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2016"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46" w:type="dxa"/>
            <w:tcBorders>
              <w:top w:val="single" w:color="auto" w:sz="4" w:space="0"/>
              <w:left w:val="single" w:color="auto" w:sz="4" w:space="0"/>
              <w:bottom w:val="single" w:color="auto" w:sz="4" w:space="0"/>
              <w:right w:val="single" w:color="auto" w:sz="4" w:space="0"/>
            </w:tcBorders>
            <w:noWrap/>
            <w:vAlign w:val="center"/>
          </w:tcPr>
          <w:p>
            <w:pPr>
              <w:spacing w:after="100" w:afterAutospacing="1"/>
              <w:rPr>
                <w:rFonts w:asciiTheme="minorEastAsia" w:hAnsiTheme="minorEastAsia" w:cstheme="minorEastAsia"/>
                <w:szCs w:val="21"/>
              </w:rPr>
            </w:pPr>
            <w:r>
              <w:rPr>
                <w:rFonts w:hint="eastAsia" w:asciiTheme="minorEastAsia" w:hAnsiTheme="minorEastAsia" w:cstheme="minorEastAsia"/>
                <w:spacing w:val="-2"/>
                <w:szCs w:val="21"/>
              </w:rPr>
              <w:t>落实政府采购政策需满足的资格要求</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本项目为专门面向中小企业采购的项目，投标人应为中小微企业或监狱企业或残疾人福利性单位；</w:t>
            </w:r>
          </w:p>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投标人应按招标文件要求提供《中小企业声明函》或《残疾人福利性单位声明函》或监狱企业证明材料；</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888" w:hRule="atLeast"/>
          <w:jc w:val="center"/>
        </w:trPr>
        <w:tc>
          <w:tcPr>
            <w:tcW w:w="578"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446" w:type="dxa"/>
            <w:tcBorders>
              <w:top w:val="single" w:color="auto" w:sz="4" w:space="0"/>
              <w:left w:val="single" w:color="auto" w:sz="4" w:space="0"/>
              <w:bottom w:val="single" w:color="auto" w:sz="4" w:space="0"/>
              <w:right w:val="single" w:color="auto" w:sz="4" w:space="0"/>
            </w:tcBorders>
            <w:noWrap/>
            <w:vAlign w:val="center"/>
          </w:tcPr>
          <w:p>
            <w:pPr>
              <w:spacing w:after="100" w:afterAutospacing="1"/>
              <w:rPr>
                <w:rFonts w:asciiTheme="minorEastAsia" w:hAnsiTheme="minorEastAsia" w:cstheme="minorEastAsia"/>
                <w:spacing w:val="-2"/>
                <w:szCs w:val="21"/>
              </w:rPr>
            </w:pPr>
            <w:r>
              <w:rPr>
                <w:rFonts w:hint="eastAsia" w:asciiTheme="minorEastAsia" w:hAnsiTheme="minorEastAsia" w:cstheme="minorEastAsia"/>
                <w:spacing w:val="-2"/>
                <w:szCs w:val="21"/>
              </w:rPr>
              <w:t>不参与围标串标承诺书</w:t>
            </w:r>
          </w:p>
        </w:tc>
        <w:tc>
          <w:tcPr>
            <w:tcW w:w="5211"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提供不参与围标串标承诺书。</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jc w:val="center"/>
        </w:trPr>
        <w:tc>
          <w:tcPr>
            <w:tcW w:w="7235" w:type="dxa"/>
            <w:gridSpan w:val="3"/>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资格审查结果</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r>
        <w:trPr>
          <w:jc w:val="center"/>
        </w:trPr>
        <w:tc>
          <w:tcPr>
            <w:tcW w:w="7235" w:type="dxa"/>
            <w:gridSpan w:val="3"/>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不通过理由说明</w:t>
            </w:r>
          </w:p>
        </w:tc>
        <w:tc>
          <w:tcPr>
            <w:tcW w:w="623" w:type="dxa"/>
            <w:tcBorders>
              <w:top w:val="single" w:color="auto" w:sz="4" w:space="0"/>
              <w:left w:val="single" w:color="auto" w:sz="4" w:space="0"/>
              <w:bottom w:val="single" w:color="auto" w:sz="4" w:space="0"/>
              <w:right w:val="single" w:color="auto" w:sz="4" w:space="0"/>
            </w:tcBorders>
            <w:noWrap/>
            <w:vAlign w:val="center"/>
          </w:tcPr>
          <w:p>
            <w:pPr>
              <w:pStyle w:val="2"/>
              <w:spacing w:line="440" w:lineRule="atLeast"/>
              <w:rPr>
                <w:rFonts w:asciiTheme="minorEastAsia" w:hAnsiTheme="minorEastAsia" w:eastAsiaTheme="minorEastAsia" w:cstheme="minorEastAsia"/>
                <w:szCs w:val="21"/>
              </w:rPr>
            </w:pPr>
          </w:p>
        </w:tc>
        <w:tc>
          <w:tcPr>
            <w:tcW w:w="669"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c>
          <w:tcPr>
            <w:tcW w:w="644" w:type="dxa"/>
            <w:tcBorders>
              <w:top w:val="single" w:color="auto" w:sz="4" w:space="0"/>
              <w:left w:val="single" w:color="auto" w:sz="4" w:space="0"/>
              <w:bottom w:val="single" w:color="auto" w:sz="4" w:space="0"/>
              <w:right w:val="single" w:color="auto" w:sz="4" w:space="0"/>
            </w:tcBorders>
            <w:noWrap/>
          </w:tcPr>
          <w:p>
            <w:pPr>
              <w:pStyle w:val="2"/>
              <w:spacing w:line="440" w:lineRule="atLeast"/>
              <w:rPr>
                <w:rFonts w:asciiTheme="minorEastAsia" w:hAnsiTheme="minorEastAsia" w:eastAsiaTheme="minorEastAsia" w:cstheme="minorEastAsia"/>
                <w:szCs w:val="21"/>
              </w:rPr>
            </w:pPr>
          </w:p>
        </w:tc>
      </w:tr>
    </w:tbl>
    <w:p>
      <w:pPr>
        <w:spacing w:line="360" w:lineRule="auto"/>
        <w:ind w:firstLine="420" w:firstLineChars="200"/>
        <w:rPr>
          <w:rFonts w:asciiTheme="minorEastAsia" w:hAnsiTheme="minorEastAsia" w:cstheme="minorEastAsia"/>
        </w:rPr>
      </w:pPr>
    </w:p>
    <w:p>
      <w:pPr>
        <w:spacing w:line="360" w:lineRule="auto"/>
        <w:rPr>
          <w:rFonts w:asciiTheme="minorEastAsia" w:hAnsiTheme="minorEastAsia" w:cstheme="minorEastAsia"/>
          <w:color w:val="000000"/>
          <w:szCs w:val="21"/>
        </w:rPr>
      </w:pPr>
      <w:r>
        <w:rPr>
          <w:rFonts w:hint="eastAsia" w:asciiTheme="minorEastAsia" w:hAnsiTheme="minorEastAsia" w:cstheme="minorEastAsia"/>
        </w:rPr>
        <w:t>资格审查小组成员签字：__________</w:t>
      </w:r>
    </w:p>
    <w:p>
      <w:pPr>
        <w:pStyle w:val="10"/>
        <w:tabs>
          <w:tab w:val="clear" w:pos="567"/>
        </w:tabs>
        <w:spacing w:before="0" w:line="360" w:lineRule="auto"/>
        <w:ind w:firstLine="472" w:firstLineChars="225"/>
        <w:rPr>
          <w:rFonts w:asciiTheme="minorEastAsia" w:hAnsiTheme="minorEastAsia" w:eastAsiaTheme="minorEastAsia" w:cstheme="minorEastAsia"/>
          <w:sz w:val="21"/>
          <w:szCs w:val="21"/>
        </w:rPr>
      </w:pPr>
    </w:p>
    <w:p>
      <w:pPr>
        <w:pStyle w:val="23"/>
        <w:spacing w:before="0" w:beforeAutospacing="0" w:after="0" w:afterAutospacing="0" w:line="360" w:lineRule="auto"/>
        <w:ind w:firstLine="420" w:firstLineChars="200"/>
        <w:jc w:val="both"/>
        <w:rPr>
          <w:rFonts w:asciiTheme="minorEastAsia" w:hAnsiTheme="minorEastAsia" w:eastAsiaTheme="minorEastAsia" w:cstheme="minorEastAsia"/>
          <w:color w:val="000000" w:themeColor="text1"/>
          <w:kern w:val="2"/>
          <w:sz w:val="21"/>
          <w:szCs w:val="21"/>
        </w:rPr>
      </w:pPr>
      <w:r>
        <w:rPr>
          <w:rFonts w:hint="eastAsia" w:asciiTheme="minorEastAsia" w:hAnsiTheme="minorEastAsia" w:eastAsiaTheme="minorEastAsia" w:cstheme="minorEastAsia"/>
          <w:color w:val="000000" w:themeColor="text1"/>
          <w:kern w:val="2"/>
          <w:sz w:val="21"/>
          <w:szCs w:val="21"/>
        </w:rPr>
        <w:t>备注：</w:t>
      </w:r>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Theme="minorEastAsia" w:hAnsiTheme="minorEastAsia" w:eastAsiaTheme="minorEastAsia" w:cstheme="minorEastAsia"/>
          <w:color w:val="000000" w:themeColor="text1"/>
          <w:kern w:val="2"/>
          <w:sz w:val="21"/>
          <w:szCs w:val="21"/>
        </w:rPr>
        <w:t>1、本表由采购人、采购代理机构核对并如实填写；</w:t>
      </w:r>
    </w:p>
    <w:p>
      <w:pPr>
        <w:pStyle w:val="23"/>
        <w:spacing w:before="0" w:beforeAutospacing="0" w:after="0" w:afterAutospacing="0" w:line="360" w:lineRule="auto"/>
        <w:ind w:firstLine="420" w:firstLineChars="200"/>
        <w:jc w:val="both"/>
        <w:rPr>
          <w:rFonts w:asciiTheme="minorEastAsia" w:hAnsiTheme="minorEastAsia" w:eastAsiaTheme="minorEastAsia" w:cstheme="minorEastAsia"/>
          <w:color w:val="000000" w:themeColor="text1"/>
          <w:kern w:val="2"/>
          <w:sz w:val="21"/>
          <w:szCs w:val="21"/>
        </w:rPr>
      </w:pPr>
      <w:bookmarkStart w:id="239" w:name="_Toc87629998"/>
      <w:bookmarkStart w:id="240" w:name="_Toc79146345"/>
      <w:bookmarkStart w:id="241" w:name="_Toc86837983"/>
      <w:bookmarkStart w:id="242" w:name="_Toc78657904"/>
      <w:bookmarkStart w:id="243" w:name="_Toc78571235"/>
      <w:bookmarkStart w:id="244" w:name="_Toc86839063"/>
      <w:bookmarkStart w:id="245" w:name="_Toc95667871"/>
      <w:bookmarkStart w:id="246" w:name="_Toc79139682"/>
      <w:bookmarkStart w:id="247" w:name="_Toc95668105"/>
      <w:bookmarkStart w:id="248" w:name="_Toc87629905"/>
      <w:r>
        <w:rPr>
          <w:rFonts w:hint="eastAsia" w:asciiTheme="minorEastAsia" w:hAnsiTheme="minorEastAsia" w:eastAsiaTheme="minorEastAsia" w:cstheme="minorEastAsia"/>
          <w:color w:val="000000" w:themeColor="text1"/>
          <w:kern w:val="2"/>
          <w:sz w:val="21"/>
          <w:szCs w:val="21"/>
        </w:rPr>
        <w:t>2、“结论”一栏应写“通过”或“不通过”；</w:t>
      </w:r>
      <w:bookmarkEnd w:id="239"/>
      <w:bookmarkEnd w:id="240"/>
      <w:bookmarkEnd w:id="241"/>
      <w:bookmarkEnd w:id="242"/>
      <w:bookmarkEnd w:id="243"/>
      <w:bookmarkEnd w:id="244"/>
      <w:bookmarkEnd w:id="245"/>
      <w:bookmarkEnd w:id="246"/>
      <w:bookmarkEnd w:id="247"/>
      <w:bookmarkEnd w:id="248"/>
    </w:p>
    <w:p>
      <w:pPr>
        <w:pStyle w:val="23"/>
        <w:spacing w:before="0" w:beforeAutospacing="0" w:after="0" w:afterAutospacing="0" w:line="360" w:lineRule="auto"/>
        <w:ind w:firstLine="420" w:firstLineChars="200"/>
        <w:jc w:val="both"/>
        <w:rPr>
          <w:rFonts w:asciiTheme="minorEastAsia" w:hAnsiTheme="minorEastAsia" w:eastAsiaTheme="minorEastAsia" w:cstheme="minorEastAsia"/>
          <w:color w:val="000000" w:themeColor="text1"/>
          <w:kern w:val="2"/>
          <w:sz w:val="21"/>
          <w:szCs w:val="21"/>
        </w:rPr>
      </w:pPr>
      <w:bookmarkStart w:id="249" w:name="_Toc79139683"/>
      <w:bookmarkStart w:id="250" w:name="_Toc79146346"/>
      <w:bookmarkStart w:id="251" w:name="_Toc87629999"/>
      <w:bookmarkStart w:id="252" w:name="_Toc78657905"/>
      <w:bookmarkStart w:id="253" w:name="_Toc86839064"/>
      <w:bookmarkStart w:id="254" w:name="_Toc87629906"/>
      <w:bookmarkStart w:id="255" w:name="_Toc95667872"/>
      <w:bookmarkStart w:id="256" w:name="_Toc95668106"/>
      <w:bookmarkStart w:id="257" w:name="_Toc78571236"/>
      <w:bookmarkStart w:id="258" w:name="_Toc86837984"/>
      <w:r>
        <w:rPr>
          <w:rFonts w:hint="eastAsia" w:asciiTheme="minorEastAsia" w:hAnsiTheme="minorEastAsia" w:eastAsiaTheme="minorEastAsia" w:cstheme="minorEastAsia"/>
          <w:color w:val="000000" w:themeColor="text1"/>
          <w:kern w:val="2"/>
          <w:sz w:val="21"/>
          <w:szCs w:val="21"/>
        </w:rPr>
        <w:t>3、出现一个“×”的结论为“不通过”。表中全部为“√”，同意进入下一阶段评审；</w:t>
      </w:r>
      <w:bookmarkEnd w:id="249"/>
      <w:bookmarkEnd w:id="250"/>
      <w:bookmarkEnd w:id="251"/>
      <w:bookmarkEnd w:id="252"/>
      <w:bookmarkEnd w:id="253"/>
      <w:bookmarkEnd w:id="254"/>
      <w:bookmarkEnd w:id="255"/>
      <w:bookmarkEnd w:id="256"/>
      <w:bookmarkEnd w:id="257"/>
      <w:bookmarkEnd w:id="258"/>
    </w:p>
    <w:p>
      <w:pPr>
        <w:pStyle w:val="23"/>
        <w:spacing w:before="0" w:beforeAutospacing="0" w:after="0" w:afterAutospacing="0" w:line="360" w:lineRule="auto"/>
        <w:ind w:firstLine="420" w:firstLineChars="200"/>
        <w:jc w:val="both"/>
        <w:rPr>
          <w:rFonts w:asciiTheme="minorEastAsia" w:hAnsiTheme="minorEastAsia" w:eastAsiaTheme="minorEastAsia" w:cstheme="minorEastAsia"/>
          <w:color w:val="000000" w:themeColor="text1"/>
          <w:kern w:val="2"/>
          <w:sz w:val="21"/>
          <w:szCs w:val="21"/>
        </w:rPr>
      </w:pPr>
      <w:bookmarkStart w:id="259" w:name="_Toc79139684"/>
      <w:bookmarkStart w:id="260" w:name="_Toc87630000"/>
      <w:bookmarkStart w:id="261" w:name="_Toc86839065"/>
      <w:bookmarkStart w:id="262" w:name="_Toc95668107"/>
      <w:bookmarkStart w:id="263" w:name="_Toc78657906"/>
      <w:bookmarkStart w:id="264" w:name="_Toc78571237"/>
      <w:bookmarkStart w:id="265" w:name="_Toc79146347"/>
      <w:bookmarkStart w:id="266" w:name="_Toc87629907"/>
      <w:bookmarkStart w:id="267" w:name="_Toc95667873"/>
      <w:bookmarkStart w:id="268" w:name="_Toc86837985"/>
      <w:r>
        <w:rPr>
          <w:rFonts w:hint="eastAsia" w:asciiTheme="minorEastAsia" w:hAnsiTheme="minorEastAsia" w:eastAsiaTheme="minorEastAsia" w:cstheme="minorEastAsia"/>
          <w:color w:val="000000" w:themeColor="text1"/>
          <w:kern w:val="2"/>
          <w:sz w:val="21"/>
          <w:szCs w:val="21"/>
        </w:rPr>
        <w:t>4、若审查组成员意见不一致时，则按少数服从多数的原则，由全部成员投票决定该供应商是否通过审查，进入下一阶段评审。</w:t>
      </w:r>
      <w:bookmarkEnd w:id="259"/>
      <w:bookmarkEnd w:id="260"/>
      <w:bookmarkEnd w:id="261"/>
      <w:bookmarkEnd w:id="262"/>
      <w:bookmarkEnd w:id="263"/>
      <w:bookmarkEnd w:id="264"/>
      <w:bookmarkEnd w:id="265"/>
      <w:bookmarkEnd w:id="266"/>
      <w:bookmarkEnd w:id="267"/>
      <w:bookmarkEnd w:id="268"/>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p>
      <w:pPr>
        <w:pStyle w:val="10"/>
        <w:tabs>
          <w:tab w:val="clear" w:pos="567"/>
        </w:tabs>
        <w:spacing w:before="0" w:line="360" w:lineRule="auto"/>
        <w:ind w:left="630"/>
        <w:rPr>
          <w:rFonts w:asciiTheme="minorEastAsia" w:hAnsiTheme="minorEastAsia" w:eastAsiaTheme="minorEastAsia" w:cstheme="minorEastAsia"/>
          <w:sz w:val="21"/>
          <w:szCs w:val="21"/>
        </w:rPr>
      </w:pPr>
    </w:p>
    <w:tbl>
      <w:tblPr>
        <w:tblStyle w:val="24"/>
        <w:tblW w:w="8647" w:type="dxa"/>
        <w:tblInd w:w="108" w:type="dxa"/>
        <w:tblLayout w:type="fixed"/>
        <w:tblCellMar>
          <w:top w:w="0" w:type="dxa"/>
          <w:left w:w="108" w:type="dxa"/>
          <w:bottom w:w="0" w:type="dxa"/>
          <w:right w:w="108" w:type="dxa"/>
        </w:tblCellMar>
      </w:tblPr>
      <w:tblGrid>
        <w:gridCol w:w="993"/>
        <w:gridCol w:w="4819"/>
        <w:gridCol w:w="992"/>
        <w:gridCol w:w="851"/>
        <w:gridCol w:w="992"/>
      </w:tblGrid>
      <w:tr>
        <w:tblPrEx>
          <w:tblCellMar>
            <w:top w:w="0" w:type="dxa"/>
            <w:left w:w="108" w:type="dxa"/>
            <w:bottom w:w="0" w:type="dxa"/>
            <w:right w:w="108" w:type="dxa"/>
          </w:tblCellMar>
        </w:tblPrEx>
        <w:trPr>
          <w:trHeight w:val="585" w:hRule="atLeast"/>
        </w:trPr>
        <w:tc>
          <w:tcPr>
            <w:tcW w:w="8647" w:type="dxa"/>
            <w:gridSpan w:val="5"/>
            <w:tcBorders>
              <w:top w:val="nil"/>
              <w:left w:val="nil"/>
              <w:bottom w:val="single" w:color="auto" w:sz="4" w:space="0"/>
              <w:right w:val="nil"/>
            </w:tcBorders>
            <w:vAlign w:val="center"/>
          </w:tcPr>
          <w:p>
            <w:pPr>
              <w:pStyle w:val="10"/>
              <w:tabs>
                <w:tab w:val="clear" w:pos="567"/>
              </w:tabs>
              <w:spacing w:before="0" w:line="360" w:lineRule="auto"/>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二、符合性审查表</w:t>
            </w:r>
          </w:p>
          <w:p>
            <w:pPr>
              <w:pStyle w:val="10"/>
              <w:tabs>
                <w:tab w:val="clear" w:pos="567"/>
              </w:tabs>
              <w:spacing w:before="0" w:line="360" w:lineRule="auto"/>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（实质性响应一览表）</w:t>
            </w:r>
          </w:p>
        </w:tc>
      </w:tr>
      <w:tr>
        <w:tblPrEx>
          <w:tblCellMar>
            <w:top w:w="0" w:type="dxa"/>
            <w:left w:w="108" w:type="dxa"/>
            <w:bottom w:w="0" w:type="dxa"/>
            <w:right w:w="108" w:type="dxa"/>
          </w:tblCellMar>
        </w:tblPrEx>
        <w:trPr>
          <w:trHeight w:val="754" w:hRule="atLeast"/>
        </w:trPr>
        <w:tc>
          <w:tcPr>
            <w:tcW w:w="581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b/>
                <w:kern w:val="0"/>
                <w:sz w:val="22"/>
              </w:rPr>
            </w:pPr>
            <w:r>
              <w:rPr>
                <w:rFonts w:hint="eastAsia" w:asciiTheme="minorEastAsia" w:hAnsiTheme="minorEastAsia" w:cstheme="minorEastAsia"/>
                <w:b/>
                <w:kern w:val="0"/>
                <w:sz w:val="22"/>
              </w:rPr>
              <w:t>审查事项</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b/>
                <w:kern w:val="0"/>
                <w:sz w:val="22"/>
              </w:rPr>
            </w:pPr>
            <w:r>
              <w:rPr>
                <w:rFonts w:hint="eastAsia" w:asciiTheme="minorEastAsia" w:hAnsiTheme="minorEastAsia" w:cstheme="minorEastAsia"/>
                <w:b/>
                <w:kern w:val="0"/>
                <w:sz w:val="22"/>
              </w:rPr>
              <w:t>投标人名称及审查情况</w:t>
            </w:r>
          </w:p>
        </w:tc>
      </w:tr>
      <w:tr>
        <w:tblPrEx>
          <w:tblCellMar>
            <w:top w:w="0" w:type="dxa"/>
            <w:left w:w="108" w:type="dxa"/>
            <w:bottom w:w="0" w:type="dxa"/>
            <w:right w:w="108" w:type="dxa"/>
          </w:tblCellMar>
        </w:tblPrEx>
        <w:trPr>
          <w:trHeight w:val="57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b/>
                <w:kern w:val="0"/>
                <w:sz w:val="22"/>
              </w:rPr>
            </w:pPr>
            <w:r>
              <w:rPr>
                <w:rFonts w:hint="eastAsia" w:asciiTheme="minorEastAsia" w:hAnsiTheme="minorEastAsia" w:cstheme="minorEastAsia"/>
                <w:b/>
                <w:kern w:val="0"/>
                <w:sz w:val="22"/>
              </w:rPr>
              <w:t>条款号</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b/>
                <w:kern w:val="0"/>
                <w:sz w:val="22"/>
              </w:rPr>
            </w:pPr>
            <w:r>
              <w:rPr>
                <w:rFonts w:hint="eastAsia" w:asciiTheme="minorEastAsia" w:hAnsiTheme="minorEastAsia" w:cstheme="minorEastAsia"/>
                <w:b/>
                <w:kern w:val="0"/>
                <w:sz w:val="22"/>
              </w:rPr>
              <w:t>本项目要求</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在同一标包内，单位负责人非同一人或者不存在直接控股、管理关系的不同投标人。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szCs w:val="21"/>
              </w:rPr>
              <w:t>2.3</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报价未超过招标文件规定的预算金额或最高限价。</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r>
      <w:tr>
        <w:tblPrEx>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8.2</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szCs w:val="21"/>
              </w:rPr>
              <w:t>投标人对所投分包招标文件中所列的所有服务内容进行投标。</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9.1</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投标文件完整，格式符合招标文件要求。</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11.4</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szCs w:val="21"/>
              </w:rPr>
              <w:t>投标人所报的各分项投标报价在合同履行过程中是固定不变的，不得以任何理由予以变更。</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szCs w:val="21"/>
              </w:rPr>
              <w:t>13.1</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szCs w:val="21"/>
              </w:rPr>
              <w:t>投标有效期满足招标文件规定</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szCs w:val="21"/>
              </w:rPr>
              <w:t>14.2</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投标文件的签署和盖章符合要求。</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819"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szCs w:val="21"/>
              </w:rPr>
              <w:t>20.3</w:t>
            </w:r>
          </w:p>
        </w:tc>
        <w:tc>
          <w:tcPr>
            <w:tcW w:w="481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szCs w:val="21"/>
              </w:rPr>
              <w:t>接受价格的算术修正。</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Theme="minorEastAsia" w:hAnsiTheme="minorEastAsia" w:cstheme="minorEastAsia"/>
                <w:kern w:val="0"/>
                <w:sz w:val="22"/>
              </w:rPr>
            </w:pPr>
            <w:r>
              <w:rPr>
                <w:rFonts w:hint="eastAsia" w:asciiTheme="minorEastAsia" w:hAnsiTheme="minorEastAsia" w:cstheme="minorEastAsia"/>
                <w:kern w:val="0"/>
                <w:sz w:val="22"/>
              </w:rPr>
              <w:t>　</w:t>
            </w:r>
          </w:p>
        </w:tc>
      </w:tr>
      <w:tr>
        <w:tblPrEx>
          <w:tblCellMar>
            <w:top w:w="0" w:type="dxa"/>
            <w:left w:w="108" w:type="dxa"/>
            <w:bottom w:w="0" w:type="dxa"/>
            <w:right w:w="108" w:type="dxa"/>
          </w:tblCellMar>
        </w:tblPrEx>
        <w:trPr>
          <w:trHeight w:val="737" w:hRule="atLeast"/>
        </w:trPr>
        <w:tc>
          <w:tcPr>
            <w:tcW w:w="993" w:type="dxa"/>
            <w:tcBorders>
              <w:top w:val="single" w:color="auto" w:sz="4" w:space="0"/>
              <w:left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Cs w:val="21"/>
              </w:rPr>
            </w:pPr>
            <w:r>
              <w:rPr>
                <w:rFonts w:hint="eastAsia" w:asciiTheme="minorEastAsia" w:hAnsiTheme="minorEastAsia" w:cstheme="minorEastAsia"/>
                <w:szCs w:val="21"/>
              </w:rPr>
              <w:t>22.2</w:t>
            </w:r>
          </w:p>
        </w:tc>
        <w:tc>
          <w:tcPr>
            <w:tcW w:w="4819" w:type="dxa"/>
            <w:tcBorders>
              <w:top w:val="single" w:color="auto" w:sz="4" w:space="0"/>
              <w:left w:val="nil"/>
              <w:right w:val="single" w:color="auto" w:sz="4" w:space="0"/>
            </w:tcBorders>
            <w:vAlign w:val="center"/>
          </w:tcPr>
          <w:p>
            <w:pPr>
              <w:widowControl/>
              <w:spacing w:line="400" w:lineRule="exact"/>
              <w:jc w:val="left"/>
              <w:rPr>
                <w:rFonts w:asciiTheme="minorEastAsia" w:hAnsiTheme="minorEastAsia" w:cstheme="minorEastAsia"/>
                <w:kern w:val="0"/>
                <w:szCs w:val="21"/>
              </w:rPr>
            </w:pPr>
            <w:r>
              <w:rPr>
                <w:rFonts w:hint="eastAsia" w:asciiTheme="minorEastAsia" w:hAnsiTheme="minorEastAsia" w:cstheme="minorEastAsia"/>
                <w:szCs w:val="21"/>
              </w:rPr>
              <w:t>不属于招标文件规定被认定为投标无效的情形</w:t>
            </w:r>
          </w:p>
        </w:tc>
        <w:tc>
          <w:tcPr>
            <w:tcW w:w="992" w:type="dxa"/>
            <w:tcBorders>
              <w:top w:val="single" w:color="auto" w:sz="4" w:space="0"/>
              <w:left w:val="nil"/>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851" w:type="dxa"/>
            <w:tcBorders>
              <w:top w:val="single" w:color="auto" w:sz="4" w:space="0"/>
              <w:left w:val="nil"/>
              <w:right w:val="single" w:color="auto" w:sz="4" w:space="0"/>
            </w:tcBorders>
            <w:vAlign w:val="center"/>
          </w:tcPr>
          <w:p>
            <w:pPr>
              <w:widowControl/>
              <w:spacing w:line="400" w:lineRule="exact"/>
              <w:jc w:val="left"/>
              <w:rPr>
                <w:rFonts w:asciiTheme="minorEastAsia" w:hAnsiTheme="minorEastAsia" w:cstheme="minorEastAsia"/>
                <w:kern w:val="0"/>
                <w:sz w:val="22"/>
              </w:rPr>
            </w:pPr>
          </w:p>
        </w:tc>
        <w:tc>
          <w:tcPr>
            <w:tcW w:w="992" w:type="dxa"/>
            <w:tcBorders>
              <w:top w:val="single" w:color="auto" w:sz="4" w:space="0"/>
              <w:left w:val="nil"/>
              <w:right w:val="single" w:color="auto" w:sz="4" w:space="0"/>
            </w:tcBorders>
            <w:vAlign w:val="center"/>
          </w:tcPr>
          <w:p>
            <w:pPr>
              <w:widowControl/>
              <w:spacing w:line="400" w:lineRule="exact"/>
              <w:jc w:val="left"/>
              <w:rPr>
                <w:rFonts w:asciiTheme="minorEastAsia" w:hAnsiTheme="minorEastAsia" w:cstheme="minorEastAsia"/>
                <w:kern w:val="0"/>
                <w:sz w:val="22"/>
              </w:rPr>
            </w:pPr>
          </w:p>
        </w:tc>
      </w:tr>
      <w:tr>
        <w:tblPrEx>
          <w:tblCellMar>
            <w:top w:w="0" w:type="dxa"/>
            <w:left w:w="108" w:type="dxa"/>
            <w:bottom w:w="0" w:type="dxa"/>
            <w:right w:w="108" w:type="dxa"/>
          </w:tblCellMar>
        </w:tblPrEx>
        <w:trPr>
          <w:trHeight w:val="425" w:hRule="atLeast"/>
        </w:trPr>
        <w:tc>
          <w:tcPr>
            <w:tcW w:w="581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b/>
                <w:szCs w:val="21"/>
              </w:rPr>
            </w:pPr>
            <w:r>
              <w:rPr>
                <w:rFonts w:hint="eastAsia" w:asciiTheme="minorEastAsia" w:hAnsiTheme="minorEastAsia" w:cstheme="minorEastAsia"/>
                <w:b/>
                <w:kern w:val="0"/>
                <w:sz w:val="22"/>
              </w:rPr>
              <w:t>结论</w:t>
            </w: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2"/>
              </w:rPr>
            </w:pPr>
          </w:p>
        </w:tc>
        <w:tc>
          <w:tcPr>
            <w:tcW w:w="85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2"/>
              </w:rPr>
            </w:pPr>
          </w:p>
        </w:tc>
      </w:tr>
    </w:tbl>
    <w:p>
      <w:pPr>
        <w:pStyle w:val="10"/>
        <w:tabs>
          <w:tab w:val="clear" w:pos="567"/>
        </w:tabs>
        <w:spacing w:before="0" w:line="360" w:lineRule="auto"/>
        <w:ind w:left="-181" w:leftChars="-86" w:firstLine="4095" w:firstLineChars="19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评标委员会成员签字：__________</w:t>
      </w:r>
      <w:r>
        <w:rPr>
          <w:rFonts w:hint="eastAsia" w:asciiTheme="minorEastAsia" w:hAnsiTheme="minorEastAsia" w:eastAsiaTheme="minorEastAsia" w:cstheme="minorEastAsia"/>
          <w:sz w:val="21"/>
          <w:szCs w:val="21"/>
        </w:rPr>
        <w:br w:type="page"/>
      </w:r>
    </w:p>
    <w:p>
      <w:pPr>
        <w:widowControl/>
        <w:spacing w:line="360" w:lineRule="auto"/>
        <w:jc w:val="center"/>
        <w:rPr>
          <w:rFonts w:asciiTheme="minorEastAsia" w:hAnsiTheme="minorEastAsia" w:cstheme="minorEastAsia"/>
          <w:b/>
          <w:sz w:val="32"/>
          <w:szCs w:val="32"/>
        </w:rPr>
      </w:pPr>
      <w:r>
        <w:rPr>
          <w:rFonts w:hint="eastAsia" w:asciiTheme="minorEastAsia" w:hAnsiTheme="minorEastAsia" w:cstheme="minorEastAsia"/>
          <w:b/>
          <w:sz w:val="32"/>
          <w:szCs w:val="32"/>
        </w:rPr>
        <w:t>三、评审因素和指标</w:t>
      </w:r>
    </w:p>
    <w:tbl>
      <w:tblPr>
        <w:tblStyle w:val="24"/>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639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1581" w:type="dxa"/>
            <w:noWrap/>
            <w:vAlign w:val="center"/>
          </w:tcPr>
          <w:p>
            <w:pPr>
              <w:pStyle w:val="2"/>
              <w:snapToGrid w:val="0"/>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w:t>
            </w:r>
          </w:p>
        </w:tc>
        <w:tc>
          <w:tcPr>
            <w:tcW w:w="6392" w:type="dxa"/>
            <w:noWrap/>
            <w:vAlign w:val="center"/>
          </w:tcPr>
          <w:p>
            <w:pPr>
              <w:pStyle w:val="2"/>
              <w:snapToGrid w:val="0"/>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tc>
        <w:tc>
          <w:tcPr>
            <w:tcW w:w="900" w:type="dxa"/>
            <w:noWrap/>
            <w:vAlign w:val="center"/>
          </w:tcPr>
          <w:p>
            <w:pPr>
              <w:pStyle w:val="2"/>
              <w:snapToGrid w:val="0"/>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73" w:type="dxa"/>
            <w:gridSpan w:val="3"/>
            <w:noWrap/>
            <w:vAlign w:val="center"/>
          </w:tcPr>
          <w:p>
            <w:pPr>
              <w:pStyle w:val="2"/>
              <w:snapToGrid w:val="0"/>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A：投标价格评分</w:t>
            </w:r>
            <w:r>
              <w:rPr>
                <w:rFonts w:hint="eastAsia" w:asciiTheme="minorEastAsia" w:hAnsiTheme="minorEastAsia" w:eastAsiaTheme="minorEastAsia" w:cstheme="minorEastAsia"/>
                <w:b/>
                <w:szCs w:val="21"/>
                <w:lang w:val="en-US" w:eastAsia="zh-CN"/>
              </w:rPr>
              <w:t>3</w:t>
            </w:r>
            <w:r>
              <w:rPr>
                <w:rFonts w:hint="eastAsia" w:asciiTheme="minorEastAsia" w:hAnsiTheme="minorEastAsia" w:eastAsiaTheme="minorEastAsia" w:cstheme="minorEastAsia"/>
                <w:b/>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81"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w:t>
            </w:r>
          </w:p>
        </w:tc>
        <w:tc>
          <w:tcPr>
            <w:tcW w:w="6392" w:type="dxa"/>
            <w:noWrap/>
            <w:vAlign w:val="center"/>
          </w:tcPr>
          <w:p>
            <w:pPr>
              <w:pStyle w:val="2"/>
              <w:snapToGrid w:val="0"/>
              <w:spacing w:before="120" w:after="120"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投标报价得分=(评标基准价/</w:t>
            </w:r>
            <w:r>
              <w:rPr>
                <w:rFonts w:hint="eastAsia" w:asciiTheme="minorEastAsia" w:hAnsiTheme="minorEastAsia" w:eastAsiaTheme="minorEastAsia" w:cstheme="minorEastAsia"/>
                <w:b/>
                <w:kern w:val="0"/>
                <w:szCs w:val="21"/>
              </w:rPr>
              <w:t>修正后</w:t>
            </w:r>
            <w:r>
              <w:rPr>
                <w:rFonts w:hint="eastAsia" w:asciiTheme="minorEastAsia" w:hAnsiTheme="minorEastAsia" w:eastAsiaTheme="minorEastAsia" w:cstheme="minorEastAsia"/>
                <w:b/>
                <w:szCs w:val="21"/>
              </w:rPr>
              <w:t>投标报价)×</w:t>
            </w:r>
            <w:r>
              <w:rPr>
                <w:rFonts w:hint="eastAsia"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b/>
                <w:szCs w:val="21"/>
                <w:u w:val="single"/>
                <w:lang w:val="en-US" w:eastAsia="zh-CN"/>
              </w:rPr>
              <w:t>3</w:t>
            </w:r>
            <w:r>
              <w:rPr>
                <w:rFonts w:hint="eastAsia" w:asciiTheme="minorEastAsia" w:hAnsiTheme="minorEastAsia" w:eastAsiaTheme="minorEastAsia" w:cstheme="minorEastAsia"/>
                <w:b/>
                <w:szCs w:val="21"/>
                <w:u w:val="single"/>
              </w:rPr>
              <w:t xml:space="preserve">0 </w:t>
            </w:r>
            <w:r>
              <w:rPr>
                <w:rFonts w:hint="eastAsia" w:asciiTheme="minorEastAsia" w:hAnsiTheme="minorEastAsia" w:eastAsiaTheme="minorEastAsia" w:cstheme="minorEastAsia"/>
                <w:b/>
                <w:szCs w:val="21"/>
              </w:rPr>
              <w:t>%×100</w:t>
            </w:r>
          </w:p>
          <w:p>
            <w:pPr>
              <w:pStyle w:val="2"/>
              <w:snapToGrid w:val="0"/>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1.投标价格评分采用低价优先法计算；</w:t>
            </w:r>
          </w:p>
          <w:p>
            <w:pPr>
              <w:pStyle w:val="2"/>
              <w:snapToGrid w:val="0"/>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2.评标基准价：满足招标文件要求且经算术修正，最低报价为评标基准价；</w:t>
            </w:r>
          </w:p>
          <w:p>
            <w:pPr>
              <w:pStyle w:val="2"/>
              <w:snapToGrid w:val="0"/>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3.修正后投标报价：评标委员会以开标一览表中投标报价为基础，对其进行算术修正，作为投标报价计算的依据。</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873" w:type="dxa"/>
            <w:gridSpan w:val="3"/>
            <w:noWrap/>
            <w:vAlign w:val="center"/>
          </w:tcPr>
          <w:p>
            <w:pPr>
              <w:pStyle w:val="2"/>
              <w:snapToGrid w:val="0"/>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B：技术部分评分</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581"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技术响应程度</w:t>
            </w:r>
          </w:p>
        </w:tc>
        <w:tc>
          <w:tcPr>
            <w:tcW w:w="6392" w:type="dxa"/>
            <w:noWrap/>
            <w:vAlign w:val="center"/>
          </w:tcPr>
          <w:p>
            <w:pPr>
              <w:pStyle w:val="2"/>
              <w:snapToGrid w:val="0"/>
              <w:spacing w:line="300" w:lineRule="exact"/>
              <w:rPr>
                <w:rFonts w:hAnsi="宋体" w:cs="Courier New"/>
                <w:kern w:val="0"/>
                <w:szCs w:val="21"/>
              </w:rPr>
            </w:pPr>
            <w:r>
              <w:rPr>
                <w:rFonts w:hint="eastAsia" w:hAnsi="宋体" w:cs="Courier New"/>
                <w:kern w:val="0"/>
                <w:szCs w:val="21"/>
              </w:rPr>
              <w:t>投标文件对招标文件采购需求的响应程度：</w:t>
            </w:r>
          </w:p>
          <w:p>
            <w:pPr>
              <w:pStyle w:val="2"/>
              <w:numPr>
                <w:ilvl w:val="0"/>
                <w:numId w:val="6"/>
              </w:numPr>
              <w:snapToGrid w:val="0"/>
              <w:spacing w:line="300" w:lineRule="exact"/>
              <w:rPr>
                <w:rFonts w:hAnsi="宋体" w:cs="Courier New"/>
                <w:kern w:val="0"/>
                <w:szCs w:val="21"/>
              </w:rPr>
            </w:pPr>
            <w:r>
              <w:rPr>
                <w:rFonts w:hint="eastAsia" w:hAnsi="宋体" w:cs="Courier New"/>
                <w:kern w:val="0"/>
                <w:szCs w:val="21"/>
              </w:rPr>
              <w:t>所有</w:t>
            </w:r>
            <w:r>
              <w:rPr>
                <w:rFonts w:hint="eastAsia" w:hAnsi="宋体" w:cs="Courier New"/>
                <w:color w:val="auto"/>
                <w:kern w:val="0"/>
                <w:szCs w:val="21"/>
              </w:rPr>
              <w:t>服务条</w:t>
            </w:r>
            <w:r>
              <w:rPr>
                <w:rFonts w:hint="eastAsia" w:hAnsi="宋体" w:cs="Courier New"/>
                <w:kern w:val="0"/>
                <w:szCs w:val="21"/>
              </w:rPr>
              <w:t>款</w:t>
            </w:r>
            <w:r>
              <w:rPr>
                <w:rFonts w:hint="eastAsia" w:hAnsi="宋体" w:cs="Courier New"/>
                <w:kern w:val="0"/>
                <w:szCs w:val="21"/>
                <w:lang w:eastAsia="zh-CN"/>
              </w:rPr>
              <w:t>和技术要求</w:t>
            </w:r>
            <w:r>
              <w:rPr>
                <w:rFonts w:hint="eastAsia" w:hAnsi="宋体" w:cs="Courier New"/>
                <w:kern w:val="0"/>
                <w:szCs w:val="21"/>
              </w:rPr>
              <w:t>完全符合招标文件（30分）；</w:t>
            </w:r>
          </w:p>
          <w:p>
            <w:pPr>
              <w:pStyle w:val="2"/>
              <w:snapToGrid w:val="0"/>
              <w:spacing w:line="300" w:lineRule="exact"/>
              <w:rPr>
                <w:rFonts w:asciiTheme="minorEastAsia" w:hAnsiTheme="minorEastAsia" w:eastAsiaTheme="minorEastAsia" w:cstheme="minorEastAsia"/>
                <w:szCs w:val="21"/>
              </w:rPr>
            </w:pPr>
            <w:r>
              <w:rPr>
                <w:rFonts w:hint="eastAsia" w:hAnsi="宋体" w:cs="Courier New"/>
                <w:kern w:val="0"/>
                <w:szCs w:val="21"/>
              </w:rPr>
              <w:t>（2）每有一项服务条款</w:t>
            </w:r>
            <w:r>
              <w:rPr>
                <w:rFonts w:hint="eastAsia" w:hAnsi="宋体" w:cs="Courier New"/>
                <w:kern w:val="0"/>
                <w:szCs w:val="21"/>
                <w:lang w:eastAsia="zh-CN"/>
              </w:rPr>
              <w:t>或技术要求</w:t>
            </w:r>
            <w:r>
              <w:rPr>
                <w:rFonts w:hint="eastAsia" w:hAnsi="宋体" w:cs="Courier New"/>
                <w:kern w:val="0"/>
                <w:szCs w:val="21"/>
              </w:rPr>
              <w:t>负偏离或缺漏扣2分，扣完为止。</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581" w:type="dxa"/>
            <w:noWrap/>
            <w:vAlign w:val="center"/>
          </w:tcPr>
          <w:p>
            <w:pPr>
              <w:pStyle w:val="2"/>
              <w:snapToGrid w:val="0"/>
              <w:spacing w:line="400" w:lineRule="exact"/>
              <w:jc w:val="center"/>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auto"/>
                <w:szCs w:val="21"/>
              </w:rPr>
              <w:t>服务方案</w:t>
            </w:r>
          </w:p>
        </w:tc>
        <w:tc>
          <w:tcPr>
            <w:tcW w:w="6392" w:type="dxa"/>
            <w:noWrap/>
            <w:vAlign w:val="center"/>
          </w:tcPr>
          <w:p>
            <w:pPr>
              <w:pStyle w:val="2"/>
              <w:snapToGrid w:val="0"/>
              <w:spacing w:line="30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投标人根据本项目特点，编制针对采购</w:t>
            </w:r>
            <w:r>
              <w:rPr>
                <w:rFonts w:hint="eastAsia" w:asciiTheme="minorEastAsia" w:hAnsiTheme="minorEastAsia" w:eastAsiaTheme="minorEastAsia" w:cstheme="minorEastAsia"/>
                <w:szCs w:val="21"/>
              </w:rPr>
              <w:t>需求</w:t>
            </w:r>
            <w:r>
              <w:rPr>
                <w:rFonts w:asciiTheme="minorEastAsia" w:hAnsiTheme="minorEastAsia" w:eastAsiaTheme="minorEastAsia" w:cstheme="minorEastAsia"/>
                <w:szCs w:val="21"/>
              </w:rPr>
              <w:t>的</w:t>
            </w:r>
            <w:r>
              <w:rPr>
                <w:rFonts w:hint="eastAsia" w:asciiTheme="minorEastAsia" w:hAnsiTheme="minorEastAsia" w:eastAsiaTheme="minorEastAsia" w:cstheme="minorEastAsia"/>
                <w:szCs w:val="21"/>
              </w:rPr>
              <w:t>服务</w:t>
            </w:r>
            <w:r>
              <w:rPr>
                <w:rFonts w:asciiTheme="minorEastAsia" w:hAnsiTheme="minorEastAsia" w:eastAsiaTheme="minorEastAsia" w:cstheme="minorEastAsia"/>
                <w:szCs w:val="21"/>
              </w:rPr>
              <w:t>方案</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包括但不限于</w:t>
            </w:r>
            <w:r>
              <w:rPr>
                <w:rFonts w:hint="eastAsia" w:asciiTheme="minorEastAsia" w:hAnsiTheme="minorEastAsia" w:eastAsiaTheme="minorEastAsia" w:cstheme="minorEastAsia"/>
                <w:szCs w:val="21"/>
              </w:rPr>
              <w:t>：</w:t>
            </w:r>
          </w:p>
          <w:p>
            <w:pPr>
              <w:pStyle w:val="8"/>
            </w:pPr>
            <w:r>
              <w:t>①</w:t>
            </w:r>
            <w:r>
              <w:rPr>
                <w:rFonts w:hint="eastAsia"/>
              </w:rPr>
              <w:t>具备完善的远程监护服务质量管理制度</w:t>
            </w:r>
            <w:r>
              <w:rPr>
                <w:rFonts w:hint="eastAsia"/>
                <w:lang w:bidi="zh-CN"/>
              </w:rPr>
              <w:t>（</w:t>
            </w:r>
            <w:r>
              <w:rPr>
                <w:rFonts w:hint="eastAsia"/>
                <w:lang w:val="en-US" w:bidi="zh-CN"/>
              </w:rPr>
              <w:t>5</w:t>
            </w:r>
            <w:r>
              <w:rPr>
                <w:rFonts w:hint="eastAsia"/>
                <w:lang w:bidi="zh-CN"/>
              </w:rPr>
              <w:t>分）</w:t>
            </w:r>
          </w:p>
          <w:p>
            <w:pPr>
              <w:pStyle w:val="8"/>
            </w:pPr>
            <w:r>
              <w:t>②</w:t>
            </w:r>
            <w:r>
              <w:rPr>
                <w:rFonts w:hint="eastAsia"/>
              </w:rPr>
              <w:t>提供相关技术培训方案（5分）</w:t>
            </w:r>
          </w:p>
          <w:p>
            <w:pPr>
              <w:pStyle w:val="8"/>
              <w:rPr>
                <w:rFonts w:asciiTheme="minorEastAsia" w:hAnsiTheme="minorEastAsia" w:cstheme="minorEastAsia"/>
                <w:szCs w:val="21"/>
              </w:rPr>
            </w:pPr>
            <w:r>
              <w:t>③</w:t>
            </w:r>
            <w:r>
              <w:rPr>
                <w:rFonts w:hint="eastAsia"/>
              </w:rPr>
              <w:t>设备运行、维护、保养方案及检查记录</w:t>
            </w:r>
            <w:r>
              <w:t>（</w:t>
            </w:r>
            <w:r>
              <w:rPr>
                <w:rFonts w:hint="eastAsia"/>
              </w:rPr>
              <w:t>5分</w:t>
            </w:r>
            <w:r>
              <w:t>）</w:t>
            </w:r>
          </w:p>
          <w:p>
            <w:pPr>
              <w:pStyle w:val="2"/>
              <w:snapToGrid w:val="0"/>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w:t>
            </w:r>
            <w:r>
              <w:rPr>
                <w:rFonts w:asciiTheme="minorEastAsia" w:hAnsiTheme="minorEastAsia" w:eastAsiaTheme="minorEastAsia" w:cstheme="minorEastAsia"/>
                <w:szCs w:val="21"/>
              </w:rPr>
              <w:t>方案</w:t>
            </w:r>
            <w:r>
              <w:rPr>
                <w:rFonts w:hint="eastAsia" w:asciiTheme="minorEastAsia" w:hAnsiTheme="minorEastAsia" w:eastAsiaTheme="minorEastAsia" w:cstheme="minorEastAsia"/>
                <w:szCs w:val="21"/>
              </w:rPr>
              <w:t>齐全，</w:t>
            </w:r>
            <w:r>
              <w:rPr>
                <w:rFonts w:asciiTheme="minorEastAsia" w:hAnsiTheme="minorEastAsia" w:eastAsiaTheme="minorEastAsia" w:cstheme="minorEastAsia"/>
                <w:szCs w:val="21"/>
              </w:rPr>
              <w:t>内容</w:t>
            </w:r>
            <w:r>
              <w:rPr>
                <w:rFonts w:hint="eastAsia" w:asciiTheme="minorEastAsia" w:hAnsiTheme="minorEastAsia" w:eastAsiaTheme="minorEastAsia" w:cstheme="minorEastAsia"/>
                <w:szCs w:val="21"/>
              </w:rPr>
              <w:t>完整，科学合理具有可行性，完全能满足采购需求</w:t>
            </w:r>
            <w:r>
              <w:rPr>
                <w:rFonts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15</w:t>
            </w:r>
            <w:r>
              <w:rPr>
                <w:rFonts w:asciiTheme="minorEastAsia" w:hAnsiTheme="minorEastAsia" w:eastAsiaTheme="minorEastAsia" w:cstheme="minorEastAsia"/>
                <w:szCs w:val="21"/>
              </w:rPr>
              <w:t>分，缺一项内容扣</w:t>
            </w: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分，提供的内容中每有一处具有缺陷（缺陷为方案内容与项目实际情况不符或存在偏差或存在无关的内容或不满足要求）的扣2</w:t>
            </w: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分，扣完为止</w:t>
            </w:r>
            <w:r>
              <w:rPr>
                <w:rFonts w:hint="eastAsia" w:asciiTheme="minorEastAsia" w:hAnsiTheme="minorEastAsia" w:eastAsiaTheme="minorEastAsia" w:cstheme="minorEastAsia"/>
                <w:szCs w:val="21"/>
              </w:rPr>
              <w:t>。</w:t>
            </w:r>
          </w:p>
        </w:tc>
        <w:tc>
          <w:tcPr>
            <w:tcW w:w="900" w:type="dxa"/>
            <w:noWrap/>
            <w:vAlign w:val="center"/>
          </w:tcPr>
          <w:p>
            <w:pPr>
              <w:pStyle w:val="2"/>
              <w:snapToGrid w:val="0"/>
              <w:spacing w:line="400" w:lineRule="exact"/>
              <w:jc w:val="center"/>
              <w:rPr>
                <w:rFonts w:hAnsi="宋体" w:cs="Courier New"/>
                <w:szCs w:val="21"/>
              </w:rPr>
            </w:pPr>
            <w:r>
              <w:rPr>
                <w:rFonts w:hint="eastAsia" w:hAnsi="宋体" w:cs="Courier New"/>
                <w:szCs w:val="21"/>
                <w:lang w:val="en-US" w:eastAsia="zh-CN"/>
              </w:rPr>
              <w:t>15</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81" w:type="dxa"/>
            <w:noWrap/>
            <w:vAlign w:val="center"/>
          </w:tcPr>
          <w:p>
            <w:pPr>
              <w:spacing w:line="300" w:lineRule="exact"/>
              <w:jc w:val="center"/>
              <w:rPr>
                <w:rFonts w:hint="eastAsia" w:asciiTheme="minorEastAsia" w:hAnsiTheme="minorEastAsia" w:eastAsiaTheme="minorEastAsia" w:cstheme="minorEastAsia"/>
                <w:b/>
                <w:color w:val="FF0000"/>
                <w:szCs w:val="21"/>
                <w:lang w:eastAsia="zh-CN"/>
              </w:rPr>
            </w:pPr>
            <w:r>
              <w:rPr>
                <w:rFonts w:hint="eastAsia" w:ascii="宋体" w:hAnsi="宋体" w:cs="仿宋"/>
                <w:bCs/>
                <w:color w:val="auto"/>
                <w:szCs w:val="21"/>
              </w:rPr>
              <w:t>拟投入</w:t>
            </w:r>
            <w:r>
              <w:rPr>
                <w:rFonts w:hint="eastAsia" w:ascii="宋体" w:hAnsi="宋体" w:cs="仿宋"/>
                <w:bCs/>
                <w:color w:val="auto"/>
                <w:szCs w:val="21"/>
                <w:lang w:eastAsia="zh-CN"/>
              </w:rPr>
              <w:t>本项目备品备件及耗材</w:t>
            </w:r>
          </w:p>
        </w:tc>
        <w:tc>
          <w:tcPr>
            <w:tcW w:w="6392" w:type="dxa"/>
            <w:noWrap/>
            <w:vAlign w:val="center"/>
          </w:tcPr>
          <w:p>
            <w:pPr>
              <w:pStyle w:val="2"/>
              <w:snapToGri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w:t>
            </w:r>
            <w:r>
              <w:rPr>
                <w:rFonts w:hint="eastAsia" w:asciiTheme="minorEastAsia" w:hAnsiTheme="minorEastAsia" w:eastAsiaTheme="minorEastAsia" w:cstheme="minorEastAsia"/>
                <w:szCs w:val="21"/>
                <w:lang w:eastAsia="zh-CN"/>
              </w:rPr>
              <w:t>拟投入</w:t>
            </w:r>
            <w:r>
              <w:rPr>
                <w:rFonts w:hint="eastAsia" w:asciiTheme="minorEastAsia" w:hAnsiTheme="minorEastAsia" w:eastAsiaTheme="minorEastAsia" w:cstheme="minorEastAsia"/>
                <w:szCs w:val="21"/>
              </w:rPr>
              <w:t>本项目监测、监护仪器</w:t>
            </w:r>
            <w:r>
              <w:rPr>
                <w:rFonts w:hint="eastAsia" w:asciiTheme="minorEastAsia" w:hAnsiTheme="minorEastAsia" w:eastAsiaTheme="minorEastAsia" w:cstheme="minorEastAsia"/>
                <w:szCs w:val="21"/>
                <w:lang w:eastAsia="zh-CN"/>
              </w:rPr>
              <w:t>满足采购需求的基础上</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具备充足的备品备件、所需耗材及仓储能力充分</w:t>
            </w:r>
            <w:r>
              <w:rPr>
                <w:rFonts w:hint="eastAsia" w:asciiTheme="minorEastAsia" w:hAnsiTheme="minorEastAsia" w:eastAsiaTheme="minorEastAsia" w:cstheme="minorEastAsia"/>
                <w:szCs w:val="21"/>
              </w:rPr>
              <w:t>保证得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p>
            <w:pPr>
              <w:pStyle w:val="2"/>
              <w:snapToGri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w:t>
            </w:r>
            <w:r>
              <w:rPr>
                <w:rFonts w:hint="eastAsia" w:asciiTheme="minorEastAsia" w:hAnsiTheme="minorEastAsia" w:eastAsiaTheme="minorEastAsia" w:cstheme="minorEastAsia"/>
                <w:szCs w:val="21"/>
                <w:lang w:eastAsia="zh-CN"/>
              </w:rPr>
              <w:t>拟投入</w:t>
            </w:r>
            <w:r>
              <w:rPr>
                <w:rFonts w:hint="eastAsia" w:asciiTheme="minorEastAsia" w:hAnsiTheme="minorEastAsia" w:eastAsiaTheme="minorEastAsia" w:cstheme="minorEastAsia"/>
                <w:szCs w:val="21"/>
              </w:rPr>
              <w:t>本项目监测、监护仪器</w:t>
            </w:r>
            <w:r>
              <w:rPr>
                <w:rFonts w:hint="eastAsia" w:asciiTheme="minorEastAsia" w:hAnsiTheme="minorEastAsia" w:eastAsiaTheme="minorEastAsia" w:cstheme="minorEastAsia"/>
                <w:szCs w:val="21"/>
                <w:lang w:eastAsia="zh-CN"/>
              </w:rPr>
              <w:t>满足采购需求</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p>
            <w:pPr>
              <w:pStyle w:val="2"/>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w:t>
            </w:r>
            <w:r>
              <w:rPr>
                <w:rFonts w:hint="eastAsia" w:asciiTheme="minorEastAsia" w:hAnsiTheme="minorEastAsia" w:eastAsiaTheme="minorEastAsia" w:cstheme="minorEastAsia"/>
                <w:szCs w:val="21"/>
                <w:lang w:eastAsia="zh-CN"/>
              </w:rPr>
              <w:t>拟投入</w:t>
            </w:r>
            <w:r>
              <w:rPr>
                <w:rFonts w:hint="eastAsia" w:asciiTheme="minorEastAsia" w:hAnsiTheme="minorEastAsia" w:eastAsiaTheme="minorEastAsia" w:cstheme="minorEastAsia"/>
                <w:szCs w:val="21"/>
              </w:rPr>
              <w:t>本项目监测、监护仪器不能满足采购需求，不得分。</w:t>
            </w:r>
          </w:p>
          <w:p>
            <w:pPr>
              <w:pStyle w:val="2"/>
              <w:snapToGrid w:val="0"/>
              <w:spacing w:line="40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注：备品备件、所需耗材及仓储能力需列明清单及证明材料，否则不得分。</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hAnsi="宋体" w:cs="Courier New"/>
                <w:szCs w:val="21"/>
                <w:lang w:val="en-US" w:eastAsia="zh-CN"/>
              </w:rPr>
              <w:t>5</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73" w:type="dxa"/>
            <w:gridSpan w:val="3"/>
            <w:noWrap/>
            <w:vAlign w:val="center"/>
          </w:tcPr>
          <w:p>
            <w:pPr>
              <w:pStyle w:val="2"/>
              <w:snapToGrid w:val="0"/>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C：商务部分评分20分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581"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hAnsi="宋体" w:cs="Courier New"/>
                <w:szCs w:val="21"/>
              </w:rPr>
              <w:t>类似业绩情况</w:t>
            </w:r>
          </w:p>
        </w:tc>
        <w:tc>
          <w:tcPr>
            <w:tcW w:w="6392" w:type="dxa"/>
            <w:noWrap/>
            <w:vAlign w:val="center"/>
          </w:tcPr>
          <w:p>
            <w:pPr>
              <w:pStyle w:val="2"/>
              <w:snapToGrid w:val="0"/>
              <w:spacing w:line="320" w:lineRule="exact"/>
              <w:rPr>
                <w:rFonts w:asciiTheme="minorEastAsia" w:hAnsiTheme="minorEastAsia" w:eastAsiaTheme="minorEastAsia" w:cstheme="minorEastAsia"/>
                <w:bCs/>
                <w:szCs w:val="21"/>
              </w:rPr>
            </w:pPr>
            <w:r>
              <w:rPr>
                <w:rFonts w:hint="eastAsia" w:hAnsi="宋体" w:eastAsiaTheme="minorEastAsia" w:cstheme="minorBidi"/>
                <w:szCs w:val="21"/>
              </w:rPr>
              <w:t>根据投标人近年（2020年6月1日至今）从事类似项目业绩进行评价，须提供中标通知书或成交通知书或合同协议书（须提供合同首页、合同金额页、盖章页），每提供一个有效业绩得1分，满分5分。</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hAnsi="宋体" w:cs="Courier New"/>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81" w:type="dxa"/>
            <w:vMerge w:val="restart"/>
            <w:noWrap/>
            <w:vAlign w:val="center"/>
          </w:tcPr>
          <w:p>
            <w:pPr>
              <w:spacing w:line="400" w:lineRule="exact"/>
              <w:jc w:val="center"/>
              <w:rPr>
                <w:rFonts w:hint="eastAsia" w:asciiTheme="minorEastAsia" w:hAnsiTheme="minorEastAsia" w:eastAsiaTheme="minorEastAsia" w:cstheme="minorEastAsia"/>
                <w:color w:val="FF0000"/>
                <w:szCs w:val="21"/>
                <w:lang w:eastAsia="zh-CN"/>
              </w:rPr>
            </w:pPr>
            <w:r>
              <w:rPr>
                <w:rFonts w:hint="eastAsia" w:ascii="宋体" w:hAnsi="宋体"/>
                <w:color w:val="auto"/>
              </w:rPr>
              <w:t>售后服务</w:t>
            </w:r>
            <w:r>
              <w:rPr>
                <w:rFonts w:hint="eastAsia" w:ascii="宋体" w:hAnsi="宋体"/>
                <w:color w:val="auto"/>
                <w:lang w:eastAsia="zh-CN"/>
              </w:rPr>
              <w:t>能力</w:t>
            </w:r>
          </w:p>
        </w:tc>
        <w:tc>
          <w:tcPr>
            <w:tcW w:w="6392" w:type="dxa"/>
            <w:noWrap/>
            <w:vAlign w:val="center"/>
          </w:tcPr>
          <w:p>
            <w:pPr>
              <w:spacing w:line="400" w:lineRule="exact"/>
              <w:ind w:left="101" w:leftChars="48"/>
              <w:jc w:val="left"/>
              <w:rPr>
                <w:rFonts w:ascii="宋体" w:hAnsi="宋体"/>
                <w:szCs w:val="21"/>
              </w:rPr>
            </w:pPr>
            <w:r>
              <w:rPr>
                <w:rFonts w:hint="eastAsia" w:ascii="宋体" w:hAnsi="宋体"/>
                <w:szCs w:val="21"/>
                <w:lang w:eastAsia="zh-CN"/>
              </w:rPr>
              <w:t>一、</w:t>
            </w:r>
            <w:r>
              <w:rPr>
                <w:rFonts w:ascii="宋体" w:hAnsi="宋体"/>
                <w:szCs w:val="21"/>
              </w:rPr>
              <w:t>对投标人的</w:t>
            </w:r>
            <w:r>
              <w:rPr>
                <w:rFonts w:hint="eastAsia" w:ascii="宋体" w:hAnsi="宋体"/>
                <w:szCs w:val="21"/>
                <w:lang w:eastAsia="zh-CN"/>
              </w:rPr>
              <w:t>售后</w:t>
            </w:r>
            <w:r>
              <w:rPr>
                <w:rFonts w:ascii="宋体" w:hAnsi="宋体"/>
                <w:szCs w:val="21"/>
              </w:rPr>
              <w:t>服务</w:t>
            </w:r>
            <w:r>
              <w:rPr>
                <w:rFonts w:hint="eastAsia" w:ascii="宋体" w:hAnsi="宋体"/>
                <w:szCs w:val="21"/>
                <w:lang w:eastAsia="zh-CN"/>
              </w:rPr>
              <w:t>能力</w:t>
            </w:r>
            <w:r>
              <w:rPr>
                <w:rFonts w:ascii="宋体" w:hAnsi="宋体"/>
                <w:szCs w:val="21"/>
              </w:rPr>
              <w:t xml:space="preserve">，从以下方面进行评估： </w:t>
            </w:r>
          </w:p>
          <w:p>
            <w:pPr>
              <w:spacing w:line="400" w:lineRule="exact"/>
              <w:ind w:left="101" w:leftChars="48"/>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1</w:t>
            </w:r>
            <w:r>
              <w:rPr>
                <w:rFonts w:ascii="宋体" w:hAnsi="宋体"/>
                <w:szCs w:val="21"/>
              </w:rPr>
              <w:t>分）：包含了技术服务队伍、响应时间、服务承诺等，</w:t>
            </w:r>
            <w:r>
              <w:rPr>
                <w:rFonts w:hint="eastAsia" w:ascii="宋体" w:hAnsi="宋体"/>
                <w:szCs w:val="21"/>
              </w:rPr>
              <w:t>基本</w:t>
            </w:r>
            <w:r>
              <w:rPr>
                <w:rFonts w:ascii="宋体" w:hAnsi="宋体"/>
                <w:szCs w:val="21"/>
              </w:rPr>
              <w:t xml:space="preserve">满足项目需求。 </w:t>
            </w:r>
          </w:p>
          <w:p>
            <w:pPr>
              <w:spacing w:line="400" w:lineRule="exact"/>
              <w:ind w:left="101" w:leftChars="48"/>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3</w:t>
            </w:r>
            <w:r>
              <w:rPr>
                <w:rFonts w:ascii="宋体" w:hAnsi="宋体"/>
                <w:szCs w:val="21"/>
              </w:rPr>
              <w:t>分）：包含了技术服务队伍、服务承诺等，满足项目需求，提供服务保障体系，响应时间优于招标文件 要求，提供服务流程（包括故障处</w:t>
            </w:r>
            <w:r>
              <w:rPr>
                <w:rFonts w:ascii="宋体" w:hAnsi="宋体"/>
                <w:color w:val="auto"/>
                <w:szCs w:val="21"/>
              </w:rPr>
              <w:t>理、</w:t>
            </w:r>
            <w:r>
              <w:rPr>
                <w:rFonts w:hint="eastAsia" w:ascii="宋体" w:hAnsi="宋体"/>
                <w:color w:val="auto"/>
                <w:szCs w:val="21"/>
                <w:lang w:eastAsia="zh-CN"/>
              </w:rPr>
              <w:t>应急</w:t>
            </w:r>
            <w:r>
              <w:rPr>
                <w:rFonts w:ascii="宋体" w:hAnsi="宋体"/>
                <w:color w:val="auto"/>
                <w:szCs w:val="21"/>
              </w:rPr>
              <w:t>维护、电话</w:t>
            </w:r>
            <w:r>
              <w:rPr>
                <w:rFonts w:hint="eastAsia" w:ascii="宋体" w:hAnsi="宋体"/>
                <w:color w:val="auto"/>
                <w:szCs w:val="21"/>
                <w:lang w:eastAsia="zh-CN"/>
              </w:rPr>
              <w:t>回访</w:t>
            </w:r>
            <w:r>
              <w:rPr>
                <w:rFonts w:ascii="宋体" w:hAnsi="宋体"/>
                <w:color w:val="auto"/>
                <w:szCs w:val="21"/>
              </w:rPr>
              <w:t>等），提供应急预案</w:t>
            </w:r>
            <w:r>
              <w:rPr>
                <w:rFonts w:ascii="宋体" w:hAnsi="宋体"/>
                <w:szCs w:val="21"/>
              </w:rPr>
              <w:t>，提供技术服务表单（包括客户服务报告、客户服务质量考核评估、服务满意度调查单、电话回访记录单等）整体方案符合用户需求，</w:t>
            </w:r>
            <w:r>
              <w:rPr>
                <w:rFonts w:hint="eastAsia" w:ascii="宋体" w:hAnsi="宋体"/>
                <w:szCs w:val="21"/>
              </w:rPr>
              <w:t>具有</w:t>
            </w:r>
            <w:r>
              <w:rPr>
                <w:rFonts w:ascii="宋体" w:hAnsi="宋体"/>
                <w:szCs w:val="21"/>
              </w:rPr>
              <w:t xml:space="preserve">可行性。 </w:t>
            </w:r>
          </w:p>
          <w:p>
            <w:pPr>
              <w:spacing w:line="400" w:lineRule="exact"/>
              <w:ind w:left="101" w:leftChars="48"/>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5</w:t>
            </w:r>
            <w:r>
              <w:rPr>
                <w:rFonts w:ascii="宋体" w:hAnsi="宋体"/>
                <w:szCs w:val="21"/>
              </w:rPr>
              <w:t>分）：包含了技术服务队伍、服务承诺等，</w:t>
            </w:r>
            <w:r>
              <w:rPr>
                <w:rFonts w:hint="eastAsia" w:ascii="宋体" w:hAnsi="宋体"/>
                <w:szCs w:val="21"/>
              </w:rPr>
              <w:t>完全</w:t>
            </w:r>
            <w:r>
              <w:rPr>
                <w:rFonts w:ascii="宋体" w:hAnsi="宋体"/>
                <w:szCs w:val="21"/>
              </w:rPr>
              <w:t>满足项目需求，提供服务保障体系，响应时间优于招标文件要求，提供服务流程（包括故</w:t>
            </w:r>
            <w:r>
              <w:rPr>
                <w:rFonts w:ascii="宋体" w:hAnsi="宋体"/>
                <w:color w:val="auto"/>
                <w:szCs w:val="21"/>
              </w:rPr>
              <w:t>障处理、</w:t>
            </w:r>
            <w:r>
              <w:rPr>
                <w:rFonts w:hint="eastAsia" w:ascii="宋体" w:hAnsi="宋体"/>
                <w:color w:val="auto"/>
                <w:szCs w:val="21"/>
                <w:lang w:eastAsia="zh-CN"/>
              </w:rPr>
              <w:t>应急</w:t>
            </w:r>
            <w:r>
              <w:rPr>
                <w:rFonts w:ascii="宋体" w:hAnsi="宋体"/>
                <w:color w:val="auto"/>
                <w:szCs w:val="21"/>
              </w:rPr>
              <w:t>维护、重要服务、电话</w:t>
            </w:r>
            <w:r>
              <w:rPr>
                <w:rFonts w:hint="eastAsia" w:ascii="宋体" w:hAnsi="宋体"/>
                <w:color w:val="auto"/>
                <w:szCs w:val="21"/>
                <w:lang w:eastAsia="zh-CN"/>
              </w:rPr>
              <w:t>回访等</w:t>
            </w:r>
            <w:r>
              <w:rPr>
                <w:rFonts w:ascii="宋体" w:hAnsi="宋体"/>
                <w:color w:val="auto"/>
                <w:szCs w:val="21"/>
              </w:rPr>
              <w:t>），产品的售后服务机构，提供应急预案，提供技术服务表单（包括</w:t>
            </w:r>
            <w:r>
              <w:rPr>
                <w:rFonts w:ascii="宋体" w:hAnsi="宋体"/>
                <w:szCs w:val="21"/>
              </w:rPr>
              <w:t>客户服务报告、客</w:t>
            </w:r>
            <w:permStart w:id="0" w:edGrp="everyone"/>
            <w:permEnd w:id="0"/>
            <w:r>
              <w:rPr>
                <w:rFonts w:ascii="宋体" w:hAnsi="宋体"/>
                <w:szCs w:val="21"/>
              </w:rPr>
              <w:t>户服务质量考核评估、服务满意度调查单、电话回访记录单等）整体方案优于用户需求，可行性高。</w:t>
            </w:r>
          </w:p>
          <w:p>
            <w:pPr>
              <w:spacing w:line="400" w:lineRule="exact"/>
              <w:ind w:left="101" w:leftChars="48"/>
              <w:jc w:val="left"/>
              <w:rPr>
                <w:rFonts w:asciiTheme="minorEastAsia" w:hAnsiTheme="minorEastAsia" w:cstheme="minorEastAsia"/>
                <w:szCs w:val="21"/>
              </w:rPr>
            </w:pPr>
            <w:r>
              <w:rPr>
                <w:rFonts w:ascii="宋体" w:hAnsi="宋体"/>
                <w:szCs w:val="21"/>
              </w:rPr>
              <w:t>无或其他得0分。</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581" w:type="dxa"/>
            <w:vMerge w:val="continue"/>
            <w:noWrap/>
            <w:vAlign w:val="center"/>
          </w:tcPr>
          <w:p>
            <w:pPr>
              <w:spacing w:line="400" w:lineRule="exact"/>
              <w:jc w:val="center"/>
              <w:rPr>
                <w:rFonts w:asciiTheme="minorEastAsia" w:hAnsiTheme="minorEastAsia" w:cstheme="minorEastAsia"/>
                <w:color w:val="FF0000"/>
                <w:szCs w:val="21"/>
              </w:rPr>
            </w:pPr>
          </w:p>
        </w:tc>
        <w:tc>
          <w:tcPr>
            <w:tcW w:w="6392" w:type="dxa"/>
            <w:noWrap/>
            <w:vAlign w:val="center"/>
          </w:tcPr>
          <w:p>
            <w:pPr>
              <w:pStyle w:val="2"/>
              <w:numPr>
                <w:ilvl w:val="0"/>
                <w:numId w:val="7"/>
              </w:numPr>
              <w:spacing w:line="320" w:lineRule="exact"/>
              <w:rPr>
                <w:rFonts w:hint="eastAsia" w:asciiTheme="minorHAnsi" w:hAnsiTheme="minorHAnsi" w:eastAsiaTheme="minorEastAsia" w:cstheme="minorBidi"/>
                <w:szCs w:val="22"/>
                <w:lang w:eastAsia="zh-CN"/>
              </w:rPr>
            </w:pPr>
            <w:r>
              <w:rPr>
                <w:rFonts w:hint="eastAsia" w:asciiTheme="minorHAnsi" w:hAnsiTheme="minorHAnsi" w:eastAsiaTheme="minorEastAsia" w:cstheme="minorBidi"/>
                <w:szCs w:val="22"/>
                <w:lang w:eastAsia="zh-CN"/>
              </w:rPr>
              <w:t>人员配备：</w:t>
            </w:r>
          </w:p>
          <w:p>
            <w:pPr>
              <w:pStyle w:val="2"/>
              <w:numPr>
                <w:ilvl w:val="0"/>
                <w:numId w:val="0"/>
              </w:numPr>
              <w:spacing w:line="320" w:lineRule="exact"/>
            </w:pPr>
            <w:r>
              <w:rPr>
                <w:rFonts w:hint="eastAsia" w:asciiTheme="minorHAnsi" w:hAnsiTheme="minorHAnsi" w:eastAsiaTheme="minorEastAsia" w:cstheme="minorBidi"/>
                <w:szCs w:val="22"/>
              </w:rPr>
              <w:t>投标人</w:t>
            </w:r>
            <w:r>
              <w:rPr>
                <w:rFonts w:hint="eastAsia" w:asciiTheme="minorHAnsi" w:hAnsiTheme="minorHAnsi" w:eastAsiaTheme="minorEastAsia" w:cstheme="minorBidi"/>
                <w:szCs w:val="22"/>
                <w:lang w:eastAsia="zh-CN"/>
              </w:rPr>
              <w:t>拟投入人员在满足采购需求的基础上，</w:t>
            </w:r>
            <w:r>
              <w:rPr>
                <w:rFonts w:hint="eastAsia" w:asciiTheme="minorHAnsi" w:hAnsiTheme="minorHAnsi" w:eastAsiaTheme="minorEastAsia" w:cstheme="minorBidi"/>
                <w:szCs w:val="22"/>
              </w:rPr>
              <w:t>每提供一名</w:t>
            </w:r>
            <w:r>
              <w:rPr>
                <w:rFonts w:hint="eastAsia" w:asciiTheme="minorHAnsi" w:hAnsiTheme="minorHAnsi" w:eastAsiaTheme="minorEastAsia" w:cstheme="minorBidi"/>
                <w:szCs w:val="22"/>
                <w:lang w:eastAsia="zh-CN"/>
              </w:rPr>
              <w:t>具有护士执业资格证书的</w:t>
            </w:r>
            <w:r>
              <w:rPr>
                <w:rFonts w:hint="eastAsia" w:asciiTheme="minorHAnsi" w:hAnsiTheme="minorHAnsi" w:eastAsiaTheme="minorEastAsia" w:cstheme="minorBidi"/>
                <w:szCs w:val="22"/>
              </w:rPr>
              <w:t>远程监护服务人员常驻医院加2分，每提供一名</w:t>
            </w:r>
            <w:r>
              <w:rPr>
                <w:rFonts w:hint="eastAsia" w:asciiTheme="minorHAnsi" w:hAnsiTheme="minorHAnsi" w:eastAsiaTheme="minorEastAsia" w:cstheme="minorBidi"/>
                <w:szCs w:val="22"/>
                <w:lang w:eastAsia="zh-CN"/>
              </w:rPr>
              <w:t>具有医师执业资格证书的</w:t>
            </w:r>
            <w:r>
              <w:rPr>
                <w:rFonts w:hint="eastAsia" w:asciiTheme="minorHAnsi" w:hAnsiTheme="minorHAnsi" w:eastAsiaTheme="minorEastAsia" w:cstheme="minorBidi"/>
                <w:szCs w:val="22"/>
              </w:rPr>
              <w:t>远程监护服务人员常驻医院加</w:t>
            </w:r>
            <w:r>
              <w:rPr>
                <w:rFonts w:hint="eastAsia" w:asciiTheme="minorHAnsi" w:hAnsiTheme="minorHAnsi" w:eastAsiaTheme="minorEastAsia" w:cstheme="minorBidi"/>
                <w:szCs w:val="22"/>
                <w:lang w:val="en-US" w:eastAsia="zh-CN"/>
              </w:rPr>
              <w:t>4</w:t>
            </w:r>
            <w:r>
              <w:rPr>
                <w:rFonts w:hint="eastAsia" w:asciiTheme="minorHAnsi" w:hAnsiTheme="minorHAnsi" w:eastAsiaTheme="minorEastAsia" w:cstheme="minorBidi"/>
                <w:szCs w:val="22"/>
              </w:rPr>
              <w:t>分，</w:t>
            </w:r>
            <w:r>
              <w:rPr>
                <w:rFonts w:hint="eastAsia" w:asciiTheme="minorHAnsi" w:hAnsiTheme="minorHAnsi" w:eastAsiaTheme="minorEastAsia" w:cstheme="minorBidi"/>
                <w:szCs w:val="22"/>
                <w:lang w:eastAsia="zh-CN"/>
              </w:rPr>
              <w:t>满分</w:t>
            </w:r>
            <w:r>
              <w:rPr>
                <w:rFonts w:hint="eastAsia" w:asciiTheme="minorHAnsi" w:hAnsiTheme="minorHAnsi" w:eastAsiaTheme="minorEastAsia" w:cstheme="minorBidi"/>
                <w:szCs w:val="22"/>
                <w:lang w:val="en-US" w:eastAsia="zh-CN"/>
              </w:rPr>
              <w:t>10</w:t>
            </w:r>
            <w:r>
              <w:rPr>
                <w:rFonts w:hint="eastAsia" w:asciiTheme="minorHAnsi" w:hAnsiTheme="minorHAnsi" w:eastAsiaTheme="minorEastAsia" w:cstheme="minorBidi"/>
                <w:szCs w:val="22"/>
              </w:rPr>
              <w:t>分</w:t>
            </w:r>
            <w:r>
              <w:rPr>
                <w:rFonts w:hint="eastAsia" w:asciiTheme="minorHAnsi" w:hAnsiTheme="minorHAnsi" w:eastAsiaTheme="minorEastAsia" w:cstheme="minorBidi"/>
                <w:szCs w:val="22"/>
                <w:lang w:val="en-US" w:eastAsia="zh-CN"/>
              </w:rPr>
              <w:t>，</w:t>
            </w:r>
            <w:r>
              <w:rPr>
                <w:rFonts w:hint="eastAsia" w:asciiTheme="minorHAnsi" w:hAnsiTheme="minorHAnsi" w:eastAsiaTheme="minorEastAsia" w:cstheme="minorBidi"/>
                <w:szCs w:val="22"/>
              </w:rPr>
              <w:t>未提供承诺不得分。注：提供人员身份证及近半年社保证明，否则不得分。</w:t>
            </w:r>
          </w:p>
        </w:tc>
        <w:tc>
          <w:tcPr>
            <w:tcW w:w="900" w:type="dxa"/>
            <w:noWrap/>
            <w:vAlign w:val="center"/>
          </w:tcPr>
          <w:p>
            <w:pPr>
              <w:pStyle w:val="2"/>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bl>
    <w:p>
      <w:pPr>
        <w:spacing w:line="360" w:lineRule="auto"/>
        <w:ind w:left="1080" w:leftChars="257" w:hanging="540"/>
        <w:jc w:val="center"/>
        <w:rPr>
          <w:rFonts w:asciiTheme="minorEastAsia" w:hAnsiTheme="minorEastAsia" w:cstheme="minorEastAsia"/>
        </w:rPr>
      </w:pPr>
    </w:p>
    <w:p>
      <w:pPr>
        <w:spacing w:line="360" w:lineRule="auto"/>
        <w:ind w:firstLine="562" w:firstLineChars="200"/>
        <w:rPr>
          <w:rFonts w:asciiTheme="minorEastAsia" w:hAnsiTheme="minorEastAsia" w:cstheme="minorEastAsia"/>
        </w:rPr>
      </w:pPr>
      <w:r>
        <w:rPr>
          <w:rFonts w:hint="eastAsia" w:asciiTheme="minorEastAsia" w:hAnsiTheme="minorEastAsia" w:cstheme="minorEastAsia"/>
          <w:b/>
          <w:sz w:val="28"/>
          <w:szCs w:val="28"/>
        </w:rPr>
        <w:br w:type="page"/>
      </w:r>
    </w:p>
    <w:p>
      <w:pPr>
        <w:tabs>
          <w:tab w:val="left" w:pos="0"/>
        </w:tabs>
        <w:spacing w:line="360" w:lineRule="auto"/>
        <w:jc w:val="center"/>
        <w:outlineLvl w:val="0"/>
        <w:rPr>
          <w:rFonts w:asciiTheme="minorEastAsia" w:hAnsiTheme="minorEastAsia" w:cstheme="minorEastAsia"/>
          <w:b/>
          <w:color w:val="000000" w:themeColor="text1"/>
          <w:sz w:val="36"/>
        </w:rPr>
      </w:pPr>
    </w:p>
    <w:p>
      <w:pPr>
        <w:tabs>
          <w:tab w:val="left" w:pos="0"/>
        </w:tabs>
        <w:spacing w:line="360" w:lineRule="auto"/>
        <w:jc w:val="center"/>
        <w:outlineLvl w:val="0"/>
        <w:rPr>
          <w:rFonts w:asciiTheme="minorEastAsia" w:hAnsiTheme="minorEastAsia" w:cstheme="minorEastAsia"/>
          <w:b/>
          <w:color w:val="000000" w:themeColor="text1"/>
          <w:sz w:val="36"/>
        </w:rPr>
      </w:pPr>
      <w:bookmarkStart w:id="269" w:name="_Toc29395"/>
      <w:r>
        <w:rPr>
          <w:rFonts w:hint="eastAsia" w:asciiTheme="minorEastAsia" w:hAnsiTheme="minorEastAsia" w:cstheme="minorEastAsia"/>
          <w:b/>
          <w:color w:val="000000" w:themeColor="text1"/>
          <w:sz w:val="36"/>
        </w:rPr>
        <w:t>第五章、政府采购合同</w:t>
      </w:r>
      <w:bookmarkEnd w:id="269"/>
    </w:p>
    <w:p>
      <w:pPr>
        <w:tabs>
          <w:tab w:val="left" w:pos="0"/>
        </w:tabs>
        <w:spacing w:line="360" w:lineRule="auto"/>
        <w:jc w:val="center"/>
        <w:rPr>
          <w:rFonts w:asciiTheme="minorEastAsia" w:hAnsiTheme="minorEastAsia" w:cstheme="minorEastAsia"/>
          <w:b/>
          <w:color w:val="000000" w:themeColor="text1"/>
          <w:sz w:val="36"/>
        </w:rPr>
      </w:pPr>
    </w:p>
    <w:p>
      <w:pPr>
        <w:rPr>
          <w:rFonts w:asciiTheme="minorEastAsia" w:hAnsiTheme="minorEastAsia" w:cstheme="minorEastAsia"/>
        </w:rPr>
      </w:pPr>
    </w:p>
    <w:p>
      <w:pPr>
        <w:spacing w:line="480" w:lineRule="auto"/>
        <w:rPr>
          <w:rFonts w:asciiTheme="minorEastAsia" w:hAnsiTheme="minorEastAsia" w:cstheme="minorEastAsia"/>
          <w:b/>
          <w:sz w:val="28"/>
          <w:szCs w:val="28"/>
        </w:rPr>
      </w:pPr>
    </w:p>
    <w:p>
      <w:pPr>
        <w:spacing w:line="480" w:lineRule="auto"/>
        <w:jc w:val="center"/>
        <w:rPr>
          <w:rFonts w:asciiTheme="minorEastAsia" w:hAnsiTheme="minorEastAsia" w:cstheme="minorEastAsia"/>
          <w:b/>
          <w:sz w:val="28"/>
          <w:szCs w:val="28"/>
        </w:rPr>
      </w:pPr>
    </w:p>
    <w:p>
      <w:pPr>
        <w:spacing w:line="480" w:lineRule="auto"/>
        <w:jc w:val="center"/>
        <w:rPr>
          <w:rFonts w:asciiTheme="minorEastAsia" w:hAnsiTheme="minorEastAsia" w:cstheme="minorEastAsia"/>
          <w:b/>
          <w:sz w:val="28"/>
          <w:szCs w:val="28"/>
        </w:rPr>
      </w:pPr>
    </w:p>
    <w:p>
      <w:pPr>
        <w:spacing w:line="480" w:lineRule="auto"/>
        <w:jc w:val="center"/>
        <w:rPr>
          <w:rFonts w:asciiTheme="minorEastAsia" w:hAnsiTheme="minorEastAsia" w:cstheme="minorEastAsia"/>
          <w:b/>
          <w:sz w:val="44"/>
          <w:szCs w:val="44"/>
        </w:rPr>
      </w:pPr>
      <w:r>
        <w:rPr>
          <w:rFonts w:hint="eastAsia" w:asciiTheme="minorEastAsia" w:hAnsiTheme="minorEastAsia" w:cstheme="minorEastAsia"/>
          <w:b/>
          <w:sz w:val="44"/>
          <w:szCs w:val="44"/>
        </w:rPr>
        <w:t>政府采购合同</w:t>
      </w:r>
    </w:p>
    <w:p>
      <w:pPr>
        <w:spacing w:line="480" w:lineRule="auto"/>
        <w:jc w:val="center"/>
        <w:rPr>
          <w:rFonts w:asciiTheme="minorEastAsia" w:hAnsiTheme="minorEastAsia" w:cstheme="minorEastAsia"/>
          <w:b/>
          <w:sz w:val="24"/>
        </w:rPr>
      </w:pPr>
      <w:r>
        <w:rPr>
          <w:rFonts w:hint="eastAsia" w:asciiTheme="minorEastAsia" w:hAnsiTheme="minorEastAsia" w:cstheme="minorEastAsia"/>
          <w:b/>
          <w:sz w:val="24"/>
        </w:rPr>
        <w:t>（服务类）</w:t>
      </w:r>
    </w:p>
    <w:p>
      <w:pPr>
        <w:pStyle w:val="57"/>
        <w:ind w:firstLine="0"/>
        <w:rPr>
          <w:rFonts w:asciiTheme="minorEastAsia" w:hAnsiTheme="minorEastAsia" w:cstheme="minorEastAsia"/>
          <w:szCs w:val="24"/>
        </w:rPr>
      </w:pPr>
    </w:p>
    <w:p>
      <w:pPr>
        <w:pStyle w:val="57"/>
        <w:ind w:firstLine="0"/>
        <w:rPr>
          <w:rFonts w:asciiTheme="minorEastAsia" w:hAnsiTheme="minorEastAsia" w:cstheme="minorEastAsia"/>
          <w:szCs w:val="24"/>
        </w:rPr>
      </w:pPr>
    </w:p>
    <w:p>
      <w:pPr>
        <w:pStyle w:val="57"/>
        <w:ind w:firstLine="0"/>
        <w:rPr>
          <w:rFonts w:asciiTheme="minorEastAsia" w:hAnsiTheme="minorEastAsia" w:cstheme="minorEastAsia"/>
          <w:szCs w:val="24"/>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bookmarkStart w:id="270" w:name="_Toc16459"/>
      <w:r>
        <w:rPr>
          <w:rFonts w:hint="eastAsia" w:asciiTheme="minorEastAsia" w:hAnsiTheme="minorEastAsia" w:eastAsiaTheme="minorEastAsia" w:cstheme="minorEastAsia"/>
          <w:b/>
          <w:color w:val="000000"/>
          <w:kern w:val="2"/>
          <w:sz w:val="21"/>
          <w:szCs w:val="21"/>
        </w:rPr>
        <w:t>第一部分 合同书</w:t>
      </w:r>
      <w:bookmarkEnd w:id="270"/>
    </w:p>
    <w:p>
      <w:pPr>
        <w:pStyle w:val="57"/>
        <w:ind w:firstLine="0"/>
        <w:rPr>
          <w:rFonts w:asciiTheme="minorEastAsia" w:hAnsiTheme="minorEastAsia" w:cstheme="minorEastAsia"/>
          <w:szCs w:val="24"/>
        </w:rPr>
      </w:pPr>
    </w:p>
    <w:p>
      <w:pPr>
        <w:pStyle w:val="57"/>
        <w:ind w:firstLine="0"/>
        <w:rPr>
          <w:rFonts w:asciiTheme="minorEastAsia" w:hAnsiTheme="minorEastAsia" w:cstheme="minorEastAsia"/>
          <w:szCs w:val="24"/>
        </w:rPr>
      </w:pPr>
    </w:p>
    <w:p>
      <w:pPr>
        <w:spacing w:before="120" w:line="22" w:lineRule="atLeast"/>
        <w:rPr>
          <w:rFonts w:asciiTheme="minorEastAsia" w:hAnsiTheme="minorEastAsia" w:cstheme="minorEastAsia"/>
          <w:sz w:val="24"/>
        </w:rPr>
      </w:pPr>
    </w:p>
    <w:p>
      <w:pPr>
        <w:spacing w:before="120" w:line="22" w:lineRule="atLeast"/>
        <w:ind w:left="960"/>
        <w:rPr>
          <w:rFonts w:asciiTheme="minorEastAsia" w:hAnsiTheme="minorEastAsia" w:cstheme="minorEastAsia"/>
        </w:rPr>
      </w:pPr>
      <w:r>
        <w:rPr>
          <w:rFonts w:hint="eastAsia" w:asciiTheme="minorEastAsia" w:hAnsiTheme="minorEastAsia" w:cstheme="minorEastAsia"/>
          <w:sz w:val="24"/>
        </w:rPr>
        <w:t>项目名称：</w:t>
      </w:r>
      <w:r>
        <w:rPr>
          <w:rFonts w:hint="eastAsia" w:asciiTheme="minorEastAsia" w:hAnsiTheme="minorEastAsia" w:cstheme="minorEastAsia"/>
          <w:sz w:val="24"/>
          <w:u w:val="single"/>
        </w:rPr>
        <w:t xml:space="preserve">                                   </w:t>
      </w:r>
    </w:p>
    <w:p>
      <w:pPr>
        <w:rPr>
          <w:rFonts w:asciiTheme="minorEastAsia" w:hAnsiTheme="minorEastAsia" w:cstheme="minorEastAsia"/>
        </w:rPr>
      </w:pPr>
    </w:p>
    <w:p>
      <w:pPr>
        <w:spacing w:before="120" w:line="22" w:lineRule="atLeast"/>
        <w:ind w:left="960"/>
        <w:rPr>
          <w:rFonts w:asciiTheme="minorEastAsia" w:hAnsiTheme="minorEastAsia" w:cstheme="minorEastAsia"/>
          <w:sz w:val="24"/>
          <w:u w:val="single"/>
        </w:rPr>
      </w:pPr>
      <w:r>
        <w:rPr>
          <w:rFonts w:hint="eastAsia" w:asciiTheme="minorEastAsia" w:hAnsiTheme="minorEastAsia" w:cstheme="minorEastAsia"/>
          <w:sz w:val="24"/>
        </w:rPr>
        <w:t>甲方：</w:t>
      </w:r>
      <w:r>
        <w:rPr>
          <w:rFonts w:hint="eastAsia" w:asciiTheme="minorEastAsia" w:hAnsiTheme="minorEastAsia" w:cstheme="minorEastAsia"/>
          <w:sz w:val="24"/>
          <w:u w:val="single"/>
        </w:rPr>
        <w:t xml:space="preserve">                                       </w:t>
      </w:r>
    </w:p>
    <w:p>
      <w:pPr>
        <w:spacing w:before="120" w:line="22" w:lineRule="atLeast"/>
        <w:rPr>
          <w:rFonts w:asciiTheme="minorEastAsia" w:hAnsiTheme="minorEastAsia" w:cstheme="minorEastAsia"/>
          <w:sz w:val="24"/>
        </w:rPr>
      </w:pPr>
    </w:p>
    <w:p>
      <w:pPr>
        <w:spacing w:before="120" w:line="22" w:lineRule="atLeast"/>
        <w:ind w:left="960"/>
        <w:rPr>
          <w:rFonts w:asciiTheme="minorEastAsia" w:hAnsiTheme="minorEastAsia" w:cstheme="minorEastAsia"/>
          <w:sz w:val="24"/>
          <w:u w:val="single"/>
        </w:rPr>
      </w:pPr>
      <w:r>
        <w:rPr>
          <w:rFonts w:hint="eastAsia" w:asciiTheme="minorEastAsia" w:hAnsiTheme="minorEastAsia" w:cstheme="minorEastAsia"/>
          <w:sz w:val="24"/>
        </w:rPr>
        <w:t>乙方：</w:t>
      </w:r>
      <w:r>
        <w:rPr>
          <w:rFonts w:hint="eastAsia" w:asciiTheme="minorEastAsia" w:hAnsiTheme="minorEastAsia" w:cstheme="minorEastAsia"/>
          <w:sz w:val="24"/>
          <w:u w:val="single"/>
        </w:rPr>
        <w:t xml:space="preserve">                                       </w:t>
      </w:r>
    </w:p>
    <w:p>
      <w:pPr>
        <w:spacing w:before="120" w:line="22" w:lineRule="atLeast"/>
        <w:rPr>
          <w:rFonts w:asciiTheme="minorEastAsia" w:hAnsiTheme="minorEastAsia" w:cstheme="minorEastAsia"/>
          <w:sz w:val="24"/>
        </w:rPr>
      </w:pPr>
    </w:p>
    <w:p>
      <w:pPr>
        <w:spacing w:before="120" w:line="22" w:lineRule="atLeast"/>
        <w:ind w:firstLine="960" w:firstLineChars="400"/>
        <w:rPr>
          <w:rFonts w:asciiTheme="minorEastAsia" w:hAnsiTheme="minorEastAsia" w:cstheme="minorEastAsia"/>
          <w:sz w:val="24"/>
          <w:u w:val="single"/>
        </w:rPr>
      </w:pPr>
      <w:r>
        <w:rPr>
          <w:rFonts w:hint="eastAsia" w:asciiTheme="minorEastAsia" w:hAnsiTheme="minorEastAsia" w:cstheme="minorEastAsia"/>
          <w:sz w:val="24"/>
        </w:rPr>
        <w:t>签订地：</w:t>
      </w:r>
      <w:r>
        <w:rPr>
          <w:rFonts w:hint="eastAsia" w:asciiTheme="minorEastAsia" w:hAnsiTheme="minorEastAsia" w:cstheme="minorEastAsia"/>
          <w:sz w:val="24"/>
          <w:u w:val="single"/>
        </w:rPr>
        <w:t xml:space="preserve">                                     </w:t>
      </w:r>
    </w:p>
    <w:p>
      <w:pPr>
        <w:spacing w:before="120" w:line="22" w:lineRule="atLeast"/>
        <w:rPr>
          <w:rFonts w:asciiTheme="minorEastAsia" w:hAnsiTheme="minorEastAsia" w:cstheme="minorEastAsia"/>
          <w:sz w:val="24"/>
        </w:rPr>
      </w:pPr>
    </w:p>
    <w:p>
      <w:pPr>
        <w:spacing w:before="120" w:line="22" w:lineRule="atLeast"/>
        <w:ind w:firstLine="960" w:firstLineChars="400"/>
        <w:rPr>
          <w:rFonts w:asciiTheme="minorEastAsia" w:hAnsiTheme="minorEastAsia" w:cstheme="minorEastAsia"/>
          <w:sz w:val="24"/>
          <w:u w:val="single"/>
        </w:rPr>
      </w:pPr>
      <w:r>
        <w:rPr>
          <w:rFonts w:hint="eastAsia" w:asciiTheme="minorEastAsia" w:hAnsiTheme="minorEastAsia" w:cstheme="minorEastAsia"/>
          <w:sz w:val="24"/>
        </w:rPr>
        <w:t>签订日期：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autoSpaceDE w:val="0"/>
        <w:autoSpaceDN w:val="0"/>
        <w:adjustRightInd w:val="0"/>
        <w:spacing w:line="600" w:lineRule="exact"/>
        <w:ind w:firstLine="640"/>
        <w:jc w:val="center"/>
        <w:rPr>
          <w:rFonts w:asciiTheme="minorEastAsia" w:hAnsiTheme="minorEastAsia" w:cstheme="minorEastAsia"/>
          <w:sz w:val="24"/>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NumType w:start="0"/>
          <w:cols w:space="720" w:num="1"/>
          <w:titlePg/>
          <w:docGrid w:linePitch="462" w:charSpace="0"/>
        </w:sectPr>
      </w:pP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（采购人名称）   </w:t>
      </w:r>
      <w:r>
        <w:rPr>
          <w:rFonts w:hint="eastAsia" w:asciiTheme="minorEastAsia" w:hAnsiTheme="minorEastAsia" w:cstheme="minorEastAsia"/>
          <w:sz w:val="24"/>
        </w:rPr>
        <w:t>以</w:t>
      </w:r>
      <w:r>
        <w:rPr>
          <w:rFonts w:hint="eastAsia" w:asciiTheme="minorEastAsia" w:hAnsiTheme="minorEastAsia" w:cstheme="minorEastAsia"/>
          <w:sz w:val="24"/>
          <w:u w:val="single"/>
        </w:rPr>
        <w:t xml:space="preserve">   （政府采购方式）  </w:t>
      </w:r>
      <w:r>
        <w:rPr>
          <w:rFonts w:hint="eastAsia" w:asciiTheme="minorEastAsia" w:hAnsiTheme="minorEastAsia" w:cstheme="minorEastAsia"/>
          <w:sz w:val="24"/>
        </w:rPr>
        <w:t>对</w:t>
      </w:r>
      <w:r>
        <w:rPr>
          <w:rFonts w:hint="eastAsia" w:asciiTheme="minorEastAsia" w:hAnsiTheme="minorEastAsia" w:cstheme="minorEastAsia"/>
          <w:sz w:val="24"/>
          <w:u w:val="single"/>
        </w:rPr>
        <w:t xml:space="preserve">   （同前页项目名称）   </w:t>
      </w:r>
      <w:r>
        <w:rPr>
          <w:rFonts w:hint="eastAsia" w:asciiTheme="minorEastAsia" w:hAnsiTheme="minorEastAsia" w:cstheme="minorEastAsia"/>
          <w:sz w:val="24"/>
        </w:rPr>
        <w:t>项目进行了采购。经</w:t>
      </w:r>
      <w:r>
        <w:rPr>
          <w:rFonts w:hint="eastAsia" w:asciiTheme="minorEastAsia" w:hAnsiTheme="minorEastAsia" w:cstheme="minorEastAsia"/>
          <w:sz w:val="24"/>
          <w:u w:val="single"/>
        </w:rPr>
        <w:t xml:space="preserve">   （相关评定主体名称）   </w:t>
      </w:r>
      <w:r>
        <w:rPr>
          <w:rFonts w:hint="eastAsia" w:asciiTheme="minorEastAsia" w:hAnsiTheme="minorEastAsia" w:cstheme="minorEastAsia"/>
          <w:sz w:val="24"/>
        </w:rPr>
        <w:t>评定，</w:t>
      </w:r>
      <w:r>
        <w:rPr>
          <w:rFonts w:hint="eastAsia" w:asciiTheme="minorEastAsia" w:hAnsiTheme="minorEastAsia" w:cstheme="minorEastAsia"/>
          <w:sz w:val="24"/>
          <w:u w:val="single"/>
        </w:rPr>
        <w:t xml:space="preserve">   （中标供应商名称） </w:t>
      </w:r>
      <w:r>
        <w:rPr>
          <w:rFonts w:hint="eastAsia" w:asciiTheme="minorEastAsia" w:hAnsi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zh-CN"/>
        </w:rPr>
        <w:t>根据《中华人民共和国</w:t>
      </w:r>
      <w:r>
        <w:rPr>
          <w:rFonts w:hint="eastAsia" w:asciiTheme="minorEastAsia" w:hAnsiTheme="minorEastAsia" w:cstheme="minorEastAsia"/>
          <w:sz w:val="24"/>
        </w:rPr>
        <w:t>民法典</w:t>
      </w:r>
      <w:r>
        <w:rPr>
          <w:rFonts w:hint="eastAsia" w:asciiTheme="minorEastAsia" w:hAnsiTheme="minorEastAsia" w:cstheme="minorEastAsia"/>
          <w:sz w:val="24"/>
          <w:lang w:val="zh-CN"/>
        </w:rPr>
        <w:t>》、《中华人民共和国政府采购法》等相关法律法规之规定，按照平等、自愿、公平和诚实信用的原则，经</w:t>
      </w:r>
      <w:r>
        <w:rPr>
          <w:rFonts w:hint="eastAsia" w:asciiTheme="minorEastAsia" w:hAnsiTheme="minorEastAsia" w:cstheme="minorEastAsia"/>
          <w:sz w:val="24"/>
          <w:u w:val="single"/>
        </w:rPr>
        <w:t xml:space="preserve">   （采购人名称）   </w:t>
      </w:r>
      <w:r>
        <w:rPr>
          <w:rFonts w:hint="eastAsia" w:asciiTheme="minorEastAsia" w:hAnsiTheme="minorEastAsia" w:cstheme="minorEastAsia"/>
          <w:sz w:val="24"/>
          <w:lang w:val="zh-CN"/>
        </w:rPr>
        <w:t>(以下简称：甲方)和</w:t>
      </w:r>
      <w:r>
        <w:rPr>
          <w:rFonts w:hint="eastAsia" w:asciiTheme="minorEastAsia" w:hAnsiTheme="minorEastAsia" w:cstheme="minorEastAsia"/>
          <w:sz w:val="24"/>
          <w:u w:val="single"/>
        </w:rPr>
        <w:t xml:space="preserve">   （中标供应商名称）   </w:t>
      </w:r>
      <w:r>
        <w:rPr>
          <w:rFonts w:hint="eastAsia" w:asciiTheme="minorEastAsia" w:hAnsiTheme="minorEastAsia" w:cstheme="minorEastAsia"/>
          <w:sz w:val="24"/>
          <w:lang w:val="zh-CN"/>
        </w:rPr>
        <w:t>(以下简称：乙方)协商一致，约定以下合同</w:t>
      </w:r>
      <w:r>
        <w:rPr>
          <w:rFonts w:hint="eastAsia" w:asciiTheme="minorEastAsia" w:hAnsiTheme="minorEastAsia" w:cstheme="minorEastAsia"/>
          <w:sz w:val="24"/>
        </w:rPr>
        <w:t>条款，以兹共同遵守、全面履行。</w:t>
      </w:r>
    </w:p>
    <w:p>
      <w:pPr>
        <w:spacing w:line="560" w:lineRule="exact"/>
        <w:ind w:firstLine="482" w:firstLineChars="200"/>
        <w:rPr>
          <w:rFonts w:asciiTheme="minorEastAsia" w:hAnsiTheme="minorEastAsia" w:cstheme="minorEastAsia"/>
          <w:sz w:val="24"/>
        </w:rPr>
      </w:pPr>
      <w:bookmarkStart w:id="271" w:name="_Toc15367"/>
      <w:bookmarkStart w:id="272" w:name="_Toc22967"/>
      <w:bookmarkStart w:id="273" w:name="_Toc14965"/>
      <w:bookmarkStart w:id="274" w:name="_Toc4359"/>
      <w:bookmarkStart w:id="275" w:name="_Toc19273"/>
      <w:bookmarkStart w:id="276" w:name="_Toc20421"/>
      <w:bookmarkStart w:id="277" w:name="_Toc25354"/>
      <w:bookmarkStart w:id="278" w:name="_Toc28855"/>
      <w:r>
        <w:rPr>
          <w:rFonts w:hint="eastAsia" w:asciiTheme="minorEastAsia" w:hAnsiTheme="minorEastAsia" w:cstheme="minorEastAsia"/>
          <w:b/>
          <w:sz w:val="24"/>
        </w:rPr>
        <w:t>1.1 合同组成部分</w:t>
      </w:r>
      <w:bookmarkEnd w:id="271"/>
      <w:bookmarkEnd w:id="272"/>
      <w:bookmarkEnd w:id="273"/>
      <w:bookmarkEnd w:id="274"/>
      <w:bookmarkEnd w:id="275"/>
      <w:bookmarkEnd w:id="276"/>
      <w:bookmarkEnd w:id="277"/>
      <w:bookmarkEnd w:id="278"/>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1.1.1 本合同及其补充合同、变更协议；</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1.1.2 中标通知书；</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1.1.3 投标文件（含澄清或者说明文件）；</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1.1.4 招标文件（含澄清或者修改文件）；</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1.1.5 其他相关采购文件。</w:t>
      </w:r>
    </w:p>
    <w:p>
      <w:pPr>
        <w:spacing w:line="560" w:lineRule="exact"/>
        <w:ind w:firstLine="482" w:firstLineChars="200"/>
        <w:rPr>
          <w:rFonts w:asciiTheme="minorEastAsia" w:hAnsiTheme="minorEastAsia" w:cstheme="minorEastAsia"/>
          <w:b/>
          <w:sz w:val="24"/>
        </w:rPr>
      </w:pPr>
      <w:bookmarkStart w:id="279" w:name="_Toc18585"/>
      <w:bookmarkStart w:id="280" w:name="_Toc487"/>
      <w:bookmarkStart w:id="281" w:name="_Toc24778"/>
      <w:bookmarkStart w:id="282" w:name="_Toc10578"/>
      <w:bookmarkStart w:id="283" w:name="_Toc22185"/>
      <w:bookmarkStart w:id="284" w:name="_Toc6773"/>
      <w:bookmarkStart w:id="285" w:name="_Toc2918"/>
      <w:bookmarkStart w:id="286" w:name="_Toc6311"/>
      <w:r>
        <w:rPr>
          <w:rFonts w:hint="eastAsia" w:asciiTheme="minorEastAsia" w:hAnsiTheme="minorEastAsia" w:cstheme="minorEastAsia"/>
          <w:b/>
          <w:sz w:val="24"/>
        </w:rPr>
        <w:t>1.2 标的</w:t>
      </w:r>
      <w:bookmarkEnd w:id="279"/>
      <w:bookmarkEnd w:id="280"/>
      <w:bookmarkEnd w:id="281"/>
      <w:bookmarkEnd w:id="282"/>
      <w:bookmarkEnd w:id="283"/>
      <w:bookmarkEnd w:id="284"/>
      <w:bookmarkEnd w:id="285"/>
      <w:bookmarkEnd w:id="286"/>
    </w:p>
    <w:p>
      <w:pPr>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1.2.1 标的名称：</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1.2.2 标的数量：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1.2.3 标的质量：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2" w:firstLineChars="200"/>
        <w:rPr>
          <w:rFonts w:asciiTheme="minorEastAsia" w:hAnsiTheme="minorEastAsia" w:cstheme="minorEastAsia"/>
          <w:b/>
          <w:sz w:val="24"/>
        </w:rPr>
      </w:pPr>
      <w:bookmarkStart w:id="287" w:name="_Toc1386"/>
      <w:bookmarkStart w:id="288" w:name="_Toc13918"/>
      <w:bookmarkStart w:id="289" w:name="_Toc12230"/>
      <w:bookmarkStart w:id="290" w:name="_Toc21124"/>
      <w:bookmarkStart w:id="291" w:name="_Toc5635"/>
      <w:bookmarkStart w:id="292" w:name="_Toc30348"/>
      <w:bookmarkStart w:id="293" w:name="_Toc30302"/>
      <w:bookmarkStart w:id="294" w:name="_Toc4929"/>
      <w:r>
        <w:rPr>
          <w:rFonts w:hint="eastAsia" w:asciiTheme="minorEastAsia" w:hAnsiTheme="minorEastAsia" w:cstheme="minorEastAsia"/>
          <w:b/>
          <w:sz w:val="24"/>
        </w:rPr>
        <w:t>1.3 价款</w:t>
      </w:r>
      <w:bookmarkEnd w:id="287"/>
      <w:bookmarkEnd w:id="288"/>
      <w:bookmarkEnd w:id="289"/>
      <w:bookmarkEnd w:id="290"/>
      <w:bookmarkEnd w:id="291"/>
      <w:bookmarkEnd w:id="292"/>
      <w:bookmarkEnd w:id="293"/>
      <w:bookmarkEnd w:id="294"/>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本合同总价为：￥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元人民币）。</w:t>
      </w:r>
    </w:p>
    <w:p>
      <w:pPr>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9"/>
              <w:spacing w:line="5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3402" w:type="dxa"/>
            <w:vAlign w:val="center"/>
          </w:tcPr>
          <w:p>
            <w:pPr>
              <w:pStyle w:val="59"/>
              <w:spacing w:line="560" w:lineRule="exact"/>
              <w:ind w:firstLine="20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分项名称</w:t>
            </w:r>
          </w:p>
        </w:tc>
        <w:tc>
          <w:tcPr>
            <w:tcW w:w="2552" w:type="dxa"/>
            <w:vAlign w:val="center"/>
          </w:tcPr>
          <w:p>
            <w:pPr>
              <w:pStyle w:val="59"/>
              <w:spacing w:line="56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3402"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2552" w:type="dxa"/>
            <w:vAlign w:val="center"/>
          </w:tcPr>
          <w:p>
            <w:pPr>
              <w:pStyle w:val="59"/>
              <w:spacing w:line="560" w:lineRule="exact"/>
              <w:ind w:firstLine="200"/>
              <w:jc w:val="center"/>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3402"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2552" w:type="dxa"/>
            <w:vAlign w:val="center"/>
          </w:tcPr>
          <w:p>
            <w:pPr>
              <w:pStyle w:val="59"/>
              <w:spacing w:line="560" w:lineRule="exact"/>
              <w:ind w:firstLine="200"/>
              <w:jc w:val="center"/>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3402"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2552" w:type="dxa"/>
            <w:vAlign w:val="center"/>
          </w:tcPr>
          <w:p>
            <w:pPr>
              <w:pStyle w:val="59"/>
              <w:spacing w:line="560" w:lineRule="exact"/>
              <w:ind w:firstLine="200"/>
              <w:jc w:val="center"/>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3402" w:type="dxa"/>
            <w:vAlign w:val="center"/>
          </w:tcPr>
          <w:p>
            <w:pPr>
              <w:pStyle w:val="59"/>
              <w:spacing w:line="560" w:lineRule="exact"/>
              <w:ind w:firstLine="200"/>
              <w:jc w:val="center"/>
              <w:rPr>
                <w:rFonts w:asciiTheme="minorEastAsia" w:hAnsiTheme="minorEastAsia" w:cstheme="minorEastAsia"/>
                <w:color w:val="000000"/>
                <w:sz w:val="24"/>
                <w:szCs w:val="24"/>
              </w:rPr>
            </w:pPr>
          </w:p>
        </w:tc>
        <w:tc>
          <w:tcPr>
            <w:tcW w:w="2552" w:type="dxa"/>
            <w:vAlign w:val="center"/>
          </w:tcPr>
          <w:p>
            <w:pPr>
              <w:pStyle w:val="59"/>
              <w:spacing w:line="560" w:lineRule="exact"/>
              <w:ind w:firstLine="200"/>
              <w:jc w:val="center"/>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9"/>
              <w:spacing w:line="560" w:lineRule="exact"/>
              <w:ind w:firstLine="20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总价</w:t>
            </w:r>
          </w:p>
        </w:tc>
        <w:tc>
          <w:tcPr>
            <w:tcW w:w="2552" w:type="dxa"/>
            <w:vAlign w:val="center"/>
          </w:tcPr>
          <w:p>
            <w:pPr>
              <w:pStyle w:val="59"/>
              <w:spacing w:line="560" w:lineRule="exact"/>
              <w:ind w:firstLine="200"/>
              <w:jc w:val="center"/>
              <w:rPr>
                <w:rFonts w:asciiTheme="minorEastAsia" w:hAnsiTheme="minorEastAsia" w:cstheme="minorEastAsia"/>
                <w:color w:val="000000"/>
                <w:sz w:val="24"/>
                <w:szCs w:val="24"/>
              </w:rPr>
            </w:pPr>
          </w:p>
        </w:tc>
      </w:tr>
    </w:tbl>
    <w:p>
      <w:pPr>
        <w:spacing w:line="560" w:lineRule="exact"/>
        <w:ind w:firstLine="482" w:firstLineChars="200"/>
        <w:rPr>
          <w:rFonts w:asciiTheme="minorEastAsia" w:hAnsiTheme="minorEastAsia" w:cstheme="minorEastAsia"/>
          <w:b/>
          <w:sz w:val="24"/>
        </w:rPr>
      </w:pPr>
      <w:bookmarkStart w:id="295" w:name="_Toc7516"/>
      <w:bookmarkStart w:id="296" w:name="_Toc26916"/>
      <w:bookmarkStart w:id="297" w:name="_Toc3654"/>
      <w:bookmarkStart w:id="298" w:name="_Toc21502"/>
      <w:bookmarkStart w:id="299" w:name="_Toc4856"/>
      <w:bookmarkStart w:id="300" w:name="_Toc30158"/>
      <w:bookmarkStart w:id="301" w:name="_Toc14993"/>
      <w:bookmarkStart w:id="302" w:name="_Toc30506"/>
      <w:r>
        <w:rPr>
          <w:rFonts w:hint="eastAsia" w:asciiTheme="minorEastAsia" w:hAnsiTheme="minorEastAsia" w:cstheme="minorEastAsia"/>
          <w:b/>
          <w:sz w:val="24"/>
        </w:rPr>
        <w:t>1.4 付款方式和发票开具方式</w:t>
      </w:r>
      <w:bookmarkEnd w:id="295"/>
      <w:bookmarkEnd w:id="296"/>
      <w:bookmarkEnd w:id="297"/>
      <w:bookmarkEnd w:id="298"/>
      <w:bookmarkEnd w:id="299"/>
      <w:bookmarkEnd w:id="300"/>
      <w:bookmarkEnd w:id="301"/>
      <w:bookmarkEnd w:id="302"/>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1.4.1付款方式：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1.4.2 发票开具方式：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2" w:firstLineChars="200"/>
        <w:rPr>
          <w:rFonts w:asciiTheme="minorEastAsia" w:hAnsiTheme="minorEastAsia" w:cstheme="minorEastAsia"/>
          <w:b/>
          <w:sz w:val="24"/>
        </w:rPr>
      </w:pPr>
      <w:bookmarkStart w:id="303" w:name="_Toc3625"/>
      <w:bookmarkStart w:id="304" w:name="_Toc11108"/>
      <w:bookmarkStart w:id="305" w:name="_Toc4760"/>
      <w:bookmarkStart w:id="306" w:name="_Toc8772"/>
      <w:bookmarkStart w:id="307" w:name="_Toc5627"/>
      <w:bookmarkStart w:id="308" w:name="_Toc31421"/>
      <w:bookmarkStart w:id="309" w:name="_Toc15970"/>
      <w:bookmarkStart w:id="310" w:name="_Toc11489"/>
      <w:r>
        <w:rPr>
          <w:rFonts w:hint="eastAsia" w:asciiTheme="minorEastAsia" w:hAnsiTheme="minorEastAsia" w:cstheme="minorEastAsia"/>
          <w:b/>
          <w:sz w:val="24"/>
        </w:rPr>
        <w:t>1.5 履行期限、地点和方式</w:t>
      </w:r>
      <w:bookmarkEnd w:id="303"/>
      <w:bookmarkEnd w:id="304"/>
      <w:bookmarkEnd w:id="305"/>
      <w:bookmarkEnd w:id="306"/>
      <w:bookmarkEnd w:id="307"/>
      <w:bookmarkEnd w:id="308"/>
      <w:bookmarkEnd w:id="309"/>
      <w:bookmarkEnd w:id="310"/>
    </w:p>
    <w:p>
      <w:pPr>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1.5.1 履行期限：</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1.5.2 履行地点：</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1.5.3 履行方式：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560" w:lineRule="exact"/>
        <w:ind w:firstLine="482" w:firstLineChars="200"/>
        <w:rPr>
          <w:rFonts w:asciiTheme="minorEastAsia" w:hAnsiTheme="minorEastAsia" w:cstheme="minorEastAsia"/>
          <w:sz w:val="24"/>
          <w:u w:val="single"/>
        </w:rPr>
      </w:pPr>
      <w:bookmarkStart w:id="311" w:name="_Toc1015"/>
      <w:bookmarkStart w:id="312" w:name="_Toc2375"/>
      <w:bookmarkStart w:id="313" w:name="_Toc8586"/>
      <w:bookmarkStart w:id="314" w:name="_Toc32198"/>
      <w:bookmarkStart w:id="315" w:name="_Toc5698"/>
      <w:bookmarkStart w:id="316" w:name="_Toc10966"/>
      <w:bookmarkStart w:id="317" w:name="_Toc24662"/>
      <w:bookmarkStart w:id="318" w:name="_Toc3079"/>
      <w:r>
        <w:rPr>
          <w:rFonts w:hint="eastAsia" w:asciiTheme="minorEastAsia" w:hAnsiTheme="minorEastAsia" w:cstheme="minorEastAsia"/>
          <w:b/>
          <w:sz w:val="24"/>
        </w:rPr>
        <w:t>1.6 违约责任</w:t>
      </w:r>
      <w:bookmarkEnd w:id="311"/>
      <w:bookmarkEnd w:id="312"/>
      <w:bookmarkEnd w:id="313"/>
      <w:bookmarkEnd w:id="314"/>
      <w:bookmarkEnd w:id="315"/>
      <w:bookmarkEnd w:id="316"/>
      <w:bookmarkEnd w:id="317"/>
      <w:bookmarkEnd w:id="318"/>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%计算，最高限额为本合同总价的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%计算，最高限额为本合同总价的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Theme="minorEastAsia" w:hAnsiTheme="minorEastAsia" w:cstheme="minorEastAsia"/>
          <w:b/>
          <w:sz w:val="24"/>
        </w:rPr>
      </w:pPr>
      <w:bookmarkStart w:id="319" w:name="_Toc9707"/>
      <w:bookmarkStart w:id="320" w:name="_Toc4182"/>
      <w:bookmarkStart w:id="321" w:name="_Toc5464"/>
      <w:bookmarkStart w:id="322" w:name="_Toc32454"/>
      <w:bookmarkStart w:id="323" w:name="_Toc26807"/>
      <w:bookmarkStart w:id="324" w:name="_Toc30329"/>
      <w:bookmarkStart w:id="325" w:name="_Toc9497"/>
      <w:bookmarkStart w:id="326" w:name="_Toc18683"/>
      <w:r>
        <w:rPr>
          <w:rFonts w:hint="eastAsia" w:asciiTheme="minorEastAsia" w:hAnsiTheme="minorEastAsia" w:cstheme="minorEastAsia"/>
          <w:b/>
          <w:sz w:val="24"/>
        </w:rPr>
        <w:t>1.7 合同争议的解决</w:t>
      </w:r>
      <w:bookmarkEnd w:id="319"/>
      <w:bookmarkEnd w:id="320"/>
      <w:bookmarkEnd w:id="321"/>
      <w:bookmarkEnd w:id="322"/>
      <w:bookmarkEnd w:id="323"/>
      <w:bookmarkEnd w:id="324"/>
      <w:bookmarkEnd w:id="325"/>
      <w:bookmarkEnd w:id="326"/>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本合同履行过程中发生的任何争议，双方当事人均可通过和解或者调解解决；不愿和解、调解或者和解、调解不成的，可以选择下列第</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种方式解决：</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1.7.1 将争议提交</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仲裁委员会依申请仲裁时其现行有效的仲裁规则裁决；</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1.7.2 向</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人民法院起诉。</w:t>
      </w:r>
    </w:p>
    <w:p>
      <w:pPr>
        <w:spacing w:line="560" w:lineRule="exact"/>
        <w:ind w:firstLine="482" w:firstLineChars="200"/>
        <w:rPr>
          <w:rFonts w:asciiTheme="minorEastAsia" w:hAnsiTheme="minorEastAsia" w:cstheme="minorEastAsia"/>
          <w:b/>
          <w:sz w:val="24"/>
        </w:rPr>
      </w:pPr>
      <w:bookmarkStart w:id="327" w:name="_Toc10666"/>
      <w:bookmarkStart w:id="328" w:name="_Toc20853"/>
      <w:bookmarkStart w:id="329" w:name="_Toc12273"/>
      <w:bookmarkStart w:id="330" w:name="_Toc15827"/>
      <w:bookmarkStart w:id="331" w:name="_Toc23784"/>
      <w:bookmarkStart w:id="332" w:name="_Toc16417"/>
      <w:bookmarkStart w:id="333" w:name="_Toc14957"/>
      <w:bookmarkStart w:id="334" w:name="_Toc26227"/>
      <w:r>
        <w:rPr>
          <w:rFonts w:hint="eastAsia" w:asciiTheme="minorEastAsia" w:hAnsiTheme="minorEastAsia" w:cstheme="minorEastAsia"/>
          <w:b/>
          <w:sz w:val="24"/>
        </w:rPr>
        <w:t>1.8 合同生效</w:t>
      </w:r>
      <w:bookmarkEnd w:id="327"/>
      <w:bookmarkEnd w:id="328"/>
      <w:bookmarkEnd w:id="329"/>
      <w:bookmarkEnd w:id="330"/>
      <w:bookmarkEnd w:id="331"/>
      <w:bookmarkEnd w:id="332"/>
      <w:bookmarkEnd w:id="333"/>
      <w:bookmarkEnd w:id="334"/>
    </w:p>
    <w:p>
      <w:pPr>
        <w:spacing w:line="56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cstheme="minorEastAsia"/>
          <w:sz w:val="24"/>
          <w:lang w:val="zh-CN"/>
        </w:rPr>
      </w:pP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b/>
          <w:sz w:val="24"/>
          <w:lang w:val="zh-CN"/>
        </w:rPr>
        <w:t>甲方</w:t>
      </w:r>
      <w:r>
        <w:rPr>
          <w:rFonts w:hint="eastAsia" w:asciiTheme="minorEastAsia" w:hAnsiTheme="minorEastAsia" w:cstheme="minorEastAsia"/>
          <w:sz w:val="24"/>
          <w:lang w:val="zh-CN"/>
        </w:rPr>
        <w:t xml:space="preserve">：                             </w:t>
      </w:r>
      <w:r>
        <w:rPr>
          <w:rFonts w:hint="eastAsia" w:asciiTheme="minorEastAsia" w:hAnsiTheme="minorEastAsia" w:cstheme="minorEastAsia"/>
          <w:b/>
          <w:sz w:val="24"/>
          <w:lang w:val="zh-CN"/>
        </w:rPr>
        <w:t xml:space="preserve">      乙方</w:t>
      </w:r>
      <w:r>
        <w:rPr>
          <w:rFonts w:hint="eastAsia" w:asciiTheme="minorEastAsia" w:hAnsiTheme="minorEastAsia" w:cstheme="minorEastAsia"/>
          <w:sz w:val="24"/>
          <w:lang w:val="zh-CN"/>
        </w:rPr>
        <w:t>：</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统一社会信用代码：                        统一社会信用代码或身份证号码：</w:t>
      </w:r>
    </w:p>
    <w:p>
      <w:pPr>
        <w:autoSpaceDE w:val="0"/>
        <w:autoSpaceDN w:val="0"/>
        <w:adjustRightInd w:val="0"/>
        <w:spacing w:line="560" w:lineRule="exact"/>
        <w:rPr>
          <w:rFonts w:asciiTheme="minorEastAsia" w:hAnsiTheme="minorEastAsia" w:cstheme="minorEastAsia"/>
          <w:sz w:val="24"/>
          <w:lang w:val="zh-CN"/>
        </w:rPr>
      </w:pP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住所：                                   住所：</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法定代表人或                             法定代表人</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授权代表（签字）：                        或授权代表（签字）: </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联系人：                                 联系人：</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约定送达地址：                           约定送达地址：</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邮政编码：                               邮政编码：</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电话:                                    电话: </w:t>
      </w:r>
    </w:p>
    <w:p>
      <w:pPr>
        <w:autoSpaceDE w:val="0"/>
        <w:autoSpaceDN w:val="0"/>
        <w:adjustRightInd w:val="0"/>
        <w:spacing w:line="560" w:lineRule="exact"/>
        <w:rPr>
          <w:rFonts w:asciiTheme="minorEastAsia" w:hAnsiTheme="minorEastAsia" w:cstheme="minorEastAsia"/>
          <w:sz w:val="24"/>
          <w:lang w:val="zh-CN"/>
        </w:rPr>
      </w:pPr>
      <w:r>
        <w:rPr>
          <w:rFonts w:hint="eastAsia" w:asciiTheme="minorEastAsia" w:hAnsiTheme="minorEastAsia" w:cstheme="minorEastAsia"/>
          <w:sz w:val="24"/>
          <w:lang w:val="zh-CN"/>
        </w:rPr>
        <w:t>传真:                                    传真:</w:t>
      </w:r>
    </w:p>
    <w:p>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lang w:val="zh-CN"/>
        </w:rPr>
        <w:t>电子邮箱：                               电子邮箱：</w:t>
      </w:r>
    </w:p>
    <w:p>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rPr>
        <w:t xml:space="preserve">开户银行：                               开户银行： </w:t>
      </w:r>
    </w:p>
    <w:p>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rPr>
        <w:t xml:space="preserve">开户名称：                               开户名称： </w:t>
      </w:r>
    </w:p>
    <w:p>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rPr>
        <w:t>开户账号：</w:t>
      </w:r>
      <w:r>
        <w:rPr>
          <w:rFonts w:hint="eastAsia" w:asciiTheme="minorEastAsia" w:hAnsiTheme="minorEastAsia" w:cstheme="minorEastAsia"/>
          <w:sz w:val="24"/>
          <w:lang w:val="zh-CN"/>
        </w:rPr>
        <w:t xml:space="preserve">                               </w:t>
      </w:r>
      <w:r>
        <w:rPr>
          <w:rFonts w:hint="eastAsia" w:asciiTheme="minorEastAsia" w:hAnsiTheme="minorEastAsia" w:cstheme="minorEastAsia"/>
          <w:sz w:val="24"/>
        </w:rPr>
        <w:t>开户账号：</w:t>
      </w:r>
    </w:p>
    <w:p>
      <w:pPr>
        <w:widowControl/>
        <w:spacing w:line="560" w:lineRule="exact"/>
        <w:jc w:val="left"/>
        <w:rPr>
          <w:rFonts w:asciiTheme="minorEastAsia" w:hAnsiTheme="minorEastAsia" w:cstheme="minorEastAsia"/>
          <w:b/>
        </w:rPr>
      </w:pPr>
      <w:bookmarkStart w:id="335" w:name="_Toc331685783"/>
    </w:p>
    <w:p>
      <w:pPr>
        <w:widowControl/>
        <w:spacing w:line="560" w:lineRule="exact"/>
        <w:jc w:val="left"/>
        <w:rPr>
          <w:rFonts w:asciiTheme="minorEastAsia" w:hAnsiTheme="minorEastAsia" w:cstheme="minorEastAsia"/>
          <w:b/>
        </w:rPr>
      </w:pPr>
    </w:p>
    <w:p>
      <w:pPr>
        <w:widowControl/>
        <w:spacing w:line="560" w:lineRule="exact"/>
        <w:jc w:val="left"/>
        <w:rPr>
          <w:rFonts w:asciiTheme="minorEastAsia" w:hAnsiTheme="minorEastAsia" w:cstheme="minorEastAsia"/>
          <w:b/>
          <w:kern w:val="0"/>
          <w:sz w:val="24"/>
        </w:rPr>
      </w:pPr>
    </w:p>
    <w:p>
      <w:pPr>
        <w:widowControl/>
        <w:spacing w:line="560" w:lineRule="exact"/>
        <w:jc w:val="left"/>
        <w:rPr>
          <w:rFonts w:asciiTheme="minorEastAsia" w:hAnsiTheme="minorEastAsia" w:cstheme="minorEastAsia"/>
          <w:b/>
          <w:kern w:val="0"/>
          <w:sz w:val="24"/>
        </w:rPr>
      </w:pPr>
    </w:p>
    <w:p>
      <w:pPr>
        <w:widowControl/>
        <w:spacing w:line="560" w:lineRule="exact"/>
        <w:jc w:val="left"/>
        <w:rPr>
          <w:rFonts w:asciiTheme="minorEastAsia" w:hAnsiTheme="minorEastAsia" w:cstheme="minorEastAsia"/>
          <w:b/>
          <w:kern w:val="0"/>
          <w:sz w:val="24"/>
        </w:rPr>
      </w:pPr>
    </w:p>
    <w:p>
      <w:pPr>
        <w:widowControl/>
        <w:spacing w:line="560" w:lineRule="exact"/>
        <w:jc w:val="left"/>
        <w:rPr>
          <w:rFonts w:asciiTheme="minorEastAsia" w:hAnsiTheme="minorEastAsia" w:cstheme="minorEastAsia"/>
          <w:b/>
          <w:kern w:val="0"/>
          <w:sz w:val="24"/>
        </w:rPr>
      </w:pPr>
    </w:p>
    <w:p>
      <w:pPr>
        <w:widowControl/>
        <w:spacing w:line="360" w:lineRule="auto"/>
        <w:jc w:val="center"/>
        <w:rPr>
          <w:rFonts w:asciiTheme="minorEastAsia" w:hAnsiTheme="minorEastAsia" w:cstheme="minorEastAsia"/>
          <w:b/>
          <w:sz w:val="32"/>
          <w:szCs w:val="32"/>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p>
    <w:p>
      <w:pPr>
        <w:pStyle w:val="23"/>
        <w:autoSpaceDE w:val="0"/>
        <w:spacing w:before="0" w:beforeAutospacing="0" w:after="0" w:afterAutospacing="0" w:line="360" w:lineRule="auto"/>
        <w:jc w:val="center"/>
        <w:outlineLvl w:val="1"/>
        <w:rPr>
          <w:rFonts w:asciiTheme="minorEastAsia" w:hAnsiTheme="minorEastAsia" w:eastAsiaTheme="minorEastAsia" w:cstheme="minorEastAsia"/>
          <w:b/>
          <w:color w:val="000000"/>
          <w:kern w:val="2"/>
          <w:sz w:val="21"/>
          <w:szCs w:val="21"/>
        </w:rPr>
      </w:pPr>
      <w:bookmarkStart w:id="336" w:name="_Toc13085"/>
      <w:r>
        <w:rPr>
          <w:rFonts w:hint="eastAsia" w:asciiTheme="minorEastAsia" w:hAnsiTheme="minorEastAsia" w:eastAsiaTheme="minorEastAsia" w:cstheme="minorEastAsia"/>
          <w:b/>
          <w:color w:val="000000"/>
          <w:kern w:val="2"/>
          <w:sz w:val="21"/>
          <w:szCs w:val="21"/>
        </w:rPr>
        <w:t>第二部分 合同一般条款</w:t>
      </w:r>
      <w:bookmarkEnd w:id="335"/>
      <w:bookmarkEnd w:id="336"/>
    </w:p>
    <w:p>
      <w:pPr>
        <w:spacing w:line="560" w:lineRule="exact"/>
        <w:ind w:firstLine="482" w:firstLineChars="200"/>
        <w:rPr>
          <w:rFonts w:asciiTheme="minorEastAsia" w:hAnsiTheme="minorEastAsia" w:cstheme="minorEastAsia"/>
          <w:b/>
          <w:sz w:val="24"/>
        </w:rPr>
      </w:pPr>
      <w:bookmarkStart w:id="337" w:name="_Ref467378463"/>
      <w:bookmarkStart w:id="338" w:name="_Ref467379109"/>
      <w:bookmarkStart w:id="339" w:name="_Toc31297"/>
      <w:bookmarkStart w:id="340" w:name="_Toc25079"/>
      <w:bookmarkStart w:id="341" w:name="_Toc14021"/>
      <w:bookmarkStart w:id="342" w:name="_Ref467379225"/>
      <w:bookmarkStart w:id="343" w:name="_Toc487900349"/>
      <w:bookmarkStart w:id="344" w:name="_Toc21098"/>
      <w:bookmarkStart w:id="345" w:name="_Toc259093669"/>
      <w:bookmarkStart w:id="346" w:name="_Ref467378404"/>
      <w:bookmarkStart w:id="347" w:name="_Toc5228"/>
      <w:bookmarkStart w:id="348" w:name="_Ref467379101"/>
      <w:bookmarkStart w:id="349" w:name="_Ref467379205"/>
      <w:bookmarkStart w:id="350" w:name="_Ref467379094"/>
      <w:bookmarkStart w:id="351" w:name="_Toc7399"/>
      <w:bookmarkStart w:id="352" w:name="_Toc7367"/>
      <w:bookmarkStart w:id="353" w:name="_Ref467379195"/>
      <w:bookmarkStart w:id="354" w:name="_Toc19680"/>
      <w:bookmarkStart w:id="355" w:name="_Ref467378499"/>
      <w:bookmarkStart w:id="356" w:name="_Toc279701240"/>
      <w:bookmarkStart w:id="357" w:name="_Ref467379214"/>
      <w:r>
        <w:rPr>
          <w:rFonts w:hint="eastAsia" w:asciiTheme="minorEastAsia" w:hAnsiTheme="minorEastAsia" w:cstheme="minorEastAsia"/>
          <w:b/>
          <w:sz w:val="24"/>
        </w:rPr>
        <w:t>2.1 定义</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本合同中的下列词语应按以下内容进行解释：</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cstheme="minorEastAsia"/>
          <w:sz w:val="24"/>
        </w:rPr>
      </w:pPr>
      <w:bookmarkStart w:id="358" w:name="_Ref467378840"/>
      <w:r>
        <w:rPr>
          <w:rFonts w:hint="eastAsia" w:asciiTheme="minorEastAsia" w:hAnsiTheme="minorEastAsia" w:cstheme="minorEastAsia"/>
          <w:sz w:val="24"/>
        </w:rPr>
        <w:t>2.1.4 “甲方”系指与中标供应商签署合同的采购人</w:t>
      </w:r>
      <w:bookmarkEnd w:id="358"/>
      <w:r>
        <w:rPr>
          <w:rFonts w:hint="eastAsia" w:asciiTheme="minorEastAsia" w:hAnsi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cstheme="minorEastAsia"/>
          <w:sz w:val="24"/>
        </w:rPr>
      </w:pPr>
      <w:bookmarkStart w:id="359" w:name="_Ref467379400"/>
      <w:r>
        <w:rPr>
          <w:rFonts w:hint="eastAsia" w:asciiTheme="minorEastAsia" w:hAnsiTheme="minorEastAsia" w:cstheme="minorEastAsia"/>
          <w:sz w:val="24"/>
        </w:rPr>
        <w:t>2.1.5 “乙方”系指根据合同约定提供服务的中标供应商</w:t>
      </w:r>
      <w:bookmarkEnd w:id="359"/>
      <w:r>
        <w:rPr>
          <w:rFonts w:hint="eastAsia" w:asciiTheme="minorEastAsia" w:hAnsi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cstheme="minorEastAsia"/>
          <w:sz w:val="24"/>
        </w:rPr>
      </w:pPr>
      <w:bookmarkStart w:id="360" w:name="_Ref467379436"/>
      <w:r>
        <w:rPr>
          <w:rFonts w:hint="eastAsia" w:asciiTheme="minorEastAsia" w:hAnsiTheme="minorEastAsia" w:cstheme="minorEastAsia"/>
          <w:sz w:val="24"/>
        </w:rPr>
        <w:t>2.1.6 “现场”系指合同约定提供服务的地点。</w:t>
      </w:r>
      <w:bookmarkEnd w:id="360"/>
    </w:p>
    <w:p>
      <w:pPr>
        <w:spacing w:line="560" w:lineRule="exact"/>
        <w:ind w:firstLine="482" w:firstLineChars="200"/>
        <w:rPr>
          <w:rFonts w:asciiTheme="minorEastAsia" w:hAnsiTheme="minorEastAsia" w:cstheme="minorEastAsia"/>
          <w:b/>
          <w:sz w:val="24"/>
        </w:rPr>
      </w:pPr>
      <w:bookmarkStart w:id="361" w:name="_Toc19539"/>
      <w:bookmarkStart w:id="362" w:name="_Toc487900350"/>
      <w:bookmarkStart w:id="363" w:name="_Toc16752"/>
      <w:bookmarkStart w:id="364" w:name="_Toc279701241"/>
      <w:bookmarkStart w:id="365" w:name="_Toc259093670"/>
      <w:bookmarkStart w:id="366" w:name="_Toc3769"/>
      <w:bookmarkStart w:id="367" w:name="_Toc29844"/>
      <w:bookmarkStart w:id="368" w:name="_Toc31402"/>
      <w:bookmarkStart w:id="369" w:name="_Toc23289"/>
      <w:bookmarkStart w:id="370" w:name="_Toc20623"/>
      <w:bookmarkStart w:id="371" w:name="_Toc840"/>
      <w:r>
        <w:rPr>
          <w:rFonts w:hint="eastAsia" w:asciiTheme="minorEastAsia" w:hAnsiTheme="minorEastAsia" w:cstheme="minorEastAsia"/>
          <w:b/>
          <w:sz w:val="24"/>
        </w:rPr>
        <w:t>2.2 技术规范</w:t>
      </w:r>
      <w:bookmarkEnd w:id="361"/>
      <w:bookmarkEnd w:id="362"/>
      <w:bookmarkEnd w:id="363"/>
      <w:bookmarkEnd w:id="364"/>
      <w:bookmarkEnd w:id="365"/>
      <w:bookmarkEnd w:id="366"/>
      <w:bookmarkEnd w:id="367"/>
      <w:bookmarkEnd w:id="368"/>
      <w:bookmarkEnd w:id="369"/>
      <w:bookmarkEnd w:id="370"/>
      <w:bookmarkEnd w:id="371"/>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Fonts w:asciiTheme="minorEastAsia" w:hAnsiTheme="minorEastAsia" w:cstheme="minorEastAsia"/>
          <w:b/>
          <w:sz w:val="24"/>
        </w:rPr>
      </w:pPr>
      <w:bookmarkStart w:id="372" w:name="_Toc9161"/>
      <w:bookmarkStart w:id="373" w:name="_Toc6190"/>
      <w:bookmarkStart w:id="374" w:name="_Toc259093671"/>
      <w:bookmarkStart w:id="375" w:name="_Toc4133"/>
      <w:bookmarkStart w:id="376" w:name="_Toc27945"/>
      <w:bookmarkStart w:id="377" w:name="_Toc11440"/>
      <w:bookmarkStart w:id="378" w:name="_Toc487900351"/>
      <w:bookmarkStart w:id="379" w:name="_Toc973"/>
      <w:bookmarkStart w:id="380" w:name="_Toc13673"/>
      <w:bookmarkStart w:id="381" w:name="_Toc279701242"/>
      <w:bookmarkStart w:id="382" w:name="_Toc12412"/>
      <w:r>
        <w:rPr>
          <w:rFonts w:hint="eastAsia" w:asciiTheme="minorEastAsia" w:hAnsiTheme="minorEastAsia" w:cstheme="minorEastAsia"/>
          <w:b/>
          <w:sz w:val="24"/>
        </w:rPr>
        <w:t>2.3 知识产权</w:t>
      </w:r>
      <w:bookmarkEnd w:id="372"/>
      <w:bookmarkEnd w:id="373"/>
      <w:bookmarkEnd w:id="374"/>
      <w:bookmarkEnd w:id="375"/>
      <w:bookmarkEnd w:id="376"/>
      <w:bookmarkEnd w:id="377"/>
      <w:bookmarkEnd w:id="378"/>
      <w:bookmarkEnd w:id="379"/>
      <w:bookmarkEnd w:id="380"/>
      <w:bookmarkEnd w:id="381"/>
      <w:bookmarkEnd w:id="382"/>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2.3.2 合同涉及技术成果的归属和收益的分成办法的，详见</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w:t>
      </w:r>
    </w:p>
    <w:p>
      <w:pPr>
        <w:spacing w:line="56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2.4 履约检查和问题反馈</w:t>
      </w:r>
    </w:p>
    <w:p>
      <w:pPr>
        <w:spacing w:line="560" w:lineRule="exact"/>
        <w:ind w:firstLine="480" w:firstLineChars="200"/>
        <w:rPr>
          <w:rFonts w:asciiTheme="minorEastAsia" w:hAnsiTheme="minorEastAsia" w:cstheme="minorEastAsia"/>
          <w:sz w:val="24"/>
        </w:rPr>
      </w:pPr>
      <w:bookmarkStart w:id="383" w:name="_Ref467379657"/>
      <w:r>
        <w:rPr>
          <w:rFonts w:hint="eastAsia" w:asciiTheme="minorEastAsia" w:hAnsiTheme="minorEastAsia" w:cstheme="minorEastAsia"/>
          <w:sz w:val="24"/>
        </w:rPr>
        <w:t>2.4.1</w:t>
      </w:r>
      <w:bookmarkEnd w:id="383"/>
      <w:bookmarkStart w:id="384" w:name="_Toc186431854"/>
      <w:bookmarkStart w:id="385" w:name="_Toc279701247"/>
      <w:bookmarkStart w:id="386" w:name="_Ref467379793"/>
      <w:bookmarkStart w:id="387" w:name="_Ref467379807"/>
      <w:bookmarkStart w:id="388" w:name="_Toc259093676"/>
      <w:bookmarkStart w:id="389" w:name="_Toc487900357"/>
      <w:r>
        <w:rPr>
          <w:rFonts w:hint="eastAsia" w:asciiTheme="minorEastAsia" w:hAnsi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2.4.2 合同履行期间，甲方有权将履行过程中出现的问题反馈给乙方，双方当事人应以书面形式约定需要完善和改进的内容</w:t>
      </w:r>
      <w:bookmarkEnd w:id="384"/>
      <w:bookmarkStart w:id="390" w:name="_Toc186431855"/>
      <w:r>
        <w:rPr>
          <w:rFonts w:hint="eastAsia" w:asciiTheme="minorEastAsia" w:hAnsiTheme="minorEastAsia" w:cstheme="minorEastAsia"/>
          <w:sz w:val="24"/>
        </w:rPr>
        <w:t>。</w:t>
      </w:r>
    </w:p>
    <w:bookmarkEnd w:id="390"/>
    <w:p>
      <w:pPr>
        <w:spacing w:line="560" w:lineRule="exact"/>
        <w:ind w:firstLine="482" w:firstLineChars="200"/>
        <w:rPr>
          <w:rFonts w:asciiTheme="minorEastAsia" w:hAnsiTheme="minorEastAsia" w:cstheme="minorEastAsia"/>
          <w:b/>
          <w:sz w:val="24"/>
        </w:rPr>
      </w:pPr>
      <w:bookmarkStart w:id="391" w:name="_Toc31233"/>
      <w:bookmarkStart w:id="392" w:name="_Toc15447"/>
      <w:bookmarkStart w:id="393" w:name="_Toc26555"/>
      <w:bookmarkStart w:id="394" w:name="_Toc317"/>
      <w:bookmarkStart w:id="395" w:name="_Toc32670"/>
      <w:bookmarkStart w:id="396" w:name="_Toc22011"/>
      <w:bookmarkStart w:id="397" w:name="_Toc32643"/>
      <w:bookmarkStart w:id="398" w:name="_Toc31317"/>
      <w:r>
        <w:rPr>
          <w:rFonts w:hint="eastAsia" w:asciiTheme="minorEastAsia" w:hAnsiTheme="minorEastAsia" w:cstheme="minorEastAsia"/>
          <w:b/>
          <w:sz w:val="24"/>
        </w:rPr>
        <w:t>2.5 结算方式和付款条件</w:t>
      </w:r>
      <w:bookmarkEnd w:id="385"/>
      <w:bookmarkEnd w:id="386"/>
      <w:bookmarkEnd w:id="387"/>
      <w:bookmarkEnd w:id="388"/>
      <w:bookmarkEnd w:id="389"/>
      <w:bookmarkEnd w:id="391"/>
      <w:bookmarkEnd w:id="392"/>
      <w:bookmarkEnd w:id="393"/>
      <w:bookmarkEnd w:id="394"/>
      <w:bookmarkEnd w:id="395"/>
      <w:bookmarkEnd w:id="396"/>
      <w:bookmarkEnd w:id="397"/>
      <w:bookmarkEnd w:id="398"/>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详见</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w:t>
      </w:r>
    </w:p>
    <w:p>
      <w:pPr>
        <w:spacing w:line="560" w:lineRule="exact"/>
        <w:ind w:firstLine="482" w:firstLineChars="200"/>
        <w:rPr>
          <w:rFonts w:asciiTheme="minorEastAsia" w:hAnsiTheme="minorEastAsia" w:cstheme="minorEastAsia"/>
          <w:b/>
          <w:sz w:val="24"/>
        </w:rPr>
      </w:pPr>
      <w:bookmarkStart w:id="399" w:name="_Toc487900358"/>
      <w:bookmarkStart w:id="400" w:name="_Toc279701248"/>
      <w:bookmarkStart w:id="401" w:name="_Ref467379852"/>
      <w:bookmarkStart w:id="402" w:name="_Ref467379863"/>
      <w:bookmarkStart w:id="403" w:name="_Ref467379923"/>
      <w:bookmarkStart w:id="404" w:name="_Toc259093677"/>
      <w:bookmarkStart w:id="405" w:name="_Toc3898"/>
      <w:bookmarkStart w:id="406" w:name="_Toc16163"/>
      <w:bookmarkStart w:id="407" w:name="_Toc13467"/>
      <w:bookmarkStart w:id="408" w:name="_Toc23078"/>
      <w:bookmarkStart w:id="409" w:name="_Toc10370"/>
      <w:bookmarkStart w:id="410" w:name="_Toc18990"/>
      <w:bookmarkStart w:id="411" w:name="_Toc30507"/>
      <w:bookmarkStart w:id="412" w:name="_Toc13154"/>
      <w:r>
        <w:rPr>
          <w:rFonts w:hint="eastAsia" w:asciiTheme="minorEastAsia" w:hAnsiTheme="minorEastAsia" w:cstheme="minorEastAsia"/>
          <w:b/>
          <w:sz w:val="24"/>
        </w:rPr>
        <w:t>2.6 技术资料</w:t>
      </w:r>
      <w:bookmarkEnd w:id="399"/>
      <w:bookmarkEnd w:id="400"/>
      <w:bookmarkEnd w:id="401"/>
      <w:bookmarkEnd w:id="402"/>
      <w:bookmarkEnd w:id="403"/>
      <w:bookmarkEnd w:id="404"/>
      <w:r>
        <w:rPr>
          <w:rFonts w:hint="eastAsia" w:asciiTheme="minorEastAsia" w:hAnsiTheme="minorEastAsia" w:cstheme="minorEastAsia"/>
          <w:b/>
          <w:sz w:val="24"/>
        </w:rPr>
        <w:t>和保密义务</w:t>
      </w:r>
      <w:bookmarkEnd w:id="405"/>
      <w:bookmarkEnd w:id="406"/>
      <w:bookmarkEnd w:id="407"/>
      <w:bookmarkEnd w:id="408"/>
      <w:bookmarkEnd w:id="409"/>
      <w:bookmarkEnd w:id="410"/>
      <w:bookmarkEnd w:id="411"/>
      <w:bookmarkEnd w:id="412"/>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rPr>
          <w:rFonts w:asciiTheme="minorEastAsia" w:hAnsiTheme="minorEastAsia" w:cstheme="minorEastAsia"/>
          <w:b/>
          <w:sz w:val="24"/>
        </w:rPr>
      </w:pPr>
      <w:bookmarkStart w:id="413" w:name="_Toc19069"/>
      <w:bookmarkStart w:id="414" w:name="_Toc20557"/>
      <w:bookmarkStart w:id="415" w:name="_Toc11620"/>
      <w:bookmarkStart w:id="416" w:name="_Toc12028"/>
      <w:bookmarkStart w:id="417" w:name="_Toc259093681"/>
      <w:bookmarkStart w:id="418" w:name="_Toc487900362"/>
      <w:bookmarkStart w:id="419" w:name="_Toc279701252"/>
      <w:r>
        <w:rPr>
          <w:rFonts w:hint="eastAsia" w:asciiTheme="minorEastAsia" w:hAnsiTheme="minorEastAsia" w:cstheme="minorEastAsia"/>
          <w:b/>
          <w:sz w:val="24"/>
        </w:rPr>
        <w:t>2.7 质量保证</w:t>
      </w:r>
      <w:bookmarkEnd w:id="413"/>
      <w:bookmarkEnd w:id="414"/>
      <w:bookmarkEnd w:id="415"/>
      <w:bookmarkEnd w:id="416"/>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rPr>
          <w:rFonts w:asciiTheme="minorEastAsia" w:hAnsiTheme="minorEastAsia" w:cstheme="minorEastAsia"/>
          <w:b/>
          <w:sz w:val="24"/>
        </w:rPr>
      </w:pPr>
      <w:bookmarkStart w:id="420" w:name="_Toc17145"/>
      <w:bookmarkStart w:id="421" w:name="_Toc6917"/>
      <w:bookmarkStart w:id="422" w:name="_Toc25801"/>
      <w:bookmarkStart w:id="423" w:name="_Toc22267"/>
      <w:r>
        <w:rPr>
          <w:rFonts w:hint="eastAsia" w:asciiTheme="minorEastAsia" w:hAnsiTheme="minorEastAsia" w:cstheme="minorEastAsia"/>
          <w:b/>
          <w:sz w:val="24"/>
        </w:rPr>
        <w:t>2.8 延迟</w:t>
      </w:r>
      <w:bookmarkEnd w:id="417"/>
      <w:bookmarkEnd w:id="418"/>
      <w:bookmarkEnd w:id="419"/>
      <w:r>
        <w:rPr>
          <w:rFonts w:hint="eastAsia" w:asciiTheme="minorEastAsia" w:hAnsiTheme="minorEastAsia" w:cstheme="minorEastAsia"/>
          <w:b/>
          <w:sz w:val="24"/>
        </w:rPr>
        <w:t>履行</w:t>
      </w:r>
      <w:bookmarkEnd w:id="420"/>
      <w:bookmarkEnd w:id="421"/>
      <w:bookmarkEnd w:id="422"/>
      <w:bookmarkEnd w:id="423"/>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rPr>
          <w:rFonts w:asciiTheme="minorEastAsia" w:hAnsiTheme="minorEastAsia" w:cstheme="minorEastAsia"/>
          <w:b/>
          <w:sz w:val="24"/>
        </w:rPr>
      </w:pPr>
      <w:bookmarkStart w:id="424" w:name="_Toc31718"/>
      <w:bookmarkStart w:id="425" w:name="_Toc20398"/>
      <w:bookmarkStart w:id="426" w:name="_Toc13637"/>
      <w:bookmarkStart w:id="427" w:name="_Toc10611"/>
      <w:bookmarkStart w:id="428" w:name="_Toc279701254"/>
      <w:bookmarkStart w:id="429" w:name="_Ref467378121"/>
      <w:bookmarkStart w:id="430" w:name="_Toc259093683"/>
      <w:bookmarkStart w:id="431" w:name="_Toc487900364"/>
      <w:r>
        <w:rPr>
          <w:rFonts w:hint="eastAsia" w:asciiTheme="minorEastAsia" w:hAnsiTheme="minorEastAsia" w:cstheme="minorEastAsia"/>
          <w:b/>
          <w:sz w:val="24"/>
        </w:rPr>
        <w:t>2.9 合同变更</w:t>
      </w:r>
      <w:bookmarkEnd w:id="424"/>
      <w:bookmarkEnd w:id="425"/>
      <w:bookmarkEnd w:id="426"/>
      <w:bookmarkEnd w:id="427"/>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432" w:name="_Toc259093688"/>
      <w:bookmarkStart w:id="433" w:name="_Toc279701259"/>
      <w:bookmarkStart w:id="434" w:name="_Toc487900369"/>
    </w:p>
    <w:p>
      <w:pPr>
        <w:spacing w:line="560" w:lineRule="exact"/>
        <w:ind w:firstLine="482" w:firstLineChars="200"/>
        <w:rPr>
          <w:rFonts w:asciiTheme="minorEastAsia" w:hAnsiTheme="minorEastAsia" w:cstheme="minorEastAsia"/>
          <w:b/>
          <w:sz w:val="24"/>
        </w:rPr>
      </w:pPr>
      <w:bookmarkStart w:id="435" w:name="_Toc18018"/>
      <w:bookmarkStart w:id="436" w:name="_Toc30016"/>
      <w:bookmarkStart w:id="437" w:name="_Toc26689"/>
      <w:bookmarkStart w:id="438" w:name="_Toc11890"/>
      <w:bookmarkStart w:id="439" w:name="_Toc23368"/>
      <w:bookmarkStart w:id="440" w:name="_Toc10663"/>
      <w:bookmarkStart w:id="441" w:name="_Toc21830"/>
      <w:bookmarkStart w:id="442" w:name="_Toc42"/>
      <w:r>
        <w:rPr>
          <w:rFonts w:hint="eastAsia" w:asciiTheme="minorEastAsia" w:hAnsiTheme="minorEastAsia" w:cstheme="minorEastAsia"/>
          <w:b/>
          <w:sz w:val="24"/>
        </w:rPr>
        <w:t>2.10 合同转让</w:t>
      </w:r>
      <w:bookmarkEnd w:id="432"/>
      <w:bookmarkEnd w:id="433"/>
      <w:bookmarkEnd w:id="434"/>
      <w:r>
        <w:rPr>
          <w:rFonts w:hint="eastAsia" w:asciiTheme="minorEastAsia" w:hAnsiTheme="minorEastAsia" w:cstheme="minorEastAsia"/>
          <w:b/>
          <w:sz w:val="24"/>
        </w:rPr>
        <w:t>和分包</w:t>
      </w:r>
      <w:bookmarkEnd w:id="435"/>
      <w:bookmarkEnd w:id="436"/>
      <w:bookmarkEnd w:id="437"/>
      <w:bookmarkEnd w:id="438"/>
      <w:bookmarkEnd w:id="439"/>
      <w:bookmarkEnd w:id="440"/>
      <w:bookmarkEnd w:id="441"/>
      <w:bookmarkEnd w:id="442"/>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Fonts w:asciiTheme="minorEastAsia" w:hAnsiTheme="minorEastAsia" w:cstheme="minorEastAsia"/>
          <w:b/>
          <w:sz w:val="24"/>
        </w:rPr>
      </w:pPr>
      <w:bookmarkStart w:id="443" w:name="_Toc19284"/>
      <w:bookmarkStart w:id="444" w:name="_Toc32494"/>
      <w:bookmarkStart w:id="445" w:name="_Toc25571"/>
      <w:bookmarkStart w:id="446" w:name="_Toc4720"/>
      <w:bookmarkStart w:id="447" w:name="_Toc20298"/>
      <w:bookmarkStart w:id="448" w:name="_Toc31681"/>
      <w:bookmarkStart w:id="449" w:name="_Toc26633"/>
      <w:bookmarkStart w:id="450" w:name="_Toc14371"/>
      <w:r>
        <w:rPr>
          <w:rFonts w:hint="eastAsia" w:asciiTheme="minorEastAsia" w:hAnsiTheme="minorEastAsia" w:cstheme="minorEastAsia"/>
          <w:b/>
          <w:sz w:val="24"/>
        </w:rPr>
        <w:t>2.11 不可抗力</w:t>
      </w:r>
      <w:bookmarkEnd w:id="443"/>
      <w:bookmarkEnd w:id="444"/>
      <w:bookmarkEnd w:id="445"/>
      <w:bookmarkEnd w:id="446"/>
      <w:bookmarkEnd w:id="447"/>
      <w:bookmarkEnd w:id="448"/>
      <w:bookmarkEnd w:id="449"/>
      <w:bookmarkEnd w:id="450"/>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2.11.3 因不可抗力致使合同有变更必要的，双方当事人应在</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约定时间内以书面形式变更合同；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2.11.4受不可抗力影响的一方在不可抗力发生后，应在</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约定时间内以书面形式通知对方当事人，并在</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约定时间内，将有关部门出具的证明文件送达对方当事人。</w:t>
      </w:r>
    </w:p>
    <w:p>
      <w:pPr>
        <w:spacing w:line="560" w:lineRule="exact"/>
        <w:ind w:firstLine="482" w:firstLineChars="200"/>
        <w:rPr>
          <w:rFonts w:asciiTheme="minorEastAsia" w:hAnsiTheme="minorEastAsia" w:cstheme="minorEastAsia"/>
          <w:b/>
          <w:sz w:val="24"/>
        </w:rPr>
      </w:pPr>
      <w:bookmarkStart w:id="451" w:name="_Toc16174"/>
      <w:bookmarkStart w:id="452" w:name="_Toc14115"/>
      <w:bookmarkStart w:id="453" w:name="_Toc487900365"/>
      <w:bookmarkStart w:id="454" w:name="_Toc23854"/>
      <w:bookmarkStart w:id="455" w:name="_Toc3638"/>
      <w:bookmarkStart w:id="456" w:name="_Toc259093684"/>
      <w:bookmarkStart w:id="457" w:name="_Toc25783"/>
      <w:bookmarkStart w:id="458" w:name="_Toc24744"/>
      <w:bookmarkStart w:id="459" w:name="_Toc701"/>
      <w:bookmarkStart w:id="460" w:name="_Toc279701255"/>
      <w:bookmarkStart w:id="461" w:name="_Toc24465"/>
      <w:r>
        <w:rPr>
          <w:rFonts w:hint="eastAsia" w:asciiTheme="minorEastAsia" w:hAnsiTheme="minorEastAsia" w:cstheme="minorEastAsia"/>
          <w:b/>
          <w:sz w:val="24"/>
        </w:rPr>
        <w:t>2.12 税费</w:t>
      </w:r>
      <w:bookmarkEnd w:id="451"/>
      <w:bookmarkEnd w:id="452"/>
      <w:bookmarkEnd w:id="453"/>
      <w:bookmarkEnd w:id="454"/>
      <w:bookmarkEnd w:id="455"/>
      <w:bookmarkEnd w:id="456"/>
      <w:bookmarkEnd w:id="457"/>
      <w:bookmarkEnd w:id="458"/>
      <w:bookmarkEnd w:id="459"/>
      <w:bookmarkEnd w:id="460"/>
      <w:bookmarkEnd w:id="461"/>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与合同有关的一切税费，均按照中华人民共和国法律的相关规定缴纳。</w:t>
      </w:r>
    </w:p>
    <w:p>
      <w:pPr>
        <w:spacing w:line="560" w:lineRule="exact"/>
        <w:ind w:firstLine="482" w:firstLineChars="200"/>
        <w:rPr>
          <w:rFonts w:asciiTheme="minorEastAsia" w:hAnsiTheme="minorEastAsia" w:cstheme="minorEastAsia"/>
          <w:b/>
          <w:sz w:val="24"/>
        </w:rPr>
      </w:pPr>
      <w:bookmarkStart w:id="462" w:name="_Toc28535"/>
      <w:bookmarkStart w:id="463" w:name="_Toc7315"/>
      <w:bookmarkStart w:id="464" w:name="_Toc279701258"/>
      <w:bookmarkStart w:id="465" w:name="_Toc17871"/>
      <w:bookmarkStart w:id="466" w:name="_Toc487900368"/>
      <w:bookmarkStart w:id="467" w:name="_Toc31303"/>
      <w:bookmarkStart w:id="468" w:name="_Toc26883"/>
      <w:bookmarkStart w:id="469" w:name="_Toc30105"/>
      <w:bookmarkStart w:id="470" w:name="_Toc25525"/>
      <w:bookmarkStart w:id="471" w:name="_Toc259093687"/>
      <w:bookmarkStart w:id="472" w:name="_Toc14814"/>
      <w:r>
        <w:rPr>
          <w:rFonts w:hint="eastAsia" w:asciiTheme="minorEastAsia" w:hAnsiTheme="minorEastAsia" w:cstheme="minorEastAsia"/>
          <w:b/>
          <w:sz w:val="24"/>
        </w:rPr>
        <w:t>2.13 乙方破产</w:t>
      </w:r>
      <w:bookmarkEnd w:id="462"/>
      <w:bookmarkEnd w:id="463"/>
      <w:bookmarkEnd w:id="464"/>
      <w:bookmarkEnd w:id="465"/>
      <w:bookmarkEnd w:id="466"/>
      <w:bookmarkEnd w:id="467"/>
      <w:bookmarkEnd w:id="468"/>
      <w:bookmarkEnd w:id="469"/>
      <w:bookmarkEnd w:id="470"/>
      <w:bookmarkEnd w:id="471"/>
      <w:bookmarkEnd w:id="472"/>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Fonts w:asciiTheme="minorEastAsia" w:hAnsiTheme="minorEastAsia" w:cstheme="minorEastAsia"/>
          <w:b/>
          <w:sz w:val="24"/>
        </w:rPr>
      </w:pPr>
      <w:bookmarkStart w:id="473" w:name="_Toc25232"/>
      <w:bookmarkStart w:id="474" w:name="_Toc32598"/>
      <w:bookmarkStart w:id="475" w:name="_Toc9093"/>
      <w:bookmarkStart w:id="476" w:name="_Toc1123"/>
      <w:bookmarkStart w:id="477" w:name="_Toc2016"/>
      <w:bookmarkStart w:id="478" w:name="_Toc23323"/>
      <w:r>
        <w:rPr>
          <w:rFonts w:hint="eastAsia" w:asciiTheme="minorEastAsia" w:hAnsiTheme="minorEastAsia" w:cstheme="minorEastAsia"/>
          <w:b/>
          <w:sz w:val="24"/>
        </w:rPr>
        <w:t>2.14 合同中止、终止</w:t>
      </w:r>
      <w:bookmarkEnd w:id="473"/>
      <w:bookmarkEnd w:id="474"/>
      <w:bookmarkEnd w:id="475"/>
      <w:bookmarkEnd w:id="476"/>
      <w:bookmarkEnd w:id="477"/>
      <w:bookmarkEnd w:id="478"/>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2.14.1 双方当事人不得擅自中止或者终止合同；</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asciiTheme="minorEastAsia" w:hAnsiTheme="minorEastAsia" w:cstheme="minorEastAsia"/>
          <w:b/>
          <w:sz w:val="24"/>
        </w:rPr>
      </w:pPr>
      <w:bookmarkStart w:id="479" w:name="_Toc14525"/>
      <w:bookmarkStart w:id="480" w:name="_Toc6162"/>
      <w:bookmarkStart w:id="481" w:name="_Toc8169"/>
      <w:bookmarkStart w:id="482" w:name="_Toc17363"/>
      <w:bookmarkStart w:id="483" w:name="_Toc1969"/>
      <w:bookmarkStart w:id="484" w:name="_Toc24774"/>
      <w:r>
        <w:rPr>
          <w:rFonts w:hint="eastAsia" w:asciiTheme="minorEastAsia" w:hAnsiTheme="minorEastAsia" w:cstheme="minorEastAsia"/>
          <w:b/>
          <w:sz w:val="24"/>
        </w:rPr>
        <w:t>2.15 检验和验收</w:t>
      </w:r>
      <w:bookmarkEnd w:id="479"/>
      <w:bookmarkEnd w:id="480"/>
      <w:bookmarkEnd w:id="481"/>
      <w:bookmarkEnd w:id="482"/>
      <w:bookmarkEnd w:id="483"/>
      <w:bookmarkEnd w:id="484"/>
    </w:p>
    <w:p>
      <w:pPr>
        <w:tabs>
          <w:tab w:val="left" w:pos="360"/>
          <w:tab w:val="left" w:pos="540"/>
          <w:tab w:val="left" w:pos="1080"/>
        </w:tabs>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2.15.1 乙方按照</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的约定，定期提交服务报告，甲方按照</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2.15.3 检验和验收标准、程序等具体内容以及前述验收书的效力详见</w:t>
      </w:r>
      <w:r>
        <w:rPr>
          <w:rFonts w:hint="eastAsia" w:asciiTheme="minorEastAsia" w:hAnsiTheme="minorEastAsia" w:cstheme="minorEastAsia"/>
          <w:b/>
          <w:i/>
          <w:sz w:val="24"/>
          <w:u w:val="single"/>
        </w:rPr>
        <w:t>合同专用条款</w:t>
      </w:r>
      <w:r>
        <w:rPr>
          <w:rFonts w:hint="eastAsia" w:asciiTheme="minorEastAsia" w:hAnsiTheme="minorEastAsia" w:cstheme="minorEastAsia"/>
          <w:i/>
          <w:sz w:val="24"/>
        </w:rPr>
        <w:t>。</w:t>
      </w:r>
    </w:p>
    <w:bookmarkEnd w:id="428"/>
    <w:bookmarkEnd w:id="429"/>
    <w:bookmarkEnd w:id="430"/>
    <w:bookmarkEnd w:id="431"/>
    <w:p>
      <w:pPr>
        <w:spacing w:line="560" w:lineRule="exact"/>
        <w:ind w:firstLine="482" w:firstLineChars="200"/>
        <w:rPr>
          <w:rFonts w:asciiTheme="minorEastAsia" w:hAnsiTheme="minorEastAsia" w:cstheme="minorEastAsia"/>
          <w:b/>
          <w:sz w:val="24"/>
        </w:rPr>
      </w:pPr>
      <w:bookmarkStart w:id="485" w:name="_Toc259093690"/>
      <w:bookmarkStart w:id="486" w:name="_Toc487900371"/>
      <w:bookmarkStart w:id="487" w:name="_Toc279701261"/>
      <w:bookmarkStart w:id="488" w:name="_Toc12755"/>
      <w:bookmarkStart w:id="489" w:name="_Toc31858"/>
      <w:bookmarkStart w:id="490" w:name="_Toc4027"/>
      <w:bookmarkStart w:id="491" w:name="_Toc12666"/>
      <w:bookmarkStart w:id="492" w:name="_Toc31892"/>
      <w:bookmarkStart w:id="493" w:name="_Toc2308"/>
      <w:bookmarkStart w:id="494" w:name="_Toc25198"/>
      <w:bookmarkStart w:id="495" w:name="_Toc9808"/>
      <w:r>
        <w:rPr>
          <w:rFonts w:hint="eastAsia" w:asciiTheme="minorEastAsia" w:hAnsiTheme="minorEastAsia" w:cstheme="minorEastAsia"/>
          <w:b/>
          <w:sz w:val="24"/>
        </w:rPr>
        <w:t>2.16 通知</w:t>
      </w:r>
      <w:bookmarkEnd w:id="485"/>
      <w:bookmarkEnd w:id="486"/>
      <w:bookmarkEnd w:id="487"/>
      <w:r>
        <w:rPr>
          <w:rFonts w:hint="eastAsia" w:asciiTheme="minorEastAsia" w:hAnsiTheme="minorEastAsia" w:cstheme="minorEastAsia"/>
          <w:b/>
          <w:sz w:val="24"/>
        </w:rPr>
        <w:t>和送达</w:t>
      </w:r>
      <w:bookmarkEnd w:id="488"/>
      <w:bookmarkEnd w:id="489"/>
      <w:bookmarkEnd w:id="490"/>
      <w:bookmarkEnd w:id="491"/>
      <w:bookmarkEnd w:id="492"/>
      <w:bookmarkEnd w:id="493"/>
      <w:bookmarkEnd w:id="494"/>
      <w:bookmarkEnd w:id="495"/>
    </w:p>
    <w:p>
      <w:pPr>
        <w:spacing w:line="560" w:lineRule="exact"/>
        <w:ind w:firstLine="480" w:firstLineChars="200"/>
        <w:rPr>
          <w:rFonts w:asciiTheme="minorEastAsia" w:hAnsiTheme="minorEastAsia" w:cstheme="minorEastAsia"/>
          <w:sz w:val="24"/>
        </w:rPr>
      </w:pPr>
      <w:bookmarkStart w:id="496" w:name="_Toc7073"/>
      <w:bookmarkStart w:id="497" w:name="_Toc29220"/>
      <w:bookmarkStart w:id="498" w:name="_Toc279701262"/>
      <w:bookmarkStart w:id="499" w:name="_Toc259093691"/>
      <w:bookmarkStart w:id="500" w:name="_Toc487900372"/>
      <w:r>
        <w:rPr>
          <w:rFonts w:hint="eastAsia" w:asciiTheme="minorEastAsia" w:hAnsiTheme="minorEastAsia" w:cstheme="minorEastAsia"/>
          <w:sz w:val="24"/>
        </w:rPr>
        <w:t>2.16.1 任何一方因履行合同而以合同第一部分尾部所列明的</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发出的所有通知、文件、材料，均视为已向对方当事人送达；任何一方变更上述送达方式或者地址的，应于</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个工作日内书面通知对方当事人，在对方当事人收到有关变更通知之前，变更前的约定送达方式或者地址仍视为有效。</w:t>
      </w:r>
      <w:bookmarkEnd w:id="496"/>
      <w:bookmarkEnd w:id="497"/>
    </w:p>
    <w:p>
      <w:pPr>
        <w:spacing w:line="560" w:lineRule="exact"/>
        <w:ind w:firstLine="480" w:firstLineChars="200"/>
        <w:rPr>
          <w:rFonts w:asciiTheme="minorEastAsia" w:hAnsiTheme="minorEastAsia" w:cstheme="minorEastAsia"/>
          <w:sz w:val="24"/>
        </w:rPr>
      </w:pPr>
      <w:bookmarkStart w:id="501" w:name="_Toc27674"/>
      <w:bookmarkStart w:id="502" w:name="_Toc18401"/>
      <w:r>
        <w:rPr>
          <w:rFonts w:hint="eastAsia" w:asciiTheme="minorEastAsia" w:hAnsi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1"/>
      <w:bookmarkEnd w:id="502"/>
    </w:p>
    <w:bookmarkEnd w:id="498"/>
    <w:bookmarkEnd w:id="499"/>
    <w:bookmarkEnd w:id="500"/>
    <w:p>
      <w:pPr>
        <w:spacing w:line="560" w:lineRule="exact"/>
        <w:ind w:firstLine="482" w:firstLineChars="200"/>
        <w:rPr>
          <w:rFonts w:asciiTheme="minorEastAsia" w:hAnsiTheme="minorEastAsia" w:cstheme="minorEastAsia"/>
          <w:b/>
          <w:sz w:val="24"/>
        </w:rPr>
      </w:pPr>
      <w:bookmarkStart w:id="503" w:name="_Toc12254"/>
      <w:bookmarkStart w:id="504" w:name="_Toc20808"/>
      <w:bookmarkStart w:id="505" w:name="_Toc28906"/>
      <w:bookmarkStart w:id="506" w:name="_Toc5063"/>
      <w:bookmarkStart w:id="507" w:name="_Toc279701263"/>
      <w:bookmarkStart w:id="508" w:name="_Toc27644"/>
      <w:bookmarkStart w:id="509" w:name="_Toc13760"/>
      <w:bookmarkStart w:id="510" w:name="_Toc23816"/>
      <w:bookmarkStart w:id="511" w:name="_Toc487900373"/>
      <w:bookmarkStart w:id="512" w:name="_Toc259093692"/>
      <w:bookmarkStart w:id="513" w:name="_Toc908"/>
      <w:r>
        <w:rPr>
          <w:rFonts w:hint="eastAsia" w:asciiTheme="minorEastAsia" w:hAnsiTheme="minorEastAsia" w:cstheme="minorEastAsia"/>
          <w:b/>
          <w:sz w:val="24"/>
        </w:rPr>
        <w:t>2.17 合同使用的文字和适用的法律</w:t>
      </w:r>
      <w:bookmarkEnd w:id="503"/>
      <w:bookmarkEnd w:id="504"/>
      <w:bookmarkEnd w:id="505"/>
      <w:bookmarkEnd w:id="506"/>
      <w:bookmarkEnd w:id="507"/>
      <w:bookmarkEnd w:id="508"/>
      <w:bookmarkEnd w:id="509"/>
      <w:bookmarkEnd w:id="510"/>
      <w:bookmarkEnd w:id="511"/>
      <w:bookmarkEnd w:id="512"/>
      <w:bookmarkEnd w:id="513"/>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2.17.1 合同使用汉语书就、变更和解释；</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2.17.2 合同适用中华人民共和国法律。</w:t>
      </w:r>
    </w:p>
    <w:p>
      <w:pPr>
        <w:spacing w:line="56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2.18 合同份数</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合同份数按</w:t>
      </w:r>
      <w:r>
        <w:rPr>
          <w:rFonts w:hint="eastAsia" w:asciiTheme="minorEastAsia" w:hAnsiTheme="minorEastAsia" w:cstheme="minorEastAsia"/>
          <w:b/>
          <w:i/>
          <w:sz w:val="24"/>
          <w:u w:val="single"/>
        </w:rPr>
        <w:t>合同专用条款</w:t>
      </w:r>
      <w:r>
        <w:rPr>
          <w:rFonts w:hint="eastAsia" w:asciiTheme="minorEastAsia" w:hAnsiTheme="minorEastAsia" w:cstheme="minorEastAsia"/>
          <w:sz w:val="24"/>
        </w:rPr>
        <w:t>规定，每份均具有同等法律效力。</w:t>
      </w:r>
    </w:p>
    <w:p>
      <w:pPr>
        <w:pStyle w:val="57"/>
        <w:spacing w:line="560" w:lineRule="exact"/>
        <w:ind w:firstLine="0"/>
        <w:jc w:val="center"/>
        <w:rPr>
          <w:rFonts w:asciiTheme="minorEastAsia" w:hAnsiTheme="minorEastAsia" w:cstheme="minorEastAsia"/>
          <w:szCs w:val="24"/>
        </w:rPr>
      </w:pPr>
    </w:p>
    <w:p>
      <w:pPr>
        <w:pStyle w:val="57"/>
        <w:spacing w:line="560" w:lineRule="exact"/>
        <w:ind w:firstLine="0"/>
        <w:jc w:val="center"/>
        <w:rPr>
          <w:rFonts w:asciiTheme="minorEastAsia" w:hAnsiTheme="minorEastAsia" w:cstheme="minorEastAsia"/>
          <w:szCs w:val="24"/>
        </w:rPr>
      </w:pPr>
      <w:r>
        <w:rPr>
          <w:rFonts w:hint="eastAsia" w:asciiTheme="minorEastAsia" w:hAnsiTheme="minorEastAsia" w:cstheme="minorEastAsia"/>
          <w:szCs w:val="24"/>
        </w:rPr>
        <w:br w:type="page"/>
      </w:r>
      <w:bookmarkStart w:id="514" w:name="_Toc331685784"/>
    </w:p>
    <w:p>
      <w:pPr>
        <w:pStyle w:val="57"/>
        <w:spacing w:line="560" w:lineRule="exact"/>
        <w:ind w:firstLine="0"/>
        <w:jc w:val="center"/>
        <w:outlineLvl w:val="1"/>
        <w:rPr>
          <w:rFonts w:asciiTheme="minorEastAsia" w:hAnsiTheme="minorEastAsia" w:cstheme="minorEastAsia"/>
          <w:b/>
          <w:color w:val="000000"/>
          <w:sz w:val="21"/>
          <w:szCs w:val="21"/>
        </w:rPr>
      </w:pPr>
      <w:bookmarkStart w:id="515" w:name="_Toc13864"/>
      <w:r>
        <w:rPr>
          <w:rFonts w:hint="eastAsia" w:asciiTheme="minorEastAsia" w:hAnsiTheme="minorEastAsia" w:cstheme="minorEastAsia"/>
          <w:b/>
          <w:color w:val="000000"/>
          <w:sz w:val="21"/>
          <w:szCs w:val="21"/>
        </w:rPr>
        <w:t>第三部分  合同专用条款</w:t>
      </w:r>
      <w:bookmarkEnd w:id="514"/>
      <w:bookmarkEnd w:id="515"/>
    </w:p>
    <w:p>
      <w:pPr>
        <w:pStyle w:val="57"/>
        <w:spacing w:line="560" w:lineRule="exact"/>
        <w:ind w:firstLine="0"/>
        <w:jc w:val="center"/>
        <w:rPr>
          <w:rFonts w:asciiTheme="minorEastAsia" w:hAnsiTheme="minorEastAsia" w:cstheme="minorEastAsia"/>
          <w:b/>
          <w:color w:val="000000"/>
          <w:sz w:val="21"/>
          <w:szCs w:val="21"/>
        </w:rPr>
      </w:pP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6"/>
        <w:gridCol w:w="75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06" w:type="dxa"/>
            <w:tcBorders>
              <w:left w:val="single" w:color="auto" w:sz="4" w:space="0"/>
            </w:tcBorders>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条款号</w:t>
            </w:r>
          </w:p>
        </w:tc>
        <w:tc>
          <w:tcPr>
            <w:tcW w:w="7528"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75" w:hRule="atLeast"/>
        </w:trPr>
        <w:tc>
          <w:tcPr>
            <w:tcW w:w="906" w:type="dxa"/>
            <w:tcBorders>
              <w:left w:val="single" w:color="auto" w:sz="4" w:space="0"/>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7528" w:type="dxa"/>
            <w:vAlign w:val="center"/>
          </w:tcPr>
          <w:p>
            <w:pPr>
              <w:spacing w:line="400" w:lineRule="exact"/>
              <w:rPr>
                <w:rFonts w:asciiTheme="minorEastAsia" w:hAnsiTheme="minorEastAsia" w:cstheme="minorEastAsia"/>
                <w:szCs w:val="21"/>
              </w:rPr>
            </w:pPr>
            <w:r>
              <w:rPr>
                <w:rFonts w:hint="eastAsia" w:asciiTheme="minorEastAsia" w:hAnsiTheme="minorEastAsia" w:cstheme="minorEastAsia"/>
                <w:szCs w:val="21"/>
              </w:rPr>
              <w:t>付款方式：</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1、付款币种：本次招标所述的项目资金均以人民币支付；</w:t>
            </w:r>
          </w:p>
          <w:p>
            <w:pPr>
              <w:spacing w:line="400" w:lineRule="exact"/>
              <w:rPr>
                <w:rFonts w:asciiTheme="minorEastAsia" w:hAnsiTheme="minorEastAsia" w:cstheme="minorEastAsia"/>
                <w:sz w:val="24"/>
              </w:rPr>
            </w:pPr>
            <w:r>
              <w:rPr>
                <w:rFonts w:hint="eastAsia" w:asciiTheme="minorEastAsia" w:hAnsiTheme="minorEastAsia" w:cstheme="minorEastAsia"/>
                <w:szCs w:val="21"/>
              </w:rPr>
              <w:t>2、付款方式：</w:t>
            </w:r>
            <w:r>
              <w:rPr>
                <w:rFonts w:hint="eastAsia" w:asciiTheme="minorEastAsia" w:hAnsiTheme="minorEastAsia" w:cstheme="minorEastAsia"/>
                <w:b/>
                <w:bCs/>
                <w:szCs w:val="21"/>
              </w:rPr>
              <w:t>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906" w:type="dxa"/>
            <w:tcBorders>
              <w:left w:val="single" w:color="auto" w:sz="4" w:space="0"/>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7528" w:type="dxa"/>
            <w:vAlign w:val="center"/>
          </w:tcPr>
          <w:p>
            <w:pPr>
              <w:spacing w:line="400" w:lineRule="exact"/>
              <w:rPr>
                <w:rFonts w:asciiTheme="minorEastAsia" w:hAnsiTheme="minorEastAsia" w:cstheme="minorEastAsia"/>
                <w:sz w:val="24"/>
              </w:rPr>
            </w:pPr>
            <w:r>
              <w:rPr>
                <w:rFonts w:hint="eastAsia" w:asciiTheme="minorEastAsia" w:hAnsiTheme="minorEastAsia" w:cstheme="minorEastAsia"/>
                <w:szCs w:val="21"/>
              </w:rPr>
              <w:t>合同履行期限：三年。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06" w:type="dxa"/>
            <w:tcBorders>
              <w:left w:val="single" w:color="auto" w:sz="4" w:space="0"/>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7528" w:type="dxa"/>
            <w:vAlign w:val="center"/>
          </w:tcPr>
          <w:p>
            <w:pPr>
              <w:spacing w:line="400" w:lineRule="exact"/>
              <w:rPr>
                <w:rFonts w:asciiTheme="minorEastAsia" w:hAnsiTheme="minorEastAsia" w:cstheme="minorEastAsia"/>
                <w:sz w:val="24"/>
              </w:rPr>
            </w:pPr>
            <w:r>
              <w:rPr>
                <w:rFonts w:hint="eastAsia" w:asciiTheme="minorEastAsia" w:hAnsiTheme="minorEastAsia" w:cstheme="minorEastAsia"/>
                <w:szCs w:val="21"/>
              </w:rPr>
              <w:t>合同履行地点：招标人指定地点。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906" w:type="dxa"/>
            <w:tcBorders>
              <w:left w:val="single" w:color="auto" w:sz="4" w:space="0"/>
            </w:tcBorders>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7528" w:type="dxa"/>
            <w:vAlign w:val="center"/>
          </w:tcPr>
          <w:p>
            <w:pPr>
              <w:pStyle w:val="8"/>
              <w:rPr>
                <w:rFonts w:asciiTheme="minorEastAsia" w:hAnsiTheme="minorEastAsia" w:cstheme="minorEastAsia"/>
                <w:sz w:val="24"/>
              </w:rPr>
            </w:pPr>
            <w:r>
              <w:rPr>
                <w:rFonts w:hint="eastAsia" w:asciiTheme="minorEastAsia" w:hAnsiTheme="minorEastAsia" w:cstheme="minorEastAsia"/>
                <w:szCs w:val="21"/>
              </w:rPr>
              <w:t>质量保证：投标人提供的设备必须是全新的，且符合国家质量检测标准（对于没有国家标准的，应符合行业标准或企业标准。其中国家有强制性技术标准要求的产品，还应符合国家强制性技术标准）。该设备能够满足采购人要求，产品质量稳定，售后服务方便、快捷。投标人对所供设备提供</w:t>
            </w:r>
            <w:r>
              <w:rPr>
                <w:rFonts w:hint="eastAsia" w:asciiTheme="minorEastAsia" w:hAnsiTheme="minorEastAsia" w:cstheme="minorEastAsia"/>
                <w:b/>
                <w:bCs/>
                <w:szCs w:val="21"/>
              </w:rPr>
              <w:t>三年全质保和免费上门服务</w:t>
            </w:r>
            <w:r>
              <w:rPr>
                <w:rFonts w:hint="eastAsia" w:asciiTheme="minorEastAsia" w:hAnsiTheme="minorEastAsia" w:cstheme="minorEastAsia"/>
                <w:szCs w:val="21"/>
              </w:rPr>
              <w:t>（特殊情况以采购货物一览表要求为准）。</w:t>
            </w:r>
          </w:p>
        </w:tc>
      </w:tr>
    </w:tbl>
    <w:p>
      <w:pPr>
        <w:spacing w:after="156" w:line="560" w:lineRule="exact"/>
        <w:ind w:firstLine="480"/>
        <w:rPr>
          <w:rFonts w:asciiTheme="minorEastAsia" w:hAnsiTheme="minorEastAsia" w:cstheme="minorEastAsia"/>
        </w:rPr>
      </w:pPr>
    </w:p>
    <w:p>
      <w:pPr>
        <w:spacing w:line="240" w:lineRule="atLeast"/>
        <w:ind w:left="1080" w:leftChars="257" w:hanging="540"/>
        <w:rPr>
          <w:rFonts w:asciiTheme="minorEastAsia" w:hAnsiTheme="minorEastAsia" w:cstheme="minorEastAsia"/>
          <w:sz w:val="24"/>
        </w:rPr>
      </w:pPr>
    </w:p>
    <w:p>
      <w:pPr>
        <w:rPr>
          <w:rFonts w:asciiTheme="minorEastAsia" w:hAnsiTheme="minorEastAsia" w:cstheme="minorEastAsia"/>
        </w:rPr>
      </w:pPr>
    </w:p>
    <w:p>
      <w:pPr>
        <w:widowControl/>
        <w:jc w:val="left"/>
        <w:rPr>
          <w:rFonts w:asciiTheme="minorEastAsia" w:hAnsiTheme="minorEastAsia" w:cstheme="minorEastAsia"/>
        </w:rPr>
      </w:pPr>
      <w:r>
        <w:rPr>
          <w:rFonts w:hint="eastAsia" w:asciiTheme="minorEastAsia" w:hAnsiTheme="minorEastAsia" w:cstheme="minorEastAsia"/>
        </w:rPr>
        <w:br w:type="page"/>
      </w:r>
    </w:p>
    <w:p>
      <w:pPr>
        <w:tabs>
          <w:tab w:val="left" w:pos="0"/>
        </w:tabs>
        <w:spacing w:line="360" w:lineRule="auto"/>
        <w:jc w:val="center"/>
        <w:outlineLvl w:val="0"/>
        <w:rPr>
          <w:rFonts w:asciiTheme="minorEastAsia" w:hAnsiTheme="minorEastAsia" w:cstheme="minorEastAsia"/>
          <w:b/>
          <w:color w:val="000000" w:themeColor="text1"/>
          <w:sz w:val="36"/>
        </w:rPr>
      </w:pPr>
      <w:bookmarkStart w:id="516" w:name="_Toc518923106"/>
      <w:bookmarkStart w:id="517" w:name="_Toc1757992974"/>
      <w:bookmarkStart w:id="518" w:name="_Toc216582812"/>
    </w:p>
    <w:p>
      <w:pPr>
        <w:tabs>
          <w:tab w:val="left" w:pos="0"/>
        </w:tabs>
        <w:spacing w:line="360" w:lineRule="auto"/>
        <w:jc w:val="center"/>
        <w:outlineLvl w:val="0"/>
        <w:rPr>
          <w:rFonts w:asciiTheme="minorEastAsia" w:hAnsiTheme="minorEastAsia" w:cstheme="minorEastAsia"/>
          <w:b/>
          <w:color w:val="000000" w:themeColor="text1"/>
          <w:sz w:val="36"/>
        </w:rPr>
      </w:pPr>
      <w:bookmarkStart w:id="519" w:name="_Toc4846"/>
      <w:r>
        <w:rPr>
          <w:rFonts w:hint="eastAsia" w:asciiTheme="minorEastAsia" w:hAnsiTheme="minorEastAsia" w:cstheme="minorEastAsia"/>
          <w:b/>
          <w:color w:val="000000" w:themeColor="text1"/>
          <w:sz w:val="36"/>
        </w:rPr>
        <w:t>第六章、投标文件格式</w:t>
      </w:r>
      <w:bookmarkEnd w:id="516"/>
      <w:bookmarkEnd w:id="517"/>
      <w:bookmarkEnd w:id="518"/>
      <w:bookmarkEnd w:id="519"/>
    </w:p>
    <w:p>
      <w:pPr>
        <w:rPr>
          <w:rFonts w:asciiTheme="minorEastAsia" w:hAnsiTheme="minorEastAsia" w:cstheme="minorEastAsia"/>
        </w:rPr>
      </w:pPr>
    </w:p>
    <w:p>
      <w:pPr>
        <w:jc w:val="center"/>
        <w:rPr>
          <w:rFonts w:asciiTheme="minorEastAsia" w:hAnsiTheme="minorEastAsia" w:cstheme="minorEastAsia"/>
        </w:rPr>
      </w:pPr>
    </w:p>
    <w:p>
      <w:pPr>
        <w:pStyle w:val="2"/>
        <w:rPr>
          <w:rFonts w:asciiTheme="minorEastAsia" w:hAnsiTheme="minorEastAsia" w:cstheme="minorEastAsia"/>
        </w:rPr>
      </w:pPr>
    </w:p>
    <w:p>
      <w:pPr>
        <w:pStyle w:val="2"/>
        <w:rPr>
          <w:rFonts w:asciiTheme="minorEastAsia" w:hAnsiTheme="minorEastAsia" w:cstheme="minorEastAsia"/>
        </w:rPr>
      </w:pPr>
    </w:p>
    <w:p>
      <w:pPr>
        <w:pStyle w:val="2"/>
        <w:rPr>
          <w:rFonts w:asciiTheme="minorEastAsia" w:hAnsiTheme="minorEastAsia" w:cstheme="minorEastAsia"/>
        </w:rPr>
      </w:pPr>
    </w:p>
    <w:p>
      <w:pPr>
        <w:pStyle w:val="2"/>
        <w:rPr>
          <w:rFonts w:asciiTheme="minorEastAsia" w:hAnsiTheme="minorEastAsia" w:cstheme="minorEastAsia"/>
        </w:rPr>
      </w:pPr>
    </w:p>
    <w:p>
      <w:pPr>
        <w:pStyle w:val="64"/>
        <w:spacing w:line="360" w:lineRule="auto"/>
        <w:jc w:val="center"/>
        <w:rPr>
          <w:rFonts w:ascii="宋体" w:hAnsi="宋体"/>
          <w:color w:val="000000"/>
          <w:sz w:val="24"/>
        </w:rPr>
      </w:pPr>
    </w:p>
    <w:p>
      <w:pPr>
        <w:pStyle w:val="64"/>
        <w:spacing w:line="360" w:lineRule="auto"/>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（项目名称）</w:t>
      </w:r>
    </w:p>
    <w:p>
      <w:pPr>
        <w:pStyle w:val="64"/>
        <w:spacing w:line="360" w:lineRule="auto"/>
        <w:jc w:val="center"/>
        <w:rPr>
          <w:rFonts w:ascii="宋体" w:hAnsi="宋体"/>
          <w:color w:val="000000"/>
          <w:sz w:val="28"/>
          <w:szCs w:val="28"/>
        </w:rPr>
      </w:pPr>
    </w:p>
    <w:p>
      <w:pPr>
        <w:pStyle w:val="64"/>
        <w:spacing w:line="360" w:lineRule="auto"/>
        <w:ind w:firstLine="1680" w:firstLineChars="600"/>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（项目编号）</w:t>
      </w:r>
    </w:p>
    <w:p>
      <w:pPr>
        <w:pStyle w:val="64"/>
        <w:spacing w:line="360" w:lineRule="auto"/>
        <w:jc w:val="center"/>
        <w:rPr>
          <w:rFonts w:ascii="宋体" w:hAnsi="宋体"/>
          <w:color w:val="000000"/>
          <w:sz w:val="24"/>
        </w:rPr>
      </w:pPr>
    </w:p>
    <w:p>
      <w:pPr>
        <w:pStyle w:val="64"/>
        <w:spacing w:line="360" w:lineRule="auto"/>
        <w:jc w:val="center"/>
        <w:rPr>
          <w:rFonts w:ascii="宋体" w:hAnsi="宋体"/>
          <w:color w:val="000000"/>
          <w:sz w:val="24"/>
        </w:rPr>
      </w:pPr>
    </w:p>
    <w:p>
      <w:pPr>
        <w:pStyle w:val="64"/>
        <w:spacing w:line="360" w:lineRule="auto"/>
        <w:rPr>
          <w:rFonts w:ascii="宋体" w:hAnsi="宋体"/>
          <w:color w:val="000000"/>
          <w:sz w:val="24"/>
        </w:rPr>
      </w:pPr>
    </w:p>
    <w:p>
      <w:pPr>
        <w:pStyle w:val="64"/>
        <w:spacing w:line="360" w:lineRule="auto"/>
        <w:jc w:val="center"/>
        <w:rPr>
          <w:rFonts w:ascii="宋体" w:hAnsi="宋体"/>
          <w:color w:val="000000"/>
          <w:sz w:val="24"/>
        </w:rPr>
      </w:pPr>
    </w:p>
    <w:p>
      <w:pPr>
        <w:pStyle w:val="64"/>
        <w:spacing w:line="360" w:lineRule="auto"/>
        <w:jc w:val="center"/>
        <w:rPr>
          <w:rFonts w:ascii="宋体" w:hAnsi="宋体"/>
          <w:color w:val="000000"/>
          <w:sz w:val="24"/>
        </w:rPr>
      </w:pPr>
    </w:p>
    <w:p>
      <w:pPr>
        <w:pStyle w:val="64"/>
        <w:spacing w:line="360" w:lineRule="auto"/>
        <w:jc w:val="center"/>
        <w:rPr>
          <w:rFonts w:ascii="宋体" w:hAnsi="宋体"/>
          <w:b/>
          <w:sz w:val="48"/>
          <w:szCs w:val="48"/>
        </w:rPr>
      </w:pPr>
      <w:r>
        <w:rPr>
          <w:rFonts w:hint="eastAsia" w:ascii="宋体" w:hAnsi="宋体"/>
          <w:b/>
          <w:sz w:val="48"/>
          <w:szCs w:val="48"/>
        </w:rPr>
        <w:t>投 标 文 件</w:t>
      </w:r>
    </w:p>
    <w:p>
      <w:pPr>
        <w:pStyle w:val="64"/>
        <w:spacing w:line="360" w:lineRule="auto"/>
        <w:jc w:val="center"/>
        <w:rPr>
          <w:rFonts w:ascii="宋体" w:hAnsi="宋体"/>
          <w:color w:val="000000"/>
          <w:sz w:val="24"/>
        </w:rPr>
      </w:pPr>
    </w:p>
    <w:p>
      <w:pPr>
        <w:pStyle w:val="64"/>
        <w:spacing w:line="360" w:lineRule="auto"/>
        <w:rPr>
          <w:rFonts w:ascii="宋体" w:hAnsi="宋体"/>
          <w:b/>
          <w:color w:val="000000"/>
          <w:sz w:val="24"/>
        </w:rPr>
      </w:pPr>
    </w:p>
    <w:p>
      <w:pPr>
        <w:pStyle w:val="64"/>
        <w:spacing w:line="360" w:lineRule="auto"/>
        <w:rPr>
          <w:rFonts w:ascii="宋体" w:hAnsi="宋体"/>
          <w:b/>
          <w:color w:val="000000"/>
          <w:sz w:val="24"/>
        </w:rPr>
      </w:pPr>
    </w:p>
    <w:p>
      <w:pPr>
        <w:pStyle w:val="64"/>
        <w:spacing w:line="360" w:lineRule="auto"/>
        <w:jc w:val="center"/>
        <w:rPr>
          <w:rFonts w:ascii="宋体" w:hAnsi="宋体"/>
          <w:b/>
          <w:color w:val="000000"/>
          <w:sz w:val="24"/>
        </w:rPr>
      </w:pPr>
    </w:p>
    <w:p>
      <w:pPr>
        <w:pStyle w:val="64"/>
        <w:spacing w:line="360" w:lineRule="auto"/>
        <w:jc w:val="center"/>
        <w:rPr>
          <w:rFonts w:ascii="宋体" w:hAnsi="宋体"/>
          <w:b/>
          <w:color w:val="000000"/>
          <w:sz w:val="24"/>
        </w:rPr>
      </w:pPr>
    </w:p>
    <w:p>
      <w:pPr>
        <w:pStyle w:val="64"/>
        <w:spacing w:line="360" w:lineRule="auto"/>
        <w:jc w:val="center"/>
        <w:rPr>
          <w:rFonts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（电子签章）</w:t>
      </w:r>
    </w:p>
    <w:p>
      <w:pPr>
        <w:pStyle w:val="64"/>
        <w:spacing w:line="360" w:lineRule="auto"/>
        <w:jc w:val="center"/>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（签章或签名）</w:t>
      </w:r>
    </w:p>
    <w:p>
      <w:pPr>
        <w:pStyle w:val="64"/>
        <w:spacing w:line="360" w:lineRule="auto"/>
        <w:jc w:val="center"/>
        <w:rPr>
          <w:rFonts w:ascii="宋体" w:hAnsi="宋体"/>
          <w:color w:val="000000"/>
          <w:sz w:val="28"/>
          <w:szCs w:val="28"/>
          <w:u w:val="single"/>
        </w:rPr>
      </w:pPr>
      <w:r>
        <w:rPr>
          <w:rFonts w:hint="eastAsia" w:ascii="宋体" w:hAnsi="宋体"/>
          <w:color w:val="000000"/>
          <w:sz w:val="28"/>
          <w:szCs w:val="28"/>
        </w:rPr>
        <w:t>日期</w:t>
      </w:r>
      <w:r>
        <w:rPr>
          <w:rFonts w:hint="eastAsia" w:ascii="宋体" w:hAnsi="宋体"/>
          <w:color w:val="000000"/>
          <w:sz w:val="28"/>
          <w:szCs w:val="28"/>
          <w:u w:val="single"/>
        </w:rPr>
        <w:t xml:space="preserve">                   </w:t>
      </w:r>
      <w:r>
        <w:rPr>
          <w:rFonts w:hint="eastAsia" w:ascii="宋体" w:hAnsi="宋体"/>
          <w:color w:val="000000"/>
          <w:sz w:val="28"/>
          <w:szCs w:val="28"/>
        </w:rPr>
        <w:t>（年/月/日）</w:t>
      </w:r>
    </w:p>
    <w:p>
      <w:pPr>
        <w:pStyle w:val="2"/>
        <w:rPr>
          <w:rFonts w:asciiTheme="minorEastAsia" w:hAnsiTheme="minorEastAsia" w:cstheme="minorEastAsia"/>
        </w:rPr>
      </w:pPr>
    </w:p>
    <w:p>
      <w:pPr>
        <w:pStyle w:val="2"/>
        <w:rPr>
          <w:rFonts w:asciiTheme="minorEastAsia" w:hAnsiTheme="minorEastAsia" w:cstheme="minorEastAsia"/>
        </w:rPr>
      </w:pPr>
    </w:p>
    <w:p>
      <w:pPr>
        <w:pStyle w:val="2"/>
        <w:rPr>
          <w:rFonts w:asciiTheme="minorEastAsia" w:hAnsiTheme="minorEastAsia" w:cstheme="minorEastAsia"/>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目录</w:t>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"_Toc129363193" </w:instrText>
      </w:r>
      <w:r>
        <w:fldChar w:fldCharType="separate"/>
      </w:r>
      <w:r>
        <w:rPr>
          <w:rFonts w:hint="eastAsia" w:asciiTheme="minorEastAsia" w:hAnsiTheme="minorEastAsia" w:eastAsiaTheme="minorEastAsia" w:cstheme="minorEastAsia"/>
          <w:sz w:val="24"/>
        </w:rPr>
        <w:t>1、投标书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"_Toc129363194" </w:instrText>
      </w:r>
      <w:r>
        <w:fldChar w:fldCharType="separate"/>
      </w:r>
      <w:r>
        <w:rPr>
          <w:rFonts w:hint="eastAsia" w:asciiTheme="minorEastAsia" w:hAnsiTheme="minorEastAsia" w:eastAsiaTheme="minorEastAsia" w:cstheme="minorEastAsia"/>
          <w:sz w:val="24"/>
        </w:rPr>
        <w:t>2、开标一览表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"_Toc129363195" </w:instrText>
      </w:r>
      <w:r>
        <w:fldChar w:fldCharType="separate"/>
      </w:r>
      <w:r>
        <w:rPr>
          <w:rFonts w:hint="eastAsia" w:asciiTheme="minorEastAsia" w:hAnsiTheme="minorEastAsia" w:eastAsiaTheme="minorEastAsia" w:cstheme="minorEastAsia"/>
          <w:sz w:val="24"/>
        </w:rPr>
        <w:t>3、投标分项报价表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"_Toc129363196" </w:instrText>
      </w:r>
      <w:r>
        <w:fldChar w:fldCharType="separate"/>
      </w:r>
      <w:r>
        <w:rPr>
          <w:rFonts w:hint="eastAsia" w:asciiTheme="minorEastAsia" w:hAnsiTheme="minorEastAsia" w:eastAsiaTheme="minorEastAsia" w:cstheme="minorEastAsia"/>
          <w:sz w:val="24"/>
        </w:rPr>
        <w:t>4、法人或者非法人组织的营业执照等证明文件或自然人的身份证明</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"_Toc129363197" </w:instrText>
      </w:r>
      <w:r>
        <w:fldChar w:fldCharType="separate"/>
      </w:r>
      <w:r>
        <w:rPr>
          <w:rFonts w:hint="eastAsia" w:asciiTheme="minorEastAsia" w:hAnsiTheme="minorEastAsia" w:eastAsiaTheme="minorEastAsia" w:cstheme="minorEastAsia"/>
          <w:sz w:val="24"/>
        </w:rPr>
        <w:t>5、法定代表人身份证明书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"_Toc129363198" </w:instrText>
      </w:r>
      <w:r>
        <w:fldChar w:fldCharType="separate"/>
      </w:r>
      <w:r>
        <w:rPr>
          <w:rFonts w:hint="eastAsia" w:asciiTheme="minorEastAsia" w:hAnsiTheme="minorEastAsia" w:eastAsiaTheme="minorEastAsia" w:cstheme="minorEastAsia"/>
          <w:sz w:val="24"/>
        </w:rPr>
        <w:t>6、法定代表人授权委托书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"_Toc129363199" </w:instrText>
      </w:r>
      <w:r>
        <w:fldChar w:fldCharType="separate"/>
      </w:r>
      <w:r>
        <w:rPr>
          <w:rFonts w:hint="eastAsia" w:asciiTheme="minorEastAsia" w:hAnsiTheme="minorEastAsia" w:eastAsiaTheme="minorEastAsia" w:cstheme="minorEastAsia"/>
          <w:sz w:val="24"/>
        </w:rPr>
        <w:t>7、投标保证承诺书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"_Toc129363200" </w:instrText>
      </w:r>
      <w:r>
        <w:fldChar w:fldCharType="separate"/>
      </w:r>
      <w:r>
        <w:rPr>
          <w:rFonts w:hint="eastAsia" w:asciiTheme="minorEastAsia" w:hAnsiTheme="minorEastAsia" w:eastAsiaTheme="minorEastAsia" w:cstheme="minorEastAsia"/>
          <w:sz w:val="24"/>
        </w:rPr>
        <w:t>8、具有良好的商业信誉和健全的财务会计制度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"_Toc129363201" </w:instrText>
      </w:r>
      <w:r>
        <w:fldChar w:fldCharType="separate"/>
      </w:r>
      <w:r>
        <w:rPr>
          <w:rFonts w:hint="eastAsia" w:asciiTheme="minorEastAsia" w:hAnsiTheme="minorEastAsia" w:eastAsiaTheme="minorEastAsia" w:cstheme="minorEastAsia"/>
          <w:sz w:val="24"/>
        </w:rPr>
        <w:t>9、具有履行合同所必需的设备和专业技术能力</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"_Toc129363202" </w:instrText>
      </w:r>
      <w:r>
        <w:fldChar w:fldCharType="separate"/>
      </w:r>
      <w:r>
        <w:rPr>
          <w:rFonts w:hint="eastAsia" w:asciiTheme="minorEastAsia" w:hAnsiTheme="minorEastAsia" w:eastAsiaTheme="minorEastAsia" w:cstheme="minorEastAsia"/>
          <w:sz w:val="24"/>
        </w:rPr>
        <w:t>10、依法缴纳社会保障资金和税收的记录</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"_Toc129363203" </w:instrText>
      </w:r>
      <w:r>
        <w:fldChar w:fldCharType="separate"/>
      </w:r>
      <w:r>
        <w:rPr>
          <w:rFonts w:hint="eastAsia" w:asciiTheme="minorEastAsia" w:hAnsiTheme="minorEastAsia" w:eastAsiaTheme="minorEastAsia" w:cstheme="minorEastAsia"/>
          <w:sz w:val="24"/>
        </w:rPr>
        <w:t>11、无重大违法记录的承诺书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rPr>
          <w:rFonts w:hint="eastAsia"/>
        </w:rPr>
        <w:fldChar w:fldCharType="begin"/>
      </w:r>
      <w:r>
        <w:instrText xml:space="preserve"> HYPERLINK \l "_Toc129363204" </w:instrText>
      </w:r>
      <w:r>
        <w:rPr>
          <w:rFonts w:hint="eastAsia"/>
        </w:rPr>
        <w:fldChar w:fldCharType="separate"/>
      </w:r>
      <w:r>
        <w:rPr>
          <w:rFonts w:hint="eastAsia" w:asciiTheme="minorEastAsia" w:hAnsiTheme="minorEastAsia" w:eastAsiaTheme="minorEastAsia" w:cstheme="minorEastAsia"/>
          <w:sz w:val="24"/>
        </w:rPr>
        <w:t>12、投标保证金递交证明</w:t>
      </w: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13、不参与围标串标承诺书</w:t>
      </w: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14、信用查询结果</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"_Toc129363205" </w:instrText>
      </w:r>
      <w:r>
        <w:fldChar w:fldCharType="separate"/>
      </w:r>
      <w:r>
        <w:rPr>
          <w:rFonts w:hint="eastAsia" w:asciiTheme="minorEastAsia" w:hAnsiTheme="minorEastAsia" w:eastAsiaTheme="minorEastAsia" w:cstheme="minorEastAsia"/>
          <w:sz w:val="24"/>
        </w:rPr>
        <w:t>15、详细响应说明表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rPr>
          <w:rFonts w:hint="eastAsia"/>
        </w:rPr>
        <w:fldChar w:fldCharType="begin"/>
      </w:r>
      <w:r>
        <w:instrText xml:space="preserve"> HYPERLINK \l "_Toc129363206" </w:instrText>
      </w:r>
      <w:r>
        <w:rPr>
          <w:rFonts w:hint="eastAsia"/>
        </w:rPr>
        <w:fldChar w:fldCharType="separate"/>
      </w:r>
      <w:r>
        <w:rPr>
          <w:rFonts w:hint="eastAsia" w:asciiTheme="minorEastAsia" w:hAnsiTheme="minorEastAsia" w:eastAsiaTheme="minorEastAsia" w:cstheme="minorEastAsia"/>
          <w:sz w:val="24"/>
        </w:rPr>
        <w:t>16、商务偏离说明表</w:t>
      </w: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17、技术偏离说明表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"_Toc129363207" </w:instrText>
      </w:r>
      <w:r>
        <w:fldChar w:fldCharType="separate"/>
      </w:r>
      <w:r>
        <w:rPr>
          <w:rFonts w:hint="eastAsia" w:asciiTheme="minorEastAsia" w:hAnsiTheme="minorEastAsia" w:eastAsiaTheme="minorEastAsia" w:cstheme="minorEastAsia"/>
          <w:sz w:val="24"/>
        </w:rPr>
        <w:t>18、中小企业、监狱企业、残疾人福利性单位</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"_Toc129363211" </w:instrText>
      </w:r>
      <w:r>
        <w:fldChar w:fldCharType="separate"/>
      </w:r>
      <w:r>
        <w:rPr>
          <w:rFonts w:hint="eastAsia" w:asciiTheme="minorEastAsia" w:hAnsiTheme="minorEastAsia" w:eastAsiaTheme="minorEastAsia" w:cstheme="minorEastAsia"/>
          <w:sz w:val="24"/>
        </w:rPr>
        <w:t>19、类似项目业绩经验</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"_Toc129363213" </w:instrText>
      </w:r>
      <w:r>
        <w:fldChar w:fldCharType="separate"/>
      </w:r>
      <w:r>
        <w:rPr>
          <w:rFonts w:hint="eastAsia" w:asciiTheme="minorEastAsia" w:hAnsiTheme="minorEastAsia" w:eastAsiaTheme="minorEastAsia" w:cstheme="minorEastAsia"/>
          <w:sz w:val="24"/>
        </w:rPr>
        <w:t>20、技术方案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"_Toc129363214" </w:instrText>
      </w:r>
      <w:r>
        <w:fldChar w:fldCharType="separate"/>
      </w:r>
      <w:r>
        <w:rPr>
          <w:rFonts w:hint="eastAsia" w:asciiTheme="minorEastAsia" w:hAnsiTheme="minorEastAsia" w:eastAsiaTheme="minorEastAsia" w:cstheme="minorEastAsia"/>
          <w:sz w:val="24"/>
        </w:rPr>
        <w:t>21、商务能力</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pStyle w:val="2"/>
        <w:tabs>
          <w:tab w:val="left" w:pos="5580"/>
        </w:tabs>
        <w:spacing w:line="360" w:lineRule="auto"/>
        <w:rPr>
          <w:rFonts w:asciiTheme="minorEastAsia" w:hAnsiTheme="minorEastAsia" w:eastAsiaTheme="minorEastAsia" w:cstheme="minorEastAsia"/>
          <w:sz w:val="24"/>
        </w:rPr>
      </w:pPr>
      <w:r>
        <w:fldChar w:fldCharType="begin"/>
      </w:r>
      <w:r>
        <w:instrText xml:space="preserve"> HYPERLINK \l "_Toc129363215" </w:instrText>
      </w:r>
      <w:r>
        <w:fldChar w:fldCharType="separate"/>
      </w:r>
      <w:r>
        <w:rPr>
          <w:rFonts w:hint="eastAsia" w:asciiTheme="minorEastAsia" w:hAnsiTheme="minorEastAsia" w:eastAsiaTheme="minorEastAsia" w:cstheme="minorEastAsia"/>
          <w:sz w:val="24"/>
        </w:rPr>
        <w:t>22、其他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4"/>
        <w:spacing w:before="0"/>
        <w:rPr>
          <w:rFonts w:asciiTheme="minorEastAsia" w:hAnsiTheme="minorEastAsia" w:eastAsiaTheme="minorEastAsia" w:cstheme="minorEastAsia"/>
          <w:sz w:val="24"/>
        </w:rPr>
      </w:pPr>
      <w:bookmarkStart w:id="520" w:name="_Toc8602"/>
      <w:r>
        <w:rPr>
          <w:rFonts w:hint="eastAsia" w:asciiTheme="minorEastAsia" w:hAnsiTheme="minorEastAsia" w:eastAsiaTheme="minorEastAsia" w:cstheme="minorEastAsia"/>
          <w:sz w:val="24"/>
        </w:rPr>
        <w:t>1、投标书</w:t>
      </w:r>
      <w:bookmarkEnd w:id="520"/>
    </w:p>
    <w:p>
      <w:pPr>
        <w:tabs>
          <w:tab w:val="left" w:pos="5580"/>
        </w:tabs>
        <w:spacing w:line="360" w:lineRule="auto"/>
        <w:ind w:left="1080" w:hanging="1080"/>
        <w:rPr>
          <w:rFonts w:asciiTheme="minorEastAsia" w:hAnsiTheme="minorEastAsia" w:cstheme="minorEastAsia"/>
          <w:sz w:val="24"/>
        </w:rPr>
      </w:pPr>
      <w:r>
        <w:rPr>
          <w:rFonts w:hint="eastAsia" w:asciiTheme="minorEastAsia" w:hAnsiTheme="minorEastAsia" w:cstheme="minorEastAsia"/>
          <w:sz w:val="24"/>
        </w:rPr>
        <w:t>致：（招标人名称）</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 xml:space="preserve">  (项目名称、项目编号)  </w:t>
      </w:r>
      <w:r>
        <w:rPr>
          <w:rFonts w:hint="eastAsia" w:asciiTheme="minorEastAsia" w:hAnsiTheme="minorEastAsia" w:eastAsiaTheme="minorEastAsia" w:cstheme="minorEastAsia"/>
          <w:sz w:val="24"/>
        </w:rPr>
        <w:t>项目的招标公告,签字代表</w:t>
      </w:r>
      <w:r>
        <w:rPr>
          <w:rFonts w:hint="eastAsia" w:asciiTheme="minorEastAsia" w:hAnsiTheme="minorEastAsia" w:eastAsiaTheme="minorEastAsia" w:cstheme="minorEastAsia"/>
          <w:sz w:val="24"/>
          <w:u w:val="single"/>
        </w:rPr>
        <w:t xml:space="preserve">  (姓名、职务)  </w:t>
      </w:r>
      <w:r>
        <w:rPr>
          <w:rFonts w:hint="eastAsia" w:asciiTheme="minorEastAsia" w:hAnsiTheme="minorEastAsia" w:eastAsiaTheme="minorEastAsia" w:cstheme="minorEastAsia"/>
          <w:sz w:val="24"/>
        </w:rPr>
        <w:t>经正式授权并代表投标人</w:t>
      </w:r>
      <w:r>
        <w:rPr>
          <w:rFonts w:hint="eastAsia" w:asciiTheme="minorEastAsia" w:hAnsiTheme="minorEastAsia" w:eastAsiaTheme="minorEastAsia" w:cstheme="minorEastAsia"/>
          <w:sz w:val="24"/>
          <w:u w:val="single"/>
        </w:rPr>
        <w:t xml:space="preserve">  （名称、地址）  </w:t>
      </w:r>
      <w:r>
        <w:rPr>
          <w:rFonts w:hint="eastAsia" w:asciiTheme="minorEastAsia" w:hAnsiTheme="minorEastAsia" w:eastAsiaTheme="minorEastAsia" w:cstheme="minorEastAsia"/>
          <w:sz w:val="24"/>
        </w:rPr>
        <w:t>在政采云平台提交加密版电子投标文件。</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据此，签字代表宣布同意如下：</w:t>
      </w:r>
    </w:p>
    <w:p>
      <w:pPr>
        <w:pStyle w:val="2"/>
        <w:numPr>
          <w:ilvl w:val="0"/>
          <w:numId w:val="8"/>
        </w:numPr>
        <w:tabs>
          <w:tab w:val="left" w:pos="5580"/>
        </w:tabs>
        <w:spacing w:line="360" w:lineRule="auto"/>
        <w:ind w:left="4"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附投标分项报价表中规定的应提供服务的投标总价详见开标一览表。</w:t>
      </w:r>
    </w:p>
    <w:p>
      <w:pPr>
        <w:pStyle w:val="2"/>
        <w:numPr>
          <w:ilvl w:val="0"/>
          <w:numId w:val="8"/>
        </w:numPr>
        <w:tabs>
          <w:tab w:val="left" w:pos="5580"/>
        </w:tabs>
        <w:spacing w:line="360" w:lineRule="auto"/>
        <w:ind w:left="4"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联合体中的大中型企业和其他自然人、法人或者非法人组织，与联合体中的小型、微型企业之间（存在、不存在）投资关系（如果联合体的话）。</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3、已详细审查全部招标文件，包括所有补充通知（如果有的话），完全理解并同意放弃对这方面有不明、误解的权利。</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4、我方不是为本项目提供整体设计、规范编制或者项目管理、监理、检测等服务的投标人，我方不是采购代理机构的附属机构。</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5、按照招标文件的规定，在中标后向贵方一次性支付招标代理费。</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6、按照贵方可能的要求，提供与投标有关的一切数据或资料，完全理解贵方不一定接受最低价的投标或收到的任何投标。</w:t>
      </w:r>
    </w:p>
    <w:p>
      <w:pPr>
        <w:pStyle w:val="2"/>
        <w:tabs>
          <w:tab w:val="left" w:pos="5580"/>
        </w:tabs>
        <w:spacing w:line="360" w:lineRule="auto"/>
        <w:ind w:left="2" w:leftChars="1"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7、在投标有效期内不修改、撤销投标文件。按照招标文件的规定履行合同责任和义务。</w:t>
      </w:r>
    </w:p>
    <w:p>
      <w:pPr>
        <w:pStyle w:val="2"/>
        <w:tabs>
          <w:tab w:val="left" w:pos="5580"/>
        </w:tabs>
        <w:spacing w:line="360" w:lineRule="auto"/>
        <w:ind w:left="2" w:leftChars="1"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8、完全理解并无条件承担中标后不依法与采购人签订合同的法律后果。</w:t>
      </w:r>
    </w:p>
    <w:p>
      <w:pPr>
        <w:pStyle w:val="2"/>
        <w:tabs>
          <w:tab w:val="left" w:pos="5580"/>
        </w:tabs>
        <w:spacing w:line="360" w:lineRule="auto"/>
        <w:ind w:left="2" w:leftChars="1" w:firstLine="480" w:firstLineChars="200"/>
        <w:rPr>
          <w:rFonts w:hint="default" w:asciiTheme="minorEastAsia" w:hAnsiTheme="minorEastAsia" w:eastAsiaTheme="minorEastAsia" w:cstheme="minorEastAsia"/>
          <w:color w:val="FF0000"/>
          <w:sz w:val="24"/>
          <w:u w:val="single"/>
          <w:lang w:val="en-US" w:eastAsia="zh-CN"/>
        </w:rPr>
      </w:pPr>
      <w:r>
        <w:rPr>
          <w:rFonts w:hint="eastAsia" w:asciiTheme="minorEastAsia" w:hAnsiTheme="minorEastAsia" w:eastAsiaTheme="minorEastAsia" w:cstheme="minorEastAsia"/>
          <w:color w:val="FF0000"/>
          <w:sz w:val="24"/>
          <w:lang w:val="en-US" w:eastAsia="zh-CN"/>
        </w:rPr>
        <w:t>9、我方响应招标文件，投标有效期为：</w:t>
      </w:r>
      <w:r>
        <w:rPr>
          <w:rFonts w:hint="eastAsia" w:asciiTheme="minorEastAsia" w:hAnsiTheme="minorEastAsia" w:eastAsiaTheme="minorEastAsia" w:cstheme="minorEastAsia"/>
          <w:color w:val="FF0000"/>
          <w:sz w:val="24"/>
          <w:u w:val="single"/>
          <w:lang w:val="en-US" w:eastAsia="zh-CN"/>
        </w:rPr>
        <w:t xml:space="preserve">     </w:t>
      </w:r>
      <w:r>
        <w:rPr>
          <w:rFonts w:hint="eastAsia" w:asciiTheme="minorEastAsia" w:hAnsiTheme="minorEastAsia" w:eastAsiaTheme="minorEastAsia" w:cstheme="minorEastAsia"/>
          <w:color w:val="FF0000"/>
          <w:sz w:val="24"/>
          <w:u w:val="none"/>
          <w:lang w:val="en-US" w:eastAsia="zh-CN"/>
        </w:rPr>
        <w:t>天。</w:t>
      </w:r>
    </w:p>
    <w:p>
      <w:pPr>
        <w:pStyle w:val="2"/>
        <w:tabs>
          <w:tab w:val="left" w:pos="5580"/>
        </w:tabs>
        <w:spacing w:line="360" w:lineRule="auto"/>
        <w:ind w:left="359" w:leftChars="68" w:hanging="216" w:hangingChars="90"/>
        <w:rPr>
          <w:rFonts w:asciiTheme="minorEastAsia" w:hAnsiTheme="minorEastAsia" w:eastAsiaTheme="minorEastAsia" w:cstheme="minorEastAsia"/>
          <w:sz w:val="24"/>
        </w:rPr>
      </w:pPr>
    </w:p>
    <w:p>
      <w:pPr>
        <w:pStyle w:val="2"/>
        <w:tabs>
          <w:tab w:val="left" w:pos="5580"/>
        </w:tabs>
        <w:spacing w:line="360" w:lineRule="auto"/>
        <w:ind w:left="359" w:leftChars="68" w:hanging="216" w:hangingChars="9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与本投标有关的一切正式往来信函请寄：</w:t>
      </w:r>
    </w:p>
    <w:p>
      <w:pPr>
        <w:pStyle w:val="2"/>
        <w:tabs>
          <w:tab w:val="left" w:pos="5580"/>
        </w:tabs>
        <w:spacing w:line="360" w:lineRule="auto"/>
        <w:ind w:left="141" w:leftChars="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传真：</w:t>
      </w:r>
    </w:p>
    <w:p>
      <w:pPr>
        <w:pStyle w:val="2"/>
        <w:tabs>
          <w:tab w:val="left" w:pos="5580"/>
        </w:tabs>
        <w:spacing w:line="360" w:lineRule="auto"/>
        <w:ind w:left="141" w:leftChars="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联系电话（座机）：      联系电话（手机）：</w:t>
      </w:r>
    </w:p>
    <w:p>
      <w:pPr>
        <w:pStyle w:val="2"/>
        <w:tabs>
          <w:tab w:val="left" w:pos="5580"/>
        </w:tabs>
        <w:spacing w:line="360" w:lineRule="auto"/>
        <w:ind w:left="141" w:leftChars="67"/>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电子函件：</w:t>
      </w:r>
    </w:p>
    <w:p>
      <w:pPr>
        <w:pStyle w:val="2"/>
        <w:tabs>
          <w:tab w:val="left" w:pos="5580"/>
        </w:tabs>
        <w:spacing w:line="360" w:lineRule="auto"/>
        <w:ind w:left="141" w:leftChars="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法定代表人或委托代理人（签字或签章）：</w:t>
      </w:r>
    </w:p>
    <w:p>
      <w:pPr>
        <w:pStyle w:val="2"/>
        <w:tabs>
          <w:tab w:val="left" w:pos="5580"/>
        </w:tabs>
        <w:spacing w:line="360" w:lineRule="auto"/>
        <w:ind w:left="141" w:leftChars="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投标人名称（盖公章）：</w:t>
      </w:r>
    </w:p>
    <w:p>
      <w:pPr>
        <w:pStyle w:val="2"/>
        <w:tabs>
          <w:tab w:val="left" w:pos="5580"/>
        </w:tabs>
        <w:spacing w:line="360" w:lineRule="auto"/>
        <w:ind w:left="141" w:leftChars="67"/>
        <w:rPr>
          <w:rFonts w:asciiTheme="minorEastAsia" w:hAnsiTheme="minorEastAsia" w:eastAsiaTheme="minorEastAsia" w:cstheme="minorEastAsia"/>
        </w:rPr>
      </w:pPr>
      <w:r>
        <w:rPr>
          <w:rFonts w:hint="eastAsia" w:asciiTheme="minorEastAsia" w:hAnsiTheme="minorEastAsia" w:eastAsiaTheme="minorEastAsia" w:cstheme="minorEastAsia"/>
          <w:sz w:val="24"/>
        </w:rPr>
        <w:t>日期：</w:t>
      </w:r>
    </w:p>
    <w:p>
      <w:pPr>
        <w:rPr>
          <w:rFonts w:asciiTheme="minorEastAsia" w:hAnsiTheme="minorEastAsia" w:cstheme="minorEastAsia"/>
        </w:rPr>
      </w:pPr>
    </w:p>
    <w:p>
      <w:pPr>
        <w:pStyle w:val="4"/>
        <w:spacing w:before="0"/>
        <w:rPr>
          <w:rFonts w:asciiTheme="minorEastAsia" w:hAnsiTheme="minorEastAsia" w:eastAsiaTheme="minorEastAsia" w:cstheme="minorEastAsia"/>
          <w:sz w:val="24"/>
        </w:rPr>
      </w:pPr>
      <w:bookmarkStart w:id="521" w:name="_Toc797117497"/>
      <w:bookmarkStart w:id="522" w:name="_Toc518923108"/>
    </w:p>
    <w:p>
      <w:pPr>
        <w:pStyle w:val="4"/>
        <w:spacing w:before="0"/>
        <w:rPr>
          <w:rFonts w:asciiTheme="minorEastAsia" w:hAnsiTheme="minorEastAsia" w:eastAsiaTheme="minorEastAsia" w:cstheme="minorEastAsia"/>
          <w:sz w:val="24"/>
        </w:rPr>
      </w:pPr>
      <w:bookmarkStart w:id="523" w:name="_Toc17037"/>
      <w:r>
        <w:rPr>
          <w:rFonts w:hint="eastAsia" w:asciiTheme="minorEastAsia" w:hAnsiTheme="minorEastAsia" w:eastAsiaTheme="minorEastAsia" w:cstheme="minorEastAsia"/>
          <w:sz w:val="24"/>
        </w:rPr>
        <w:t>2、开标一览表</w:t>
      </w:r>
      <w:bookmarkEnd w:id="521"/>
      <w:bookmarkEnd w:id="523"/>
    </w:p>
    <w:bookmarkEnd w:id="522"/>
    <w:p>
      <w:pPr>
        <w:pStyle w:val="2"/>
        <w:tabs>
          <w:tab w:val="left" w:pos="5580"/>
        </w:tabs>
        <w:spacing w:line="360" w:lineRule="auto"/>
        <w:rPr>
          <w:rFonts w:asciiTheme="minorEastAsia" w:hAnsiTheme="minorEastAsia" w:eastAsiaTheme="minorEastAsia" w:cstheme="minorEastAsia"/>
          <w:sz w:val="24"/>
        </w:rPr>
      </w:pPr>
    </w:p>
    <w:p>
      <w:pPr>
        <w:pStyle w:val="49"/>
        <w:spacing w:line="360" w:lineRule="auto"/>
        <w:ind w:left="0" w:leftChars="0" w:firstLine="0" w:firstLineChars="0"/>
        <w:rPr>
          <w:rFonts w:asciiTheme="minorEastAsia" w:hAnsiTheme="minorEastAsia" w:eastAsiaTheme="minorEastAsia" w:cstheme="minorEastAsia"/>
          <w:color w:val="000000" w:themeColor="text1"/>
        </w:rPr>
      </w:pPr>
      <w:bookmarkStart w:id="524" w:name="_Hlt520356241"/>
      <w:bookmarkEnd w:id="524"/>
      <w:r>
        <w:rPr>
          <w:rFonts w:hint="eastAsia" w:asciiTheme="minorEastAsia" w:hAnsiTheme="minorEastAsia" w:eastAsiaTheme="minorEastAsia" w:cstheme="minorEastAsia"/>
          <w:color w:val="000000" w:themeColor="text1"/>
        </w:rPr>
        <w:t>项目编号：</w:t>
      </w:r>
    </w:p>
    <w:p>
      <w:pPr>
        <w:pStyle w:val="49"/>
        <w:spacing w:line="360" w:lineRule="auto"/>
        <w:ind w:left="0" w:leftChars="0" w:firstLine="0" w:firstLineChars="0"/>
        <w:rPr>
          <w:rFonts w:hint="eastAsia"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rPr>
        <w:t>项目名称：                                            单位：</w:t>
      </w:r>
      <w:r>
        <w:rPr>
          <w:rFonts w:hint="eastAsia" w:asciiTheme="minorEastAsia" w:hAnsiTheme="minorEastAsia" w:eastAsiaTheme="minorEastAsia" w:cstheme="minorEastAsia"/>
          <w:color w:val="000000" w:themeColor="text1"/>
          <w:lang w:val="en-US" w:eastAsia="zh-CN"/>
        </w:rPr>
        <w:t>%</w:t>
      </w:r>
    </w:p>
    <w:tbl>
      <w:tblPr>
        <w:tblStyle w:val="24"/>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47" w:type="dxa"/>
            <w:tcBorders>
              <w:bottom w:val="single" w:color="auto" w:sz="4" w:space="0"/>
            </w:tcBorders>
            <w:vAlign w:val="center"/>
          </w:tcPr>
          <w:p>
            <w:pPr>
              <w:pStyle w:val="48"/>
              <w:tabs>
                <w:tab w:val="left" w:pos="1337"/>
              </w:tabs>
              <w:spacing w:line="40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项目名称</w:t>
            </w:r>
          </w:p>
        </w:tc>
        <w:tc>
          <w:tcPr>
            <w:tcW w:w="2817" w:type="dxa"/>
            <w:tcBorders>
              <w:bottom w:val="single" w:color="auto" w:sz="4" w:space="0"/>
            </w:tcBorders>
            <w:vAlign w:val="center"/>
          </w:tcPr>
          <w:p>
            <w:pPr>
              <w:pStyle w:val="48"/>
              <w:tabs>
                <w:tab w:val="left" w:pos="1337"/>
              </w:tabs>
              <w:spacing w:line="400" w:lineRule="exact"/>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47" w:type="dxa"/>
            <w:vAlign w:val="center"/>
          </w:tcPr>
          <w:p>
            <w:pPr>
              <w:pStyle w:val="48"/>
              <w:tabs>
                <w:tab w:val="left" w:pos="1337"/>
              </w:tabs>
              <w:spacing w:line="400" w:lineRule="exact"/>
              <w:jc w:val="center"/>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rPr>
              <w:t>投标报价</w:t>
            </w:r>
          </w:p>
          <w:p>
            <w:pPr>
              <w:pStyle w:val="48"/>
              <w:tabs>
                <w:tab w:val="left" w:pos="1337"/>
              </w:tabs>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eastAsia="zh-CN"/>
              </w:rPr>
              <w:t>（</w:t>
            </w:r>
            <w:r>
              <w:rPr>
                <w:rFonts w:hint="eastAsia" w:asciiTheme="minorEastAsia" w:hAnsiTheme="minorEastAsia" w:eastAsiaTheme="minorEastAsia" w:cstheme="minorEastAsia"/>
                <w:b/>
                <w:bCs/>
                <w:color w:val="000000" w:themeColor="text1"/>
                <w:sz w:val="24"/>
                <w:lang w:val="en-US" w:eastAsia="zh-CN"/>
              </w:rPr>
              <w:t>以</w:t>
            </w:r>
            <w:r>
              <w:rPr>
                <w:rFonts w:hint="eastAsia" w:asciiTheme="minorEastAsia" w:hAnsiTheme="minorEastAsia" w:eastAsiaTheme="minorEastAsia" w:cstheme="minorEastAsia"/>
                <w:b/>
                <w:bCs/>
                <w:sz w:val="24"/>
                <w:highlight w:val="none"/>
              </w:rPr>
              <w:t>新疆医疗服务价格收取标准</w:t>
            </w:r>
            <w:r>
              <w:rPr>
                <w:rFonts w:hint="eastAsia" w:asciiTheme="minorEastAsia" w:hAnsiTheme="minorEastAsia" w:eastAsiaTheme="minorEastAsia" w:cstheme="minorEastAsia"/>
                <w:b/>
                <w:bCs/>
                <w:sz w:val="24"/>
                <w:highlight w:val="none"/>
                <w:lang w:val="en-US" w:eastAsia="zh-CN"/>
              </w:rPr>
              <w:t>为基准，报下浮率</w:t>
            </w:r>
            <w:r>
              <w:rPr>
                <w:rFonts w:hint="eastAsia" w:asciiTheme="minorEastAsia" w:hAnsiTheme="minorEastAsia" w:eastAsiaTheme="minorEastAsia" w:cstheme="minorEastAsia"/>
                <w:color w:val="000000" w:themeColor="text1"/>
                <w:sz w:val="24"/>
                <w:lang w:eastAsia="zh-CN"/>
              </w:rPr>
              <w:t>）</w:t>
            </w:r>
          </w:p>
        </w:tc>
        <w:tc>
          <w:tcPr>
            <w:tcW w:w="2817" w:type="dxa"/>
            <w:vAlign w:val="center"/>
          </w:tcPr>
          <w:p>
            <w:pPr>
              <w:pStyle w:val="48"/>
              <w:tabs>
                <w:tab w:val="left" w:pos="1337"/>
              </w:tabs>
              <w:spacing w:line="400" w:lineRule="exact"/>
              <w:rPr>
                <w:rFonts w:hint="eastAsia" w:asciiTheme="minorEastAsia" w:hAnsiTheme="minorEastAsia" w:eastAsiaTheme="minorEastAsia" w:cstheme="minorEastAsia"/>
                <w:color w:val="000000" w:themeColor="text1"/>
                <w:sz w:val="24"/>
                <w:lang w:eastAsia="zh-CN"/>
              </w:rPr>
            </w:pPr>
            <w:r>
              <w:rPr>
                <w:rFonts w:hint="eastAsia" w:asciiTheme="minorEastAsia" w:hAnsiTheme="minorEastAsia" w:eastAsiaTheme="minorEastAsia" w:cstheme="minorEastAsia"/>
                <w:color w:val="000000" w:themeColor="text1"/>
                <w:sz w:val="24"/>
              </w:rPr>
              <w:t>小写：</w:t>
            </w:r>
            <w:r>
              <w:rPr>
                <w:rFonts w:hint="eastAsia" w:asciiTheme="minorEastAsia" w:hAnsiTheme="minorEastAsia" w:eastAsiaTheme="minorEastAsia" w:cstheme="minorEastAsia"/>
                <w:color w:val="000000" w:themeColor="text1"/>
                <w:sz w:val="24"/>
                <w:lang w:val="en-US" w:eastAsia="zh-CN"/>
              </w:rPr>
              <w:t xml:space="preserve">    </w:t>
            </w:r>
            <w:r>
              <w:rPr>
                <w:rFonts w:hint="eastAsia" w:asciiTheme="minorEastAsia" w:hAnsiTheme="minorEastAsia" w:eastAsiaTheme="minorEastAsia" w:cstheme="minorEastAsia"/>
                <w:color w:val="000000" w:themeColor="text1"/>
                <w:sz w:val="24"/>
              </w:rPr>
              <w:t xml:space="preserve">  </w:t>
            </w:r>
            <w:r>
              <w:rPr>
                <w:rFonts w:hint="eastAsia" w:asciiTheme="minorEastAsia" w:hAnsiTheme="minorEastAsia" w:eastAsiaTheme="minorEastAsia" w:cstheme="minorEastAsia"/>
                <w:color w:val="000000" w:themeColor="text1"/>
                <w:sz w:val="24"/>
                <w:lang w:val="en-US" w:eastAsia="zh-CN"/>
              </w:rPr>
              <w:t>%</w:t>
            </w:r>
          </w:p>
          <w:p>
            <w:pPr>
              <w:pStyle w:val="48"/>
              <w:tabs>
                <w:tab w:val="left" w:pos="1337"/>
              </w:tabs>
              <w:spacing w:line="400" w:lineRule="exact"/>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rPr>
              <w:t xml:space="preserve">大写：      </w:t>
            </w:r>
            <w:r>
              <w:rPr>
                <w:rFonts w:hint="eastAsia" w:asciiTheme="minorEastAsia" w:hAnsiTheme="minorEastAsia" w:eastAsiaTheme="minorEastAsia" w:cstheme="minorEastAsia"/>
                <w:color w:val="000000" w:themeColor="text1"/>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47" w:type="dxa"/>
            <w:vAlign w:val="center"/>
          </w:tcPr>
          <w:p>
            <w:pPr>
              <w:pStyle w:val="48"/>
              <w:tabs>
                <w:tab w:val="left" w:pos="1337"/>
              </w:tabs>
              <w:spacing w:line="40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合同履行期限</w:t>
            </w:r>
          </w:p>
        </w:tc>
        <w:tc>
          <w:tcPr>
            <w:tcW w:w="2817" w:type="dxa"/>
            <w:vAlign w:val="center"/>
          </w:tcPr>
          <w:p>
            <w:pPr>
              <w:pStyle w:val="48"/>
              <w:tabs>
                <w:tab w:val="left" w:pos="1337"/>
              </w:tabs>
              <w:spacing w:line="400" w:lineRule="exact"/>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47" w:type="dxa"/>
            <w:vAlign w:val="center"/>
          </w:tcPr>
          <w:p>
            <w:pPr>
              <w:pStyle w:val="48"/>
              <w:tabs>
                <w:tab w:val="left" w:pos="1337"/>
              </w:tabs>
              <w:spacing w:line="40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sz w:val="24"/>
              </w:rPr>
              <w:t>质保期</w:t>
            </w:r>
          </w:p>
        </w:tc>
        <w:tc>
          <w:tcPr>
            <w:tcW w:w="2817" w:type="dxa"/>
            <w:vAlign w:val="center"/>
          </w:tcPr>
          <w:p>
            <w:pPr>
              <w:pStyle w:val="48"/>
              <w:tabs>
                <w:tab w:val="left" w:pos="1337"/>
              </w:tabs>
              <w:spacing w:line="400" w:lineRule="exact"/>
              <w:rPr>
                <w:rFonts w:asciiTheme="minorEastAsia" w:hAnsiTheme="minorEastAsia" w:eastAsia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4" w:type="dxa"/>
            <w:gridSpan w:val="2"/>
            <w:vAlign w:val="center"/>
          </w:tcPr>
          <w:p>
            <w:pPr>
              <w:pStyle w:val="48"/>
              <w:tabs>
                <w:tab w:val="left" w:pos="1337"/>
              </w:tabs>
              <w:spacing w:line="400" w:lineRule="exac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备注：</w:t>
            </w:r>
          </w:p>
        </w:tc>
      </w:tr>
    </w:tbl>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投标人名称（盖公章）：</w:t>
      </w:r>
    </w:p>
    <w:p>
      <w:pPr>
        <w:pStyle w:val="2"/>
        <w:tabs>
          <w:tab w:val="left" w:pos="6180"/>
        </w:tabs>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pStyle w:val="2"/>
        <w:tabs>
          <w:tab w:val="left" w:pos="5580"/>
        </w:tabs>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1、本项目的服务费采用</w:t>
      </w:r>
      <w:r>
        <w:rPr>
          <w:rFonts w:hint="eastAsia" w:asciiTheme="minorEastAsia" w:hAnsiTheme="minorEastAsia" w:eastAsiaTheme="minorEastAsia" w:cstheme="minorEastAsia"/>
          <w:sz w:val="24"/>
          <w:highlight w:val="none"/>
        </w:rPr>
        <w:t>固定费用总包干方式服务。</w:t>
      </w: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2、此表中，投标总价应和投标分项报价表的总价相一致。</w:t>
      </w:r>
    </w:p>
    <w:p>
      <w:pPr>
        <w:pStyle w:val="2"/>
        <w:tabs>
          <w:tab w:val="left" w:pos="5580"/>
        </w:tabs>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bCs/>
          <w:sz w:val="24"/>
          <w:highlight w:val="none"/>
        </w:rPr>
        <w:t>本项目采用</w:t>
      </w:r>
      <w:r>
        <w:rPr>
          <w:rFonts w:hint="eastAsia" w:asciiTheme="minorEastAsia" w:hAnsiTheme="minorEastAsia" w:eastAsiaTheme="minorEastAsia" w:cstheme="minorEastAsia"/>
          <w:b/>
          <w:bCs/>
          <w:sz w:val="24"/>
          <w:highlight w:val="none"/>
          <w:lang w:val="en-US" w:eastAsia="zh-CN"/>
        </w:rPr>
        <w:t>下浮率（百分比）</w:t>
      </w:r>
      <w:r>
        <w:rPr>
          <w:rFonts w:hint="eastAsia" w:asciiTheme="minorEastAsia" w:hAnsiTheme="minorEastAsia" w:eastAsiaTheme="minorEastAsia" w:cstheme="minorEastAsia"/>
          <w:b/>
          <w:bCs/>
          <w:sz w:val="24"/>
          <w:highlight w:val="none"/>
        </w:rPr>
        <w:t>报价，投标人的报价不得高于该监护项目新疆医疗服务价格收取标准的</w:t>
      </w:r>
      <w:r>
        <w:rPr>
          <w:rFonts w:hint="eastAsia" w:asciiTheme="minorEastAsia" w:hAnsiTheme="minorEastAsia" w:eastAsiaTheme="minorEastAsia" w:cstheme="minorEastAsia"/>
          <w:b/>
          <w:bCs/>
          <w:sz w:val="24"/>
          <w:highlight w:val="none"/>
          <w:lang w:val="en-US" w:eastAsia="zh-CN"/>
        </w:rPr>
        <w:t>7</w:t>
      </w:r>
      <w:r>
        <w:rPr>
          <w:rFonts w:hint="eastAsia" w:asciiTheme="minorEastAsia" w:hAnsiTheme="minorEastAsia" w:eastAsiaTheme="minorEastAsia" w:cstheme="minorEastAsia"/>
          <w:b/>
          <w:bCs/>
          <w:sz w:val="24"/>
          <w:highlight w:val="none"/>
        </w:rPr>
        <w:t>0%，否则其投标无效。</w:t>
      </w:r>
    </w:p>
    <w:p>
      <w:pPr>
        <w:spacing w:line="360" w:lineRule="auto"/>
        <w:rPr>
          <w:rFonts w:asciiTheme="minorEastAsia" w:hAnsiTheme="minorEastAsia" w:cstheme="minorEastAsia"/>
          <w:b/>
          <w:sz w:val="24"/>
          <w:highlight w:val="none"/>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2"/>
        <w:rPr>
          <w:rFonts w:asciiTheme="minorEastAsia" w:hAnsiTheme="minorEastAsia" w:cstheme="minorEastAsia"/>
          <w:b/>
          <w:sz w:val="24"/>
        </w:rPr>
      </w:pPr>
    </w:p>
    <w:p>
      <w:pPr>
        <w:pStyle w:val="4"/>
        <w:spacing w:before="0"/>
        <w:rPr>
          <w:rFonts w:asciiTheme="minorEastAsia" w:hAnsiTheme="minorEastAsia" w:eastAsiaTheme="minorEastAsia" w:cstheme="minorEastAsia"/>
          <w:sz w:val="24"/>
        </w:rPr>
      </w:pPr>
      <w:bookmarkStart w:id="525" w:name="_Toc1283"/>
      <w:r>
        <w:rPr>
          <w:rFonts w:hint="eastAsia" w:asciiTheme="minorEastAsia" w:hAnsiTheme="minorEastAsia" w:eastAsiaTheme="minorEastAsia" w:cstheme="minorEastAsia"/>
          <w:sz w:val="24"/>
        </w:rPr>
        <w:t>3、投标分项报价表</w:t>
      </w:r>
      <w:bookmarkEnd w:id="525"/>
    </w:p>
    <w:p>
      <w:pPr>
        <w:pStyle w:val="2"/>
        <w:spacing w:line="360" w:lineRule="auto"/>
        <w:ind w:left="-141" w:leftChars="-67"/>
        <w:jc w:val="center"/>
        <w:rPr>
          <w:rFonts w:asciiTheme="minorEastAsia" w:hAnsiTheme="minorEastAsia" w:eastAsiaTheme="minorEastAsia" w:cstheme="minorEastAsia"/>
          <w:sz w:val="24"/>
        </w:rPr>
      </w:pPr>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p>
      <w:pPr>
        <w:pStyle w:val="2"/>
        <w:spacing w:line="360" w:lineRule="auto"/>
        <w:ind w:right="48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项目编号:             　        　       报价单位：</w:t>
      </w:r>
      <w:r>
        <w:rPr>
          <w:rFonts w:hint="eastAsia" w:asciiTheme="minorEastAsia" w:hAnsiTheme="minorEastAsia" w:eastAsiaTheme="minorEastAsia" w:cstheme="minorEastAsia"/>
          <w:sz w:val="24"/>
          <w:lang w:val="en-US" w:eastAsia="zh-CN"/>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86"/>
        <w:gridCol w:w="1700"/>
        <w:gridCol w:w="1559"/>
        <w:gridCol w:w="1988"/>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788" w:type="dxa"/>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86" w:type="dxa"/>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报价项目</w:t>
            </w:r>
          </w:p>
        </w:tc>
        <w:tc>
          <w:tcPr>
            <w:tcW w:w="1700" w:type="dxa"/>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p>
        </w:tc>
        <w:tc>
          <w:tcPr>
            <w:tcW w:w="1559" w:type="dxa"/>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p>
        </w:tc>
        <w:tc>
          <w:tcPr>
            <w:tcW w:w="1988" w:type="dxa"/>
            <w:vAlign w:val="center"/>
          </w:tcPr>
          <w:p>
            <w:pPr>
              <w:pStyle w:val="45"/>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费用组成及</w:t>
            </w:r>
          </w:p>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取费标准说明</w:t>
            </w:r>
          </w:p>
        </w:tc>
        <w:tc>
          <w:tcPr>
            <w:tcW w:w="728" w:type="dxa"/>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586" w:type="dxa"/>
            <w:vAlign w:val="center"/>
          </w:tcPr>
          <w:p>
            <w:pPr>
              <w:pStyle w:val="45"/>
              <w:spacing w:line="400" w:lineRule="exact"/>
              <w:jc w:val="center"/>
              <w:rPr>
                <w:rFonts w:asciiTheme="minorEastAsia" w:hAnsiTheme="minorEastAsia" w:eastAsiaTheme="minorEastAsia" w:cstheme="minorEastAsia"/>
                <w:b/>
                <w:sz w:val="24"/>
                <w:szCs w:val="24"/>
              </w:rPr>
            </w:pPr>
          </w:p>
        </w:tc>
        <w:tc>
          <w:tcPr>
            <w:tcW w:w="1700" w:type="dxa"/>
          </w:tcPr>
          <w:p>
            <w:pPr>
              <w:pStyle w:val="45"/>
              <w:spacing w:line="400" w:lineRule="exact"/>
              <w:rPr>
                <w:rFonts w:asciiTheme="minorEastAsia" w:hAnsiTheme="minorEastAsia" w:eastAsiaTheme="minorEastAsia" w:cstheme="minorEastAsia"/>
                <w:b/>
                <w:sz w:val="24"/>
                <w:szCs w:val="24"/>
              </w:rPr>
            </w:pPr>
          </w:p>
        </w:tc>
        <w:tc>
          <w:tcPr>
            <w:tcW w:w="1559"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988" w:type="dxa"/>
          </w:tcPr>
          <w:p>
            <w:pPr>
              <w:pStyle w:val="45"/>
              <w:spacing w:line="400" w:lineRule="exact"/>
              <w:rPr>
                <w:rFonts w:asciiTheme="minorEastAsia" w:hAnsiTheme="minorEastAsia" w:eastAsiaTheme="minorEastAsia" w:cstheme="minorEastAsia"/>
                <w:bCs/>
                <w:sz w:val="24"/>
                <w:szCs w:val="24"/>
              </w:rPr>
            </w:pPr>
          </w:p>
        </w:tc>
        <w:tc>
          <w:tcPr>
            <w:tcW w:w="728" w:type="dxa"/>
          </w:tcPr>
          <w:p>
            <w:pPr>
              <w:pStyle w:val="45"/>
              <w:spacing w:line="400" w:lineRule="exact"/>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586" w:type="dxa"/>
            <w:vAlign w:val="center"/>
          </w:tcPr>
          <w:p>
            <w:pPr>
              <w:pStyle w:val="45"/>
              <w:spacing w:line="400" w:lineRule="exact"/>
              <w:jc w:val="center"/>
              <w:rPr>
                <w:rFonts w:asciiTheme="minorEastAsia" w:hAnsiTheme="minorEastAsia" w:eastAsiaTheme="minorEastAsia" w:cstheme="minorEastAsia"/>
                <w:b/>
                <w:sz w:val="24"/>
                <w:szCs w:val="24"/>
              </w:rPr>
            </w:pPr>
          </w:p>
        </w:tc>
        <w:tc>
          <w:tcPr>
            <w:tcW w:w="1700" w:type="dxa"/>
          </w:tcPr>
          <w:p>
            <w:pPr>
              <w:pStyle w:val="45"/>
              <w:spacing w:line="400" w:lineRule="exact"/>
              <w:rPr>
                <w:rFonts w:asciiTheme="minorEastAsia" w:hAnsiTheme="minorEastAsia" w:eastAsiaTheme="minorEastAsia" w:cstheme="minorEastAsia"/>
                <w:b/>
                <w:sz w:val="24"/>
                <w:szCs w:val="24"/>
              </w:rPr>
            </w:pPr>
          </w:p>
        </w:tc>
        <w:tc>
          <w:tcPr>
            <w:tcW w:w="1559" w:type="dxa"/>
          </w:tcPr>
          <w:p>
            <w:pPr>
              <w:pStyle w:val="45"/>
              <w:spacing w:line="400" w:lineRule="exact"/>
              <w:rPr>
                <w:rFonts w:asciiTheme="minorEastAsia" w:hAnsiTheme="minorEastAsia" w:eastAsiaTheme="minorEastAsia" w:cstheme="minorEastAsia"/>
                <w:b/>
                <w:sz w:val="24"/>
                <w:szCs w:val="24"/>
              </w:rPr>
            </w:pPr>
          </w:p>
        </w:tc>
        <w:tc>
          <w:tcPr>
            <w:tcW w:w="1988" w:type="dxa"/>
          </w:tcPr>
          <w:p>
            <w:pPr>
              <w:pStyle w:val="45"/>
              <w:spacing w:line="400" w:lineRule="exact"/>
              <w:rPr>
                <w:rFonts w:asciiTheme="minorEastAsia" w:hAnsiTheme="minorEastAsia" w:eastAsiaTheme="minorEastAsia" w:cstheme="minorEastAsia"/>
                <w:b/>
                <w:sz w:val="24"/>
                <w:szCs w:val="24"/>
              </w:rPr>
            </w:pPr>
          </w:p>
        </w:tc>
        <w:tc>
          <w:tcPr>
            <w:tcW w:w="728" w:type="dxa"/>
          </w:tcPr>
          <w:p>
            <w:pPr>
              <w:pStyle w:val="45"/>
              <w:spacing w:line="400" w:lineRule="exact"/>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586" w:type="dxa"/>
            <w:vAlign w:val="center"/>
          </w:tcPr>
          <w:p>
            <w:pPr>
              <w:pStyle w:val="45"/>
              <w:spacing w:line="400" w:lineRule="exact"/>
              <w:jc w:val="center"/>
              <w:rPr>
                <w:rFonts w:asciiTheme="minorEastAsia" w:hAnsiTheme="minorEastAsia" w:eastAsiaTheme="minorEastAsia" w:cstheme="minorEastAsia"/>
                <w:b/>
                <w:sz w:val="24"/>
                <w:szCs w:val="24"/>
              </w:rPr>
            </w:pPr>
          </w:p>
        </w:tc>
        <w:tc>
          <w:tcPr>
            <w:tcW w:w="1700" w:type="dxa"/>
          </w:tcPr>
          <w:p>
            <w:pPr>
              <w:pStyle w:val="45"/>
              <w:spacing w:line="400" w:lineRule="exact"/>
              <w:rPr>
                <w:rFonts w:asciiTheme="minorEastAsia" w:hAnsiTheme="minorEastAsia" w:eastAsiaTheme="minorEastAsia" w:cstheme="minorEastAsia"/>
                <w:b/>
                <w:sz w:val="24"/>
                <w:szCs w:val="24"/>
              </w:rPr>
            </w:pPr>
          </w:p>
        </w:tc>
        <w:tc>
          <w:tcPr>
            <w:tcW w:w="1559" w:type="dxa"/>
          </w:tcPr>
          <w:p>
            <w:pPr>
              <w:pStyle w:val="45"/>
              <w:spacing w:line="400" w:lineRule="exact"/>
              <w:rPr>
                <w:rFonts w:asciiTheme="minorEastAsia" w:hAnsiTheme="minorEastAsia" w:eastAsiaTheme="minorEastAsia" w:cstheme="minorEastAsia"/>
                <w:b/>
                <w:sz w:val="24"/>
                <w:szCs w:val="24"/>
              </w:rPr>
            </w:pPr>
          </w:p>
        </w:tc>
        <w:tc>
          <w:tcPr>
            <w:tcW w:w="1988" w:type="dxa"/>
          </w:tcPr>
          <w:p>
            <w:pPr>
              <w:pStyle w:val="45"/>
              <w:spacing w:line="400" w:lineRule="exact"/>
              <w:rPr>
                <w:rFonts w:asciiTheme="minorEastAsia" w:hAnsiTheme="minorEastAsia" w:eastAsiaTheme="minorEastAsia" w:cstheme="minorEastAsia"/>
                <w:b/>
                <w:sz w:val="24"/>
                <w:szCs w:val="24"/>
              </w:rPr>
            </w:pPr>
          </w:p>
        </w:tc>
        <w:tc>
          <w:tcPr>
            <w:tcW w:w="728" w:type="dxa"/>
          </w:tcPr>
          <w:p>
            <w:pPr>
              <w:pStyle w:val="45"/>
              <w:spacing w:line="400" w:lineRule="exact"/>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586" w:type="dxa"/>
            <w:vAlign w:val="center"/>
          </w:tcPr>
          <w:p>
            <w:pPr>
              <w:pStyle w:val="45"/>
              <w:spacing w:line="400" w:lineRule="exact"/>
              <w:jc w:val="center"/>
              <w:rPr>
                <w:rFonts w:asciiTheme="minorEastAsia" w:hAnsiTheme="minorEastAsia" w:eastAsiaTheme="minorEastAsia" w:cstheme="minorEastAsia"/>
                <w:b/>
                <w:sz w:val="24"/>
                <w:szCs w:val="24"/>
              </w:rPr>
            </w:pPr>
          </w:p>
        </w:tc>
        <w:tc>
          <w:tcPr>
            <w:tcW w:w="1700" w:type="dxa"/>
          </w:tcPr>
          <w:p>
            <w:pPr>
              <w:pStyle w:val="45"/>
              <w:spacing w:line="400" w:lineRule="exact"/>
              <w:rPr>
                <w:rFonts w:asciiTheme="minorEastAsia" w:hAnsiTheme="minorEastAsia" w:eastAsiaTheme="minorEastAsia" w:cstheme="minorEastAsia"/>
                <w:b/>
                <w:sz w:val="24"/>
                <w:szCs w:val="24"/>
              </w:rPr>
            </w:pPr>
          </w:p>
        </w:tc>
        <w:tc>
          <w:tcPr>
            <w:tcW w:w="1559" w:type="dxa"/>
          </w:tcPr>
          <w:p>
            <w:pPr>
              <w:pStyle w:val="45"/>
              <w:spacing w:line="400" w:lineRule="exact"/>
              <w:rPr>
                <w:rFonts w:asciiTheme="minorEastAsia" w:hAnsiTheme="minorEastAsia" w:eastAsiaTheme="minorEastAsia" w:cstheme="minorEastAsia"/>
                <w:b/>
                <w:sz w:val="24"/>
                <w:szCs w:val="24"/>
              </w:rPr>
            </w:pPr>
          </w:p>
        </w:tc>
        <w:tc>
          <w:tcPr>
            <w:tcW w:w="1988" w:type="dxa"/>
          </w:tcPr>
          <w:p>
            <w:pPr>
              <w:pStyle w:val="45"/>
              <w:spacing w:line="400" w:lineRule="exact"/>
              <w:rPr>
                <w:rFonts w:asciiTheme="minorEastAsia" w:hAnsiTheme="minorEastAsia" w:eastAsiaTheme="minorEastAsia" w:cstheme="minorEastAsia"/>
                <w:b/>
                <w:sz w:val="24"/>
                <w:szCs w:val="24"/>
              </w:rPr>
            </w:pPr>
          </w:p>
        </w:tc>
        <w:tc>
          <w:tcPr>
            <w:tcW w:w="728" w:type="dxa"/>
          </w:tcPr>
          <w:p>
            <w:pPr>
              <w:pStyle w:val="45"/>
              <w:spacing w:line="400" w:lineRule="exact"/>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pPr>
              <w:pStyle w:val="45"/>
              <w:spacing w:line="400" w:lineRule="exact"/>
              <w:jc w:val="center"/>
              <w:rPr>
                <w:rFonts w:asciiTheme="minorEastAsia" w:hAnsiTheme="minorEastAsia" w:eastAsiaTheme="minorEastAsia" w:cstheme="minorEastAsia"/>
                <w:bCs/>
                <w:sz w:val="24"/>
                <w:szCs w:val="24"/>
              </w:rPr>
            </w:pPr>
          </w:p>
        </w:tc>
        <w:tc>
          <w:tcPr>
            <w:tcW w:w="1586" w:type="dxa"/>
            <w:vAlign w:val="center"/>
          </w:tcPr>
          <w:p>
            <w:pPr>
              <w:pStyle w:val="45"/>
              <w:spacing w:line="400" w:lineRule="exact"/>
              <w:jc w:val="center"/>
              <w:rPr>
                <w:rFonts w:asciiTheme="minorEastAsia" w:hAnsiTheme="minorEastAsia" w:eastAsiaTheme="minorEastAsia" w:cstheme="minorEastAsia"/>
                <w:b/>
                <w:sz w:val="24"/>
                <w:szCs w:val="24"/>
              </w:rPr>
            </w:pPr>
          </w:p>
        </w:tc>
        <w:tc>
          <w:tcPr>
            <w:tcW w:w="1700" w:type="dxa"/>
          </w:tcPr>
          <w:p>
            <w:pPr>
              <w:pStyle w:val="45"/>
              <w:spacing w:line="400" w:lineRule="exact"/>
              <w:rPr>
                <w:rFonts w:asciiTheme="minorEastAsia" w:hAnsiTheme="minorEastAsia" w:eastAsiaTheme="minorEastAsia" w:cstheme="minorEastAsia"/>
                <w:b/>
                <w:sz w:val="24"/>
                <w:szCs w:val="24"/>
              </w:rPr>
            </w:pPr>
          </w:p>
        </w:tc>
        <w:tc>
          <w:tcPr>
            <w:tcW w:w="1559" w:type="dxa"/>
          </w:tcPr>
          <w:p>
            <w:pPr>
              <w:pStyle w:val="45"/>
              <w:spacing w:line="400" w:lineRule="exact"/>
              <w:rPr>
                <w:rFonts w:asciiTheme="minorEastAsia" w:hAnsiTheme="minorEastAsia" w:eastAsiaTheme="minorEastAsia" w:cstheme="minorEastAsia"/>
                <w:b/>
                <w:sz w:val="24"/>
                <w:szCs w:val="24"/>
              </w:rPr>
            </w:pPr>
          </w:p>
        </w:tc>
        <w:tc>
          <w:tcPr>
            <w:tcW w:w="1988" w:type="dxa"/>
          </w:tcPr>
          <w:p>
            <w:pPr>
              <w:pStyle w:val="45"/>
              <w:spacing w:line="400" w:lineRule="exact"/>
              <w:rPr>
                <w:rFonts w:asciiTheme="minorEastAsia" w:hAnsiTheme="minorEastAsia" w:eastAsiaTheme="minorEastAsia" w:cstheme="minorEastAsia"/>
                <w:b/>
                <w:sz w:val="24"/>
                <w:szCs w:val="24"/>
              </w:rPr>
            </w:pPr>
          </w:p>
        </w:tc>
        <w:tc>
          <w:tcPr>
            <w:tcW w:w="728" w:type="dxa"/>
          </w:tcPr>
          <w:p>
            <w:pPr>
              <w:pStyle w:val="45"/>
              <w:spacing w:line="400" w:lineRule="exact"/>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vAlign w:val="center"/>
          </w:tcPr>
          <w:p>
            <w:pPr>
              <w:pStyle w:val="45"/>
              <w:spacing w:line="40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color w:val="000000" w:themeColor="text1"/>
                <w:sz w:val="24"/>
                <w:lang w:val="en-US" w:eastAsia="zh-CN"/>
              </w:rPr>
              <w:t>以</w:t>
            </w:r>
            <w:r>
              <w:rPr>
                <w:rFonts w:hint="eastAsia" w:asciiTheme="minorEastAsia" w:hAnsiTheme="minorEastAsia" w:eastAsiaTheme="minorEastAsia" w:cstheme="minorEastAsia"/>
                <w:b/>
                <w:bCs/>
                <w:sz w:val="24"/>
                <w:highlight w:val="none"/>
              </w:rPr>
              <w:t>新疆医疗服务价格收取标准</w:t>
            </w:r>
            <w:r>
              <w:rPr>
                <w:rFonts w:hint="eastAsia" w:asciiTheme="minorEastAsia" w:hAnsiTheme="minorEastAsia" w:eastAsiaTheme="minorEastAsia" w:cstheme="minorEastAsia"/>
                <w:b/>
                <w:bCs/>
                <w:sz w:val="24"/>
                <w:highlight w:val="none"/>
                <w:lang w:val="en-US" w:eastAsia="zh-CN"/>
              </w:rPr>
              <w:t>为基准，报下浮率。</w:t>
            </w:r>
          </w:p>
        </w:tc>
        <w:tc>
          <w:tcPr>
            <w:tcW w:w="5975" w:type="dxa"/>
            <w:gridSpan w:val="4"/>
            <w:vAlign w:val="center"/>
          </w:tcPr>
          <w:p>
            <w:pPr>
              <w:pStyle w:val="45"/>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lang w:val="en-US" w:eastAsia="zh-CN"/>
              </w:rPr>
              <w:t xml:space="preserve">    %</w:t>
            </w:r>
          </w:p>
          <w:p>
            <w:pPr>
              <w:pStyle w:val="45"/>
              <w:spacing w:line="400" w:lineRule="exac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vAlign w:val="center"/>
          </w:tcPr>
          <w:p>
            <w:pPr>
              <w:pStyle w:val="45"/>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5975" w:type="dxa"/>
            <w:gridSpan w:val="4"/>
          </w:tcPr>
          <w:p>
            <w:pPr>
              <w:pStyle w:val="45"/>
              <w:spacing w:line="400" w:lineRule="exact"/>
              <w:rPr>
                <w:rFonts w:asciiTheme="minorEastAsia" w:hAnsiTheme="minorEastAsia" w:eastAsiaTheme="minorEastAsia" w:cstheme="minorEastAsia"/>
                <w:b/>
                <w:sz w:val="24"/>
                <w:szCs w:val="24"/>
              </w:rPr>
            </w:pPr>
          </w:p>
        </w:tc>
      </w:tr>
    </w:tbl>
    <w:p>
      <w:pPr>
        <w:pStyle w:val="2"/>
        <w:tabs>
          <w:tab w:val="left" w:pos="537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 1、只要投报了一个确定数额的报价，无论详细价格是否全部填报了相应的金额，其报价应被视为已经包含了为完成本项工作所发生的全部费用和所需缴纳的所有价格、税、费等。</w:t>
      </w:r>
    </w:p>
    <w:p>
      <w:pPr>
        <w:pStyle w:val="2"/>
        <w:tabs>
          <w:tab w:val="left" w:pos="5580"/>
        </w:tabs>
        <w:spacing w:line="360" w:lineRule="auto"/>
        <w:ind w:left="422" w:leftChars="20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2、上述各项的详细分项报价，可另页描述。 </w:t>
      </w:r>
    </w:p>
    <w:p>
      <w:pPr>
        <w:pStyle w:val="2"/>
        <w:numPr>
          <w:ilvl w:val="0"/>
          <w:numId w:val="8"/>
        </w:numPr>
        <w:tabs>
          <w:tab w:val="left" w:pos="5580"/>
        </w:tabs>
        <w:spacing w:line="360" w:lineRule="auto"/>
        <w:ind w:firstLine="418"/>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本项目采用</w:t>
      </w:r>
      <w:r>
        <w:rPr>
          <w:rFonts w:hint="eastAsia" w:asciiTheme="minorEastAsia" w:hAnsiTheme="minorEastAsia" w:eastAsiaTheme="minorEastAsia" w:cstheme="minorEastAsia"/>
          <w:b/>
          <w:bCs/>
          <w:sz w:val="24"/>
          <w:highlight w:val="none"/>
          <w:lang w:val="en-US" w:eastAsia="zh-CN"/>
        </w:rPr>
        <w:t>下浮率（百分比）</w:t>
      </w:r>
      <w:r>
        <w:rPr>
          <w:rFonts w:hint="eastAsia" w:asciiTheme="minorEastAsia" w:hAnsiTheme="minorEastAsia" w:eastAsiaTheme="minorEastAsia" w:cstheme="minorEastAsia"/>
          <w:b/>
          <w:bCs/>
          <w:sz w:val="24"/>
          <w:highlight w:val="none"/>
        </w:rPr>
        <w:t>报价，投标人的报价不得高于该监护项目新疆医疗服务价格收取标准的</w:t>
      </w:r>
      <w:r>
        <w:rPr>
          <w:rFonts w:hint="eastAsia" w:asciiTheme="minorEastAsia" w:hAnsiTheme="minorEastAsia" w:eastAsiaTheme="minorEastAsia" w:cstheme="minorEastAsia"/>
          <w:b/>
          <w:bCs/>
          <w:sz w:val="24"/>
          <w:highlight w:val="none"/>
          <w:lang w:val="en-US" w:eastAsia="zh-CN"/>
        </w:rPr>
        <w:t>7</w:t>
      </w:r>
      <w:r>
        <w:rPr>
          <w:rFonts w:hint="eastAsia" w:asciiTheme="minorEastAsia" w:hAnsiTheme="minorEastAsia" w:eastAsiaTheme="minorEastAsia" w:cstheme="minorEastAsia"/>
          <w:b/>
          <w:bCs/>
          <w:sz w:val="24"/>
          <w:highlight w:val="none"/>
        </w:rPr>
        <w:t>0%，否则其投标无效。</w:t>
      </w:r>
    </w:p>
    <w:p>
      <w:pPr>
        <w:pStyle w:val="2"/>
        <w:tabs>
          <w:tab w:val="left" w:pos="5580"/>
        </w:tabs>
        <w:spacing w:line="360" w:lineRule="auto"/>
        <w:ind w:left="420"/>
        <w:rPr>
          <w:rFonts w:asciiTheme="minorEastAsia" w:hAnsiTheme="minorEastAsia" w:eastAsiaTheme="minorEastAsia" w:cstheme="minorEastAsia"/>
          <w:sz w:val="24"/>
        </w:rPr>
      </w:pPr>
    </w:p>
    <w:p>
      <w:pPr>
        <w:pStyle w:val="2"/>
        <w:tabs>
          <w:tab w:val="left" w:pos="5370"/>
        </w:tabs>
        <w:spacing w:line="360" w:lineRule="auto"/>
        <w:rPr>
          <w:rFonts w:asciiTheme="minorEastAsia" w:hAnsiTheme="minorEastAsia" w:eastAsiaTheme="minorEastAsia" w:cstheme="minorEastAsia"/>
          <w:sz w:val="24"/>
        </w:rPr>
      </w:pPr>
    </w:p>
    <w:p>
      <w:pPr>
        <w:pStyle w:val="2"/>
        <w:tabs>
          <w:tab w:val="left" w:pos="5370"/>
        </w:tabs>
        <w:spacing w:line="360" w:lineRule="auto"/>
        <w:ind w:left="1080" w:leftChars="257" w:hanging="540"/>
        <w:rPr>
          <w:rFonts w:asciiTheme="minorEastAsia" w:hAnsiTheme="minorEastAsia" w:eastAsiaTheme="minorEastAsia" w:cstheme="minorEastAsia"/>
          <w:sz w:val="24"/>
        </w:rPr>
      </w:pPr>
    </w:p>
    <w:p>
      <w:pPr>
        <w:pStyle w:val="2"/>
        <w:tabs>
          <w:tab w:val="left" w:pos="5370"/>
        </w:tabs>
        <w:spacing w:line="360" w:lineRule="auto"/>
        <w:ind w:left="1258" w:leftChars="599" w:firstLine="1540" w:firstLineChars="64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投标人名称(盖公章):</w:t>
      </w:r>
      <w:r>
        <w:rPr>
          <w:rFonts w:hint="eastAsia" w:asciiTheme="minorEastAsia" w:hAnsiTheme="minorEastAsia" w:eastAsiaTheme="minorEastAsia" w:cstheme="minorEastAsia"/>
          <w:sz w:val="24"/>
          <w:u w:val="single"/>
        </w:rPr>
        <w:tab/>
      </w:r>
    </w:p>
    <w:p>
      <w:pPr>
        <w:pStyle w:val="2"/>
        <w:spacing w:line="360" w:lineRule="auto"/>
        <w:ind w:left="1258" w:leftChars="599" w:firstLine="1060" w:firstLineChars="44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4"/>
        <w:spacing w:before="0"/>
        <w:rPr>
          <w:rFonts w:asciiTheme="minorEastAsia" w:hAnsiTheme="minorEastAsia" w:eastAsiaTheme="minorEastAsia" w:cstheme="minorEastAsia"/>
          <w:sz w:val="24"/>
        </w:rPr>
      </w:pPr>
      <w:bookmarkStart w:id="526" w:name="_Toc1150782093"/>
      <w:bookmarkStart w:id="527" w:name="_Toc518923109"/>
    </w:p>
    <w:p>
      <w:pPr>
        <w:pStyle w:val="4"/>
        <w:spacing w:before="0"/>
        <w:rPr>
          <w:rFonts w:asciiTheme="minorEastAsia" w:hAnsiTheme="minorEastAsia" w:eastAsiaTheme="minorEastAsia" w:cstheme="minorEastAsia"/>
          <w:sz w:val="24"/>
        </w:rPr>
      </w:pPr>
      <w:bookmarkStart w:id="528" w:name="_Toc26913"/>
      <w:r>
        <w:rPr>
          <w:rFonts w:hint="eastAsia" w:asciiTheme="minorEastAsia" w:hAnsiTheme="minorEastAsia" w:eastAsiaTheme="minorEastAsia" w:cstheme="minorEastAsia"/>
          <w:sz w:val="24"/>
        </w:rPr>
        <w:t>4、法人或者非法人组织的营业执照等证明文件或自然人的身份证明</w:t>
      </w:r>
      <w:bookmarkEnd w:id="526"/>
      <w:bookmarkEnd w:id="527"/>
      <w:bookmarkEnd w:id="528"/>
    </w:p>
    <w:p>
      <w:pPr>
        <w:pStyle w:val="2"/>
        <w:tabs>
          <w:tab w:val="left" w:pos="5580"/>
        </w:tabs>
        <w:spacing w:line="360" w:lineRule="auto"/>
        <w:ind w:left="1080" w:leftChars="257" w:hanging="540"/>
        <w:jc w:val="center"/>
        <w:rPr>
          <w:rFonts w:asciiTheme="minorEastAsia" w:hAnsiTheme="minorEastAsia" w:eastAsiaTheme="minorEastAsia" w:cstheme="minorEastAsia"/>
          <w:b/>
          <w:sz w:val="24"/>
        </w:rPr>
      </w:pPr>
    </w:p>
    <w:p>
      <w:pPr>
        <w:tabs>
          <w:tab w:val="left" w:pos="5580"/>
        </w:tabs>
        <w:spacing w:line="360" w:lineRule="auto"/>
        <w:ind w:left="1" w:hanging="1"/>
        <w:rPr>
          <w:rFonts w:asciiTheme="minorEastAsia" w:hAnsiTheme="minorEastAsia" w:cstheme="minorEastAsia"/>
          <w:sz w:val="24"/>
        </w:rPr>
      </w:pPr>
    </w:p>
    <w:p>
      <w:pPr>
        <w:tabs>
          <w:tab w:val="left" w:pos="5580"/>
        </w:tabs>
        <w:spacing w:line="360" w:lineRule="auto"/>
        <w:ind w:left="1" w:firstLine="360" w:firstLineChars="150"/>
        <w:rPr>
          <w:rFonts w:asciiTheme="minorEastAsia" w:hAnsiTheme="minorEastAsia" w:cstheme="minorEastAsia"/>
          <w:sz w:val="24"/>
        </w:rPr>
      </w:pPr>
      <w:r>
        <w:rPr>
          <w:rFonts w:hint="eastAsia" w:asciiTheme="minorEastAsia" w:hAnsiTheme="minorEastAsia" w:cstheme="minorEastAsia"/>
          <w:sz w:val="24"/>
        </w:rPr>
        <w:t>供应商是企业（包括合伙企业）的，应提供其在工商部门注册的有效“企业法人营业执照”或“营业执照”的原件扫描件；</w:t>
      </w:r>
    </w:p>
    <w:p>
      <w:pPr>
        <w:tabs>
          <w:tab w:val="left" w:pos="5580"/>
        </w:tabs>
        <w:spacing w:line="360" w:lineRule="auto"/>
        <w:ind w:left="1" w:firstLine="360" w:firstLineChars="150"/>
        <w:rPr>
          <w:rFonts w:asciiTheme="minorEastAsia" w:hAnsiTheme="minorEastAsia" w:cstheme="minorEastAsia"/>
          <w:sz w:val="24"/>
        </w:rPr>
      </w:pPr>
      <w:r>
        <w:rPr>
          <w:rFonts w:hint="eastAsia" w:asciiTheme="minorEastAsia" w:hAnsiTheme="minorEastAsia" w:cstheme="minorEastAsia"/>
          <w:sz w:val="24"/>
        </w:rPr>
        <w:t>供应商是事业单位的，应提供其有效的“事业单位法人证书”原件扫描件；</w:t>
      </w:r>
    </w:p>
    <w:p>
      <w:pPr>
        <w:tabs>
          <w:tab w:val="left" w:pos="5580"/>
        </w:tabs>
        <w:spacing w:line="360" w:lineRule="auto"/>
        <w:ind w:left="1" w:firstLine="360" w:firstLineChars="150"/>
        <w:rPr>
          <w:rFonts w:asciiTheme="minorEastAsia" w:hAnsiTheme="minorEastAsia" w:cstheme="minorEastAsia"/>
          <w:sz w:val="24"/>
        </w:rPr>
      </w:pPr>
      <w:r>
        <w:rPr>
          <w:rFonts w:hint="eastAsia" w:asciiTheme="minorEastAsia" w:hAnsiTheme="minorEastAsia" w:cstheme="minorEastAsia"/>
          <w:sz w:val="24"/>
        </w:rPr>
        <w:t>供应商是非企业专业服务机构的，应提供其有效的执业许可证原件扫描件；</w:t>
      </w:r>
    </w:p>
    <w:p>
      <w:pPr>
        <w:tabs>
          <w:tab w:val="left" w:pos="5580"/>
        </w:tabs>
        <w:spacing w:line="360" w:lineRule="auto"/>
        <w:ind w:left="1" w:firstLine="360" w:firstLineChars="150"/>
        <w:rPr>
          <w:rFonts w:asciiTheme="minorEastAsia" w:hAnsiTheme="minorEastAsia" w:cstheme="minorEastAsia"/>
          <w:sz w:val="24"/>
        </w:rPr>
      </w:pPr>
      <w:r>
        <w:rPr>
          <w:rFonts w:hint="eastAsia" w:asciiTheme="minorEastAsia" w:hAnsiTheme="minorEastAsia" w:cstheme="minorEastAsia"/>
          <w:sz w:val="24"/>
        </w:rPr>
        <w:t>供应商是个体工商户的，应提供其有效的“个体工商户营业执照”原件扫描件；</w:t>
      </w:r>
    </w:p>
    <w:p>
      <w:pPr>
        <w:tabs>
          <w:tab w:val="left" w:pos="5580"/>
        </w:tabs>
        <w:spacing w:line="360" w:lineRule="auto"/>
        <w:ind w:left="1" w:firstLine="360" w:firstLineChars="150"/>
        <w:rPr>
          <w:rFonts w:asciiTheme="minorEastAsia" w:hAnsiTheme="minorEastAsia" w:cstheme="minorEastAsia"/>
          <w:sz w:val="24"/>
        </w:rPr>
      </w:pPr>
      <w:r>
        <w:rPr>
          <w:rFonts w:hint="eastAsia" w:asciiTheme="minorEastAsia" w:hAnsiTheme="minorEastAsia" w:cstheme="minorEastAsia"/>
          <w:sz w:val="24"/>
        </w:rPr>
        <w:t>供应商是自然人的，应提供其有效的自然人身份证明原件扫描件</w:t>
      </w:r>
    </w:p>
    <w:p>
      <w:pPr>
        <w:pStyle w:val="2"/>
        <w:tabs>
          <w:tab w:val="left" w:pos="5580"/>
        </w:tabs>
        <w:spacing w:line="360" w:lineRule="auto"/>
        <w:ind w:left="1080" w:leftChars="257" w:hanging="540"/>
        <w:rPr>
          <w:rFonts w:asciiTheme="minorEastAsia" w:hAnsiTheme="minorEastAsia" w:eastAsiaTheme="minorEastAsia" w:cstheme="minorEastAsia"/>
          <w:b/>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说明：联合体投标应提供联合体各方满足以上要求的证明文件。</w:t>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4"/>
        <w:spacing w:before="0"/>
        <w:rPr>
          <w:rFonts w:asciiTheme="minorEastAsia" w:hAnsiTheme="minorEastAsia" w:eastAsiaTheme="minorEastAsia" w:cstheme="minorEastAsia"/>
          <w:sz w:val="24"/>
        </w:rPr>
      </w:pPr>
      <w:bookmarkStart w:id="529" w:name="_Toc10230"/>
      <w:bookmarkStart w:id="530" w:name="_Toc956912169"/>
      <w:bookmarkStart w:id="531" w:name="_Toc518923110"/>
      <w:r>
        <w:rPr>
          <w:rFonts w:hint="eastAsia" w:asciiTheme="minorEastAsia" w:hAnsiTheme="minorEastAsia" w:eastAsiaTheme="minorEastAsia" w:cstheme="minorEastAsia"/>
          <w:sz w:val="24"/>
        </w:rPr>
        <w:t>5、法定代表人身份证明书</w:t>
      </w:r>
      <w:bookmarkEnd w:id="529"/>
      <w:bookmarkEnd w:id="530"/>
    </w:p>
    <w:p>
      <w:pPr>
        <w:pStyle w:val="7"/>
        <w:spacing w:line="360" w:lineRule="auto"/>
        <w:rPr>
          <w:rFonts w:asciiTheme="minorEastAsia" w:hAnsiTheme="minorEastAsia" w:eastAsiaTheme="minorEastAsia" w:cstheme="minorEastAsia"/>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100" w:leftChars="-29" w:hanging="1161"/>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致（采购代理机构名称）</w:t>
      </w:r>
      <w:r>
        <w:rPr>
          <w:rFonts w:hint="eastAsia" w:asciiTheme="minorEastAsia" w:hAnsiTheme="minorEastAsia" w:eastAsiaTheme="minorEastAsia" w:cstheme="minorEastAsia"/>
          <w:sz w:val="24"/>
        </w:rPr>
        <w:t>：</w:t>
      </w:r>
    </w:p>
    <w:p>
      <w:pPr>
        <w:pStyle w:val="2"/>
        <w:tabs>
          <w:tab w:val="left" w:pos="5580"/>
        </w:tabs>
        <w:spacing w:line="360" w:lineRule="auto"/>
        <w:ind w:left="1100" w:leftChars="-29" w:hanging="1161"/>
        <w:rPr>
          <w:rFonts w:asciiTheme="minorEastAsia" w:hAnsiTheme="minorEastAsia" w:eastAsiaTheme="minorEastAsia" w:cstheme="minorEastAsia"/>
          <w:sz w:val="24"/>
        </w:rPr>
      </w:pPr>
    </w:p>
    <w:p>
      <w:pPr>
        <w:pStyle w:val="2"/>
        <w:tabs>
          <w:tab w:val="left" w:pos="5580"/>
        </w:tabs>
        <w:spacing w:line="360" w:lineRule="auto"/>
        <w:ind w:left="-113" w:leftChars="-54"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（姓名、性别、年龄、身份证号码）  </w:t>
      </w:r>
      <w:r>
        <w:rPr>
          <w:rFonts w:hint="eastAsia" w:asciiTheme="minorEastAsia" w:hAnsiTheme="minorEastAsia" w:eastAsiaTheme="minorEastAsia" w:cstheme="minorEastAsia"/>
          <w:sz w:val="24"/>
        </w:rPr>
        <w:t>在我单位任</w:t>
      </w:r>
      <w:r>
        <w:rPr>
          <w:rFonts w:hint="eastAsia" w:asciiTheme="minorEastAsia" w:hAnsiTheme="minorEastAsia" w:eastAsiaTheme="minorEastAsia" w:cstheme="minorEastAsia"/>
          <w:sz w:val="24"/>
          <w:u w:val="single"/>
        </w:rPr>
        <w:t xml:space="preserve">   （董事长、总经理等） </w:t>
      </w:r>
      <w:r>
        <w:rPr>
          <w:rFonts w:hint="eastAsia" w:asciiTheme="minorEastAsia" w:hAnsiTheme="minorEastAsia" w:eastAsiaTheme="minorEastAsia" w:cstheme="minorEastAsia"/>
          <w:sz w:val="24"/>
        </w:rPr>
        <w:t>职务，是我单位的法定代表人。</w:t>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pStyle w:val="2"/>
        <w:tabs>
          <w:tab w:val="left" w:pos="5580"/>
        </w:tabs>
        <w:spacing w:line="360" w:lineRule="auto"/>
        <w:ind w:left="1080" w:leftChars="257" w:hanging="540"/>
        <w:jc w:val="center"/>
        <w:rPr>
          <w:rFonts w:hint="eastAsia" w:asciiTheme="minorEastAsia" w:hAnsiTheme="minorEastAsia" w:eastAsiaTheme="minorEastAsia" w:cstheme="minorEastAsia"/>
          <w:color w:val="FF0000"/>
          <w:sz w:val="24"/>
          <w:lang w:eastAsia="zh-CN"/>
        </w:rPr>
      </w:pP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lang w:val="en-US" w:eastAsia="zh-CN"/>
        </w:rPr>
        <w:t>附法定代表人身份证正反面扫描件</w:t>
      </w:r>
      <w:r>
        <w:rPr>
          <w:rFonts w:hint="eastAsia" w:asciiTheme="minorEastAsia" w:hAnsiTheme="minorEastAsia" w:eastAsiaTheme="minorEastAsia" w:cstheme="minorEastAsia"/>
          <w:color w:val="FF0000"/>
          <w:sz w:val="24"/>
          <w:lang w:eastAsia="zh-CN"/>
        </w:rPr>
        <w:t>）</w:t>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spacing w:line="360" w:lineRule="auto"/>
        <w:ind w:firstLine="480"/>
        <w:rPr>
          <w:rFonts w:asciiTheme="minorEastAsia" w:hAnsiTheme="minorEastAsia" w:cstheme="minorEastAsia"/>
          <w:sz w:val="24"/>
        </w:rPr>
      </w:pPr>
    </w:p>
    <w:p>
      <w:pPr>
        <w:pStyle w:val="2"/>
        <w:tabs>
          <w:tab w:val="left" w:pos="5580"/>
        </w:tabs>
        <w:spacing w:line="360" w:lineRule="auto"/>
        <w:ind w:left="-540" w:leftChars="-257" w:firstLine="900" w:firstLine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投标人名称（盖公章）：</w:t>
      </w:r>
    </w:p>
    <w:p>
      <w:pPr>
        <w:pStyle w:val="2"/>
        <w:tabs>
          <w:tab w:val="left" w:pos="5580"/>
        </w:tabs>
        <w:spacing w:line="360" w:lineRule="auto"/>
        <w:ind w:left="269" w:leftChars="128"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详细通讯地址：</w:t>
      </w:r>
    </w:p>
    <w:p>
      <w:pPr>
        <w:pStyle w:val="2"/>
        <w:tabs>
          <w:tab w:val="left" w:pos="5580"/>
        </w:tabs>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 政 编 码 ：</w:t>
      </w:r>
    </w:p>
    <w:p>
      <w:pPr>
        <w:pStyle w:val="2"/>
        <w:tabs>
          <w:tab w:val="left" w:pos="5580"/>
        </w:tabs>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w:t>
      </w:r>
    </w:p>
    <w:p>
      <w:pPr>
        <w:pStyle w:val="2"/>
        <w:tabs>
          <w:tab w:val="left" w:pos="5580"/>
        </w:tabs>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p>
    <w:p>
      <w:pPr>
        <w:pStyle w:val="2"/>
        <w:tabs>
          <w:tab w:val="left" w:pos="5580"/>
        </w:tabs>
        <w:spacing w:line="360" w:lineRule="auto"/>
        <w:ind w:firstLine="360" w:firstLineChars="150"/>
        <w:rPr>
          <w:rFonts w:asciiTheme="minorEastAsia" w:hAnsiTheme="minorEastAsia" w:eastAsiaTheme="minorEastAsia" w:cstheme="minorEastAsia"/>
          <w:sz w:val="24"/>
        </w:rPr>
      </w:pPr>
    </w:p>
    <w:bookmarkEnd w:id="531"/>
    <w:p>
      <w:pPr>
        <w:pStyle w:val="2"/>
        <w:tabs>
          <w:tab w:val="left" w:pos="5580"/>
        </w:tabs>
        <w:spacing w:line="360" w:lineRule="auto"/>
        <w:ind w:firstLine="283" w:firstLineChars="1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注：自然人投标的无需提供。</w:t>
      </w: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83" w:firstLineChars="118"/>
        <w:rPr>
          <w:rFonts w:asciiTheme="minorEastAsia" w:hAnsiTheme="minorEastAsia" w:eastAsiaTheme="minorEastAsia" w:cstheme="minorEastAsia"/>
          <w:sz w:val="24"/>
        </w:rPr>
      </w:pPr>
    </w:p>
    <w:p>
      <w:pPr>
        <w:pStyle w:val="2"/>
        <w:tabs>
          <w:tab w:val="left" w:pos="5580"/>
        </w:tabs>
        <w:spacing w:line="360" w:lineRule="auto"/>
        <w:ind w:firstLine="247" w:firstLineChars="118"/>
        <w:rPr>
          <w:rFonts w:asciiTheme="minorEastAsia" w:hAnsiTheme="minorEastAsia" w:eastAsiaTheme="minorEastAsia" w:cstheme="minorEastAsia"/>
        </w:rPr>
      </w:pPr>
    </w:p>
    <w:p>
      <w:pPr>
        <w:pStyle w:val="4"/>
        <w:rPr>
          <w:rFonts w:asciiTheme="minorEastAsia" w:hAnsiTheme="minorEastAsia" w:eastAsiaTheme="minorEastAsia" w:cstheme="minorEastAsia"/>
          <w:sz w:val="24"/>
        </w:rPr>
      </w:pPr>
      <w:bookmarkStart w:id="532" w:name="_Toc8405"/>
      <w:bookmarkStart w:id="533" w:name="_Toc317792000"/>
      <w:r>
        <w:rPr>
          <w:rFonts w:hint="eastAsia" w:asciiTheme="minorEastAsia" w:hAnsiTheme="minorEastAsia" w:eastAsiaTheme="minorEastAsia" w:cstheme="minorEastAsia"/>
          <w:sz w:val="24"/>
        </w:rPr>
        <w:t>6、法定代表人授权委托书</w:t>
      </w:r>
      <w:bookmarkEnd w:id="532"/>
      <w:bookmarkEnd w:id="533"/>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cr/>
      </w:r>
    </w:p>
    <w:p>
      <w:pPr>
        <w:pStyle w:val="2"/>
        <w:tabs>
          <w:tab w:val="left" w:pos="5580"/>
        </w:tabs>
        <w:spacing w:line="360" w:lineRule="auto"/>
        <w:rPr>
          <w:rFonts w:asciiTheme="minorEastAsia" w:hAnsiTheme="minorEastAsia" w:eastAsiaTheme="minorEastAsia" w:cstheme="minorEastAsia"/>
          <w:sz w:val="24"/>
        </w:rPr>
      </w:pP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本授权书声明：注册于</w:t>
      </w:r>
      <w:r>
        <w:rPr>
          <w:rFonts w:hint="eastAsia" w:asciiTheme="minorEastAsia" w:hAnsiTheme="minorEastAsia" w:eastAsiaTheme="minorEastAsia" w:cstheme="minorEastAsia"/>
          <w:sz w:val="24"/>
          <w:u w:val="single"/>
        </w:rPr>
        <w:t xml:space="preserve">  （国家或地区的名称）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（投标人）  </w:t>
      </w:r>
      <w:r>
        <w:rPr>
          <w:rFonts w:hint="eastAsia" w:asciiTheme="minorEastAsia" w:hAnsiTheme="minorEastAsia" w:eastAsiaTheme="minorEastAsia" w:cstheme="minorEastAsia"/>
          <w:sz w:val="24"/>
        </w:rPr>
        <w:t>的在下面签字的</w:t>
      </w:r>
      <w:r>
        <w:rPr>
          <w:rFonts w:hint="eastAsia" w:asciiTheme="minorEastAsia" w:hAnsiTheme="minorEastAsia" w:eastAsiaTheme="minorEastAsia" w:cstheme="minorEastAsia"/>
          <w:sz w:val="24"/>
          <w:u w:val="single"/>
        </w:rPr>
        <w:t xml:space="preserve">  （法人代表姓名、职务）  </w:t>
      </w:r>
      <w:r>
        <w:rPr>
          <w:rFonts w:hint="eastAsia" w:asciiTheme="minorEastAsia" w:hAnsiTheme="minorEastAsia" w:eastAsiaTheme="minorEastAsia" w:cstheme="minorEastAsia"/>
          <w:sz w:val="24"/>
        </w:rPr>
        <w:t>代表我单位授权在下面签字的</w:t>
      </w:r>
      <w:r>
        <w:rPr>
          <w:rFonts w:hint="eastAsia" w:asciiTheme="minorEastAsia" w:hAnsiTheme="minorEastAsia" w:eastAsiaTheme="minorEastAsia" w:cstheme="minorEastAsia"/>
          <w:sz w:val="24"/>
          <w:u w:val="single"/>
        </w:rPr>
        <w:t xml:space="preserve">  （被授权人的姓名）  </w:t>
      </w:r>
      <w:r>
        <w:rPr>
          <w:rFonts w:hint="eastAsia" w:asciiTheme="minorEastAsia" w:hAnsiTheme="minorEastAsia" w:eastAsiaTheme="minorEastAsia" w:cstheme="minorEastAsia"/>
          <w:sz w:val="24"/>
        </w:rPr>
        <w:t>为我单位的合法代理人，就</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投标，以我单位名义处理一切与之有关的事务。</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w:t>
      </w:r>
    </w:p>
    <w:p>
      <w:pPr>
        <w:pStyle w:val="2"/>
        <w:tabs>
          <w:tab w:val="left" w:pos="5580"/>
        </w:tabs>
        <w:spacing w:line="360" w:lineRule="auto"/>
        <w:ind w:left="-540" w:leftChars="-257" w:firstLine="900" w:firstLine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本授权书于年月日签字生效,特此声明。</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lang w:val="en-US" w:eastAsia="zh-CN"/>
        </w:rPr>
        <w:t>附法定代表人身份证正反面扫描件</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lang w:val="en-US" w:eastAsia="zh-CN"/>
        </w:rPr>
        <w:t xml:space="preserve">      </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lang w:val="en-US" w:eastAsia="zh-CN"/>
        </w:rPr>
        <w:t>附被授权人身份证正反面扫描件</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rPr>
        <w:cr/>
      </w:r>
    </w:p>
    <w:p>
      <w:pPr>
        <w:pStyle w:val="2"/>
        <w:tabs>
          <w:tab w:val="left" w:pos="5580"/>
        </w:tabs>
        <w:spacing w:line="360" w:lineRule="auto"/>
        <w:ind w:left="-540" w:leftChars="-257" w:firstLine="900" w:firstLineChars="375"/>
        <w:rPr>
          <w:rFonts w:asciiTheme="minorEastAsia" w:hAnsiTheme="minorEastAsia" w:eastAsiaTheme="minorEastAsia" w:cstheme="minorEastAsia"/>
          <w:sz w:val="24"/>
        </w:rPr>
      </w:pP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投标人名称（盖公章）；</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法定代表人（签字或签章）：</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详细通讯地址：</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 政 编 码 ：</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w:t>
      </w:r>
    </w:p>
    <w:p>
      <w:pPr>
        <w:pStyle w:val="2"/>
        <w:tabs>
          <w:tab w:val="left" w:pos="55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p>
      <w:pPr>
        <w:pStyle w:val="2"/>
        <w:tabs>
          <w:tab w:val="left" w:pos="5580"/>
        </w:tabs>
        <w:spacing w:line="360" w:lineRule="auto"/>
        <w:ind w:firstLine="480" w:firstLineChars="200"/>
        <w:rPr>
          <w:rFonts w:asciiTheme="minorEastAsia" w:hAnsiTheme="minorEastAsia" w:eastAsiaTheme="minorEastAsia" w:cstheme="minorEastAsia"/>
          <w:sz w:val="24"/>
        </w:rPr>
      </w:pPr>
    </w:p>
    <w:p>
      <w:pPr>
        <w:pStyle w:val="2"/>
        <w:tabs>
          <w:tab w:val="left" w:pos="5580"/>
        </w:tabs>
        <w:spacing w:line="360" w:lineRule="auto"/>
        <w:ind w:firstLine="480" w:firstLineChars="200"/>
        <w:rPr>
          <w:rFonts w:asciiTheme="minorEastAsia" w:hAnsiTheme="minorEastAsia" w:eastAsiaTheme="minorEastAsia" w:cstheme="minorEastAsia"/>
          <w:sz w:val="24"/>
        </w:rPr>
      </w:pPr>
    </w:p>
    <w:p>
      <w:pPr>
        <w:pStyle w:val="2"/>
        <w:tabs>
          <w:tab w:val="left" w:pos="5580"/>
        </w:tabs>
        <w:spacing w:line="360" w:lineRule="auto"/>
        <w:ind w:firstLine="480" w:firstLineChars="200"/>
        <w:rPr>
          <w:rFonts w:asciiTheme="minorEastAsia" w:hAnsiTheme="minorEastAsia" w:eastAsiaTheme="minorEastAsia" w:cstheme="minorEastAsia"/>
          <w:sz w:val="24"/>
        </w:rPr>
      </w:pPr>
    </w:p>
    <w:p>
      <w:pPr>
        <w:pStyle w:val="2"/>
        <w:tabs>
          <w:tab w:val="left" w:pos="5580"/>
        </w:tabs>
        <w:spacing w:line="360" w:lineRule="auto"/>
        <w:ind w:firstLine="480" w:firstLineChars="200"/>
        <w:rPr>
          <w:rFonts w:asciiTheme="minorEastAsia" w:hAnsiTheme="minorEastAsia" w:eastAsiaTheme="minorEastAsia" w:cstheme="minorEastAsia"/>
          <w:sz w:val="24"/>
        </w:rPr>
      </w:pPr>
      <w:bookmarkStart w:id="534" w:name="_Toc64907042"/>
      <w:bookmarkStart w:id="535" w:name="_Toc37868801"/>
      <w:bookmarkStart w:id="536" w:name="_Toc338313911"/>
      <w:r>
        <w:rPr>
          <w:rFonts w:hint="eastAsia" w:asciiTheme="minorEastAsia" w:hAnsiTheme="minorEastAsia" w:eastAsiaTheme="minorEastAsia" w:cstheme="minorEastAsia"/>
          <w:sz w:val="24"/>
        </w:rPr>
        <w:t>注：自然人投标的或法定代表人投标的无需提供</w:t>
      </w:r>
      <w:bookmarkEnd w:id="534"/>
      <w:bookmarkEnd w:id="535"/>
      <w:r>
        <w:rPr>
          <w:rFonts w:hint="eastAsia" w:asciiTheme="minorEastAsia" w:hAnsiTheme="minorEastAsia" w:eastAsiaTheme="minorEastAsia" w:cstheme="minorEastAsia"/>
          <w:sz w:val="24"/>
        </w:rPr>
        <w:t>。</w:t>
      </w:r>
      <w:bookmarkEnd w:id="536"/>
      <w:r>
        <w:rPr>
          <w:rFonts w:hint="eastAsia" w:asciiTheme="minorEastAsia" w:hAnsiTheme="minorEastAsia" w:eastAsiaTheme="minorEastAsia" w:cstheme="minorEastAsia"/>
          <w:sz w:val="24"/>
        </w:rPr>
        <w:t>投标人法定代表人参加投标的，可以不提供法定代表人授权委托书，但必须提供上述法定代表人身份证明书，否则将按无效投标处理。</w:t>
      </w:r>
    </w:p>
    <w:p>
      <w:pPr>
        <w:pStyle w:val="2"/>
        <w:tabs>
          <w:tab w:val="left" w:pos="5580"/>
        </w:tabs>
        <w:spacing w:line="360" w:lineRule="auto"/>
        <w:ind w:firstLine="480" w:firstLineChars="200"/>
        <w:rPr>
          <w:rFonts w:asciiTheme="minorEastAsia" w:hAnsiTheme="minorEastAsia" w:eastAsiaTheme="minorEastAsia" w:cstheme="minorEastAsia"/>
          <w:sz w:val="24"/>
        </w:rPr>
      </w:pPr>
    </w:p>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br w:type="page"/>
      </w:r>
      <w:bookmarkStart w:id="537" w:name="_Toc1652688568"/>
      <w:bookmarkStart w:id="538" w:name="_Toc29009"/>
      <w:r>
        <w:rPr>
          <w:rFonts w:hint="eastAsia" w:asciiTheme="minorEastAsia" w:hAnsiTheme="minorEastAsia" w:eastAsiaTheme="minorEastAsia" w:cstheme="minorEastAsia"/>
          <w:sz w:val="24"/>
        </w:rPr>
        <w:t>7、投标保证承诺书</w:t>
      </w:r>
      <w:bookmarkEnd w:id="537"/>
      <w:bookmarkEnd w:id="538"/>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r>
        <w:rPr>
          <w:rFonts w:hint="eastAsia" w:asciiTheme="minorEastAsia" w:hAnsiTheme="minorEastAsia" w:cstheme="minorEastAsia"/>
          <w:sz w:val="24"/>
        </w:rPr>
        <w:t>致：（采购人名称）</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我</w:t>
      </w:r>
      <w:r>
        <w:rPr>
          <w:rFonts w:hint="eastAsia" w:asciiTheme="minorEastAsia" w:hAnsiTheme="minorEastAsia" w:cstheme="minorEastAsia"/>
          <w:sz w:val="24"/>
          <w:u w:val="single"/>
        </w:rPr>
        <w:t xml:space="preserve">  （单位/本人，以下统称我单位）  </w:t>
      </w:r>
      <w:r>
        <w:rPr>
          <w:rFonts w:hint="eastAsia" w:asciiTheme="minorEastAsia" w:hAnsiTheme="minorEastAsia" w:cstheme="minorEastAsia"/>
          <w:sz w:val="24"/>
        </w:rPr>
        <w:t>自愿参加</w:t>
      </w:r>
      <w:r>
        <w:rPr>
          <w:rFonts w:hint="eastAsia" w:asciiTheme="minorEastAsia" w:hAnsiTheme="minorEastAsia" w:cstheme="minorEastAsia"/>
          <w:sz w:val="24"/>
          <w:u w:val="single"/>
        </w:rPr>
        <w:t xml:space="preserve">  （项目名称和项目编号）  </w:t>
      </w:r>
      <w:r>
        <w:rPr>
          <w:rFonts w:hint="eastAsia" w:asciiTheme="minorEastAsia" w:hAnsiTheme="minorEastAsia" w:cstheme="minorEastAsia"/>
          <w:sz w:val="24"/>
        </w:rPr>
        <w:t>的投标,并做出如下承诺：</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一、除不可抗力外，我单位如果发生以下行为，将在行为发生的10个工作日内，向贵方（采购人）支付本招标文件公布的预算金额（或最高限价）的2%作为违约赔偿金。</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1、自投标截止时间至本项目发布中标公告为止，撤销投标；</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2、中标后不依法与采购人签订合同；</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3、中标后不按照本招标文件规定向贵方缴纳招标代理费。</w:t>
      </w:r>
    </w:p>
    <w:p>
      <w:pPr>
        <w:spacing w:line="360" w:lineRule="auto"/>
        <w:ind w:firstLine="600"/>
        <w:rPr>
          <w:rFonts w:asciiTheme="minorEastAsia" w:hAnsiTheme="minorEastAsia" w:cstheme="minorEastAsia"/>
          <w:sz w:val="24"/>
        </w:rPr>
      </w:pPr>
      <w:r>
        <w:rPr>
          <w:rFonts w:hint="eastAsia" w:asciiTheme="minorEastAsia" w:hAnsiTheme="minorEastAsia" w:cstheme="minorEastAsia"/>
          <w:sz w:val="24"/>
        </w:rPr>
        <w:t>二、我单位知晓上述行为的法律后果，承认本承诺书作为贵方（或采购人）要求我单位履行违约赔偿义务的依据作用。</w:t>
      </w:r>
    </w:p>
    <w:p>
      <w:pPr>
        <w:spacing w:line="360" w:lineRule="auto"/>
        <w:rPr>
          <w:rFonts w:asciiTheme="minorEastAsia" w:hAnsiTheme="minorEastAsia" w:cstheme="minorEastAsia"/>
          <w:sz w:val="24"/>
        </w:rPr>
      </w:pPr>
    </w:p>
    <w:p>
      <w:pPr>
        <w:spacing w:line="360" w:lineRule="auto"/>
        <w:jc w:val="right"/>
        <w:rPr>
          <w:rFonts w:asciiTheme="minorEastAsia" w:hAnsiTheme="minorEastAsia" w:cstheme="minorEastAsia"/>
          <w:sz w:val="24"/>
        </w:rPr>
      </w:pPr>
    </w:p>
    <w:p>
      <w:pPr>
        <w:spacing w:line="360" w:lineRule="auto"/>
        <w:jc w:val="left"/>
        <w:rPr>
          <w:rFonts w:asciiTheme="minorEastAsia" w:hAnsiTheme="minorEastAsia" w:cstheme="minorEastAsia"/>
          <w:sz w:val="24"/>
        </w:rPr>
      </w:pPr>
    </w:p>
    <w:p>
      <w:pPr>
        <w:spacing w:line="360" w:lineRule="auto"/>
        <w:jc w:val="left"/>
        <w:rPr>
          <w:rFonts w:asciiTheme="minorEastAsia" w:hAnsiTheme="minorEastAsia" w:cstheme="minorEastAsia"/>
          <w:sz w:val="24"/>
        </w:rPr>
      </w:pPr>
    </w:p>
    <w:p>
      <w:pPr>
        <w:spacing w:line="360" w:lineRule="auto"/>
        <w:jc w:val="left"/>
        <w:rPr>
          <w:rFonts w:asciiTheme="minorEastAsia" w:hAnsiTheme="minorEastAsia" w:cstheme="minorEastAsia"/>
          <w:sz w:val="24"/>
        </w:rPr>
      </w:pPr>
    </w:p>
    <w:p>
      <w:pPr>
        <w:spacing w:line="360" w:lineRule="auto"/>
        <w:ind w:left="1413" w:leftChars="273" w:hanging="840" w:hangingChars="350"/>
        <w:rPr>
          <w:rFonts w:asciiTheme="minorEastAsia" w:hAnsiTheme="minorEastAsia" w:cstheme="minorEastAsia"/>
          <w:sz w:val="24"/>
        </w:rPr>
      </w:pPr>
      <w:r>
        <w:rPr>
          <w:rFonts w:hint="eastAsia" w:asciiTheme="minorEastAsia" w:hAnsiTheme="minorEastAsia" w:cstheme="minorEastAsia"/>
          <w:sz w:val="24"/>
        </w:rPr>
        <w:t>投标人名称：</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rPr>
        <w:t>（盖公章）</w:t>
      </w:r>
    </w:p>
    <w:p>
      <w:pPr>
        <w:spacing w:line="360" w:lineRule="auto"/>
        <w:ind w:left="1620" w:leftChars="257" w:hanging="1080"/>
        <w:rPr>
          <w:rFonts w:asciiTheme="minorEastAsia" w:hAnsiTheme="minorEastAsia" w:cstheme="minorEastAsia"/>
          <w:sz w:val="24"/>
        </w:rPr>
      </w:pPr>
      <w:r>
        <w:rPr>
          <w:rFonts w:hint="eastAsia" w:asciiTheme="minorEastAsia" w:hAnsiTheme="minorEastAsia" w:cstheme="minorEastAsia"/>
          <w:sz w:val="24"/>
        </w:rPr>
        <w:t>地址：</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p>
    <w:p>
      <w:pPr>
        <w:spacing w:line="360" w:lineRule="auto"/>
        <w:ind w:left="1620" w:leftChars="257" w:hanging="1080"/>
        <w:rPr>
          <w:rFonts w:asciiTheme="minorEastAsia" w:hAnsiTheme="minorEastAsia" w:cstheme="minorEastAsia"/>
          <w:sz w:val="24"/>
        </w:rPr>
      </w:pPr>
      <w:r>
        <w:rPr>
          <w:rFonts w:hint="eastAsia" w:asciiTheme="minorEastAsia" w:hAnsiTheme="minorEastAsia" w:cstheme="minorEastAsia"/>
          <w:sz w:val="24"/>
        </w:rPr>
        <w:t>电话：</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传真：</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p>
    <w:p>
      <w:pPr>
        <w:spacing w:line="360" w:lineRule="auto"/>
        <w:ind w:left="1620" w:leftChars="257" w:hanging="1080"/>
        <w:rPr>
          <w:rFonts w:asciiTheme="minorEastAsia" w:hAnsiTheme="minorEastAsia" w:cstheme="minorEastAsia"/>
          <w:sz w:val="24"/>
        </w:rPr>
      </w:pPr>
      <w:r>
        <w:rPr>
          <w:rFonts w:hint="eastAsia" w:asciiTheme="minorEastAsia" w:hAnsiTheme="minorEastAsia" w:cstheme="minorEastAsia"/>
          <w:sz w:val="24"/>
        </w:rPr>
        <w:t>电子邮件：</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邮编：</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p>
    <w:p>
      <w:pPr>
        <w:spacing w:line="360" w:lineRule="auto"/>
        <w:ind w:left="1620" w:leftChars="257" w:hanging="1080"/>
        <w:rPr>
          <w:rFonts w:asciiTheme="minorEastAsia" w:hAnsiTheme="minorEastAsia" w:cstheme="minorEastAsia"/>
          <w:sz w:val="24"/>
        </w:rPr>
      </w:pPr>
      <w:r>
        <w:rPr>
          <w:rFonts w:hint="eastAsia" w:asciiTheme="minorEastAsia" w:hAnsiTheme="minorEastAsia" w:cstheme="minorEastAsia"/>
          <w:sz w:val="24"/>
        </w:rPr>
        <w:t>法定代表人或委托代理人(签字或签章)：</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p>
    <w:p>
      <w:pPr>
        <w:spacing w:line="360" w:lineRule="auto"/>
        <w:ind w:left="1620" w:leftChars="257" w:hanging="1080"/>
        <w:rPr>
          <w:rFonts w:asciiTheme="minorEastAsia" w:hAnsiTheme="minorEastAsia" w:cstheme="minorEastAsia"/>
          <w:sz w:val="24"/>
          <w:u w:val="single"/>
        </w:rPr>
      </w:pPr>
      <w:r>
        <w:rPr>
          <w:rFonts w:hint="eastAsia" w:asciiTheme="minorEastAsia" w:hAnsiTheme="minorEastAsia" w:cstheme="minorEastAsia"/>
          <w:sz w:val="24"/>
        </w:rPr>
        <w:t>日期：</w:t>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r>
        <w:rPr>
          <w:rFonts w:hint="eastAsia" w:asciiTheme="minorEastAsia" w:hAnsiTheme="minorEastAsia" w:cstheme="minorEastAsia"/>
          <w:sz w:val="24"/>
          <w:u w:val="single"/>
        </w:rPr>
        <w:tab/>
      </w:r>
    </w:p>
    <w:p>
      <w:pPr>
        <w:pStyle w:val="2"/>
        <w:tabs>
          <w:tab w:val="left" w:pos="5580"/>
        </w:tabs>
        <w:spacing w:line="360" w:lineRule="auto"/>
        <w:ind w:firstLine="48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pPr>
        <w:pStyle w:val="4"/>
        <w:rPr>
          <w:rFonts w:asciiTheme="minorEastAsia" w:hAnsiTheme="minorEastAsia" w:eastAsiaTheme="minorEastAsia" w:cstheme="minorEastAsia"/>
          <w:sz w:val="24"/>
        </w:rPr>
      </w:pPr>
      <w:bookmarkStart w:id="539" w:name="_Toc32002"/>
      <w:bookmarkStart w:id="540" w:name="_Toc1183272078"/>
      <w:r>
        <w:rPr>
          <w:rFonts w:hint="eastAsia" w:asciiTheme="minorEastAsia" w:hAnsiTheme="minorEastAsia" w:eastAsiaTheme="minorEastAsia" w:cstheme="minorEastAsia"/>
          <w:sz w:val="24"/>
        </w:rPr>
        <w:t>8、具有良好的商业信誉和健全的财务会计制度</w:t>
      </w:r>
      <w:bookmarkEnd w:id="539"/>
      <w:bookmarkEnd w:id="540"/>
    </w:p>
    <w:p>
      <w:pPr>
        <w:tabs>
          <w:tab w:val="left" w:pos="5580"/>
        </w:tabs>
        <w:spacing w:line="360" w:lineRule="auto"/>
        <w:ind w:left="1080" w:leftChars="257" w:hanging="540"/>
        <w:jc w:val="center"/>
        <w:rPr>
          <w:rFonts w:asciiTheme="minorEastAsia" w:hAnsiTheme="minorEastAsia" w:cstheme="minorEastAsia"/>
          <w:b/>
          <w:sz w:val="24"/>
        </w:rPr>
      </w:pPr>
    </w:p>
    <w:p>
      <w:pPr>
        <w:tabs>
          <w:tab w:val="left" w:pos="5580"/>
        </w:tabs>
        <w:spacing w:line="360" w:lineRule="auto"/>
        <w:ind w:left="1080" w:leftChars="257" w:hanging="540"/>
        <w:jc w:val="center"/>
        <w:rPr>
          <w:rFonts w:asciiTheme="minorEastAsia" w:hAnsiTheme="minorEastAsia" w:cstheme="minorEastAsia"/>
          <w:b/>
          <w:sz w:val="24"/>
        </w:rPr>
      </w:pPr>
    </w:p>
    <w:p>
      <w:pPr>
        <w:tabs>
          <w:tab w:val="left" w:pos="5580"/>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投标人是法人的，提供上年度（2022年）财务审计报告或半年内任意一个月财务报表（财务报表应至少包括资产负债表、损益表、现金流量表或财务状况变动表，当月新成立公司不需提供）。</w:t>
      </w:r>
    </w:p>
    <w:p>
      <w:pPr>
        <w:spacing w:line="360" w:lineRule="auto"/>
        <w:ind w:firstLine="5775" w:firstLineChars="2750"/>
        <w:rPr>
          <w:rFonts w:asciiTheme="minorEastAsia" w:hAnsiTheme="minorEastAsia" w:cstheme="minorEastAsia"/>
        </w:rPr>
      </w:pPr>
    </w:p>
    <w:p>
      <w:pPr>
        <w:pStyle w:val="4"/>
        <w:rPr>
          <w:rFonts w:asciiTheme="minorEastAsia" w:hAnsiTheme="minorEastAsia" w:eastAsiaTheme="minorEastAsia" w:cstheme="minorEastAsia"/>
          <w:color w:val="000000" w:themeColor="text1"/>
          <w:kern w:val="2"/>
        </w:rPr>
      </w:pPr>
      <w:bookmarkStart w:id="541" w:name="_Toc518923111"/>
      <w:r>
        <w:rPr>
          <w:rFonts w:hint="eastAsia" w:asciiTheme="minorEastAsia" w:hAnsiTheme="minorEastAsia" w:eastAsiaTheme="minorEastAsia" w:cstheme="minorEastAsia"/>
          <w:sz w:val="24"/>
        </w:rPr>
        <w:br w:type="page"/>
      </w:r>
      <w:bookmarkStart w:id="542" w:name="_Toc5936"/>
      <w:bookmarkStart w:id="543" w:name="_Toc121844816"/>
      <w:bookmarkStart w:id="544" w:name="_Toc1555243726"/>
      <w:r>
        <w:rPr>
          <w:rFonts w:hint="eastAsia" w:asciiTheme="minorEastAsia" w:hAnsiTheme="minorEastAsia" w:eastAsiaTheme="minorEastAsia" w:cstheme="minorEastAsia"/>
          <w:sz w:val="24"/>
        </w:rPr>
        <w:t>9、具有履行合同所必需的设备和专业技术能力</w:t>
      </w:r>
      <w:bookmarkEnd w:id="542"/>
      <w:bookmarkEnd w:id="543"/>
    </w:p>
    <w:p>
      <w:pPr>
        <w:numPr>
          <w:ilvl w:val="1"/>
          <w:numId w:val="0"/>
        </w:numPr>
        <w:rPr>
          <w:rFonts w:asciiTheme="minorEastAsia" w:hAnsiTheme="minorEastAsia" w:cstheme="minorEastAsia"/>
          <w:color w:val="000000" w:themeColor="text1"/>
        </w:rPr>
      </w:pPr>
    </w:p>
    <w:p>
      <w:pPr>
        <w:pStyle w:val="47"/>
        <w:spacing w:line="360" w:lineRule="auto"/>
        <w:rPr>
          <w:rFonts w:asciiTheme="minorEastAsia" w:hAnsiTheme="minorEastAsia" w:eastAsiaTheme="minorEastAsia" w:cstheme="minorEastAsia"/>
          <w:b w:val="0"/>
          <w:color w:val="000000" w:themeColor="text1"/>
          <w:sz w:val="24"/>
        </w:rPr>
      </w:pPr>
      <w:r>
        <w:rPr>
          <w:rFonts w:hint="eastAsia" w:asciiTheme="minorEastAsia" w:hAnsiTheme="minorEastAsia" w:eastAsiaTheme="minorEastAsia" w:cstheme="minorEastAsia"/>
          <w:color w:val="000000" w:themeColor="text1"/>
          <w:sz w:val="24"/>
        </w:rPr>
        <w:t>提供承诺书：</w:t>
      </w:r>
    </w:p>
    <w:p>
      <w:pPr>
        <w:adjustRightInd w:val="0"/>
        <w:snapToGrid w:val="0"/>
        <w:spacing w:line="360" w:lineRule="auto"/>
        <w:jc w:val="center"/>
        <w:rPr>
          <w:rFonts w:asciiTheme="minorEastAsia" w:hAnsiTheme="minorEastAsia" w:cstheme="minorEastAsia"/>
          <w:b/>
          <w:color w:val="000000" w:themeColor="text1"/>
          <w:sz w:val="24"/>
          <w:szCs w:val="24"/>
        </w:rPr>
      </w:pPr>
    </w:p>
    <w:p>
      <w:pPr>
        <w:adjustRightInd w:val="0"/>
        <w:snapToGrid w:val="0"/>
        <w:spacing w:line="360" w:lineRule="auto"/>
        <w:jc w:val="center"/>
        <w:rPr>
          <w:rFonts w:asciiTheme="minorEastAsia" w:hAnsiTheme="minorEastAsia" w:cstheme="minorEastAsia"/>
          <w:b/>
          <w:color w:val="000000" w:themeColor="text1"/>
          <w:sz w:val="24"/>
          <w:szCs w:val="24"/>
        </w:rPr>
      </w:pPr>
      <w:r>
        <w:rPr>
          <w:rFonts w:hint="eastAsia" w:asciiTheme="minorEastAsia" w:hAnsiTheme="minorEastAsia" w:cstheme="minorEastAsia"/>
          <w:b/>
          <w:color w:val="000000" w:themeColor="text1"/>
          <w:sz w:val="24"/>
          <w:szCs w:val="24"/>
        </w:rPr>
        <w:t>具备履行合同所必需的设备和专业技术能力的承诺</w:t>
      </w:r>
    </w:p>
    <w:p>
      <w:pPr>
        <w:tabs>
          <w:tab w:val="left" w:pos="3060"/>
          <w:tab w:val="left" w:pos="5580"/>
        </w:tabs>
        <w:spacing w:line="360" w:lineRule="auto"/>
        <w:rPr>
          <w:rFonts w:asciiTheme="minorEastAsia" w:hAnsiTheme="minorEastAsia" w:cstheme="minorEastAsia"/>
          <w:color w:val="000000" w:themeColor="text1"/>
          <w:sz w:val="24"/>
          <w:szCs w:val="24"/>
        </w:rPr>
      </w:pPr>
    </w:p>
    <w:p>
      <w:pPr>
        <w:tabs>
          <w:tab w:val="left" w:pos="3060"/>
          <w:tab w:val="left" w:pos="5580"/>
        </w:tabs>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本投标人郑重声明：</w:t>
      </w: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特此承诺。</w:t>
      </w:r>
    </w:p>
    <w:p>
      <w:pPr>
        <w:adjustRightInd w:val="0"/>
        <w:snapToGrid w:val="0"/>
        <w:spacing w:line="360" w:lineRule="auto"/>
        <w:ind w:firstLine="480" w:firstLineChars="200"/>
        <w:rPr>
          <w:rFonts w:asciiTheme="minorEastAsia" w:hAnsiTheme="minorEastAsia" w:cstheme="minorEastAsia"/>
          <w:color w:val="000000" w:themeColor="text1"/>
          <w:sz w:val="24"/>
          <w:szCs w:val="24"/>
        </w:rPr>
      </w:pPr>
    </w:p>
    <w:p>
      <w:pPr>
        <w:adjustRightInd w:val="0"/>
        <w:snapToGrid w:val="0"/>
        <w:spacing w:line="360" w:lineRule="auto"/>
        <w:ind w:firstLine="480" w:firstLineChars="200"/>
        <w:rPr>
          <w:rFonts w:asciiTheme="minorEastAsia" w:hAnsiTheme="minorEastAsia" w:cstheme="minorEastAsia"/>
          <w:color w:val="000000" w:themeColor="text1"/>
          <w:sz w:val="24"/>
          <w:szCs w:val="24"/>
        </w:rPr>
      </w:pPr>
    </w:p>
    <w:p>
      <w:pPr>
        <w:pStyle w:val="2"/>
        <w:tabs>
          <w:tab w:val="left" w:pos="5580"/>
        </w:tabs>
        <w:spacing w:line="360" w:lineRule="auto"/>
        <w:ind w:left="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投标人名称（盖单位章）：</w:t>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法定代表人或委托代理人（签字或签章）：</w:t>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期：年月日</w:t>
      </w:r>
    </w:p>
    <w:p>
      <w:pPr>
        <w:spacing w:line="360" w:lineRule="auto"/>
        <w:ind w:firstLine="4003" w:firstLineChars="1668"/>
        <w:rPr>
          <w:rFonts w:asciiTheme="minorEastAsia" w:hAnsiTheme="minorEastAsia" w:cstheme="minorEastAsia"/>
          <w:color w:val="000000" w:themeColor="text1"/>
          <w:sz w:val="24"/>
          <w:szCs w:val="24"/>
        </w:rPr>
      </w:pPr>
    </w:p>
    <w:p>
      <w:pPr>
        <w:spacing w:line="360" w:lineRule="auto"/>
        <w:ind w:firstLine="3502" w:firstLineChars="1668"/>
        <w:rPr>
          <w:rFonts w:asciiTheme="minorEastAsia" w:hAnsiTheme="minorEastAsia" w:cstheme="minorEastAsia"/>
          <w:color w:val="000000" w:themeColor="text1"/>
          <w:szCs w:val="21"/>
        </w:rPr>
      </w:pPr>
    </w:p>
    <w:p>
      <w:pPr>
        <w:spacing w:line="360" w:lineRule="auto"/>
        <w:ind w:firstLine="3502" w:firstLineChars="1668"/>
        <w:rPr>
          <w:rFonts w:asciiTheme="minorEastAsia" w:hAnsiTheme="minorEastAsia" w:cstheme="minorEastAsia"/>
          <w:color w:val="000000" w:themeColor="text1"/>
          <w:szCs w:val="21"/>
        </w:rPr>
      </w:pPr>
    </w:p>
    <w:p>
      <w:pPr>
        <w:spacing w:line="360" w:lineRule="auto"/>
        <w:ind w:firstLine="3502" w:firstLineChars="1668"/>
        <w:rPr>
          <w:rFonts w:asciiTheme="minorEastAsia" w:hAnsiTheme="minorEastAsia" w:cstheme="minorEastAsia"/>
          <w:color w:val="000000" w:themeColor="text1"/>
          <w:szCs w:val="21"/>
        </w:rPr>
      </w:pPr>
    </w:p>
    <w:p>
      <w:pPr>
        <w:spacing w:line="360" w:lineRule="auto"/>
        <w:ind w:firstLine="3502" w:firstLineChars="1668"/>
        <w:rPr>
          <w:rFonts w:asciiTheme="minorEastAsia" w:hAnsiTheme="minorEastAsia" w:cstheme="minorEastAsia"/>
          <w:color w:val="000000" w:themeColor="text1"/>
          <w:szCs w:val="21"/>
        </w:rPr>
      </w:pPr>
    </w:p>
    <w:p>
      <w:pPr>
        <w:spacing w:line="360" w:lineRule="auto"/>
        <w:ind w:firstLine="3502" w:firstLineChars="1668"/>
        <w:rPr>
          <w:rFonts w:asciiTheme="minorEastAsia" w:hAnsiTheme="minorEastAsia" w:cstheme="minorEastAsia"/>
          <w:color w:val="000000" w:themeColor="text1"/>
          <w:szCs w:val="21"/>
        </w:rPr>
      </w:pPr>
    </w:p>
    <w:p>
      <w:pPr>
        <w:pStyle w:val="4"/>
        <w:rPr>
          <w:rFonts w:asciiTheme="minorEastAsia" w:hAnsiTheme="minorEastAsia" w:eastAsiaTheme="minorEastAsia" w:cstheme="minorEastAsia"/>
          <w:sz w:val="24"/>
        </w:rPr>
      </w:pPr>
      <w:bookmarkStart w:id="545" w:name="_Toc13014"/>
      <w:r>
        <w:rPr>
          <w:rFonts w:hint="eastAsia" w:asciiTheme="minorEastAsia" w:hAnsiTheme="minorEastAsia" w:eastAsiaTheme="minorEastAsia" w:cstheme="minorEastAsia"/>
          <w:sz w:val="24"/>
        </w:rPr>
        <w:t>10、依法缴纳社会保障资金和税收的记录</w:t>
      </w:r>
      <w:bookmarkEnd w:id="544"/>
      <w:bookmarkEnd w:id="545"/>
    </w:p>
    <w:p>
      <w:pPr>
        <w:pStyle w:val="2"/>
        <w:tabs>
          <w:tab w:val="left" w:pos="5580"/>
        </w:tabs>
        <w:spacing w:line="360" w:lineRule="auto"/>
        <w:ind w:left="1080" w:leftChars="257" w:hanging="540"/>
        <w:jc w:val="center"/>
        <w:rPr>
          <w:rFonts w:asciiTheme="minorEastAsia" w:hAnsiTheme="minorEastAsia" w:eastAsiaTheme="minorEastAsia" w:cstheme="minorEastAsia"/>
          <w:b/>
          <w:sz w:val="24"/>
        </w:rPr>
      </w:pPr>
    </w:p>
    <w:p>
      <w:pPr>
        <w:pStyle w:val="2"/>
        <w:tabs>
          <w:tab w:val="left" w:pos="5580"/>
        </w:tabs>
        <w:spacing w:line="360" w:lineRule="auto"/>
        <w:ind w:left="840"/>
        <w:rPr>
          <w:rFonts w:asciiTheme="minorEastAsia" w:hAnsiTheme="minorEastAsia" w:eastAsiaTheme="minorEastAsia" w:cstheme="minorEastAsia"/>
          <w:b/>
          <w:sz w:val="24"/>
          <w:szCs w:val="24"/>
        </w:rPr>
      </w:pP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投标人是法人的，应提供递交投标文件截止时间前六个月内任意一个月的纳税凭据（指投标人缴纳增值税、营业税和企业所得税等任意一种的缴纳凭据）原件扫描件和缴纳社会保险的凭据（专用收据或社会保险缴纳清单）原件扫描件，如投标人为依法免税或零报税的，须提供税务网上零申报截图或当地税务部门出具的证明，如投标人依法不需要缴纳社会保障资金，须提供完整的不需要缴纳社保的所有证明材料；</w:t>
      </w: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供应商是其他组织和自然人的，需要提供递交投标文件截止时间前六个月内任意一个月的缴纳税收和社会保险的凭据（专用收据或社会保险缴纳清单）。</w:t>
      </w:r>
    </w:p>
    <w:p>
      <w:pPr>
        <w:tabs>
          <w:tab w:val="left" w:pos="3060"/>
          <w:tab w:val="left" w:pos="5580"/>
        </w:tabs>
        <w:spacing w:line="360" w:lineRule="auto"/>
        <w:ind w:firstLine="480" w:firstLineChars="200"/>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如供应商的社会保险为委托第三方代缴，还需同时提供供应商与第三方服务机构签署的服务合同（合同中应明确写明第三方为供应商代缴其社会保险）。</w:t>
      </w:r>
    </w:p>
    <w:p>
      <w:pPr>
        <w:tabs>
          <w:tab w:val="left" w:pos="5580"/>
        </w:tabs>
        <w:spacing w:line="360" w:lineRule="auto"/>
        <w:ind w:left="1078" w:leftChars="485" w:hanging="60" w:hangingChars="25"/>
        <w:rPr>
          <w:rFonts w:asciiTheme="minorEastAsia" w:hAnsiTheme="minorEastAsia" w:cstheme="minorEastAsia"/>
          <w:sz w:val="24"/>
          <w:szCs w:val="24"/>
        </w:rPr>
      </w:pPr>
    </w:p>
    <w:p>
      <w:pPr>
        <w:pStyle w:val="2"/>
        <w:tabs>
          <w:tab w:val="left" w:pos="5580"/>
        </w:tabs>
        <w:spacing w:line="360" w:lineRule="auto"/>
        <w:ind w:left="840"/>
        <w:rPr>
          <w:rFonts w:asciiTheme="minorEastAsia" w:hAnsiTheme="minorEastAsia" w:eastAsiaTheme="minorEastAsia" w:cstheme="minorEastAsia"/>
          <w:sz w:val="24"/>
        </w:rPr>
      </w:pPr>
    </w:p>
    <w:p>
      <w:pPr>
        <w:tabs>
          <w:tab w:val="left" w:pos="5580"/>
        </w:tabs>
        <w:spacing w:line="360" w:lineRule="auto"/>
        <w:ind w:left="750" w:leftChars="357" w:firstLine="480" w:firstLineChars="200"/>
        <w:rPr>
          <w:rFonts w:asciiTheme="minorEastAsia" w:hAnsiTheme="minorEastAsia" w:cstheme="minorEastAsia"/>
          <w:sz w:val="24"/>
        </w:rPr>
      </w:pPr>
    </w:p>
    <w:p>
      <w:pPr>
        <w:pStyle w:val="4"/>
        <w:spacing w:befor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End w:id="541"/>
      <w:bookmarkStart w:id="546" w:name="_Toc518923112"/>
      <w:bookmarkStart w:id="547" w:name="_Toc1957835245"/>
      <w:bookmarkStart w:id="548" w:name="_Toc31618"/>
      <w:r>
        <w:rPr>
          <w:rFonts w:hint="eastAsia" w:asciiTheme="minorEastAsia" w:hAnsiTheme="minorEastAsia" w:eastAsiaTheme="minorEastAsia" w:cstheme="minorEastAsia"/>
          <w:sz w:val="24"/>
        </w:rPr>
        <w:t>11、</w:t>
      </w:r>
      <w:bookmarkEnd w:id="546"/>
      <w:bookmarkStart w:id="549" w:name="_Toc518923113"/>
      <w:r>
        <w:rPr>
          <w:rFonts w:hint="eastAsia" w:asciiTheme="minorEastAsia" w:hAnsiTheme="minorEastAsia" w:eastAsiaTheme="minorEastAsia" w:cstheme="minorEastAsia"/>
          <w:sz w:val="24"/>
        </w:rPr>
        <w:t>无重大违法记录的承诺书</w:t>
      </w:r>
      <w:bookmarkEnd w:id="547"/>
      <w:bookmarkEnd w:id="548"/>
      <w:bookmarkEnd w:id="549"/>
    </w:p>
    <w:p>
      <w:pPr>
        <w:pStyle w:val="47"/>
        <w:spacing w:line="360" w:lineRule="auto"/>
        <w:rPr>
          <w:rFonts w:asciiTheme="minorEastAsia" w:hAnsiTheme="minorEastAsia" w:eastAsiaTheme="minorEastAsia" w:cstheme="minorEastAsia"/>
          <w:color w:val="000000" w:themeColor="text1"/>
          <w:sz w:val="21"/>
          <w:szCs w:val="21"/>
        </w:rPr>
      </w:pPr>
    </w:p>
    <w:p>
      <w:pPr>
        <w:pStyle w:val="47"/>
        <w:spacing w:line="360" w:lineRule="auto"/>
        <w:rPr>
          <w:rFonts w:asciiTheme="minorEastAsia" w:hAnsiTheme="minorEastAsia" w:eastAsiaTheme="minorEastAsia" w:cstheme="minorEastAsia"/>
          <w:b w:val="0"/>
          <w:color w:val="000000" w:themeColor="text1"/>
          <w:sz w:val="24"/>
        </w:rPr>
      </w:pPr>
      <w:r>
        <w:rPr>
          <w:rFonts w:hint="eastAsia" w:asciiTheme="minorEastAsia" w:hAnsiTheme="minorEastAsia" w:eastAsiaTheme="minorEastAsia" w:cstheme="minorEastAsia"/>
          <w:color w:val="000000" w:themeColor="text1"/>
          <w:sz w:val="24"/>
        </w:rPr>
        <w:t>提供承诺书：</w:t>
      </w:r>
    </w:p>
    <w:p>
      <w:pPr>
        <w:spacing w:line="360" w:lineRule="auto"/>
        <w:jc w:val="center"/>
        <w:rPr>
          <w:rFonts w:asciiTheme="minorEastAsia" w:hAnsiTheme="minorEastAsia" w:cstheme="minorEastAsia"/>
          <w:b/>
          <w:color w:val="000000" w:themeColor="text1"/>
          <w:sz w:val="24"/>
          <w:szCs w:val="24"/>
        </w:rPr>
      </w:pPr>
    </w:p>
    <w:p>
      <w:pPr>
        <w:spacing w:line="360" w:lineRule="auto"/>
        <w:jc w:val="center"/>
        <w:rPr>
          <w:rFonts w:asciiTheme="minorEastAsia" w:hAnsiTheme="minorEastAsia" w:cstheme="minorEastAsia"/>
          <w:b/>
          <w:color w:val="000000" w:themeColor="text1"/>
          <w:sz w:val="24"/>
          <w:szCs w:val="24"/>
        </w:rPr>
      </w:pPr>
      <w:r>
        <w:rPr>
          <w:rFonts w:hint="eastAsia" w:asciiTheme="minorEastAsia" w:hAnsiTheme="minorEastAsia" w:cstheme="minorEastAsia"/>
          <w:b/>
          <w:color w:val="000000" w:themeColor="text1"/>
          <w:sz w:val="24"/>
          <w:szCs w:val="24"/>
        </w:rPr>
        <w:t>参加政府采购活动前3年内在经营活动中没有重大违法记录的承诺书</w:t>
      </w:r>
    </w:p>
    <w:p>
      <w:pPr>
        <w:spacing w:line="360" w:lineRule="auto"/>
        <w:jc w:val="center"/>
        <w:rPr>
          <w:rFonts w:asciiTheme="minorEastAsia" w:hAnsiTheme="minorEastAsia" w:cstheme="minorEastAsia"/>
          <w:b/>
          <w:color w:val="000000" w:themeColor="text1"/>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致：（采购人名称）</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参与（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我方承诺：</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参加政府采购近三年内：</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（一）我方依法缴纳了各项税费及各项社会保障资金，没有偷税、漏税及欠缴行为。</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（二）我方在经营活动中没有存在下列重大违法记录：</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1、受到刑事处罚；</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2、受到三万元以上的罚款、责令停产停业、在一至三年内禁止参加政府采购活动、暂扣或者吊销许可证、暂扣或者吊销执照的行政处罚。</w:t>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特此声明  </w:t>
      </w: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投标人名称（盖单位章）：</w:t>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法定代表人或委托代理人（签字或签章）：</w:t>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期：年月日</w:t>
      </w:r>
    </w:p>
    <w:p>
      <w:pPr>
        <w:pStyle w:val="2"/>
        <w:tabs>
          <w:tab w:val="left" w:pos="5580"/>
        </w:tabs>
        <w:spacing w:line="360" w:lineRule="auto"/>
        <w:ind w:firstLine="240" w:firstLineChars="100"/>
        <w:rPr>
          <w:rFonts w:asciiTheme="minorEastAsia" w:hAnsiTheme="minorEastAsia" w:eastAsiaTheme="minorEastAsia" w:cstheme="minorEastAsia"/>
          <w:sz w:val="24"/>
          <w:szCs w:val="24"/>
        </w:rPr>
      </w:pP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说明：投标人应按照相关法规规定如实作出说明。按照招标文件的规定盖章（自然人投标的无需盖章，需要签字）。如果是联合体投标，联合体各方均需提供上述证明。</w:t>
      </w:r>
    </w:p>
    <w:p>
      <w:pPr>
        <w:pStyle w:val="4"/>
        <w:spacing w:befor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550" w:name="_Toc20"/>
      <w:r>
        <w:rPr>
          <w:rFonts w:hint="eastAsia" w:asciiTheme="minorEastAsia" w:hAnsiTheme="minorEastAsia" w:eastAsiaTheme="minorEastAsia" w:cstheme="minorEastAsia"/>
          <w:sz w:val="24"/>
        </w:rPr>
        <w:t>12、投标保证金递交证明</w:t>
      </w:r>
      <w:bookmarkEnd w:id="550"/>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说明：附投标保证金递交证明材料。</w:t>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widowControl/>
        <w:jc w:val="left"/>
        <w:rPr>
          <w:rFonts w:asciiTheme="minorEastAsia" w:hAnsiTheme="minorEastAsia" w:cstheme="minorEastAsia"/>
        </w:rPr>
      </w:pPr>
      <w:r>
        <w:rPr>
          <w:rFonts w:hint="eastAsia" w:asciiTheme="minorEastAsia" w:hAnsiTheme="minorEastAsia" w:cstheme="minorEastAsia"/>
        </w:rPr>
        <w:br w:type="page"/>
      </w:r>
    </w:p>
    <w:p>
      <w:pPr>
        <w:pStyle w:val="2"/>
        <w:tabs>
          <w:tab w:val="left" w:pos="5580"/>
        </w:tabs>
        <w:spacing w:line="360" w:lineRule="auto"/>
        <w:jc w:val="center"/>
        <w:outlineLvl w:val="1"/>
        <w:rPr>
          <w:rFonts w:asciiTheme="minorEastAsia" w:hAnsiTheme="minorEastAsia" w:eastAsiaTheme="minorEastAsia" w:cstheme="minorEastAsia"/>
          <w:b/>
          <w:kern w:val="0"/>
          <w:sz w:val="24"/>
        </w:rPr>
      </w:pPr>
      <w:bookmarkStart w:id="551" w:name="_Toc586"/>
      <w:bookmarkStart w:id="552" w:name="_Toc518923119"/>
      <w:bookmarkStart w:id="553" w:name="_Toc1689699172"/>
      <w:bookmarkStart w:id="554" w:name="_Toc216582818"/>
      <w:r>
        <w:rPr>
          <w:rFonts w:hint="eastAsia" w:asciiTheme="minorEastAsia" w:hAnsiTheme="minorEastAsia" w:eastAsiaTheme="minorEastAsia" w:cstheme="minorEastAsia"/>
          <w:b/>
          <w:kern w:val="0"/>
          <w:sz w:val="24"/>
        </w:rPr>
        <w:t>13、不参与围标串标承诺书</w:t>
      </w:r>
      <w:bookmarkEnd w:id="551"/>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spacing w:line="360" w:lineRule="auto"/>
        <w:ind w:firstLine="480" w:firstLineChars="200"/>
        <w:rPr>
          <w:rFonts w:ascii="宋体" w:hAnsi="宋体" w:cs="仿宋"/>
          <w:sz w:val="24"/>
        </w:rPr>
      </w:pPr>
      <w:r>
        <w:rPr>
          <w:rFonts w:hint="eastAsia" w:ascii="宋体" w:hAnsi="宋体" w:cs="仿宋"/>
          <w:sz w:val="24"/>
        </w:rPr>
        <w:t>本人作为</w:t>
      </w:r>
      <w:r>
        <w:rPr>
          <w:rFonts w:hint="eastAsia" w:ascii="宋体" w:hAnsi="宋体" w:cs="仿宋"/>
          <w:sz w:val="24"/>
          <w:u w:val="single"/>
        </w:rPr>
        <w:t xml:space="preserve">（单位名称）                    </w:t>
      </w:r>
      <w:r>
        <w:rPr>
          <w:rFonts w:hint="eastAsia" w:ascii="宋体" w:hAnsi="宋体" w:cs="仿宋"/>
          <w:sz w:val="24"/>
        </w:rPr>
        <w:t>的法人，清楚知晓我公司本项目投标活动，对以下事项作出承诺：</w:t>
      </w:r>
    </w:p>
    <w:p>
      <w:pPr>
        <w:spacing w:line="360" w:lineRule="auto"/>
        <w:ind w:firstLine="480" w:firstLineChars="200"/>
        <w:rPr>
          <w:rFonts w:ascii="宋体" w:hAnsi="宋体" w:cs="仿宋"/>
          <w:sz w:val="24"/>
        </w:rPr>
      </w:pPr>
      <w:r>
        <w:rPr>
          <w:rFonts w:hint="eastAsia" w:ascii="宋体" w:hAnsi="宋体" w:cs="仿宋"/>
          <w:sz w:val="24"/>
        </w:rPr>
        <w:t>一、我单位遵循公开、公平、公正、诚实守信的原则，依法依规参与本项目竞标。</w:t>
      </w:r>
    </w:p>
    <w:p>
      <w:pPr>
        <w:spacing w:line="360" w:lineRule="auto"/>
        <w:ind w:firstLine="480" w:firstLineChars="200"/>
        <w:rPr>
          <w:rFonts w:ascii="宋体" w:hAnsi="宋体" w:cs="仿宋"/>
          <w:sz w:val="24"/>
        </w:rPr>
      </w:pPr>
      <w:r>
        <w:rPr>
          <w:rFonts w:hint="eastAsia" w:ascii="宋体" w:hAnsi="宋体" w:cs="仿宋"/>
          <w:sz w:val="24"/>
        </w:rPr>
        <w:t>二、我单位在本项目招标投标活动中，未参与围标串标。</w:t>
      </w:r>
    </w:p>
    <w:p>
      <w:pPr>
        <w:spacing w:line="360" w:lineRule="auto"/>
        <w:ind w:firstLine="480" w:firstLineChars="200"/>
        <w:rPr>
          <w:rFonts w:ascii="宋体" w:hAnsi="宋体"/>
          <w:b/>
          <w:sz w:val="24"/>
        </w:rPr>
      </w:pPr>
      <w:r>
        <w:rPr>
          <w:rFonts w:hint="eastAsia" w:ascii="宋体" w:hAnsi="宋体" w:cs="仿宋"/>
          <w:sz w:val="24"/>
        </w:rPr>
        <w:t>三、我单位如被查实在本项目招标投标活动中存在围标串标的，递交投标文件行为作为实施串通投标违法行为的关键环节，本人承担直接责任人员法律责任，接受相应行政处罚和失信惩戒。</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项目编号</w:t>
      </w:r>
      <w:r>
        <w:rPr>
          <w:rFonts w:ascii="宋体" w:hAnsi="宋体"/>
          <w:sz w:val="24"/>
        </w:rPr>
        <w:t xml:space="preserve">：    </w:t>
      </w:r>
      <w:r>
        <w:rPr>
          <w:rFonts w:hint="eastAsia" w:ascii="宋体" w:hAnsi="宋体"/>
          <w:sz w:val="24"/>
        </w:rPr>
        <w:t xml:space="preserve">   </w:t>
      </w:r>
    </w:p>
    <w:p>
      <w:pPr>
        <w:spacing w:line="360" w:lineRule="auto"/>
        <w:jc w:val="left"/>
        <w:rPr>
          <w:rFonts w:ascii="宋体" w:hAnsi="宋体"/>
          <w:sz w:val="24"/>
        </w:rPr>
      </w:pPr>
      <w:r>
        <w:rPr>
          <w:rFonts w:hint="eastAsia" w:ascii="宋体" w:hAnsi="宋体"/>
          <w:sz w:val="24"/>
        </w:rPr>
        <w:t>供应商单位名称：</w:t>
      </w:r>
    </w:p>
    <w:p>
      <w:pPr>
        <w:pStyle w:val="2"/>
        <w:tabs>
          <w:tab w:val="left" w:pos="5580"/>
        </w:tabs>
        <w:spacing w:line="360" w:lineRule="auto"/>
        <w:rPr>
          <w:rFonts w:asciiTheme="minorEastAsia" w:hAnsiTheme="minorEastAsia" w:eastAsiaTheme="minorEastAsia" w:cstheme="minorEastAsia"/>
          <w:sz w:val="24"/>
        </w:rPr>
      </w:pPr>
      <w:r>
        <w:rPr>
          <w:rFonts w:hint="eastAsia" w:hAnsi="宋体"/>
          <w:sz w:val="24"/>
        </w:rPr>
        <w:t>供应商法人签名：</w:t>
      </w:r>
    </w:p>
    <w:p>
      <w:pPr>
        <w:pStyle w:val="2"/>
        <w:tabs>
          <w:tab w:val="left" w:pos="5580"/>
        </w:tabs>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2"/>
        <w:tabs>
          <w:tab w:val="left" w:pos="5580"/>
        </w:tabs>
        <w:spacing w:line="360" w:lineRule="auto"/>
        <w:ind w:left="1080" w:leftChars="257" w:hanging="540"/>
        <w:rPr>
          <w:rFonts w:asciiTheme="minorEastAsia" w:hAnsiTheme="minorEastAsia" w:eastAsiaTheme="minorEastAsia" w:cstheme="minorEastAsia"/>
          <w:sz w:val="24"/>
        </w:rPr>
      </w:pPr>
    </w:p>
    <w:p>
      <w:pPr>
        <w:pStyle w:val="4"/>
        <w:spacing w:before="0"/>
        <w:rPr>
          <w:rFonts w:asciiTheme="minorEastAsia" w:hAnsiTheme="minorEastAsia" w:eastAsiaTheme="minorEastAsia" w:cstheme="minorEastAsia"/>
          <w:sz w:val="24"/>
        </w:rPr>
      </w:pPr>
      <w:bookmarkStart w:id="555" w:name="_Toc13429"/>
      <w:bookmarkStart w:id="556" w:name="_Toc2265"/>
      <w:r>
        <w:rPr>
          <w:rFonts w:hint="eastAsia" w:asciiTheme="minorEastAsia" w:hAnsiTheme="minorEastAsia" w:eastAsiaTheme="minorEastAsia" w:cstheme="minorEastAsia"/>
          <w:sz w:val="24"/>
        </w:rPr>
        <w:t>14、信用查询结果</w:t>
      </w:r>
      <w:bookmarkEnd w:id="555"/>
      <w:bookmarkEnd w:id="556"/>
    </w:p>
    <w:p>
      <w:pPr>
        <w:rPr>
          <w:rFonts w:asciiTheme="minorEastAsia" w:hAnsiTheme="minorEastAsia" w:cstheme="minorEastAsia"/>
          <w:sz w:val="24"/>
        </w:rPr>
      </w:pPr>
    </w:p>
    <w:p>
      <w:pPr>
        <w:widowControl/>
        <w:adjustRightInd w:val="0"/>
        <w:snapToGrid w:val="0"/>
        <w:spacing w:line="360" w:lineRule="auto"/>
        <w:ind w:firstLine="464" w:firstLineChars="200"/>
        <w:jc w:val="left"/>
        <w:rPr>
          <w:rFonts w:ascii="宋体" w:hAnsi="宋体" w:cs="宋体"/>
          <w:spacing w:val="6"/>
          <w:kern w:val="0"/>
          <w:sz w:val="22"/>
          <w:szCs w:val="21"/>
        </w:rPr>
      </w:pPr>
      <w:r>
        <w:rPr>
          <w:rFonts w:hint="eastAsia" w:ascii="宋体" w:hAnsi="宋体" w:cs="宋体"/>
          <w:spacing w:val="6"/>
          <w:kern w:val="0"/>
          <w:sz w:val="22"/>
          <w:szCs w:val="21"/>
        </w:rPr>
        <w:t>依据财库</w:t>
      </w:r>
      <w:r>
        <w:rPr>
          <w:rFonts w:ascii="宋体" w:hAnsi="宋体" w:cs="宋体"/>
          <w:spacing w:val="6"/>
          <w:kern w:val="0"/>
          <w:sz w:val="22"/>
          <w:szCs w:val="21"/>
        </w:rPr>
        <w:t>[2016]125</w:t>
      </w:r>
      <w:r>
        <w:rPr>
          <w:rFonts w:hint="eastAsia" w:ascii="宋体" w:hAnsi="宋体" w:cs="宋体"/>
          <w:spacing w:val="6"/>
          <w:kern w:val="0"/>
          <w:sz w:val="22"/>
          <w:szCs w:val="21"/>
        </w:rPr>
        <w:t>号文件规定，投标人须符合《关于在政府采购活动中查询及使用信用记录有关问题的通知》的相关要求，即具有良好的信用记录。</w:t>
      </w:r>
    </w:p>
    <w:p>
      <w:pPr>
        <w:widowControl/>
        <w:adjustRightInd w:val="0"/>
        <w:snapToGrid w:val="0"/>
        <w:spacing w:line="360" w:lineRule="auto"/>
        <w:ind w:firstLine="464" w:firstLineChars="200"/>
        <w:jc w:val="left"/>
        <w:rPr>
          <w:rFonts w:ascii="宋体" w:hAnsi="宋体" w:cs="宋体"/>
          <w:spacing w:val="6"/>
          <w:kern w:val="0"/>
          <w:sz w:val="22"/>
          <w:szCs w:val="21"/>
        </w:rPr>
      </w:pPr>
      <w:r>
        <w:rPr>
          <w:rFonts w:hint="eastAsia" w:ascii="宋体" w:hAnsi="宋体" w:cs="宋体"/>
          <w:spacing w:val="6"/>
          <w:kern w:val="0"/>
          <w:sz w:val="22"/>
          <w:szCs w:val="21"/>
        </w:rPr>
        <w:t>投标人须提供本单位近</w:t>
      </w:r>
      <w:r>
        <w:rPr>
          <w:rFonts w:ascii="宋体" w:hAnsi="宋体" w:cs="宋体"/>
          <w:spacing w:val="6"/>
          <w:kern w:val="0"/>
          <w:sz w:val="22"/>
          <w:szCs w:val="21"/>
        </w:rPr>
        <w:t>3</w:t>
      </w:r>
      <w:r>
        <w:rPr>
          <w:rFonts w:hint="eastAsia" w:ascii="宋体" w:hAnsi="宋体" w:cs="宋体"/>
          <w:spacing w:val="6"/>
          <w:kern w:val="0"/>
          <w:sz w:val="22"/>
          <w:szCs w:val="21"/>
        </w:rPr>
        <w:t>年（出售文件起至递交响应文件截止日前）</w:t>
      </w:r>
      <w:r>
        <w:rPr>
          <w:rFonts w:ascii="宋体" w:hAnsi="宋体" w:cs="宋体"/>
          <w:spacing w:val="6"/>
          <w:kern w:val="0"/>
          <w:sz w:val="22"/>
          <w:szCs w:val="21"/>
        </w:rPr>
        <w:t>“</w:t>
      </w:r>
      <w:r>
        <w:rPr>
          <w:rFonts w:hint="eastAsia" w:ascii="宋体" w:hAnsi="宋体" w:cs="宋体"/>
          <w:spacing w:val="6"/>
          <w:kern w:val="0"/>
          <w:sz w:val="22"/>
          <w:szCs w:val="21"/>
        </w:rPr>
        <w:t>信用中国</w:t>
      </w:r>
      <w:r>
        <w:rPr>
          <w:rFonts w:ascii="宋体" w:hAnsi="宋体" w:cs="宋体"/>
          <w:spacing w:val="6"/>
          <w:kern w:val="0"/>
          <w:sz w:val="22"/>
          <w:szCs w:val="21"/>
        </w:rPr>
        <w:t>”</w:t>
      </w:r>
      <w:r>
        <w:rPr>
          <w:rFonts w:hint="eastAsia" w:ascii="宋体" w:hAnsi="宋体" w:cs="宋体"/>
          <w:spacing w:val="6"/>
          <w:kern w:val="0"/>
          <w:sz w:val="22"/>
          <w:szCs w:val="21"/>
        </w:rPr>
        <w:t>网站（</w:t>
      </w:r>
      <w:r>
        <w:rPr>
          <w:rFonts w:ascii="宋体" w:hAnsi="宋体" w:cs="宋体"/>
          <w:spacing w:val="6"/>
          <w:kern w:val="0"/>
          <w:sz w:val="22"/>
          <w:szCs w:val="21"/>
        </w:rPr>
        <w:t>www.creditchina.gov.cn</w:t>
      </w:r>
      <w:r>
        <w:rPr>
          <w:rFonts w:hint="eastAsia" w:ascii="宋体" w:hAnsi="宋体" w:cs="宋体"/>
          <w:spacing w:val="6"/>
          <w:kern w:val="0"/>
          <w:sz w:val="22"/>
          <w:szCs w:val="21"/>
        </w:rPr>
        <w:t>）及中国政府采购网（</w:t>
      </w:r>
      <w:r>
        <w:rPr>
          <w:rFonts w:ascii="宋体" w:hAnsi="宋体" w:cs="宋体"/>
          <w:spacing w:val="6"/>
          <w:kern w:val="0"/>
          <w:sz w:val="22"/>
          <w:szCs w:val="21"/>
        </w:rPr>
        <w:t>www.ccgp.gov.cn</w:t>
      </w:r>
      <w:r>
        <w:rPr>
          <w:rFonts w:hint="eastAsia" w:ascii="宋体" w:hAnsi="宋体" w:cs="宋体"/>
          <w:spacing w:val="6"/>
          <w:kern w:val="0"/>
          <w:sz w:val="22"/>
          <w:szCs w:val="21"/>
        </w:rPr>
        <w:t>）已公布的信用记录查询截图。</w:t>
      </w:r>
    </w:p>
    <w:p>
      <w:pPr>
        <w:widowControl/>
        <w:adjustRightInd w:val="0"/>
        <w:snapToGrid w:val="0"/>
        <w:spacing w:line="360" w:lineRule="auto"/>
        <w:ind w:firstLine="464" w:firstLineChars="200"/>
        <w:jc w:val="left"/>
        <w:rPr>
          <w:rFonts w:ascii="宋体" w:hAnsi="宋体" w:cs="宋体"/>
          <w:spacing w:val="6"/>
          <w:kern w:val="0"/>
          <w:sz w:val="22"/>
          <w:szCs w:val="21"/>
        </w:rPr>
      </w:pPr>
      <w:r>
        <w:rPr>
          <w:rFonts w:hint="eastAsia" w:ascii="宋体" w:hAnsi="宋体" w:cs="宋体"/>
          <w:spacing w:val="6"/>
          <w:kern w:val="0"/>
          <w:sz w:val="22"/>
          <w:szCs w:val="21"/>
        </w:rPr>
        <w:t>截图含1）被列入失信被执行人</w:t>
      </w:r>
    </w:p>
    <w:p>
      <w:pPr>
        <w:widowControl/>
        <w:adjustRightInd w:val="0"/>
        <w:snapToGrid w:val="0"/>
        <w:spacing w:line="360" w:lineRule="auto"/>
        <w:ind w:firstLine="1276" w:firstLineChars="550"/>
        <w:jc w:val="left"/>
        <w:rPr>
          <w:rFonts w:ascii="宋体" w:hAnsi="宋体" w:cs="宋体"/>
          <w:spacing w:val="6"/>
          <w:kern w:val="0"/>
          <w:sz w:val="22"/>
          <w:szCs w:val="21"/>
        </w:rPr>
      </w:pPr>
      <w:r>
        <w:rPr>
          <w:rFonts w:hint="eastAsia" w:ascii="宋体" w:hAnsi="宋体" w:cs="宋体"/>
          <w:spacing w:val="6"/>
          <w:kern w:val="0"/>
          <w:sz w:val="22"/>
          <w:szCs w:val="21"/>
        </w:rPr>
        <w:t>2）被列入重大税收违法失信主体</w:t>
      </w:r>
    </w:p>
    <w:p>
      <w:pPr>
        <w:widowControl/>
        <w:adjustRightInd w:val="0"/>
        <w:snapToGrid w:val="0"/>
        <w:spacing w:line="360" w:lineRule="auto"/>
        <w:ind w:firstLine="1276" w:firstLineChars="550"/>
        <w:jc w:val="left"/>
        <w:rPr>
          <w:rFonts w:ascii="宋体" w:hAnsi="宋体" w:cs="宋体"/>
          <w:spacing w:val="6"/>
          <w:kern w:val="0"/>
          <w:sz w:val="22"/>
          <w:szCs w:val="21"/>
        </w:rPr>
      </w:pPr>
      <w:r>
        <w:rPr>
          <w:rFonts w:hint="eastAsia" w:ascii="宋体" w:hAnsi="宋体" w:cs="宋体"/>
          <w:spacing w:val="6"/>
          <w:kern w:val="0"/>
          <w:sz w:val="22"/>
          <w:szCs w:val="21"/>
        </w:rPr>
        <w:t>3）被列入政府采购严重违法失信行为记录名单</w:t>
      </w:r>
    </w:p>
    <w:p>
      <w:pPr>
        <w:widowControl/>
        <w:adjustRightInd w:val="0"/>
        <w:snapToGrid w:val="0"/>
        <w:spacing w:line="360" w:lineRule="auto"/>
        <w:ind w:firstLine="464" w:firstLineChars="200"/>
        <w:jc w:val="left"/>
        <w:rPr>
          <w:rFonts w:ascii="宋体" w:hAnsi="宋体" w:cs="宋体"/>
          <w:spacing w:val="6"/>
          <w:kern w:val="0"/>
          <w:sz w:val="22"/>
          <w:szCs w:val="21"/>
        </w:rPr>
      </w:pPr>
    </w:p>
    <w:p>
      <w:pPr>
        <w:widowControl/>
        <w:adjustRightInd w:val="0"/>
        <w:snapToGrid w:val="0"/>
        <w:spacing w:line="360" w:lineRule="auto"/>
        <w:ind w:firstLine="464" w:firstLineChars="200"/>
        <w:jc w:val="left"/>
        <w:rPr>
          <w:rFonts w:ascii="宋体" w:hAnsi="宋体" w:cs="宋体"/>
          <w:spacing w:val="6"/>
          <w:kern w:val="0"/>
          <w:sz w:val="22"/>
          <w:szCs w:val="21"/>
        </w:rPr>
      </w:pPr>
      <w:r>
        <w:rPr>
          <w:rFonts w:hint="eastAsia" w:ascii="宋体" w:hAnsi="宋体" w:cs="宋体"/>
          <w:spacing w:val="6"/>
          <w:kern w:val="0"/>
          <w:sz w:val="22"/>
          <w:szCs w:val="21"/>
        </w:rPr>
        <w:t>例如：网站搜索页输入投标人名称，截图查询结果。</w:t>
      </w:r>
    </w:p>
    <w:p>
      <w:pPr>
        <w:widowControl/>
        <w:adjustRightInd w:val="0"/>
        <w:snapToGrid w:val="0"/>
        <w:spacing w:line="360" w:lineRule="auto"/>
        <w:ind w:firstLine="464" w:firstLineChars="200"/>
        <w:jc w:val="left"/>
        <w:rPr>
          <w:rFonts w:ascii="宋体" w:hAnsi="宋体" w:cs="宋体"/>
          <w:spacing w:val="6"/>
          <w:kern w:val="0"/>
          <w:sz w:val="22"/>
          <w:szCs w:val="21"/>
        </w:rPr>
      </w:pPr>
    </w:p>
    <w:p>
      <w:pPr>
        <w:jc w:val="left"/>
        <w:rPr>
          <w:rFonts w:asciiTheme="minorEastAsia" w:hAnsiTheme="minorEastAsia" w:cstheme="minorEastAsia"/>
          <w:sz w:val="24"/>
        </w:rPr>
      </w:pPr>
      <w:r>
        <w:rPr>
          <w:rFonts w:hint="eastAsia" w:ascii="宋体" w:hAnsi="宋体" w:cs="宋体"/>
          <w:b/>
          <w:spacing w:val="6"/>
          <w:kern w:val="0"/>
          <w:sz w:val="22"/>
          <w:szCs w:val="21"/>
        </w:rPr>
        <w:t>说明：投标人提供的截图与采购人或采购代理机构查询截图不一致的，以采购人或采购代理机构现场查询结果为准。</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
      <w:pPr>
        <w:pStyle w:val="2"/>
      </w:pPr>
    </w:p>
    <w:p>
      <w:pPr>
        <w:pStyle w:val="2"/>
      </w:pPr>
    </w:p>
    <w:p>
      <w:pPr>
        <w:pStyle w:val="2"/>
      </w:pPr>
    </w:p>
    <w:p>
      <w:pPr>
        <w:pStyle w:val="2"/>
      </w:pPr>
    </w:p>
    <w:p>
      <w:pPr>
        <w:pStyle w:val="2"/>
      </w:pPr>
    </w:p>
    <w:p>
      <w:pPr>
        <w:pStyle w:val="2"/>
      </w:pPr>
    </w:p>
    <w:p>
      <w:pPr>
        <w:pStyle w:val="2"/>
      </w:pPr>
    </w:p>
    <w:p>
      <w:pPr>
        <w:rPr>
          <w:rFonts w:asciiTheme="minorEastAsia" w:hAnsiTheme="minorEastAsia" w:cstheme="minorEastAsia"/>
          <w:sz w:val="24"/>
        </w:rPr>
      </w:pPr>
    </w:p>
    <w:p>
      <w:pPr>
        <w:rPr>
          <w:rFonts w:asciiTheme="minorEastAsia" w:hAnsiTheme="minorEastAsia" w:cstheme="minorEastAsia"/>
          <w:sz w:val="24"/>
        </w:rPr>
      </w:pPr>
    </w:p>
    <w:p>
      <w:pPr>
        <w:pStyle w:val="2"/>
        <w:rPr>
          <w:rFonts w:asciiTheme="minorEastAsia" w:hAnsiTheme="minorEastAsia" w:eastAsiaTheme="minorEastAsia" w:cstheme="minorEastAsia"/>
          <w:sz w:val="24"/>
        </w:rPr>
      </w:pPr>
    </w:p>
    <w:p>
      <w:pPr>
        <w:pStyle w:val="2"/>
        <w:rPr>
          <w:rFonts w:asciiTheme="minorEastAsia" w:hAnsiTheme="minorEastAsia" w:eastAsiaTheme="minorEastAsia" w:cstheme="minorEastAsia"/>
          <w:sz w:val="24"/>
        </w:rPr>
      </w:pPr>
    </w:p>
    <w:p>
      <w:pPr>
        <w:pStyle w:val="4"/>
        <w:spacing w:before="0"/>
        <w:rPr>
          <w:rFonts w:asciiTheme="minorEastAsia" w:hAnsiTheme="minorEastAsia" w:eastAsiaTheme="minorEastAsia" w:cstheme="minorEastAsia"/>
          <w:sz w:val="24"/>
        </w:rPr>
      </w:pPr>
      <w:bookmarkStart w:id="557" w:name="_Toc22217"/>
      <w:r>
        <w:rPr>
          <w:rFonts w:hint="eastAsia" w:asciiTheme="minorEastAsia" w:hAnsiTheme="minorEastAsia" w:eastAsiaTheme="minorEastAsia" w:cstheme="minorEastAsia"/>
          <w:sz w:val="24"/>
        </w:rPr>
        <w:t>15、详细响应说明表</w:t>
      </w:r>
      <w:bookmarkEnd w:id="557"/>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24"/>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56"/>
        <w:gridCol w:w="2425"/>
        <w:gridCol w:w="1852"/>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9" w:leftChars="-52" w:right="-63" w:rightChars="-3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56" w:type="dxa"/>
            <w:vAlign w:val="center"/>
          </w:tcPr>
          <w:p>
            <w:pPr>
              <w:pStyle w:val="2"/>
              <w:spacing w:line="400" w:lineRule="exact"/>
              <w:ind w:left="-109" w:leftChars="-52" w:right="-63" w:rightChars="-3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425" w:type="dxa"/>
            <w:vAlign w:val="center"/>
          </w:tcPr>
          <w:p>
            <w:pPr>
              <w:pStyle w:val="2"/>
              <w:spacing w:line="400" w:lineRule="exact"/>
              <w:ind w:left="-109" w:leftChars="-52" w:right="-63" w:rightChars="-3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详细响应内容</w:t>
            </w:r>
          </w:p>
        </w:tc>
        <w:tc>
          <w:tcPr>
            <w:tcW w:w="1852" w:type="dxa"/>
            <w:vAlign w:val="center"/>
          </w:tcPr>
          <w:p>
            <w:pPr>
              <w:pStyle w:val="2"/>
              <w:spacing w:line="400" w:lineRule="exact"/>
              <w:ind w:left="-109" w:leftChars="-52" w:right="-63" w:rightChars="-3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证明材料或承诺</w:t>
            </w:r>
          </w:p>
        </w:tc>
        <w:tc>
          <w:tcPr>
            <w:tcW w:w="1200" w:type="dxa"/>
            <w:vAlign w:val="center"/>
          </w:tcPr>
          <w:p>
            <w:pPr>
              <w:pStyle w:val="2"/>
              <w:spacing w:line="400" w:lineRule="exact"/>
              <w:ind w:left="-109" w:leftChars="-52" w:right="-63" w:rightChars="-3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6" w:type="dxa"/>
            <w:vAlign w:val="center"/>
          </w:tcPr>
          <w:p>
            <w:pPr>
              <w:pStyle w:val="2"/>
              <w:spacing w:line="400" w:lineRule="exact"/>
              <w:jc w:val="center"/>
              <w:rPr>
                <w:rFonts w:asciiTheme="minorEastAsia" w:hAnsiTheme="minorEastAsia" w:eastAsiaTheme="minorEastAsia" w:cstheme="minorEastAsia"/>
                <w:sz w:val="24"/>
                <w:szCs w:val="24"/>
              </w:rPr>
            </w:pPr>
          </w:p>
        </w:tc>
        <w:tc>
          <w:tcPr>
            <w:tcW w:w="2425" w:type="dxa"/>
            <w:vAlign w:val="center"/>
          </w:tcPr>
          <w:p>
            <w:pPr>
              <w:pStyle w:val="2"/>
              <w:spacing w:line="400" w:lineRule="exact"/>
              <w:jc w:val="center"/>
              <w:rPr>
                <w:rFonts w:asciiTheme="minorEastAsia" w:hAnsiTheme="minorEastAsia" w:eastAsiaTheme="minorEastAsia" w:cstheme="minorEastAsia"/>
                <w:sz w:val="24"/>
                <w:szCs w:val="24"/>
              </w:rPr>
            </w:pPr>
          </w:p>
        </w:tc>
        <w:tc>
          <w:tcPr>
            <w:tcW w:w="1852" w:type="dxa"/>
            <w:vAlign w:val="center"/>
          </w:tcPr>
          <w:p>
            <w:pPr>
              <w:pStyle w:val="2"/>
              <w:spacing w:line="400" w:lineRule="exact"/>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p>
        </w:tc>
      </w:tr>
    </w:tbl>
    <w:p>
      <w:pPr>
        <w:pStyle w:val="2"/>
        <w:tabs>
          <w:tab w:val="left" w:pos="5580"/>
        </w:tabs>
        <w:spacing w:line="360" w:lineRule="auto"/>
        <w:ind w:firstLine="480" w:firstLineChars="200"/>
        <w:rPr>
          <w:rFonts w:asciiTheme="minorEastAsia" w:hAnsiTheme="minorEastAsia" w:eastAsiaTheme="minorEastAsia" w:cstheme="minorEastAsia"/>
          <w:sz w:val="24"/>
          <w:szCs w:val="24"/>
        </w:rPr>
      </w:pP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p>
    <w:p>
      <w:pPr>
        <w:pStyle w:val="2"/>
        <w:spacing w:line="360" w:lineRule="auto"/>
        <w:rPr>
          <w:rFonts w:asciiTheme="minorEastAsia" w:hAnsiTheme="minorEastAsia" w:eastAsiaTheme="minorEastAsia" w:cstheme="minorEastAsia"/>
          <w:sz w:val="24"/>
        </w:rPr>
      </w:pPr>
    </w:p>
    <w:p>
      <w:pPr>
        <w:pStyle w:val="2"/>
        <w:tabs>
          <w:tab w:val="left" w:pos="5370"/>
        </w:tabs>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投标人名称(盖公章)：</w:t>
      </w:r>
      <w:r>
        <w:rPr>
          <w:rFonts w:hint="eastAsia" w:asciiTheme="minorEastAsia" w:hAnsiTheme="minorEastAsia" w:eastAsiaTheme="minorEastAsia" w:cstheme="minorEastAsia"/>
          <w:sz w:val="24"/>
          <w:u w:val="single"/>
        </w:rPr>
        <w:tab/>
      </w:r>
    </w:p>
    <w:p>
      <w:pPr>
        <w:pStyle w:val="2"/>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期：年月日</w:t>
      </w: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p>
      <w:pPr>
        <w:pStyle w:val="2"/>
        <w:tabs>
          <w:tab w:val="left" w:pos="5580"/>
        </w:tabs>
        <w:spacing w:line="360" w:lineRule="auto"/>
        <w:ind w:left="540"/>
        <w:rPr>
          <w:rFonts w:asciiTheme="minorEastAsia" w:hAnsiTheme="minorEastAsia" w:eastAsiaTheme="minorEastAsia" w:cstheme="minorEastAsia"/>
          <w:sz w:val="24"/>
          <w:szCs w:val="24"/>
        </w:rPr>
      </w:pPr>
    </w:p>
    <w:bookmarkEnd w:id="552"/>
    <w:bookmarkEnd w:id="553"/>
    <w:bookmarkEnd w:id="554"/>
    <w:p>
      <w:pPr>
        <w:pStyle w:val="4"/>
        <w:spacing w:before="0"/>
        <w:rPr>
          <w:rFonts w:asciiTheme="minorEastAsia" w:hAnsiTheme="minorEastAsia" w:eastAsiaTheme="minorEastAsia" w:cstheme="minorEastAsia"/>
          <w:sz w:val="24"/>
        </w:rPr>
      </w:pPr>
      <w:bookmarkStart w:id="558" w:name="_Toc15905"/>
      <w:bookmarkStart w:id="559" w:name="_Toc27792"/>
      <w:r>
        <w:rPr>
          <w:rFonts w:hint="eastAsia" w:asciiTheme="minorEastAsia" w:hAnsiTheme="minorEastAsia" w:eastAsiaTheme="minorEastAsia" w:cstheme="minorEastAsia"/>
          <w:sz w:val="24"/>
        </w:rPr>
        <w:t>16、商务偏离说明表</w:t>
      </w:r>
      <w:bookmarkEnd w:id="558"/>
      <w:bookmarkEnd w:id="559"/>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24"/>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01"/>
        <w:gridCol w:w="1894"/>
        <w:gridCol w:w="2024"/>
        <w:gridCol w:w="120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01"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招标文件条款号</w:t>
            </w:r>
          </w:p>
        </w:tc>
        <w:tc>
          <w:tcPr>
            <w:tcW w:w="1894"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招标文件的条款及要求</w:t>
            </w:r>
          </w:p>
        </w:tc>
        <w:tc>
          <w:tcPr>
            <w:tcW w:w="2024"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投标文件的对应条款及响应</w:t>
            </w: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w:t>
            </w:r>
          </w:p>
        </w:tc>
        <w:tc>
          <w:tcPr>
            <w:tcW w:w="987"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bl>
    <w:p>
      <w:pPr>
        <w:pStyle w:val="2"/>
        <w:spacing w:line="360" w:lineRule="auto"/>
        <w:rPr>
          <w:rFonts w:asciiTheme="minorEastAsia" w:hAnsiTheme="minorEastAsia" w:eastAsiaTheme="minorEastAsia" w:cstheme="minorEastAsia"/>
          <w:sz w:val="24"/>
        </w:rPr>
      </w:pPr>
    </w:p>
    <w:p>
      <w:pPr>
        <w:pStyle w:val="2"/>
        <w:tabs>
          <w:tab w:val="left" w:pos="558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注：</w:t>
      </w:r>
    </w:p>
    <w:p>
      <w:pPr>
        <w:pStyle w:val="2"/>
        <w:tabs>
          <w:tab w:val="left" w:pos="558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1、投标人所投服务内容对照招标文件商务条款出现负偏离时，须逐项说明。</w:t>
      </w:r>
    </w:p>
    <w:p>
      <w:pPr>
        <w:pStyle w:val="2"/>
        <w:tabs>
          <w:tab w:val="left" w:pos="5370"/>
        </w:tabs>
        <w:spacing w:line="360" w:lineRule="auto"/>
        <w:rPr>
          <w:rFonts w:asciiTheme="minorEastAsia" w:hAnsiTheme="minorEastAsia" w:eastAsiaTheme="minorEastAsia" w:cstheme="minorEastAsia"/>
          <w:sz w:val="24"/>
          <w:szCs w:val="24"/>
        </w:rPr>
      </w:pPr>
      <w:r>
        <w:rPr>
          <w:rFonts w:hint="eastAsia" w:cs="宋体" w:asciiTheme="minorEastAsia" w:hAnsiTheme="minorEastAsia" w:eastAsiaTheme="minorEastAsia"/>
          <w:szCs w:val="21"/>
        </w:rPr>
        <w:t>2、招标文件中标记“★”的或明确使用“拒绝”、“不接受”、“无效”、“不得”等文字规定的条款均属于实质性要求，负偏离属于未实质性响应，其投标文件将被</w:t>
      </w:r>
      <w:r>
        <w:rPr>
          <w:rFonts w:hint="eastAsia" w:cs="宋体" w:asciiTheme="minorEastAsia" w:hAnsiTheme="minorEastAsia" w:eastAsiaTheme="minorEastAsia"/>
          <w:b/>
          <w:szCs w:val="21"/>
        </w:rPr>
        <w:t>拒绝</w:t>
      </w:r>
      <w:r>
        <w:rPr>
          <w:rFonts w:hint="eastAsia" w:cs="宋体" w:asciiTheme="minorEastAsia" w:hAnsiTheme="minorEastAsia" w:eastAsiaTheme="minorEastAsia"/>
          <w:szCs w:val="21"/>
        </w:rPr>
        <w:t>。</w:t>
      </w:r>
    </w:p>
    <w:p>
      <w:pPr>
        <w:pStyle w:val="2"/>
        <w:tabs>
          <w:tab w:val="left" w:pos="5370"/>
        </w:tabs>
        <w:spacing w:line="360" w:lineRule="auto"/>
        <w:ind w:left="1080" w:leftChars="257" w:hanging="540"/>
        <w:rPr>
          <w:rFonts w:asciiTheme="minorEastAsia" w:hAnsiTheme="minorEastAsia" w:eastAsiaTheme="minorEastAsia" w:cstheme="minorEastAsia"/>
          <w:sz w:val="24"/>
          <w:szCs w:val="24"/>
        </w:rPr>
      </w:pPr>
    </w:p>
    <w:p>
      <w:pPr>
        <w:pStyle w:val="2"/>
        <w:tabs>
          <w:tab w:val="left" w:pos="5370"/>
        </w:tabs>
        <w:spacing w:line="360" w:lineRule="auto"/>
        <w:ind w:left="1080" w:leftChars="257" w:hanging="540"/>
        <w:rPr>
          <w:rFonts w:asciiTheme="minorEastAsia" w:hAnsiTheme="minorEastAsia" w:eastAsiaTheme="minorEastAsia" w:cstheme="minorEastAsia"/>
          <w:sz w:val="24"/>
          <w:szCs w:val="24"/>
        </w:rPr>
      </w:pPr>
    </w:p>
    <w:p>
      <w:pPr>
        <w:pStyle w:val="2"/>
        <w:tabs>
          <w:tab w:val="left" w:pos="5370"/>
        </w:tabs>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投标人名称(盖公章)：</w:t>
      </w:r>
      <w:r>
        <w:rPr>
          <w:rFonts w:hint="eastAsia" w:asciiTheme="minorEastAsia" w:hAnsiTheme="minorEastAsia" w:eastAsiaTheme="minorEastAsia" w:cstheme="minorEastAsia"/>
          <w:sz w:val="24"/>
          <w:u w:val="single"/>
        </w:rPr>
        <w:tab/>
      </w:r>
    </w:p>
    <w:p>
      <w:pPr>
        <w:pStyle w:val="2"/>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期：年月日</w:t>
      </w:r>
    </w:p>
    <w:p>
      <w:pPr>
        <w:pStyle w:val="4"/>
        <w:spacing w:before="0"/>
        <w:jc w:val="both"/>
        <w:rPr>
          <w:rFonts w:asciiTheme="minorEastAsia" w:hAnsiTheme="minorEastAsia" w:eastAsiaTheme="minorEastAsia" w:cstheme="minorEastAsia"/>
          <w:sz w:val="24"/>
          <w:u w:val="single"/>
        </w:rPr>
      </w:pPr>
    </w:p>
    <w:p>
      <w:pPr>
        <w:pStyle w:val="4"/>
        <w:spacing w:before="0"/>
        <w:rPr>
          <w:rFonts w:asciiTheme="minorEastAsia" w:hAnsiTheme="minorEastAsia" w:eastAsiaTheme="minorEastAsia" w:cstheme="minorEastAsia"/>
          <w:sz w:val="24"/>
          <w:u w:val="single"/>
        </w:rPr>
      </w:pPr>
    </w:p>
    <w:p/>
    <w:p>
      <w:pPr>
        <w:pStyle w:val="4"/>
        <w:spacing w:before="0"/>
        <w:rPr>
          <w:rFonts w:asciiTheme="minorEastAsia" w:hAnsiTheme="minorEastAsia" w:eastAsiaTheme="minorEastAsia" w:cstheme="minorEastAsia"/>
          <w:sz w:val="24"/>
        </w:rPr>
      </w:pPr>
      <w:bookmarkStart w:id="560" w:name="_Toc2587"/>
      <w:bookmarkStart w:id="561" w:name="_Toc32555"/>
      <w:r>
        <w:rPr>
          <w:rFonts w:hint="eastAsia" w:asciiTheme="minorEastAsia" w:hAnsiTheme="minorEastAsia" w:eastAsiaTheme="minorEastAsia" w:cstheme="minorEastAsia"/>
          <w:sz w:val="24"/>
        </w:rPr>
        <w:t>17、技术偏离说明表</w:t>
      </w:r>
      <w:bookmarkEnd w:id="560"/>
      <w:bookmarkEnd w:id="561"/>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p>
      <w:pPr>
        <w:pStyle w:val="2"/>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24"/>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01"/>
        <w:gridCol w:w="1894"/>
        <w:gridCol w:w="2024"/>
        <w:gridCol w:w="120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01"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招标文件条款号</w:t>
            </w:r>
          </w:p>
        </w:tc>
        <w:tc>
          <w:tcPr>
            <w:tcW w:w="1894"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招标文件的条款及要求</w:t>
            </w:r>
          </w:p>
        </w:tc>
        <w:tc>
          <w:tcPr>
            <w:tcW w:w="2024"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投标文件的对应条款及响应</w:t>
            </w:r>
          </w:p>
        </w:tc>
        <w:tc>
          <w:tcPr>
            <w:tcW w:w="1200"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w:t>
            </w:r>
          </w:p>
        </w:tc>
        <w:tc>
          <w:tcPr>
            <w:tcW w:w="987" w:type="dxa"/>
            <w:vAlign w:val="center"/>
          </w:tcPr>
          <w:p>
            <w:pPr>
              <w:pStyle w:val="2"/>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601"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89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2024"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1200"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c>
          <w:tcPr>
            <w:tcW w:w="987" w:type="dxa"/>
            <w:vAlign w:val="center"/>
          </w:tcPr>
          <w:p>
            <w:pPr>
              <w:pStyle w:val="2"/>
              <w:spacing w:line="400" w:lineRule="exact"/>
              <w:ind w:left="1080" w:leftChars="257" w:hanging="540"/>
              <w:jc w:val="center"/>
              <w:rPr>
                <w:rFonts w:asciiTheme="minorEastAsia" w:hAnsiTheme="minorEastAsia" w:eastAsiaTheme="minorEastAsia" w:cstheme="minorEastAsia"/>
                <w:sz w:val="24"/>
                <w:szCs w:val="24"/>
              </w:rPr>
            </w:pPr>
          </w:p>
        </w:tc>
      </w:tr>
    </w:tbl>
    <w:p>
      <w:pPr>
        <w:pStyle w:val="2"/>
        <w:spacing w:line="360" w:lineRule="auto"/>
        <w:rPr>
          <w:rFonts w:asciiTheme="minorEastAsia" w:hAnsiTheme="minorEastAsia" w:eastAsiaTheme="minorEastAsia" w:cstheme="minorEastAsia"/>
          <w:sz w:val="24"/>
        </w:rPr>
      </w:pPr>
    </w:p>
    <w:p>
      <w:pPr>
        <w:pStyle w:val="2"/>
        <w:tabs>
          <w:tab w:val="left" w:pos="558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注：</w:t>
      </w:r>
    </w:p>
    <w:p>
      <w:pPr>
        <w:pStyle w:val="2"/>
        <w:tabs>
          <w:tab w:val="left" w:pos="558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1、投标人所投服务内容对照招标文件技术要求出现负偏离时，须逐项说明。</w:t>
      </w:r>
    </w:p>
    <w:p>
      <w:pPr>
        <w:pStyle w:val="2"/>
        <w:tabs>
          <w:tab w:val="left" w:pos="5370"/>
        </w:tabs>
        <w:spacing w:line="360" w:lineRule="auto"/>
        <w:rPr>
          <w:rFonts w:asciiTheme="minorEastAsia" w:hAnsiTheme="minorEastAsia" w:eastAsiaTheme="minorEastAsia" w:cstheme="minorEastAsia"/>
          <w:sz w:val="24"/>
          <w:szCs w:val="24"/>
        </w:rPr>
      </w:pPr>
      <w:r>
        <w:rPr>
          <w:rFonts w:hint="eastAsia" w:cs="宋体" w:asciiTheme="minorEastAsia" w:hAnsiTheme="minorEastAsia" w:eastAsiaTheme="minorEastAsia"/>
          <w:szCs w:val="21"/>
        </w:rPr>
        <w:t>2、招标文件中标记“★”的或明确使用“拒绝”、“不接受”、“无效”、“不得”等文字规定的条款均属于实质性要求，负偏离属于未实质性响应，其投标文件将被</w:t>
      </w:r>
      <w:r>
        <w:rPr>
          <w:rFonts w:hint="eastAsia" w:cs="宋体" w:asciiTheme="minorEastAsia" w:hAnsiTheme="minorEastAsia" w:eastAsiaTheme="minorEastAsia"/>
          <w:b/>
          <w:szCs w:val="21"/>
        </w:rPr>
        <w:t>拒绝</w:t>
      </w:r>
      <w:r>
        <w:rPr>
          <w:rFonts w:hint="eastAsia" w:cs="宋体" w:asciiTheme="minorEastAsia" w:hAnsiTheme="minorEastAsia" w:eastAsiaTheme="minorEastAsia"/>
          <w:szCs w:val="21"/>
        </w:rPr>
        <w:t>。</w:t>
      </w:r>
    </w:p>
    <w:p>
      <w:pPr>
        <w:pStyle w:val="2"/>
        <w:tabs>
          <w:tab w:val="left" w:pos="5370"/>
        </w:tabs>
        <w:spacing w:line="360" w:lineRule="auto"/>
        <w:ind w:left="1080" w:leftChars="257" w:hanging="540"/>
        <w:rPr>
          <w:rFonts w:asciiTheme="minorEastAsia" w:hAnsiTheme="minorEastAsia" w:eastAsiaTheme="minorEastAsia" w:cstheme="minorEastAsia"/>
          <w:sz w:val="24"/>
          <w:szCs w:val="24"/>
        </w:rPr>
      </w:pPr>
    </w:p>
    <w:p>
      <w:pPr>
        <w:pStyle w:val="2"/>
        <w:tabs>
          <w:tab w:val="left" w:pos="5370"/>
        </w:tabs>
        <w:spacing w:line="360" w:lineRule="auto"/>
        <w:ind w:left="1080" w:leftChars="257" w:hanging="540"/>
        <w:rPr>
          <w:rFonts w:asciiTheme="minorEastAsia" w:hAnsiTheme="minorEastAsia" w:eastAsiaTheme="minorEastAsia" w:cstheme="minorEastAsia"/>
          <w:sz w:val="24"/>
          <w:szCs w:val="24"/>
        </w:rPr>
      </w:pPr>
    </w:p>
    <w:p>
      <w:pPr>
        <w:pStyle w:val="2"/>
        <w:tabs>
          <w:tab w:val="left" w:pos="5370"/>
        </w:tabs>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投标人名称(盖公章)：</w:t>
      </w:r>
      <w:r>
        <w:rPr>
          <w:rFonts w:hint="eastAsia" w:asciiTheme="minorEastAsia" w:hAnsiTheme="minorEastAsia" w:eastAsiaTheme="minorEastAsia" w:cstheme="minorEastAsia"/>
          <w:sz w:val="24"/>
          <w:u w:val="single"/>
        </w:rPr>
        <w:tab/>
      </w:r>
    </w:p>
    <w:p>
      <w:pPr>
        <w:pStyle w:val="2"/>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日    期：年月日</w:t>
      </w:r>
    </w:p>
    <w:p>
      <w:pPr>
        <w:pStyle w:val="4"/>
        <w:spacing w:before="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br w:type="page"/>
      </w:r>
      <w:bookmarkStart w:id="562" w:name="_Hlt520343000"/>
      <w:bookmarkEnd w:id="562"/>
      <w:bookmarkStart w:id="563" w:name="_Hlt520274407"/>
      <w:bookmarkEnd w:id="563"/>
      <w:bookmarkStart w:id="564" w:name="_Hlt520274393"/>
      <w:bookmarkEnd w:id="564"/>
      <w:bookmarkStart w:id="565" w:name="_Hlt520350957"/>
      <w:bookmarkEnd w:id="565"/>
      <w:bookmarkStart w:id="566" w:name="_Hlt520350918"/>
      <w:bookmarkEnd w:id="566"/>
      <w:bookmarkStart w:id="567" w:name="_Hlt520274911"/>
      <w:bookmarkEnd w:id="567"/>
      <w:bookmarkStart w:id="568" w:name="_Hlt520343392"/>
      <w:bookmarkEnd w:id="568"/>
      <w:bookmarkStart w:id="569" w:name="_Hlt520273711"/>
      <w:bookmarkEnd w:id="569"/>
      <w:bookmarkStart w:id="570" w:name="_Hlt520271212"/>
      <w:bookmarkEnd w:id="570"/>
      <w:bookmarkStart w:id="571" w:name="_Hlt520274065"/>
      <w:bookmarkEnd w:id="571"/>
      <w:bookmarkStart w:id="572" w:name="_Hlt520273973"/>
      <w:bookmarkEnd w:id="572"/>
      <w:bookmarkStart w:id="573" w:name="_Toc4982"/>
      <w:r>
        <w:rPr>
          <w:rFonts w:hint="eastAsia" w:asciiTheme="minorEastAsia" w:hAnsiTheme="minorEastAsia" w:eastAsiaTheme="minorEastAsia" w:cstheme="minorEastAsia"/>
          <w:sz w:val="24"/>
        </w:rPr>
        <w:t>18、中小企业、监狱企业、残疾人福利性单位</w:t>
      </w:r>
      <w:bookmarkEnd w:id="573"/>
    </w:p>
    <w:p>
      <w:pPr>
        <w:pStyle w:val="2"/>
        <w:spacing w:line="360" w:lineRule="auto"/>
        <w:ind w:left="1080" w:leftChars="257" w:hanging="540"/>
        <w:rPr>
          <w:rFonts w:asciiTheme="minorEastAsia" w:hAnsiTheme="minorEastAsia" w:eastAsiaTheme="minorEastAsia" w:cstheme="minorEastAsia"/>
          <w:sz w:val="24"/>
        </w:rPr>
      </w:pPr>
    </w:p>
    <w:p>
      <w:pPr>
        <w:rPr>
          <w:rFonts w:asciiTheme="minorEastAsia" w:hAnsiTheme="minorEastAsia" w:cstheme="minorEastAsia"/>
          <w:sz w:val="24"/>
          <w:szCs w:val="24"/>
        </w:rPr>
      </w:pPr>
      <w:bookmarkStart w:id="574" w:name="_Toc129363503"/>
      <w:bookmarkStart w:id="575" w:name="_Toc450235876"/>
      <w:bookmarkStart w:id="576" w:name="_Toc129363208"/>
      <w:bookmarkStart w:id="577" w:name="_Toc3279"/>
      <w:bookmarkStart w:id="578" w:name="_Toc518923120"/>
      <w:r>
        <w:rPr>
          <w:rFonts w:hint="eastAsia" w:asciiTheme="minorEastAsia" w:hAnsiTheme="minorEastAsia" w:cstheme="minorEastAsia"/>
          <w:sz w:val="24"/>
          <w:szCs w:val="24"/>
        </w:rPr>
        <w:t>（1）中小企业声明函</w:t>
      </w:r>
      <w:bookmarkEnd w:id="574"/>
      <w:bookmarkEnd w:id="575"/>
      <w:bookmarkEnd w:id="576"/>
      <w:bookmarkEnd w:id="577"/>
    </w:p>
    <w:bookmarkEnd w:id="578"/>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4"/>
          <w:szCs w:val="24"/>
          <w:u w:val="single"/>
        </w:rPr>
        <w:t xml:space="preserve">  （单位名称）  </w:t>
      </w:r>
      <w:r>
        <w:rPr>
          <w:rFonts w:hint="eastAsia" w:asciiTheme="minorEastAsia" w:hAnsiTheme="minorEastAsia" w:eastAsiaTheme="minorEastAsia" w:cstheme="minorEastAsia"/>
          <w:sz w:val="24"/>
          <w:szCs w:val="24"/>
        </w:rPr>
        <w:t xml:space="preserve">的 </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新疆维吾尔自治区人民医院远程胎心监护服务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 xml:space="preserve"> 租赁和商务服务业 </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 xml:space="preserve">  （企业名称）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万元，属于  </w:t>
      </w:r>
      <w:r>
        <w:rPr>
          <w:rFonts w:hint="eastAsia" w:asciiTheme="minorEastAsia" w:hAnsiTheme="minorEastAsia" w:eastAsiaTheme="minorEastAsia" w:cstheme="minorEastAsia"/>
          <w:sz w:val="24"/>
          <w:szCs w:val="24"/>
          <w:u w:val="single"/>
        </w:rPr>
        <w:t xml:space="preserve">（中型企业、小型企业、微型企业）  </w:t>
      </w:r>
      <w:r>
        <w:rPr>
          <w:rFonts w:hint="eastAsia" w:asciiTheme="minorEastAsia" w:hAnsiTheme="minorEastAsia" w:eastAsiaTheme="minorEastAsia" w:cstheme="minorEastAsia"/>
          <w:sz w:val="24"/>
          <w:szCs w:val="24"/>
        </w:rPr>
        <w:t>；</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pPr>
        <w:pStyle w:val="2"/>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adjustRightInd w:val="0"/>
        <w:snapToGrid w:val="0"/>
        <w:spacing w:line="360" w:lineRule="auto"/>
        <w:ind w:right="24" w:firstLine="960" w:firstLineChars="400"/>
        <w:rPr>
          <w:rFonts w:asciiTheme="minorEastAsia" w:hAnsiTheme="minorEastAsia" w:cstheme="minorEastAsia"/>
          <w:sz w:val="24"/>
          <w:szCs w:val="24"/>
        </w:rPr>
      </w:pPr>
    </w:p>
    <w:p>
      <w:pPr>
        <w:adjustRightInd w:val="0"/>
        <w:snapToGrid w:val="0"/>
        <w:spacing w:line="360" w:lineRule="auto"/>
        <w:ind w:right="24"/>
        <w:rPr>
          <w:rFonts w:asciiTheme="minorEastAsia" w:hAnsiTheme="minorEastAsia" w:cstheme="minorEastAsia"/>
          <w:szCs w:val="21"/>
        </w:rPr>
      </w:pPr>
      <w:r>
        <w:rPr>
          <w:rFonts w:hint="eastAsia" w:asciiTheme="minorEastAsia" w:hAnsiTheme="minorEastAsia" w:cstheme="minorEastAsia"/>
          <w:szCs w:val="21"/>
        </w:rPr>
        <w:t>注：1、从业人员、营业收入、资产总额填报上一年度数据，无上一年度数据的新成立企业可不填报。</w:t>
      </w:r>
    </w:p>
    <w:p>
      <w:pPr>
        <w:adjustRightInd w:val="0"/>
        <w:snapToGrid w:val="0"/>
        <w:spacing w:line="360" w:lineRule="auto"/>
        <w:ind w:right="24" w:firstLine="420" w:firstLineChars="200"/>
        <w:rPr>
          <w:rFonts w:asciiTheme="minorEastAsia" w:hAnsiTheme="minorEastAsia" w:cstheme="minorEastAsia"/>
          <w:szCs w:val="21"/>
        </w:rPr>
      </w:pPr>
      <w:r>
        <w:rPr>
          <w:rFonts w:hint="eastAsia" w:asciiTheme="minorEastAsia" w:hAnsiTheme="minorEastAsia" w:cstheme="minorEastAsia"/>
          <w:szCs w:val="21"/>
        </w:rPr>
        <w:t>2、如未按上述要求提供、填写，评审时造成的资格审查不通过或价格评审时的价格扣除不予认定等后果，由投标人自行承担。</w:t>
      </w:r>
    </w:p>
    <w:p>
      <w:pPr>
        <w:adjustRightInd w:val="0"/>
        <w:snapToGrid w:val="0"/>
        <w:spacing w:line="360" w:lineRule="auto"/>
        <w:ind w:right="24" w:firstLine="420" w:firstLineChars="200"/>
        <w:rPr>
          <w:rFonts w:asciiTheme="minorEastAsia" w:hAnsiTheme="minorEastAsia" w:cstheme="minorEastAsia"/>
          <w:szCs w:val="21"/>
        </w:rPr>
      </w:pPr>
    </w:p>
    <w:p>
      <w:pPr>
        <w:adjustRightInd w:val="0"/>
        <w:snapToGrid w:val="0"/>
        <w:spacing w:line="360" w:lineRule="auto"/>
        <w:ind w:right="24" w:firstLine="420" w:firstLineChars="200"/>
        <w:rPr>
          <w:rFonts w:asciiTheme="minorEastAsia" w:hAnsiTheme="minorEastAsia" w:cstheme="minorEastAsia"/>
          <w:szCs w:val="21"/>
        </w:rPr>
      </w:pPr>
    </w:p>
    <w:p>
      <w:pPr>
        <w:pStyle w:val="2"/>
      </w:pPr>
    </w:p>
    <w:p>
      <w:pPr>
        <w:adjustRightInd w:val="0"/>
        <w:snapToGrid w:val="0"/>
        <w:spacing w:line="360" w:lineRule="auto"/>
        <w:ind w:right="24" w:firstLine="420" w:firstLineChars="200"/>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spacing w:line="360" w:lineRule="auto"/>
        <w:rPr>
          <w:rFonts w:asciiTheme="minorEastAsia" w:hAnsiTheme="minorEastAsia" w:cstheme="minorEastAsia"/>
          <w:b/>
          <w:color w:val="000000" w:themeColor="text1"/>
          <w:kern w:val="0"/>
          <w:sz w:val="24"/>
          <w:szCs w:val="24"/>
        </w:rPr>
      </w:pPr>
      <w:r>
        <w:rPr>
          <w:rFonts w:hint="eastAsia" w:asciiTheme="minorEastAsia" w:hAnsiTheme="minorEastAsia" w:cstheme="minorEastAsia"/>
          <w:b/>
          <w:color w:val="000000" w:themeColor="text1"/>
          <w:kern w:val="0"/>
          <w:sz w:val="24"/>
          <w:szCs w:val="24"/>
        </w:rPr>
        <w:t>中小企业声明函“注释”：</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1、《中小企业声明函》由参加政府采购活动的供应商出具；组成联合体的，由联合体的一方或者各方共同出具；合同分包的，由参加政府采购活动的供应商（主承包商）出具。</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2、相关企业的具体情况：提供的货物、承建工程、承接服务的中小企业的具体情况（包括联合体中的中小企业、签订分包意向协议的中小企业）。</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1）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（2）要求或接受联合体形式，或者要求或允许合同分包的，还应当提供联合体协议或者合同分包意向协议，该协议应标明联合体中中小企业承担的具体内容或者中小企业的具体分包内容。</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（3）“相关企业”信息为上一年度数据，无上一年度数据的新成立企业可不填。</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新成立的企业参照国务院批准的中小企业划分标准，根据企业自身情况如实判断，认为本企业属于中小企业的，可按照《政府采购促进中小企业发展管理办法》（财库〔2020〕46号）、关于进一步加大政府采购支持中小企业力度的通知（财库〔2022〕19号）的规定出具的《中小企业声明函》，享受相关扶持政策。</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（4）如果一个采购项目涉及多个采购标的的，应当按采购文件规定逐一填写所有采购标的对应的相关企业具体情况，并判断该企业类型。</w:t>
      </w:r>
    </w:p>
    <w:p>
      <w:pPr>
        <w:spacing w:line="360" w:lineRule="auto"/>
        <w:ind w:firstLine="567"/>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（5）采购文件规定：采购项目属性、采购标的对应的中小企业划分标准所属行业。按照《中小企业划分标准规定》（工信部联合企业〔2011〕300号）中十六个行业对应。</w:t>
      </w:r>
    </w:p>
    <w:p>
      <w:pPr>
        <w:adjustRightInd w:val="0"/>
        <w:snapToGrid w:val="0"/>
        <w:spacing w:line="360" w:lineRule="auto"/>
        <w:ind w:right="24" w:firstLine="420" w:firstLineChars="200"/>
        <w:rPr>
          <w:rFonts w:asciiTheme="minorEastAsia" w:hAnsiTheme="minorEastAsia" w:cstheme="minorEastAsia"/>
          <w:szCs w:val="21"/>
        </w:rPr>
      </w:pPr>
    </w:p>
    <w:p>
      <w:pPr>
        <w:widowControl/>
        <w:jc w:val="left"/>
        <w:rPr>
          <w:rFonts w:asciiTheme="minorEastAsia" w:hAnsiTheme="minorEastAsia" w:cstheme="minorEastAsia"/>
        </w:rPr>
      </w:pPr>
      <w:r>
        <w:rPr>
          <w:rFonts w:hint="eastAsia" w:asciiTheme="minorEastAsia" w:hAnsiTheme="minorEastAsia" w:cstheme="minorEastAsia"/>
        </w:rPr>
        <w:br w:type="page"/>
      </w:r>
    </w:p>
    <w:p>
      <w:pPr>
        <w:rPr>
          <w:rFonts w:hint="eastAsia" w:asciiTheme="minorEastAsia" w:hAnsiTheme="minorEastAsia" w:cstheme="minorEastAsia"/>
          <w:sz w:val="24"/>
        </w:rPr>
      </w:pPr>
      <w:bookmarkStart w:id="579" w:name="_Toc1529479551"/>
      <w:bookmarkStart w:id="580" w:name="_Toc129363504"/>
      <w:bookmarkStart w:id="581" w:name="_Toc129363209"/>
      <w:bookmarkStart w:id="582" w:name="_Toc10812"/>
      <w:bookmarkStart w:id="583" w:name="_Toc518923121"/>
    </w:p>
    <w:p>
      <w:pPr>
        <w:rPr>
          <w:rFonts w:asciiTheme="minorEastAsia" w:hAnsiTheme="minorEastAsia" w:cstheme="minorEastAsia"/>
          <w:sz w:val="24"/>
        </w:rPr>
      </w:pPr>
      <w:r>
        <w:rPr>
          <w:rFonts w:hint="eastAsia" w:asciiTheme="minorEastAsia" w:hAnsiTheme="minorEastAsia" w:cstheme="minorEastAsia"/>
          <w:sz w:val="24"/>
        </w:rPr>
        <w:t>（2）投标人监狱企业声明函</w:t>
      </w:r>
      <w:bookmarkEnd w:id="579"/>
      <w:bookmarkEnd w:id="580"/>
      <w:bookmarkEnd w:id="581"/>
      <w:bookmarkEnd w:id="582"/>
    </w:p>
    <w:p>
      <w:pPr>
        <w:spacing w:line="360" w:lineRule="auto"/>
        <w:ind w:left="1080" w:leftChars="257" w:hanging="540"/>
        <w:jc w:val="center"/>
        <w:rPr>
          <w:rFonts w:asciiTheme="minorEastAsia" w:hAnsiTheme="minorEastAsia" w:cstheme="minorEastAsia"/>
          <w:b/>
          <w:kern w:val="0"/>
          <w:sz w:val="24"/>
          <w:szCs w:val="20"/>
        </w:rPr>
      </w:pPr>
    </w:p>
    <w:p>
      <w:pPr>
        <w:widowControl/>
        <w:spacing w:before="100" w:beforeAutospacing="1" w:after="100" w:afterAutospacing="1" w:line="36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本企业（单位）郑重声明下列事项（按照实际情况勾选或填空）：</w:t>
      </w:r>
    </w:p>
    <w:p>
      <w:pPr>
        <w:widowControl/>
        <w:spacing w:before="100" w:beforeAutospacing="1" w:after="100" w:afterAutospacing="1" w:line="36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本企业（单位）为直接投标人，提供本企业（单位）服务。</w:t>
      </w:r>
    </w:p>
    <w:p>
      <w:pPr>
        <w:widowControl/>
        <w:spacing w:before="100" w:beforeAutospacing="1" w:after="100" w:afterAutospacing="1" w:line="360" w:lineRule="auto"/>
        <w:ind w:firstLine="360" w:firstLineChars="150"/>
        <w:jc w:val="left"/>
        <w:rPr>
          <w:rFonts w:asciiTheme="minorEastAsia" w:hAnsiTheme="minorEastAsia" w:cstheme="minorEastAsia"/>
          <w:kern w:val="0"/>
          <w:sz w:val="24"/>
        </w:rPr>
      </w:pPr>
      <w:r>
        <w:rPr>
          <w:rFonts w:hint="eastAsia" w:asciiTheme="minorEastAsia" w:hAnsiTheme="minorEastAsia" w:cstheme="minorEastAsia"/>
          <w:kern w:val="0"/>
          <w:sz w:val="24"/>
        </w:rPr>
        <w:t>（1）本企业（单位）（请填写：是、不是）监狱企业。后附省级以上监狱管理局、戒毒管理局（含新疆生产建设兵团）出具的属于监狱企业的证明文件。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Theme="minorEastAsia" w:hAnsiTheme="minorEastAsia" w:cstheme="minorEastAsia"/>
          <w:kern w:val="0"/>
          <w:sz w:val="24"/>
        </w:rPr>
      </w:pPr>
      <w:r>
        <w:rPr>
          <w:rFonts w:hint="eastAsia" w:asciiTheme="minorEastAsia" w:hAnsiTheme="minorEastAsia" w:cstheme="minorEastAsia"/>
          <w:kern w:val="0"/>
          <w:sz w:val="24"/>
        </w:rPr>
        <w:t>（2）本企业（单位）（请填写：是、不是）为联合体一方，提供本企业（单位）的服务。本企业（单位）提供协议合同金额占到共同投标协议合同总金额的比例为。</w:t>
      </w:r>
    </w:p>
    <w:p>
      <w:pPr>
        <w:widowControl/>
        <w:spacing w:before="100" w:beforeAutospacing="1" w:after="100" w:afterAutospacing="1" w:line="360" w:lineRule="auto"/>
        <w:jc w:val="left"/>
        <w:rPr>
          <w:rFonts w:asciiTheme="minorEastAsia" w:hAnsiTheme="minorEastAsia" w:cstheme="minorEastAsia"/>
          <w:kern w:val="0"/>
          <w:sz w:val="24"/>
        </w:rPr>
      </w:pPr>
      <w:r>
        <w:rPr>
          <w:rFonts w:hint="eastAsia" w:asciiTheme="minorEastAsia" w:hAnsiTheme="minorEastAsia" w:cstheme="minorEastAsia"/>
          <w:kern w:val="0"/>
          <w:sz w:val="24"/>
        </w:rPr>
        <w:t>　　本企业（单位）对上述声明的真实性负责。如有虚假，将依法承担相应责任。</w:t>
      </w:r>
    </w:p>
    <w:p>
      <w:pPr>
        <w:spacing w:line="360" w:lineRule="auto"/>
        <w:ind w:left="1080" w:leftChars="257" w:hanging="540"/>
        <w:jc w:val="center"/>
        <w:rPr>
          <w:rFonts w:asciiTheme="minorEastAsia" w:hAnsiTheme="minorEastAsia" w:cstheme="minorEastAsia"/>
          <w:b/>
          <w:kern w:val="0"/>
          <w:sz w:val="24"/>
          <w:szCs w:val="20"/>
        </w:rPr>
      </w:pPr>
      <w:r>
        <w:rPr>
          <w:rFonts w:hint="eastAsia" w:asciiTheme="minorEastAsia" w:hAnsiTheme="minorEastAsia" w:cstheme="minorEastAsia"/>
          <w:b/>
          <w:kern w:val="0"/>
          <w:sz w:val="24"/>
          <w:szCs w:val="20"/>
        </w:rPr>
        <w:t>　</w:t>
      </w:r>
    </w:p>
    <w:p>
      <w:pPr>
        <w:spacing w:line="360" w:lineRule="auto"/>
        <w:rPr>
          <w:rFonts w:asciiTheme="minorEastAsia" w:hAnsiTheme="minorEastAsia" w:cstheme="minorEastAsia"/>
          <w:b/>
          <w:sz w:val="24"/>
        </w:rPr>
      </w:pPr>
    </w:p>
    <w:p>
      <w:pPr>
        <w:widowControl/>
        <w:spacing w:before="100" w:beforeAutospacing="1" w:after="100" w:afterAutospacing="1" w:line="360" w:lineRule="auto"/>
        <w:ind w:firstLine="3960" w:firstLineChars="1650"/>
        <w:jc w:val="left"/>
        <w:rPr>
          <w:rFonts w:asciiTheme="minorEastAsia" w:hAnsiTheme="minorEastAsia" w:cstheme="minorEastAsia"/>
          <w:kern w:val="0"/>
          <w:sz w:val="24"/>
        </w:rPr>
      </w:pPr>
      <w:r>
        <w:rPr>
          <w:rFonts w:hint="eastAsia" w:asciiTheme="minorEastAsia" w:hAnsiTheme="minorEastAsia" w:cstheme="minorEastAsia"/>
          <w:kern w:val="0"/>
          <w:sz w:val="24"/>
        </w:rPr>
        <w:t>投标人名称（盖公章）：</w:t>
      </w:r>
    </w:p>
    <w:p>
      <w:pPr>
        <w:widowControl/>
        <w:spacing w:before="100" w:beforeAutospacing="1" w:after="100" w:afterAutospacing="1" w:line="360" w:lineRule="auto"/>
        <w:ind w:firstLine="3720" w:firstLineChars="1550"/>
        <w:jc w:val="left"/>
        <w:rPr>
          <w:rFonts w:asciiTheme="minorEastAsia" w:hAnsiTheme="minorEastAsia" w:cstheme="minorEastAsia"/>
          <w:kern w:val="0"/>
          <w:sz w:val="24"/>
          <w:u w:val="single"/>
        </w:rPr>
      </w:pPr>
      <w:r>
        <w:rPr>
          <w:rFonts w:hint="eastAsia" w:asciiTheme="minorEastAsia" w:hAnsiTheme="minorEastAsia" w:cstheme="minorEastAsia"/>
          <w:kern w:val="0"/>
          <w:sz w:val="24"/>
        </w:rPr>
        <w:t>　日　期：</w:t>
      </w:r>
    </w:p>
    <w:p>
      <w:pPr>
        <w:ind w:firstLine="2160" w:firstLineChars="900"/>
        <w:rPr>
          <w:rFonts w:asciiTheme="minorEastAsia" w:hAnsiTheme="minorEastAsia" w:cstheme="minorEastAsia"/>
          <w:sz w:val="24"/>
        </w:rPr>
      </w:pPr>
      <w:r>
        <w:rPr>
          <w:rFonts w:hint="eastAsia" w:asciiTheme="minorEastAsia" w:hAnsiTheme="minorEastAsia" w:cstheme="minorEastAsia"/>
          <w:sz w:val="24"/>
        </w:rPr>
        <w:br w:type="page"/>
      </w:r>
    </w:p>
    <w:p>
      <w:pPr>
        <w:pStyle w:val="7"/>
        <w:spacing w:line="360" w:lineRule="auto"/>
        <w:rPr>
          <w:rFonts w:asciiTheme="minorEastAsia" w:hAnsiTheme="minorEastAsia" w:eastAsiaTheme="minorEastAsia" w:cstheme="minorEastAsia"/>
        </w:rPr>
      </w:pPr>
    </w:p>
    <w:p>
      <w:pPr>
        <w:rPr>
          <w:rFonts w:asciiTheme="minorEastAsia" w:hAnsiTheme="minorEastAsia" w:cstheme="minorEastAsia"/>
          <w:sz w:val="24"/>
        </w:rPr>
      </w:pPr>
      <w:bookmarkStart w:id="584" w:name="_Toc129363505"/>
      <w:bookmarkStart w:id="585" w:name="_Toc129363210"/>
      <w:bookmarkStart w:id="586" w:name="_Toc583559067"/>
      <w:bookmarkStart w:id="587" w:name="_Toc20004"/>
      <w:r>
        <w:rPr>
          <w:rFonts w:hint="eastAsia" w:asciiTheme="minorEastAsia" w:hAnsiTheme="minorEastAsia" w:cstheme="minorEastAsia"/>
          <w:sz w:val="24"/>
        </w:rPr>
        <w:t>（3）残疾人福利性单位声明函</w:t>
      </w:r>
      <w:bookmarkEnd w:id="584"/>
      <w:bookmarkEnd w:id="585"/>
      <w:bookmarkEnd w:id="586"/>
      <w:bookmarkEnd w:id="587"/>
    </w:p>
    <w:p>
      <w:pPr>
        <w:spacing w:line="360" w:lineRule="auto"/>
        <w:ind w:left="1080" w:leftChars="257" w:hanging="540"/>
        <w:jc w:val="center"/>
        <w:rPr>
          <w:rFonts w:asciiTheme="minorEastAsia" w:hAnsiTheme="minorEastAsia" w:cstheme="minorEastAsia"/>
          <w:kern w:val="0"/>
          <w:sz w:val="24"/>
          <w:szCs w:val="20"/>
        </w:rPr>
      </w:pPr>
    </w:p>
    <w:p>
      <w:pPr>
        <w:spacing w:line="360" w:lineRule="auto"/>
        <w:ind w:firstLine="567"/>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本单位对上述声明的真实性负责。如有虚假，将依法承担相应责任。</w:t>
      </w:r>
    </w:p>
    <w:p>
      <w:pPr>
        <w:spacing w:line="360" w:lineRule="auto"/>
        <w:ind w:left="1080" w:leftChars="257" w:hanging="540"/>
        <w:jc w:val="center"/>
        <w:rPr>
          <w:rFonts w:asciiTheme="minorEastAsia" w:hAnsiTheme="minorEastAsia" w:cstheme="minorEastAsia"/>
          <w:kern w:val="0"/>
          <w:sz w:val="24"/>
          <w:szCs w:val="24"/>
        </w:rPr>
      </w:pPr>
    </w:p>
    <w:p>
      <w:pPr>
        <w:spacing w:line="360" w:lineRule="auto"/>
        <w:ind w:left="1080" w:leftChars="257" w:hanging="540"/>
        <w:jc w:val="center"/>
        <w:rPr>
          <w:rFonts w:asciiTheme="minorEastAsia" w:hAnsiTheme="minorEastAsia" w:cstheme="minorEastAsia"/>
          <w:kern w:val="0"/>
          <w:sz w:val="24"/>
          <w:szCs w:val="24"/>
        </w:rPr>
      </w:pPr>
    </w:p>
    <w:p>
      <w:pPr>
        <w:spacing w:line="360" w:lineRule="auto"/>
        <w:ind w:left="1080" w:leftChars="257" w:hanging="54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残疾人福利性单位名称（盖公章）：</w:t>
      </w:r>
    </w:p>
    <w:p>
      <w:pPr>
        <w:spacing w:line="360" w:lineRule="auto"/>
        <w:ind w:left="645" w:leftChars="307" w:firstLine="2640" w:firstLineChars="1100"/>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日  期：</w:t>
      </w:r>
    </w:p>
    <w:p>
      <w:pPr>
        <w:pStyle w:val="7"/>
        <w:spacing w:line="360" w:lineRule="auto"/>
        <w:rPr>
          <w:rFonts w:asciiTheme="minorEastAsia" w:hAnsiTheme="minorEastAsia" w:eastAsiaTheme="minorEastAsia" w:cstheme="minorEastAsia"/>
          <w:color w:val="000000" w:themeColor="text1"/>
        </w:rPr>
      </w:pPr>
    </w:p>
    <w:p>
      <w:pPr>
        <w:pStyle w:val="7"/>
        <w:spacing w:line="360" w:lineRule="auto"/>
        <w:rPr>
          <w:rFonts w:asciiTheme="minorEastAsia" w:hAnsiTheme="minorEastAsia" w:eastAsiaTheme="minorEastAsia" w:cstheme="minorEastAsia"/>
          <w:color w:val="000000" w:themeColor="text1"/>
        </w:rPr>
      </w:pP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备注:享受政府采购支持政策的残疾人福利性单位应当同时满足以下条件:</w:t>
      </w: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（1）安置的残疾人占本单位在职职工人数的比例不低于 25%（含 25%）,并且安置的残疾人 人数不少于 10 人（含 10 人）；</w:t>
      </w: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（2）依法与安置的每位残疾人签订了一年以上（含一年）的劳动合同或服务协议；</w:t>
      </w: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（3）为安置的每位残疾人按月足额缴纳了基本养老保险、基本医疗保险、失业保险、工伤保 险和生育保险等社会保险费；</w:t>
      </w: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（4）通过银行等金融机构向安置的每位残疾人,按月支付了不低于单位所在区县适用的经省 级人民政府批准的月最低工资标准的工资；</w:t>
      </w: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（5）提供本单位制造的货物、承担的工程或者服务（以下简称产品）,或者提供其他残疾人 福利性单位制造的货物（不包括使用非残疾人福利性单位注册商标的货物）。</w:t>
      </w:r>
    </w:p>
    <w:p>
      <w:pPr>
        <w:pStyle w:val="7"/>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1"/>
          <w:szCs w:val="21"/>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bookmarkEnd w:id="583"/>
    </w:p>
    <w:p>
      <w:pPr>
        <w:pStyle w:val="4"/>
        <w:spacing w:before="0"/>
        <w:rPr>
          <w:rFonts w:asciiTheme="minorEastAsia" w:hAnsiTheme="minorEastAsia" w:eastAsiaTheme="minorEastAsia" w:cstheme="minorEastAsia"/>
          <w:sz w:val="24"/>
        </w:rPr>
      </w:pPr>
      <w:bookmarkStart w:id="588" w:name="_Toc23151"/>
      <w:bookmarkStart w:id="589" w:name="_Toc518923122"/>
      <w:bookmarkStart w:id="590" w:name="_Toc319423220"/>
      <w:r>
        <w:rPr>
          <w:rFonts w:hint="eastAsia" w:asciiTheme="minorEastAsia" w:hAnsiTheme="minorEastAsia" w:eastAsiaTheme="minorEastAsia" w:cstheme="minorEastAsia"/>
          <w:sz w:val="24"/>
        </w:rPr>
        <w:t>19、类似项目业绩经验</w:t>
      </w:r>
      <w:bookmarkEnd w:id="588"/>
    </w:p>
    <w:p>
      <w:pPr>
        <w:pStyle w:val="7"/>
        <w:spacing w:line="360" w:lineRule="auto"/>
        <w:ind w:firstLine="480" w:firstLineChars="200"/>
        <w:rPr>
          <w:rFonts w:asciiTheme="minorEastAsia" w:hAnsiTheme="minorEastAsia" w:eastAsiaTheme="minorEastAsia" w:cstheme="minorEastAsia"/>
        </w:rPr>
      </w:pPr>
    </w:p>
    <w:p>
      <w:pPr>
        <w:pStyle w:val="53"/>
        <w:spacing w:line="360" w:lineRule="auto"/>
        <w:jc w:val="center"/>
        <w:rPr>
          <w:rFonts w:asciiTheme="minorEastAsia" w:hAnsiTheme="minorEastAsia" w:eastAsiaTheme="minorEastAsia" w:cstheme="minorEastAsia"/>
          <w:color w:val="000000"/>
          <w:sz w:val="24"/>
        </w:rPr>
      </w:pPr>
      <w:bookmarkStart w:id="591" w:name="_Toc21698"/>
      <w:bookmarkStart w:id="592" w:name="_Toc129363507"/>
      <w:bookmarkStart w:id="593" w:name="_Toc129363212"/>
      <w:r>
        <w:rPr>
          <w:rFonts w:hint="eastAsia" w:asciiTheme="minorEastAsia" w:hAnsiTheme="minorEastAsia" w:eastAsiaTheme="minorEastAsia" w:cstheme="minorEastAsia"/>
          <w:color w:val="000000"/>
          <w:sz w:val="24"/>
        </w:rPr>
        <w:t>类似项目业绩经验表</w:t>
      </w:r>
      <w:bookmarkEnd w:id="591"/>
      <w:bookmarkEnd w:id="592"/>
      <w:bookmarkEnd w:id="593"/>
    </w:p>
    <w:p>
      <w:pPr>
        <w:pStyle w:val="53"/>
        <w:spacing w:line="360" w:lineRule="auto"/>
        <w:jc w:val="center"/>
        <w:rPr>
          <w:rFonts w:asciiTheme="minorEastAsia" w:hAnsiTheme="minorEastAsia" w:eastAsiaTheme="minorEastAsia" w:cstheme="minorEastAsia"/>
          <w:color w:val="000000"/>
          <w:sz w:val="24"/>
        </w:rPr>
      </w:pPr>
    </w:p>
    <w:tbl>
      <w:tblPr>
        <w:tblStyle w:val="24"/>
        <w:tblW w:w="901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1842"/>
        <w:gridCol w:w="1276"/>
        <w:gridCol w:w="1559"/>
        <w:gridCol w:w="993"/>
        <w:gridCol w:w="851"/>
        <w:gridCol w:w="708"/>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序号</w:t>
            </w: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项目名称</w:t>
            </w: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甲方（委托方）名称、联系人及电话</w:t>
            </w:r>
          </w:p>
        </w:tc>
        <w:tc>
          <w:tcPr>
            <w:tcW w:w="1276" w:type="dxa"/>
            <w:vAlign w:val="center"/>
          </w:tcPr>
          <w:p>
            <w:pPr>
              <w:pStyle w:val="51"/>
              <w:spacing w:line="400" w:lineRule="exact"/>
              <w:ind w:left="-107" w:leftChars="-51"/>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项目总投资或总金额</w:t>
            </w: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项目服务内容及收费标准</w:t>
            </w: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合同签订时间</w:t>
            </w: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项目服务期限</w:t>
            </w: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服务地点</w:t>
            </w: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842"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276"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1559"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993"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851"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708"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c>
          <w:tcPr>
            <w:tcW w:w="507" w:type="dxa"/>
            <w:vAlign w:val="center"/>
          </w:tcPr>
          <w:p>
            <w:pPr>
              <w:pStyle w:val="51"/>
              <w:spacing w:line="400" w:lineRule="exact"/>
              <w:jc w:val="center"/>
              <w:rPr>
                <w:rFonts w:asciiTheme="minorEastAsia" w:hAnsiTheme="minorEastAsia" w:eastAsiaTheme="minorEastAsia" w:cstheme="minorEastAsia"/>
                <w:color w:val="000000"/>
                <w:kern w:val="2"/>
                <w:sz w:val="21"/>
                <w:szCs w:val="21"/>
              </w:rPr>
            </w:pPr>
          </w:p>
        </w:tc>
      </w:tr>
    </w:tbl>
    <w:p>
      <w:pPr>
        <w:pStyle w:val="54"/>
        <w:autoSpaceDE w:val="0"/>
        <w:autoSpaceDN w:val="0"/>
        <w:spacing w:line="360" w:lineRule="auto"/>
        <w:rPr>
          <w:rFonts w:asciiTheme="minorEastAsia" w:hAnsiTheme="minorEastAsia" w:eastAsiaTheme="minorEastAsia" w:cstheme="minorEastAsia"/>
          <w:color w:val="000000"/>
          <w:sz w:val="24"/>
          <w:szCs w:val="24"/>
        </w:rPr>
      </w:pPr>
    </w:p>
    <w:p>
      <w:pPr>
        <w:pStyle w:val="7"/>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说明：要求后附证明材料（证明材料包括中标</w:t>
      </w:r>
      <w:r>
        <w:rPr>
          <w:rFonts w:hint="eastAsia" w:asciiTheme="minorEastAsia" w:hAnsiTheme="minorEastAsia" w:eastAsiaTheme="minorEastAsia" w:cstheme="minorEastAsia"/>
          <w:lang w:val="en-US" w:eastAsia="zh-CN"/>
        </w:rPr>
        <w:t>/成交</w:t>
      </w:r>
      <w:r>
        <w:rPr>
          <w:rFonts w:hint="eastAsia" w:asciiTheme="minorEastAsia" w:hAnsiTheme="minorEastAsia" w:eastAsiaTheme="minorEastAsia" w:cstheme="minorEastAsia"/>
        </w:rPr>
        <w:t>通知书</w:t>
      </w:r>
      <w:r>
        <w:rPr>
          <w:rFonts w:hint="eastAsia" w:asciiTheme="minorEastAsia" w:hAnsiTheme="minorEastAsia" w:eastAsiaTheme="minorEastAsia" w:cstheme="minorEastAsia"/>
          <w:lang w:eastAsia="zh-CN"/>
        </w:rPr>
        <w:t>或</w:t>
      </w:r>
      <w:r>
        <w:rPr>
          <w:rFonts w:hint="eastAsia" w:asciiTheme="minorEastAsia" w:hAnsiTheme="minorEastAsia" w:eastAsiaTheme="minorEastAsia" w:cstheme="minorEastAsia"/>
        </w:rPr>
        <w:t>合同关键页），否则不予认可。</w:t>
      </w: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2"/>
        <w:tabs>
          <w:tab w:val="left" w:pos="5370"/>
        </w:tabs>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投标人名称(盖公章)：</w:t>
      </w:r>
      <w:r>
        <w:rPr>
          <w:rFonts w:hint="eastAsia" w:asciiTheme="minorEastAsia" w:hAnsiTheme="minorEastAsia" w:eastAsiaTheme="minorEastAsia" w:cstheme="minorEastAsia"/>
          <w:sz w:val="24"/>
          <w:u w:val="single"/>
        </w:rPr>
        <w:tab/>
      </w:r>
    </w:p>
    <w:p>
      <w:pPr>
        <w:pStyle w:val="2"/>
        <w:spacing w:line="360" w:lineRule="auto"/>
        <w:ind w:left="1080" w:leftChars="257" w:hanging="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法定代表人或委托代理人（签字或签章）：</w:t>
      </w:r>
      <w:r>
        <w:rPr>
          <w:rFonts w:hint="eastAsia" w:asciiTheme="minorEastAsia" w:hAnsiTheme="minorEastAsia" w:eastAsiaTheme="minorEastAsia" w:cstheme="minorEastAsia"/>
          <w:sz w:val="24"/>
          <w:u w:val="single"/>
        </w:rPr>
        <w:tab/>
      </w:r>
    </w:p>
    <w:p>
      <w:pPr>
        <w:pStyle w:val="2"/>
        <w:tabs>
          <w:tab w:val="left" w:pos="5580"/>
        </w:tabs>
        <w:spacing w:line="360" w:lineRule="auto"/>
        <w:ind w:left="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期：年月日</w:t>
      </w: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4"/>
        <w:spacing w:before="0"/>
        <w:rPr>
          <w:rFonts w:asciiTheme="minorEastAsia" w:hAnsiTheme="minorEastAsia" w:eastAsiaTheme="minorEastAsia" w:cstheme="minorEastAsia"/>
          <w:sz w:val="24"/>
        </w:rPr>
      </w:pPr>
      <w:bookmarkStart w:id="594" w:name="_Toc357"/>
      <w:r>
        <w:rPr>
          <w:rFonts w:hint="eastAsia" w:asciiTheme="minorEastAsia" w:hAnsiTheme="minorEastAsia" w:eastAsiaTheme="minorEastAsia" w:cstheme="minorEastAsia"/>
          <w:sz w:val="24"/>
        </w:rPr>
        <w:t>20、技术方案</w:t>
      </w:r>
      <w:bookmarkEnd w:id="594"/>
    </w:p>
    <w:p>
      <w:pPr>
        <w:pStyle w:val="7"/>
        <w:spacing w:line="360" w:lineRule="auto"/>
        <w:ind w:firstLine="480" w:firstLineChars="200"/>
        <w:rPr>
          <w:rFonts w:asciiTheme="minorEastAsia" w:hAnsiTheme="minorEastAsia" w:eastAsiaTheme="minorEastAsia" w:cstheme="minorEastAsia"/>
        </w:rPr>
      </w:pP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说明：围绕实现“第三章采购需求”中的相关要求，根据招标文件“第四章评标方法和标准”中的技术部分评审内容针对性进行编制，并提供所需的证明材料，包括但不限于：</w:t>
      </w:r>
    </w:p>
    <w:p>
      <w:pPr>
        <w:pStyle w:val="7"/>
        <w:numPr>
          <w:ilvl w:val="0"/>
          <w:numId w:val="9"/>
        </w:numPr>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服务方案</w:t>
      </w:r>
    </w:p>
    <w:p>
      <w:pPr>
        <w:pStyle w:val="7"/>
        <w:numPr>
          <w:ilvl w:val="0"/>
          <w:numId w:val="9"/>
        </w:numPr>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 xml:space="preserve">拟投入本项目备品备件及耗材 </w:t>
      </w:r>
    </w:p>
    <w:p>
      <w:pPr>
        <w:pStyle w:val="7"/>
        <w:spacing w:line="360" w:lineRule="auto"/>
        <w:ind w:firstLine="630" w:firstLineChars="30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 xml:space="preserve">... </w:t>
      </w:r>
    </w:p>
    <w:p>
      <w:pPr>
        <w:pStyle w:val="7"/>
        <w:spacing w:line="360" w:lineRule="auto"/>
        <w:ind w:firstLine="0"/>
        <w:rPr>
          <w:rFonts w:asciiTheme="minorEastAsia" w:hAnsiTheme="minorEastAsia" w:eastAsiaTheme="minorEastAsia" w:cstheme="minorEastAsia"/>
          <w:color w:val="000000" w:themeColor="text1"/>
          <w:sz w:val="21"/>
          <w:szCs w:val="21"/>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4"/>
        <w:spacing w:before="0"/>
        <w:rPr>
          <w:rFonts w:asciiTheme="minorEastAsia" w:hAnsiTheme="minorEastAsia" w:eastAsiaTheme="minorEastAsia" w:cstheme="minorEastAsia"/>
          <w:sz w:val="24"/>
        </w:rPr>
      </w:pPr>
      <w:bookmarkStart w:id="595" w:name="_Toc17046"/>
      <w:r>
        <w:rPr>
          <w:rFonts w:hint="eastAsia" w:asciiTheme="minorEastAsia" w:hAnsiTheme="minorEastAsia" w:eastAsiaTheme="minorEastAsia" w:cstheme="minorEastAsia"/>
          <w:sz w:val="24"/>
        </w:rPr>
        <w:t>21、商务能力</w:t>
      </w:r>
      <w:bookmarkEnd w:id="595"/>
    </w:p>
    <w:p>
      <w:pPr>
        <w:pStyle w:val="7"/>
        <w:spacing w:line="360" w:lineRule="auto"/>
        <w:ind w:firstLine="0"/>
        <w:rPr>
          <w:rFonts w:asciiTheme="minorEastAsia" w:hAnsiTheme="minorEastAsia" w:eastAsiaTheme="minorEastAsia" w:cstheme="minorEastAsia"/>
          <w:color w:val="000000" w:themeColor="text1"/>
          <w:sz w:val="21"/>
          <w:szCs w:val="21"/>
        </w:rPr>
      </w:pPr>
    </w:p>
    <w:p>
      <w:pPr>
        <w:pStyle w:val="7"/>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说明：围绕实现“第三章采购需求”中的相关要求，根据招标文件“第四章评标方法和标准”中的商务部分评审内容针对性进行编制，并提供所需的证明材料,包括但不限于：</w:t>
      </w:r>
    </w:p>
    <w:p>
      <w:pPr>
        <w:pStyle w:val="7"/>
        <w:numPr>
          <w:ilvl w:val="0"/>
          <w:numId w:val="10"/>
        </w:numPr>
        <w:spacing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售后服务</w:t>
      </w:r>
      <w:r>
        <w:rPr>
          <w:rFonts w:hint="eastAsia" w:asciiTheme="minorEastAsia" w:hAnsiTheme="minorEastAsia" w:eastAsiaTheme="minorEastAsia" w:cstheme="minorEastAsia"/>
          <w:color w:val="000000" w:themeColor="text1"/>
          <w:sz w:val="21"/>
          <w:szCs w:val="21"/>
          <w:lang w:eastAsia="zh-CN"/>
        </w:rPr>
        <w:t>能力</w:t>
      </w:r>
    </w:p>
    <w:p>
      <w:pPr>
        <w:pStyle w:val="7"/>
        <w:spacing w:line="360" w:lineRule="auto"/>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 xml:space="preserve">     ...</w:t>
      </w:r>
    </w:p>
    <w:p>
      <w:pPr>
        <w:pStyle w:val="7"/>
        <w:spacing w:line="360" w:lineRule="auto"/>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4"/>
        <w:spacing w:before="0"/>
        <w:rPr>
          <w:rFonts w:asciiTheme="minorEastAsia" w:hAnsiTheme="minorEastAsia" w:eastAsiaTheme="minorEastAsia" w:cstheme="minorEastAsia"/>
          <w:sz w:val="24"/>
        </w:rPr>
      </w:pPr>
      <w:bookmarkStart w:id="596" w:name="_Toc8118"/>
      <w:r>
        <w:rPr>
          <w:rFonts w:hint="eastAsia" w:asciiTheme="minorEastAsia" w:hAnsiTheme="minorEastAsia" w:eastAsiaTheme="minorEastAsia" w:cstheme="minorEastAsia"/>
          <w:sz w:val="24"/>
        </w:rPr>
        <w:t>22、其他</w:t>
      </w:r>
      <w:bookmarkEnd w:id="596"/>
    </w:p>
    <w:p>
      <w:pPr>
        <w:pStyle w:val="7"/>
        <w:spacing w:line="360" w:lineRule="auto"/>
        <w:ind w:firstLineChars="200"/>
        <w:rPr>
          <w:rFonts w:asciiTheme="minorEastAsia" w:hAnsiTheme="minorEastAsia" w:eastAsiaTheme="minorEastAsia" w:cstheme="minorEastAsia"/>
          <w:color w:val="000000" w:themeColor="text1"/>
          <w:sz w:val="21"/>
          <w:szCs w:val="21"/>
        </w:rPr>
      </w:pPr>
    </w:p>
    <w:p>
      <w:pPr>
        <w:pStyle w:val="7"/>
        <w:spacing w:line="360" w:lineRule="auto"/>
        <w:ind w:firstLineChars="20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1"/>
          <w:szCs w:val="21"/>
        </w:rPr>
        <w:t>招标文件要求的其他证明材料或承诺。</w:t>
      </w: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p>
      <w:pPr>
        <w:pStyle w:val="7"/>
        <w:spacing w:line="360" w:lineRule="auto"/>
        <w:ind w:firstLine="480" w:firstLineChars="200"/>
        <w:rPr>
          <w:rFonts w:asciiTheme="minorEastAsia" w:hAnsiTheme="minorEastAsia" w:eastAsiaTheme="minorEastAsia" w:cstheme="minorEastAsia"/>
        </w:rPr>
      </w:pPr>
    </w:p>
    <w:bookmarkEnd w:id="589"/>
    <w:bookmarkEnd w:id="590"/>
    <w:p>
      <w:pPr>
        <w:pStyle w:val="7"/>
        <w:spacing w:line="360" w:lineRule="auto"/>
        <w:ind w:firstLine="480" w:firstLineChars="200"/>
        <w:rPr>
          <w:rFonts w:asciiTheme="minorEastAsia" w:hAnsiTheme="minorEastAsia" w:eastAsiaTheme="minorEastAsia" w:cstheme="minorEastAsia"/>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path/>
          <v:fill on="f" focussize="0,0"/>
          <v:stroke on="f" joinstyle="miter"/>
          <v:imagedata o:title=""/>
          <o:lock v:ext="edit"/>
          <v:textbox inset="0mm,0mm,0mm,0mm" style="mso-fit-shape-to-text:t;">
            <w:txbxContent>
              <w:p>
                <w:pPr>
                  <w:pStyle w:val="15"/>
                  <w:jc w:val="center"/>
                </w:pPr>
                <w:r>
                  <w:fldChar w:fldCharType="begin"/>
                </w:r>
                <w:r>
                  <w:instrText xml:space="preserve">PAGE   \* MERGEFORMAT</w:instrText>
                </w:r>
                <w:r>
                  <w:fldChar w:fldCharType="separate"/>
                </w:r>
                <w:r>
                  <w:rPr>
                    <w:lang w:val="zh-CN"/>
                  </w:rPr>
                  <w:t>31</w:t>
                </w:r>
                <w:r>
                  <w:rPr>
                    <w:lang w:val="zh-CN"/>
                  </w:rPr>
                  <w:fldChar w:fldCharType="end"/>
                </w:r>
              </w:p>
            </w:txbxContent>
          </v:textbox>
        </v:shape>
      </w:pic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55386"/>
    </w:sdtPr>
    <w:sdtContent>
      <w:sdt>
        <w:sdtPr>
          <w:id w:val="171357217"/>
        </w:sdtPr>
        <w:sdtContent>
          <w:p>
            <w:pPr>
              <w:pStyle w:val="15"/>
              <w:jc w:val="center"/>
            </w:pPr>
            <w:r>
              <w:rPr>
                <w:b/>
                <w:sz w:val="24"/>
                <w:szCs w:val="24"/>
              </w:rPr>
              <w:fldChar w:fldCharType="begin"/>
            </w:r>
            <w:r>
              <w:rPr>
                <w:b/>
              </w:rPr>
              <w:instrText xml:space="preserve">PAGE</w:instrText>
            </w:r>
            <w:r>
              <w:rPr>
                <w:b/>
                <w:sz w:val="24"/>
                <w:szCs w:val="24"/>
              </w:rPr>
              <w:fldChar w:fldCharType="separate"/>
            </w:r>
            <w:r>
              <w:rPr>
                <w:b/>
              </w:rPr>
              <w:t>71</w:t>
            </w:r>
            <w:r>
              <w:rPr>
                <w:b/>
                <w:sz w:val="24"/>
                <w:szCs w:val="24"/>
              </w:rPr>
              <w:fldChar w:fldCharType="end"/>
            </w:r>
            <w:r>
              <w:rPr>
                <w:lang w:val="zh-CN"/>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3805"/>
    </w:sdtPr>
    <w:sdtContent>
      <w:p>
        <w:pPr>
          <w:pStyle w:val="15"/>
          <w:jc w:val="center"/>
        </w:pPr>
        <w:r>
          <w:fldChar w:fldCharType="begin"/>
        </w:r>
        <w:r>
          <w:instrText xml:space="preserve"> PAGE   \* MERGEFORMAT </w:instrText>
        </w:r>
        <w:r>
          <w:fldChar w:fldCharType="separate"/>
        </w:r>
        <w:r>
          <w:rPr>
            <w:lang w:val="zh-CN"/>
          </w:rPr>
          <w:t>35</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r>
      <w:rPr>
        <w:rFonts w:hint="eastAsia"/>
      </w:rPr>
      <w:t>新疆经纬招标有限责任公司编制</w:t>
    </w:r>
    <w:r>
      <w:pict>
        <v:shape id="PowerPlusWaterMarkObject4658783" o:spid="_x0000_s1030" o:spt="136" type="#_x0000_t136" style="position:absolute;left:0pt;height:44.85pt;width:538.7pt;mso-position-horizontal:center;mso-position-horizontal-relative:margin;mso-position-vertical:center;mso-position-vertical-relative:margin;rotation:20643840f;z-index:-251654144;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4658782" o:spid="_x0000_s1029" o:spt="136" type="#_x0000_t136" style="position:absolute;left:0pt;height:44.85pt;width:538.7pt;mso-position-horizontal:center;mso-position-horizontal-relative:margin;mso-position-vertical:center;mso-position-vertical-relative:margin;rotation:20643840f;z-index:-251655168;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PowerPlusWaterMarkObject4658781" o:spid="_x0000_s1028" o:spt="136" type="#_x0000_t136" style="position:absolute;left:0pt;height:44.85pt;width:538.7pt;mso-position-horizontal:center;mso-position-horizontal-relative:margin;mso-position-vertical:center;mso-position-vertical-relative:margin;rotation:20643840f;z-index:-251656192;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r>
      <w:rPr>
        <w:rFonts w:hint="eastAsia"/>
      </w:rPr>
      <w:t>新疆经纬招标有限责任公司编制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r>
      <w:rPr>
        <w:rFonts w:hint="eastAsia"/>
      </w:rPr>
      <w:t>新疆经纬招标有限责任公司编制</w:t>
    </w:r>
    <w:r>
      <w:pict>
        <v:shape id="PowerPlusWaterMarkObject4658786" o:spid="_x0000_s1033" o:spt="136" type="#_x0000_t136" style="position:absolute;left:0pt;height:44.85pt;width:538.7pt;mso-position-horizontal:center;mso-position-horizontal-relative:margin;mso-position-vertical:center;mso-position-vertical-relative:margin;rotation:20643840f;z-index:-251651072;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4658785" o:spid="_x0000_s1032" o:spt="136" type="#_x0000_t136" style="position:absolute;left:0pt;height:44.85pt;width:538.7pt;mso-position-horizontal:center;mso-position-horizontal-relative:margin;mso-position-vertical:center;mso-position-vertical-relative:margin;rotation:20643840f;z-index:-251652096;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新疆经纬招标有限责任公司编制</w:t>
    </w:r>
    <w:r>
      <w:pict>
        <v:shape id="PowerPlusWaterMarkObject4658784" o:spid="_x0000_s1031" o:spt="136" type="#_x0000_t136" style="position:absolute;left:0pt;height:44.85pt;width:538.7pt;mso-position-horizontal:center;mso-position-horizontal-relative:margin;mso-position-vertical:center;mso-position-vertical-relative:margin;rotation:20643840f;z-index:-251653120;mso-width-relative:page;mso-height-relative:page;" fillcolor="#BFBFBF" filled="t" stroked="f" coordsize="21600,21600" o:allowincell="f">
          <v:path/>
          <v:fill on="t" opacity="32768f" focussize="0,0"/>
          <v:stroke on="f"/>
          <v:imagedata o:title=""/>
          <o:lock v:ext="edit"/>
          <v:textpath on="t" fitshape="t" fitpath="t" trim="f" xscale="f" string="新疆经纬招标有限责任公司"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6C259"/>
    <w:multiLevelType w:val="singleLevel"/>
    <w:tmpl w:val="A496C259"/>
    <w:lvl w:ilvl="0" w:tentative="0">
      <w:start w:val="2"/>
      <w:numFmt w:val="chineseCounting"/>
      <w:suff w:val="nothing"/>
      <w:lvlText w:val="%1、"/>
      <w:lvlJc w:val="left"/>
      <w:rPr>
        <w:rFonts w:hint="eastAsia"/>
      </w:rPr>
    </w:lvl>
  </w:abstractNum>
  <w:abstractNum w:abstractNumId="1">
    <w:nsid w:val="B2450ED3"/>
    <w:multiLevelType w:val="singleLevel"/>
    <w:tmpl w:val="B2450ED3"/>
    <w:lvl w:ilvl="0" w:tentative="0">
      <w:start w:val="2"/>
      <w:numFmt w:val="decimal"/>
      <w:suff w:val="nothing"/>
      <w:lvlText w:val="%1、"/>
      <w:lvlJc w:val="left"/>
    </w:lvl>
  </w:abstractNum>
  <w:abstractNum w:abstractNumId="2">
    <w:nsid w:val="DD4D08BC"/>
    <w:multiLevelType w:val="singleLevel"/>
    <w:tmpl w:val="DD4D08BC"/>
    <w:lvl w:ilvl="0" w:tentative="0">
      <w:start w:val="5"/>
      <w:numFmt w:val="chineseCounting"/>
      <w:suff w:val="nothing"/>
      <w:lvlText w:val="%1、"/>
      <w:lvlJc w:val="left"/>
      <w:rPr>
        <w:rFonts w:hint="eastAsia"/>
      </w:rPr>
    </w:lvl>
  </w:abstractNum>
  <w:abstractNum w:abstractNumId="3">
    <w:nsid w:val="E27F0543"/>
    <w:multiLevelType w:val="singleLevel"/>
    <w:tmpl w:val="E27F0543"/>
    <w:lvl w:ilvl="0" w:tentative="0">
      <w:start w:val="1"/>
      <w:numFmt w:val="decimal"/>
      <w:suff w:val="nothing"/>
      <w:lvlText w:val="%1、"/>
      <w:lvlJc w:val="left"/>
    </w:lvl>
  </w:abstractNum>
  <w:abstractNum w:abstractNumId="4">
    <w:nsid w:val="F957804E"/>
    <w:multiLevelType w:val="singleLevel"/>
    <w:tmpl w:val="F957804E"/>
    <w:lvl w:ilvl="0" w:tentative="0">
      <w:start w:val="1"/>
      <w:numFmt w:val="decimal"/>
      <w:suff w:val="nothing"/>
      <w:lvlText w:val="（%1）"/>
      <w:lvlJc w:val="left"/>
    </w:lvl>
  </w:abstractNum>
  <w:abstractNum w:abstractNumId="5">
    <w:nsid w:val="25674021"/>
    <w:multiLevelType w:val="singleLevel"/>
    <w:tmpl w:val="25674021"/>
    <w:lvl w:ilvl="0" w:tentative="0">
      <w:start w:val="1"/>
      <w:numFmt w:val="decimal"/>
      <w:suff w:val="nothing"/>
      <w:lvlText w:val="（%1）"/>
      <w:lvlJc w:val="left"/>
    </w:lvl>
  </w:abstractNum>
  <w:abstractNum w:abstractNumId="6">
    <w:nsid w:val="2D9FD718"/>
    <w:multiLevelType w:val="singleLevel"/>
    <w:tmpl w:val="2D9FD718"/>
    <w:lvl w:ilvl="0" w:tentative="0">
      <w:start w:val="1"/>
      <w:numFmt w:val="decimal"/>
      <w:suff w:val="nothing"/>
      <w:lvlText w:val="%1、"/>
      <w:lvlJc w:val="left"/>
      <w:pPr>
        <w:ind w:left="2"/>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3AF187"/>
    <w:multiLevelType w:val="singleLevel"/>
    <w:tmpl w:val="553AF187"/>
    <w:lvl w:ilvl="0" w:tentative="0">
      <w:start w:val="1"/>
      <w:numFmt w:val="decimal"/>
      <w:suff w:val="nothing"/>
      <w:lvlText w:val="（%1）"/>
      <w:lvlJc w:val="left"/>
    </w:lvl>
  </w:abstractNum>
  <w:abstractNum w:abstractNumId="9">
    <w:nsid w:val="698158C1"/>
    <w:multiLevelType w:val="singleLevel"/>
    <w:tmpl w:val="698158C1"/>
    <w:lvl w:ilvl="0" w:tentative="0">
      <w:start w:val="6"/>
      <w:numFmt w:val="chineseCounting"/>
      <w:suff w:val="nothing"/>
      <w:lvlText w:val="%1、"/>
      <w:lvlJc w:val="left"/>
      <w:rPr>
        <w:rFonts w:hint="eastAsia"/>
      </w:rPr>
    </w:lvl>
  </w:abstractNum>
  <w:num w:numId="1">
    <w:abstractNumId w:val="7"/>
  </w:num>
  <w:num w:numId="2">
    <w:abstractNumId w:val="9"/>
  </w:num>
  <w:num w:numId="3">
    <w:abstractNumId w:val="1"/>
  </w:num>
  <w:num w:numId="4">
    <w:abstractNumId w:val="2"/>
  </w:num>
  <w:num w:numId="5">
    <w:abstractNumId w:val="3"/>
  </w:num>
  <w:num w:numId="6">
    <w:abstractNumId w:val="8"/>
  </w:num>
  <w:num w:numId="7">
    <w:abstractNumId w:val="0"/>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iODU5NzkzNDk4Y2Q0NTM5N2EyMmExNzM3NjQ4YTkifQ=="/>
    <w:docVar w:name="KSO_WPS_MARK_KEY" w:val="d4352ed4-45a8-4a84-9fcb-59c4d09a641b"/>
  </w:docVars>
  <w:rsids>
    <w:rsidRoot w:val="00D1150B"/>
    <w:rsid w:val="000330EB"/>
    <w:rsid w:val="00040B1A"/>
    <w:rsid w:val="000461DA"/>
    <w:rsid w:val="00077D5E"/>
    <w:rsid w:val="000942B7"/>
    <w:rsid w:val="00094387"/>
    <w:rsid w:val="00095CED"/>
    <w:rsid w:val="000B2674"/>
    <w:rsid w:val="000B5F2E"/>
    <w:rsid w:val="000C3DA7"/>
    <w:rsid w:val="000C418D"/>
    <w:rsid w:val="000D5450"/>
    <w:rsid w:val="000D7275"/>
    <w:rsid w:val="000D7683"/>
    <w:rsid w:val="000F7097"/>
    <w:rsid w:val="001002CF"/>
    <w:rsid w:val="00101AE9"/>
    <w:rsid w:val="00104E7A"/>
    <w:rsid w:val="00107076"/>
    <w:rsid w:val="001113BD"/>
    <w:rsid w:val="00117738"/>
    <w:rsid w:val="00121ED5"/>
    <w:rsid w:val="00184557"/>
    <w:rsid w:val="00197129"/>
    <w:rsid w:val="001D7D62"/>
    <w:rsid w:val="001E03E6"/>
    <w:rsid w:val="001E5F45"/>
    <w:rsid w:val="00207B2E"/>
    <w:rsid w:val="00241E6A"/>
    <w:rsid w:val="00245C75"/>
    <w:rsid w:val="00256238"/>
    <w:rsid w:val="00260E8F"/>
    <w:rsid w:val="002630BB"/>
    <w:rsid w:val="00270BE1"/>
    <w:rsid w:val="00272650"/>
    <w:rsid w:val="00273148"/>
    <w:rsid w:val="002A2437"/>
    <w:rsid w:val="002A748A"/>
    <w:rsid w:val="002B20DE"/>
    <w:rsid w:val="002C6251"/>
    <w:rsid w:val="002E01C1"/>
    <w:rsid w:val="002E0268"/>
    <w:rsid w:val="002E1F6F"/>
    <w:rsid w:val="0030695F"/>
    <w:rsid w:val="00334A75"/>
    <w:rsid w:val="003547FD"/>
    <w:rsid w:val="003626FC"/>
    <w:rsid w:val="003719BB"/>
    <w:rsid w:val="00374300"/>
    <w:rsid w:val="003752C8"/>
    <w:rsid w:val="00377076"/>
    <w:rsid w:val="003823F7"/>
    <w:rsid w:val="00382DEE"/>
    <w:rsid w:val="00393D8F"/>
    <w:rsid w:val="003A0914"/>
    <w:rsid w:val="003A4DB8"/>
    <w:rsid w:val="003B374B"/>
    <w:rsid w:val="003B643A"/>
    <w:rsid w:val="003C28DE"/>
    <w:rsid w:val="003D0404"/>
    <w:rsid w:val="003D3A88"/>
    <w:rsid w:val="003F04A7"/>
    <w:rsid w:val="003F253D"/>
    <w:rsid w:val="004073B2"/>
    <w:rsid w:val="00411CA3"/>
    <w:rsid w:val="004218C7"/>
    <w:rsid w:val="00435783"/>
    <w:rsid w:val="004357EA"/>
    <w:rsid w:val="00441793"/>
    <w:rsid w:val="00443DAA"/>
    <w:rsid w:val="004479E5"/>
    <w:rsid w:val="00451A2B"/>
    <w:rsid w:val="0046550B"/>
    <w:rsid w:val="004A7AB7"/>
    <w:rsid w:val="004B3351"/>
    <w:rsid w:val="004C0AFD"/>
    <w:rsid w:val="004C7A2D"/>
    <w:rsid w:val="004E738B"/>
    <w:rsid w:val="004F5174"/>
    <w:rsid w:val="004F6319"/>
    <w:rsid w:val="00515C5E"/>
    <w:rsid w:val="005272A0"/>
    <w:rsid w:val="00550EE9"/>
    <w:rsid w:val="0055353C"/>
    <w:rsid w:val="00556F35"/>
    <w:rsid w:val="00562F24"/>
    <w:rsid w:val="00583E81"/>
    <w:rsid w:val="005912AB"/>
    <w:rsid w:val="005A52F2"/>
    <w:rsid w:val="005B7D0D"/>
    <w:rsid w:val="005C1E60"/>
    <w:rsid w:val="005C235B"/>
    <w:rsid w:val="0061063D"/>
    <w:rsid w:val="00611165"/>
    <w:rsid w:val="00654A44"/>
    <w:rsid w:val="0066658B"/>
    <w:rsid w:val="0068152C"/>
    <w:rsid w:val="006925C0"/>
    <w:rsid w:val="006A2ED6"/>
    <w:rsid w:val="006B77A9"/>
    <w:rsid w:val="006C2094"/>
    <w:rsid w:val="006D2A98"/>
    <w:rsid w:val="006E5711"/>
    <w:rsid w:val="006E6810"/>
    <w:rsid w:val="00717912"/>
    <w:rsid w:val="00721251"/>
    <w:rsid w:val="0073520F"/>
    <w:rsid w:val="00737615"/>
    <w:rsid w:val="007512DE"/>
    <w:rsid w:val="00751B21"/>
    <w:rsid w:val="00763417"/>
    <w:rsid w:val="00776037"/>
    <w:rsid w:val="00781353"/>
    <w:rsid w:val="007837FB"/>
    <w:rsid w:val="007A458F"/>
    <w:rsid w:val="007A7AE9"/>
    <w:rsid w:val="007B0670"/>
    <w:rsid w:val="007C6E74"/>
    <w:rsid w:val="007E2EF7"/>
    <w:rsid w:val="007F27CB"/>
    <w:rsid w:val="00807D1D"/>
    <w:rsid w:val="008102F1"/>
    <w:rsid w:val="00821A60"/>
    <w:rsid w:val="008543ED"/>
    <w:rsid w:val="00870E7D"/>
    <w:rsid w:val="00893649"/>
    <w:rsid w:val="008953F8"/>
    <w:rsid w:val="008C60A3"/>
    <w:rsid w:val="008E23FD"/>
    <w:rsid w:val="0091777E"/>
    <w:rsid w:val="00930024"/>
    <w:rsid w:val="00930F1F"/>
    <w:rsid w:val="00937FE9"/>
    <w:rsid w:val="009444C8"/>
    <w:rsid w:val="00950240"/>
    <w:rsid w:val="0095055B"/>
    <w:rsid w:val="0095333A"/>
    <w:rsid w:val="00953D9C"/>
    <w:rsid w:val="00967882"/>
    <w:rsid w:val="00973D5D"/>
    <w:rsid w:val="00973FB8"/>
    <w:rsid w:val="009759B0"/>
    <w:rsid w:val="00975D66"/>
    <w:rsid w:val="00976D06"/>
    <w:rsid w:val="00980DFB"/>
    <w:rsid w:val="00982BC1"/>
    <w:rsid w:val="009866EE"/>
    <w:rsid w:val="009979F4"/>
    <w:rsid w:val="009A166B"/>
    <w:rsid w:val="009B54CD"/>
    <w:rsid w:val="009C15CF"/>
    <w:rsid w:val="009C512B"/>
    <w:rsid w:val="009C7D8D"/>
    <w:rsid w:val="009E5347"/>
    <w:rsid w:val="009F0AC8"/>
    <w:rsid w:val="009F2C0A"/>
    <w:rsid w:val="009F2E6D"/>
    <w:rsid w:val="009F34F4"/>
    <w:rsid w:val="00A00A20"/>
    <w:rsid w:val="00A03D1F"/>
    <w:rsid w:val="00A10993"/>
    <w:rsid w:val="00A10A0E"/>
    <w:rsid w:val="00A126E8"/>
    <w:rsid w:val="00A216DE"/>
    <w:rsid w:val="00A33BA0"/>
    <w:rsid w:val="00A419B3"/>
    <w:rsid w:val="00A47128"/>
    <w:rsid w:val="00A65699"/>
    <w:rsid w:val="00A70271"/>
    <w:rsid w:val="00A70B19"/>
    <w:rsid w:val="00A71C5A"/>
    <w:rsid w:val="00A8442F"/>
    <w:rsid w:val="00AA1AB7"/>
    <w:rsid w:val="00AC7CB1"/>
    <w:rsid w:val="00AD10E6"/>
    <w:rsid w:val="00AE2968"/>
    <w:rsid w:val="00B11B0C"/>
    <w:rsid w:val="00B16586"/>
    <w:rsid w:val="00B17585"/>
    <w:rsid w:val="00B2496D"/>
    <w:rsid w:val="00B2631C"/>
    <w:rsid w:val="00B26754"/>
    <w:rsid w:val="00B30BFA"/>
    <w:rsid w:val="00B43855"/>
    <w:rsid w:val="00B46965"/>
    <w:rsid w:val="00B52690"/>
    <w:rsid w:val="00B61B5F"/>
    <w:rsid w:val="00B64309"/>
    <w:rsid w:val="00B76409"/>
    <w:rsid w:val="00BA6FC4"/>
    <w:rsid w:val="00BC35E3"/>
    <w:rsid w:val="00BD2C7D"/>
    <w:rsid w:val="00BE1545"/>
    <w:rsid w:val="00BE27D3"/>
    <w:rsid w:val="00C0122E"/>
    <w:rsid w:val="00C11035"/>
    <w:rsid w:val="00C12364"/>
    <w:rsid w:val="00C268B1"/>
    <w:rsid w:val="00C30BD1"/>
    <w:rsid w:val="00C31365"/>
    <w:rsid w:val="00C34837"/>
    <w:rsid w:val="00C6437C"/>
    <w:rsid w:val="00C64537"/>
    <w:rsid w:val="00C67931"/>
    <w:rsid w:val="00C91C98"/>
    <w:rsid w:val="00CA02E5"/>
    <w:rsid w:val="00CA3D92"/>
    <w:rsid w:val="00CB6D84"/>
    <w:rsid w:val="00CC7D8E"/>
    <w:rsid w:val="00CD7E41"/>
    <w:rsid w:val="00CE48B6"/>
    <w:rsid w:val="00D021BE"/>
    <w:rsid w:val="00D058A8"/>
    <w:rsid w:val="00D1150B"/>
    <w:rsid w:val="00D1588F"/>
    <w:rsid w:val="00D170AD"/>
    <w:rsid w:val="00D20B4D"/>
    <w:rsid w:val="00D25327"/>
    <w:rsid w:val="00D36D31"/>
    <w:rsid w:val="00D67FFA"/>
    <w:rsid w:val="00D764CA"/>
    <w:rsid w:val="00DA1809"/>
    <w:rsid w:val="00DB2AF4"/>
    <w:rsid w:val="00DB707D"/>
    <w:rsid w:val="00DD19CA"/>
    <w:rsid w:val="00DE2FD7"/>
    <w:rsid w:val="00DF14BB"/>
    <w:rsid w:val="00E04D5A"/>
    <w:rsid w:val="00E05A6D"/>
    <w:rsid w:val="00E173E3"/>
    <w:rsid w:val="00E40880"/>
    <w:rsid w:val="00E7265A"/>
    <w:rsid w:val="00E7559A"/>
    <w:rsid w:val="00E77470"/>
    <w:rsid w:val="00E84814"/>
    <w:rsid w:val="00E84AFD"/>
    <w:rsid w:val="00E93947"/>
    <w:rsid w:val="00EA058C"/>
    <w:rsid w:val="00EA208D"/>
    <w:rsid w:val="00EA233A"/>
    <w:rsid w:val="00EB1BD5"/>
    <w:rsid w:val="00EC4041"/>
    <w:rsid w:val="00EC4403"/>
    <w:rsid w:val="00ED5D7B"/>
    <w:rsid w:val="00ED61A5"/>
    <w:rsid w:val="00EE52C7"/>
    <w:rsid w:val="00EF6367"/>
    <w:rsid w:val="00F02DF2"/>
    <w:rsid w:val="00F5145E"/>
    <w:rsid w:val="00F525AE"/>
    <w:rsid w:val="00F555FF"/>
    <w:rsid w:val="00F80FFE"/>
    <w:rsid w:val="00F84386"/>
    <w:rsid w:val="00F86F7B"/>
    <w:rsid w:val="00FA32A0"/>
    <w:rsid w:val="00FC02BF"/>
    <w:rsid w:val="00FD3F72"/>
    <w:rsid w:val="00FE4037"/>
    <w:rsid w:val="00FF3BC2"/>
    <w:rsid w:val="00FF56BA"/>
    <w:rsid w:val="01001B5E"/>
    <w:rsid w:val="01011432"/>
    <w:rsid w:val="01050F22"/>
    <w:rsid w:val="01062EEC"/>
    <w:rsid w:val="01080A12"/>
    <w:rsid w:val="01086C64"/>
    <w:rsid w:val="010C0502"/>
    <w:rsid w:val="010D427B"/>
    <w:rsid w:val="01101675"/>
    <w:rsid w:val="011473B7"/>
    <w:rsid w:val="011B6997"/>
    <w:rsid w:val="011E0236"/>
    <w:rsid w:val="01255120"/>
    <w:rsid w:val="012A6BDB"/>
    <w:rsid w:val="012C2953"/>
    <w:rsid w:val="012F5F9F"/>
    <w:rsid w:val="013E2686"/>
    <w:rsid w:val="014001AC"/>
    <w:rsid w:val="01457570"/>
    <w:rsid w:val="014A4B87"/>
    <w:rsid w:val="01550B94"/>
    <w:rsid w:val="0156177E"/>
    <w:rsid w:val="01583748"/>
    <w:rsid w:val="015B4FE6"/>
    <w:rsid w:val="01626374"/>
    <w:rsid w:val="016320EC"/>
    <w:rsid w:val="01687703"/>
    <w:rsid w:val="016A347B"/>
    <w:rsid w:val="016A6FD7"/>
    <w:rsid w:val="016D6AC7"/>
    <w:rsid w:val="017460A8"/>
    <w:rsid w:val="0179697A"/>
    <w:rsid w:val="017C6D0A"/>
    <w:rsid w:val="017D31AE"/>
    <w:rsid w:val="01830099"/>
    <w:rsid w:val="018502B5"/>
    <w:rsid w:val="0187402D"/>
    <w:rsid w:val="018856AF"/>
    <w:rsid w:val="018A58CB"/>
    <w:rsid w:val="018C33F1"/>
    <w:rsid w:val="01910A08"/>
    <w:rsid w:val="019404F8"/>
    <w:rsid w:val="01967DCC"/>
    <w:rsid w:val="019D55FE"/>
    <w:rsid w:val="01A11E2D"/>
    <w:rsid w:val="01AC3A93"/>
    <w:rsid w:val="01B36BD0"/>
    <w:rsid w:val="01BF37C7"/>
    <w:rsid w:val="01C40DDD"/>
    <w:rsid w:val="01C81F50"/>
    <w:rsid w:val="01C901A1"/>
    <w:rsid w:val="01C963F3"/>
    <w:rsid w:val="01CD7566"/>
    <w:rsid w:val="01CF32DE"/>
    <w:rsid w:val="01D37272"/>
    <w:rsid w:val="01D628BE"/>
    <w:rsid w:val="01D7751B"/>
    <w:rsid w:val="01E46D89"/>
    <w:rsid w:val="01E74ACC"/>
    <w:rsid w:val="01E92DC0"/>
    <w:rsid w:val="01EA636A"/>
    <w:rsid w:val="01EC20E2"/>
    <w:rsid w:val="01F3521E"/>
    <w:rsid w:val="02013C18"/>
    <w:rsid w:val="020531A4"/>
    <w:rsid w:val="02056D00"/>
    <w:rsid w:val="02070CCA"/>
    <w:rsid w:val="02094A42"/>
    <w:rsid w:val="02145195"/>
    <w:rsid w:val="02186A33"/>
    <w:rsid w:val="021A27AB"/>
    <w:rsid w:val="02210631"/>
    <w:rsid w:val="02216EF0"/>
    <w:rsid w:val="02223D56"/>
    <w:rsid w:val="022E44A8"/>
    <w:rsid w:val="0241242E"/>
    <w:rsid w:val="024261A6"/>
    <w:rsid w:val="024617F2"/>
    <w:rsid w:val="024A0BB7"/>
    <w:rsid w:val="024F36AF"/>
    <w:rsid w:val="025033FE"/>
    <w:rsid w:val="025657AD"/>
    <w:rsid w:val="025D08EA"/>
    <w:rsid w:val="02624152"/>
    <w:rsid w:val="026954E1"/>
    <w:rsid w:val="026B3007"/>
    <w:rsid w:val="0270061D"/>
    <w:rsid w:val="02720839"/>
    <w:rsid w:val="027520D7"/>
    <w:rsid w:val="02765051"/>
    <w:rsid w:val="027A76EE"/>
    <w:rsid w:val="027D71DE"/>
    <w:rsid w:val="028440C8"/>
    <w:rsid w:val="028E3199"/>
    <w:rsid w:val="029A7D90"/>
    <w:rsid w:val="02A14C7A"/>
    <w:rsid w:val="02A227A1"/>
    <w:rsid w:val="02A36C44"/>
    <w:rsid w:val="02AC72AB"/>
    <w:rsid w:val="02BC3862"/>
    <w:rsid w:val="02BC7D06"/>
    <w:rsid w:val="02C1531D"/>
    <w:rsid w:val="02CA5E53"/>
    <w:rsid w:val="02CB7F49"/>
    <w:rsid w:val="02CE17E8"/>
    <w:rsid w:val="02D0730E"/>
    <w:rsid w:val="02DA4630"/>
    <w:rsid w:val="02DE2EF8"/>
    <w:rsid w:val="02F079B0"/>
    <w:rsid w:val="030516AD"/>
    <w:rsid w:val="030B6598"/>
    <w:rsid w:val="030D2310"/>
    <w:rsid w:val="03100052"/>
    <w:rsid w:val="0313544C"/>
    <w:rsid w:val="031511C4"/>
    <w:rsid w:val="031F3DF1"/>
    <w:rsid w:val="032338E1"/>
    <w:rsid w:val="03280EF8"/>
    <w:rsid w:val="032C4E8C"/>
    <w:rsid w:val="03321D76"/>
    <w:rsid w:val="03373831"/>
    <w:rsid w:val="033C0E47"/>
    <w:rsid w:val="0341020B"/>
    <w:rsid w:val="03483348"/>
    <w:rsid w:val="034A5312"/>
    <w:rsid w:val="034B2E38"/>
    <w:rsid w:val="034F0B7A"/>
    <w:rsid w:val="0350044F"/>
    <w:rsid w:val="03525F75"/>
    <w:rsid w:val="035717DD"/>
    <w:rsid w:val="03597303"/>
    <w:rsid w:val="035A2E3C"/>
    <w:rsid w:val="0360556D"/>
    <w:rsid w:val="036068E4"/>
    <w:rsid w:val="036208AE"/>
    <w:rsid w:val="036363D4"/>
    <w:rsid w:val="03681C3C"/>
    <w:rsid w:val="036839EA"/>
    <w:rsid w:val="036F2FCB"/>
    <w:rsid w:val="03710AF1"/>
    <w:rsid w:val="0374413D"/>
    <w:rsid w:val="03791753"/>
    <w:rsid w:val="03795BF7"/>
    <w:rsid w:val="037B371D"/>
    <w:rsid w:val="037B54CB"/>
    <w:rsid w:val="037D56E7"/>
    <w:rsid w:val="0388408C"/>
    <w:rsid w:val="038A570F"/>
    <w:rsid w:val="038C592B"/>
    <w:rsid w:val="038D51FF"/>
    <w:rsid w:val="038F0F77"/>
    <w:rsid w:val="03993BA4"/>
    <w:rsid w:val="039C3694"/>
    <w:rsid w:val="03A951F3"/>
    <w:rsid w:val="03BB7FBE"/>
    <w:rsid w:val="03BC7892"/>
    <w:rsid w:val="03C30C20"/>
    <w:rsid w:val="03C9092D"/>
    <w:rsid w:val="03CA1FAF"/>
    <w:rsid w:val="03CF6F0E"/>
    <w:rsid w:val="03D33559"/>
    <w:rsid w:val="03D472D2"/>
    <w:rsid w:val="03DD40E2"/>
    <w:rsid w:val="03E07E92"/>
    <w:rsid w:val="03E33071"/>
    <w:rsid w:val="03E5328D"/>
    <w:rsid w:val="03E70DB3"/>
    <w:rsid w:val="03EF1A15"/>
    <w:rsid w:val="03F67248"/>
    <w:rsid w:val="03FD4132"/>
    <w:rsid w:val="03FF3601"/>
    <w:rsid w:val="04021749"/>
    <w:rsid w:val="040E4592"/>
    <w:rsid w:val="04131BA8"/>
    <w:rsid w:val="04161698"/>
    <w:rsid w:val="041D2A27"/>
    <w:rsid w:val="04223B99"/>
    <w:rsid w:val="0431202E"/>
    <w:rsid w:val="043438CC"/>
    <w:rsid w:val="04357D70"/>
    <w:rsid w:val="043B10FF"/>
    <w:rsid w:val="043B2EAD"/>
    <w:rsid w:val="04455AD9"/>
    <w:rsid w:val="04477AA3"/>
    <w:rsid w:val="04506958"/>
    <w:rsid w:val="045126D0"/>
    <w:rsid w:val="04576AAB"/>
    <w:rsid w:val="04581CB1"/>
    <w:rsid w:val="046917C8"/>
    <w:rsid w:val="04714B20"/>
    <w:rsid w:val="047B6E39"/>
    <w:rsid w:val="047C774D"/>
    <w:rsid w:val="048B5BE2"/>
    <w:rsid w:val="049C1B9D"/>
    <w:rsid w:val="049F343C"/>
    <w:rsid w:val="04A10F62"/>
    <w:rsid w:val="04A70542"/>
    <w:rsid w:val="04AC5B58"/>
    <w:rsid w:val="04AE18D1"/>
    <w:rsid w:val="04B213C1"/>
    <w:rsid w:val="04B54A0D"/>
    <w:rsid w:val="04C609C8"/>
    <w:rsid w:val="04C82992"/>
    <w:rsid w:val="04CE5ACF"/>
    <w:rsid w:val="04D07A99"/>
    <w:rsid w:val="04D255BF"/>
    <w:rsid w:val="04D72BD5"/>
    <w:rsid w:val="04E56FAB"/>
    <w:rsid w:val="04F76DD4"/>
    <w:rsid w:val="04F96FF0"/>
    <w:rsid w:val="04FA4B16"/>
    <w:rsid w:val="04FF3EDA"/>
    <w:rsid w:val="05045994"/>
    <w:rsid w:val="05047743"/>
    <w:rsid w:val="05080FE1"/>
    <w:rsid w:val="050F05C1"/>
    <w:rsid w:val="051200B1"/>
    <w:rsid w:val="05177476"/>
    <w:rsid w:val="051A0D14"/>
    <w:rsid w:val="051E6A56"/>
    <w:rsid w:val="052027CE"/>
    <w:rsid w:val="0523406D"/>
    <w:rsid w:val="0526590B"/>
    <w:rsid w:val="052D0A47"/>
    <w:rsid w:val="052D6C99"/>
    <w:rsid w:val="053242B0"/>
    <w:rsid w:val="0534627A"/>
    <w:rsid w:val="05353DA0"/>
    <w:rsid w:val="05373674"/>
    <w:rsid w:val="053A13B6"/>
    <w:rsid w:val="053C512E"/>
    <w:rsid w:val="05412745"/>
    <w:rsid w:val="0543026B"/>
    <w:rsid w:val="054E09BE"/>
    <w:rsid w:val="05502988"/>
    <w:rsid w:val="055661F0"/>
    <w:rsid w:val="05571F68"/>
    <w:rsid w:val="055A7363"/>
    <w:rsid w:val="056106F1"/>
    <w:rsid w:val="056A3A4A"/>
    <w:rsid w:val="056A57F8"/>
    <w:rsid w:val="056B77C2"/>
    <w:rsid w:val="056D178C"/>
    <w:rsid w:val="057448C8"/>
    <w:rsid w:val="05746676"/>
    <w:rsid w:val="05760640"/>
    <w:rsid w:val="057E5747"/>
    <w:rsid w:val="05816FE5"/>
    <w:rsid w:val="05832D5D"/>
    <w:rsid w:val="058F34B0"/>
    <w:rsid w:val="05917228"/>
    <w:rsid w:val="05924D4E"/>
    <w:rsid w:val="05997E8B"/>
    <w:rsid w:val="059B24B4"/>
    <w:rsid w:val="059F550F"/>
    <w:rsid w:val="05A131E3"/>
    <w:rsid w:val="05A351AD"/>
    <w:rsid w:val="05A36F5B"/>
    <w:rsid w:val="05A50F26"/>
    <w:rsid w:val="05AD1B88"/>
    <w:rsid w:val="05B15E1B"/>
    <w:rsid w:val="05B72A07"/>
    <w:rsid w:val="05B922DB"/>
    <w:rsid w:val="05BC1DCB"/>
    <w:rsid w:val="05BD626F"/>
    <w:rsid w:val="05BE5B43"/>
    <w:rsid w:val="05C07B0D"/>
    <w:rsid w:val="05C173E2"/>
    <w:rsid w:val="05C375FE"/>
    <w:rsid w:val="05D215EF"/>
    <w:rsid w:val="05D2339D"/>
    <w:rsid w:val="05D45367"/>
    <w:rsid w:val="05D47115"/>
    <w:rsid w:val="05D709B3"/>
    <w:rsid w:val="05DB4947"/>
    <w:rsid w:val="05EA4B8A"/>
    <w:rsid w:val="05FB6D97"/>
    <w:rsid w:val="05FD666C"/>
    <w:rsid w:val="060317A8"/>
    <w:rsid w:val="06112117"/>
    <w:rsid w:val="061B11E8"/>
    <w:rsid w:val="0620235A"/>
    <w:rsid w:val="06222576"/>
    <w:rsid w:val="062E2CC9"/>
    <w:rsid w:val="063127B9"/>
    <w:rsid w:val="064C13A1"/>
    <w:rsid w:val="064C75F3"/>
    <w:rsid w:val="064F2C3F"/>
    <w:rsid w:val="06500E91"/>
    <w:rsid w:val="06562220"/>
    <w:rsid w:val="065A1D10"/>
    <w:rsid w:val="065A3ABE"/>
    <w:rsid w:val="065B7836"/>
    <w:rsid w:val="065D710A"/>
    <w:rsid w:val="065E2E82"/>
    <w:rsid w:val="065F10D4"/>
    <w:rsid w:val="06625E2E"/>
    <w:rsid w:val="066C1A43"/>
    <w:rsid w:val="066C37F1"/>
    <w:rsid w:val="066F5090"/>
    <w:rsid w:val="067032E2"/>
    <w:rsid w:val="06734B80"/>
    <w:rsid w:val="06823015"/>
    <w:rsid w:val="06846D8D"/>
    <w:rsid w:val="068943A3"/>
    <w:rsid w:val="068A3C77"/>
    <w:rsid w:val="068C5C42"/>
    <w:rsid w:val="06935222"/>
    <w:rsid w:val="06954AF6"/>
    <w:rsid w:val="069A210C"/>
    <w:rsid w:val="06A50AB1"/>
    <w:rsid w:val="06A64F55"/>
    <w:rsid w:val="06AB256C"/>
    <w:rsid w:val="06AC0092"/>
    <w:rsid w:val="06B01930"/>
    <w:rsid w:val="06B07B82"/>
    <w:rsid w:val="06B34F7C"/>
    <w:rsid w:val="06B56F46"/>
    <w:rsid w:val="06BF7DC5"/>
    <w:rsid w:val="06C07699"/>
    <w:rsid w:val="06C21663"/>
    <w:rsid w:val="06C54CB0"/>
    <w:rsid w:val="06C673A5"/>
    <w:rsid w:val="06CB49BC"/>
    <w:rsid w:val="06CD79BD"/>
    <w:rsid w:val="06D03D80"/>
    <w:rsid w:val="06D25D4A"/>
    <w:rsid w:val="06D27AF8"/>
    <w:rsid w:val="06D373CC"/>
    <w:rsid w:val="06D73361"/>
    <w:rsid w:val="06DF3FC3"/>
    <w:rsid w:val="06E93094"/>
    <w:rsid w:val="06EB2968"/>
    <w:rsid w:val="06F86E33"/>
    <w:rsid w:val="06FC2DC7"/>
    <w:rsid w:val="06FE6B3F"/>
    <w:rsid w:val="07043A2A"/>
    <w:rsid w:val="07061550"/>
    <w:rsid w:val="07091040"/>
    <w:rsid w:val="070954E4"/>
    <w:rsid w:val="070E48A8"/>
    <w:rsid w:val="070F1E70"/>
    <w:rsid w:val="07133C6D"/>
    <w:rsid w:val="07140111"/>
    <w:rsid w:val="07177C01"/>
    <w:rsid w:val="071A4FFB"/>
    <w:rsid w:val="071D689A"/>
    <w:rsid w:val="071F6AB6"/>
    <w:rsid w:val="072132C6"/>
    <w:rsid w:val="07247C28"/>
    <w:rsid w:val="072A7934"/>
    <w:rsid w:val="072E0AA7"/>
    <w:rsid w:val="072F6440"/>
    <w:rsid w:val="07350087"/>
    <w:rsid w:val="07372051"/>
    <w:rsid w:val="07373DFF"/>
    <w:rsid w:val="073A569E"/>
    <w:rsid w:val="073A744C"/>
    <w:rsid w:val="07414C7E"/>
    <w:rsid w:val="074A1D85"/>
    <w:rsid w:val="074A3B33"/>
    <w:rsid w:val="074E5043"/>
    <w:rsid w:val="07500980"/>
    <w:rsid w:val="07550729"/>
    <w:rsid w:val="07571DAC"/>
    <w:rsid w:val="0757624F"/>
    <w:rsid w:val="07591FC8"/>
    <w:rsid w:val="075B5D40"/>
    <w:rsid w:val="075C3866"/>
    <w:rsid w:val="075E138C"/>
    <w:rsid w:val="076B5857"/>
    <w:rsid w:val="076D15CF"/>
    <w:rsid w:val="076D5A73"/>
    <w:rsid w:val="07794418"/>
    <w:rsid w:val="0779529F"/>
    <w:rsid w:val="077F1302"/>
    <w:rsid w:val="078132CC"/>
    <w:rsid w:val="0788465B"/>
    <w:rsid w:val="078A03D3"/>
    <w:rsid w:val="078B5EF9"/>
    <w:rsid w:val="07930A17"/>
    <w:rsid w:val="07996868"/>
    <w:rsid w:val="07A11279"/>
    <w:rsid w:val="07A1571D"/>
    <w:rsid w:val="07A86AAB"/>
    <w:rsid w:val="07AA45D1"/>
    <w:rsid w:val="07B70A9C"/>
    <w:rsid w:val="07C338E5"/>
    <w:rsid w:val="07CD206E"/>
    <w:rsid w:val="07CD3779"/>
    <w:rsid w:val="07D01B5E"/>
    <w:rsid w:val="07DB0C2F"/>
    <w:rsid w:val="07DD49A7"/>
    <w:rsid w:val="07DE071F"/>
    <w:rsid w:val="07F41CF0"/>
    <w:rsid w:val="07F626D4"/>
    <w:rsid w:val="07FB6BDB"/>
    <w:rsid w:val="0808579C"/>
    <w:rsid w:val="081163FE"/>
    <w:rsid w:val="081B102B"/>
    <w:rsid w:val="08275C22"/>
    <w:rsid w:val="0828199A"/>
    <w:rsid w:val="083245C7"/>
    <w:rsid w:val="08387E2F"/>
    <w:rsid w:val="08393BA7"/>
    <w:rsid w:val="08404F36"/>
    <w:rsid w:val="084367D4"/>
    <w:rsid w:val="084542FA"/>
    <w:rsid w:val="084C5688"/>
    <w:rsid w:val="084D31AF"/>
    <w:rsid w:val="084F6F27"/>
    <w:rsid w:val="08513C0E"/>
    <w:rsid w:val="085831B1"/>
    <w:rsid w:val="085D7896"/>
    <w:rsid w:val="0869623A"/>
    <w:rsid w:val="086A1FB2"/>
    <w:rsid w:val="086A5B0F"/>
    <w:rsid w:val="086E1AA3"/>
    <w:rsid w:val="0878022B"/>
    <w:rsid w:val="08856DEC"/>
    <w:rsid w:val="08872B64"/>
    <w:rsid w:val="0889068B"/>
    <w:rsid w:val="088F5575"/>
    <w:rsid w:val="08971562"/>
    <w:rsid w:val="089808CE"/>
    <w:rsid w:val="089D7C92"/>
    <w:rsid w:val="08A41020"/>
    <w:rsid w:val="08A54D99"/>
    <w:rsid w:val="08B60D54"/>
    <w:rsid w:val="08BA0844"/>
    <w:rsid w:val="08BA6A96"/>
    <w:rsid w:val="08BB229D"/>
    <w:rsid w:val="08C30964"/>
    <w:rsid w:val="08C416C3"/>
    <w:rsid w:val="08C43471"/>
    <w:rsid w:val="08C47915"/>
    <w:rsid w:val="08DA2C94"/>
    <w:rsid w:val="08E21B49"/>
    <w:rsid w:val="08E92ED7"/>
    <w:rsid w:val="08E9737B"/>
    <w:rsid w:val="08F16230"/>
    <w:rsid w:val="08F301FA"/>
    <w:rsid w:val="08F655F4"/>
    <w:rsid w:val="08F875BE"/>
    <w:rsid w:val="08FA3336"/>
    <w:rsid w:val="08FB2C0B"/>
    <w:rsid w:val="090715AF"/>
    <w:rsid w:val="090B5543"/>
    <w:rsid w:val="090E6DE2"/>
    <w:rsid w:val="090F7036"/>
    <w:rsid w:val="09120680"/>
    <w:rsid w:val="091268D2"/>
    <w:rsid w:val="091A12E3"/>
    <w:rsid w:val="091A5787"/>
    <w:rsid w:val="09293C1C"/>
    <w:rsid w:val="092C7268"/>
    <w:rsid w:val="09383E5F"/>
    <w:rsid w:val="093A6304"/>
    <w:rsid w:val="093F0D49"/>
    <w:rsid w:val="093F343F"/>
    <w:rsid w:val="093F51ED"/>
    <w:rsid w:val="09410F65"/>
    <w:rsid w:val="0946657C"/>
    <w:rsid w:val="094822F4"/>
    <w:rsid w:val="09486501"/>
    <w:rsid w:val="094D6CDE"/>
    <w:rsid w:val="095347F5"/>
    <w:rsid w:val="0958005D"/>
    <w:rsid w:val="09750C0F"/>
    <w:rsid w:val="0978425B"/>
    <w:rsid w:val="097D1872"/>
    <w:rsid w:val="097E5D15"/>
    <w:rsid w:val="09886B94"/>
    <w:rsid w:val="099E0166"/>
    <w:rsid w:val="09A3752A"/>
    <w:rsid w:val="09A45050"/>
    <w:rsid w:val="09A80FE4"/>
    <w:rsid w:val="09AB2883"/>
    <w:rsid w:val="09AE1AD7"/>
    <w:rsid w:val="09AF4121"/>
    <w:rsid w:val="09B23C11"/>
    <w:rsid w:val="09BA4874"/>
    <w:rsid w:val="09BE25B6"/>
    <w:rsid w:val="09C120A6"/>
    <w:rsid w:val="09C15C02"/>
    <w:rsid w:val="09C556F2"/>
    <w:rsid w:val="09CF47C3"/>
    <w:rsid w:val="09D122E9"/>
    <w:rsid w:val="09D27E0F"/>
    <w:rsid w:val="09D516AE"/>
    <w:rsid w:val="09DB3168"/>
    <w:rsid w:val="09DE0562"/>
    <w:rsid w:val="09E244F6"/>
    <w:rsid w:val="09E87633"/>
    <w:rsid w:val="09ED2E9B"/>
    <w:rsid w:val="0A00672A"/>
    <w:rsid w:val="0A0106F5"/>
    <w:rsid w:val="0A0A75A9"/>
    <w:rsid w:val="0A0C1573"/>
    <w:rsid w:val="0A110938"/>
    <w:rsid w:val="0A157CFC"/>
    <w:rsid w:val="0A1B17B6"/>
    <w:rsid w:val="0A1B3564"/>
    <w:rsid w:val="0A1D552E"/>
    <w:rsid w:val="0A20501F"/>
    <w:rsid w:val="0A206DCD"/>
    <w:rsid w:val="0A2368BD"/>
    <w:rsid w:val="0A2F0DBE"/>
    <w:rsid w:val="0A3144E0"/>
    <w:rsid w:val="0A375EC4"/>
    <w:rsid w:val="0A410AF1"/>
    <w:rsid w:val="0A430D0D"/>
    <w:rsid w:val="0A454A85"/>
    <w:rsid w:val="0A4707FD"/>
    <w:rsid w:val="0A481E7F"/>
    <w:rsid w:val="0A4D56E8"/>
    <w:rsid w:val="0A560A40"/>
    <w:rsid w:val="0A652A31"/>
    <w:rsid w:val="0A6A0048"/>
    <w:rsid w:val="0A6A44EC"/>
    <w:rsid w:val="0A6A629A"/>
    <w:rsid w:val="0A6D18E6"/>
    <w:rsid w:val="0A780920"/>
    <w:rsid w:val="0A785D2B"/>
    <w:rsid w:val="0A7964DD"/>
    <w:rsid w:val="0A7D5FCD"/>
    <w:rsid w:val="0A821835"/>
    <w:rsid w:val="0A84735B"/>
    <w:rsid w:val="0A870BFA"/>
    <w:rsid w:val="0A8729A8"/>
    <w:rsid w:val="0A8C4462"/>
    <w:rsid w:val="0A93759F"/>
    <w:rsid w:val="0A960E3D"/>
    <w:rsid w:val="0A9D666F"/>
    <w:rsid w:val="0A9F4195"/>
    <w:rsid w:val="0AA01CBB"/>
    <w:rsid w:val="0AA23C86"/>
    <w:rsid w:val="0AA479FE"/>
    <w:rsid w:val="0AA572D2"/>
    <w:rsid w:val="0AA96DC2"/>
    <w:rsid w:val="0AB17A25"/>
    <w:rsid w:val="0AB47515"/>
    <w:rsid w:val="0AB614DF"/>
    <w:rsid w:val="0AB87005"/>
    <w:rsid w:val="0ABB6AF5"/>
    <w:rsid w:val="0AC10340"/>
    <w:rsid w:val="0AC27E84"/>
    <w:rsid w:val="0AC97464"/>
    <w:rsid w:val="0AD32091"/>
    <w:rsid w:val="0AD6133C"/>
    <w:rsid w:val="0ADB3C39"/>
    <w:rsid w:val="0ADD4CBE"/>
    <w:rsid w:val="0ADF27E4"/>
    <w:rsid w:val="0ADF4592"/>
    <w:rsid w:val="0AEF054D"/>
    <w:rsid w:val="0AF52007"/>
    <w:rsid w:val="0AF65D7F"/>
    <w:rsid w:val="0AF85654"/>
    <w:rsid w:val="0AFD2C6A"/>
    <w:rsid w:val="0AFF2E86"/>
    <w:rsid w:val="0B071D3B"/>
    <w:rsid w:val="0B0C10FF"/>
    <w:rsid w:val="0B116715"/>
    <w:rsid w:val="0B1306DF"/>
    <w:rsid w:val="0B154457"/>
    <w:rsid w:val="0B1A381C"/>
    <w:rsid w:val="0B1A3A0F"/>
    <w:rsid w:val="0B1C57E6"/>
    <w:rsid w:val="0B1D50BA"/>
    <w:rsid w:val="0B2226D0"/>
    <w:rsid w:val="0B300371"/>
    <w:rsid w:val="0B386398"/>
    <w:rsid w:val="0B3A3EBE"/>
    <w:rsid w:val="0B3F7726"/>
    <w:rsid w:val="0B4E34C6"/>
    <w:rsid w:val="0B4E7969"/>
    <w:rsid w:val="0B52745A"/>
    <w:rsid w:val="0B5605CC"/>
    <w:rsid w:val="0B57681E"/>
    <w:rsid w:val="0B5F1B77"/>
    <w:rsid w:val="0B696551"/>
    <w:rsid w:val="0B6B4077"/>
    <w:rsid w:val="0B6B40B0"/>
    <w:rsid w:val="0B6E3B68"/>
    <w:rsid w:val="0B73117E"/>
    <w:rsid w:val="0B754EF6"/>
    <w:rsid w:val="0B770C6E"/>
    <w:rsid w:val="0B7F7B23"/>
    <w:rsid w:val="0B815649"/>
    <w:rsid w:val="0B845139"/>
    <w:rsid w:val="0B8B296C"/>
    <w:rsid w:val="0B925AA8"/>
    <w:rsid w:val="0B93537C"/>
    <w:rsid w:val="0B971310"/>
    <w:rsid w:val="0B995089"/>
    <w:rsid w:val="0B9D61FB"/>
    <w:rsid w:val="0B9F6417"/>
    <w:rsid w:val="0BA13F3D"/>
    <w:rsid w:val="0BA61553"/>
    <w:rsid w:val="0BA8707A"/>
    <w:rsid w:val="0BB35A1E"/>
    <w:rsid w:val="0BB7550F"/>
    <w:rsid w:val="0BCA3494"/>
    <w:rsid w:val="0BCA5242"/>
    <w:rsid w:val="0BCB720C"/>
    <w:rsid w:val="0BE61950"/>
    <w:rsid w:val="0BE65DF4"/>
    <w:rsid w:val="0BED3CBA"/>
    <w:rsid w:val="0BED7182"/>
    <w:rsid w:val="0BFB189F"/>
    <w:rsid w:val="0C012C2E"/>
    <w:rsid w:val="0C040028"/>
    <w:rsid w:val="0C05627A"/>
    <w:rsid w:val="0C0F0EA7"/>
    <w:rsid w:val="0C1069CD"/>
    <w:rsid w:val="0C156278"/>
    <w:rsid w:val="0C1741FF"/>
    <w:rsid w:val="0C197F77"/>
    <w:rsid w:val="0C1B5A9E"/>
    <w:rsid w:val="0C201306"/>
    <w:rsid w:val="0C252478"/>
    <w:rsid w:val="0C2801BA"/>
    <w:rsid w:val="0C322DE7"/>
    <w:rsid w:val="0C346B5F"/>
    <w:rsid w:val="0C37664F"/>
    <w:rsid w:val="0C3C5A14"/>
    <w:rsid w:val="0C4274CE"/>
    <w:rsid w:val="0C4D097A"/>
    <w:rsid w:val="0C4F5747"/>
    <w:rsid w:val="0C4F74F5"/>
    <w:rsid w:val="0C525237"/>
    <w:rsid w:val="0C62191E"/>
    <w:rsid w:val="0C632FA1"/>
    <w:rsid w:val="0C654F6B"/>
    <w:rsid w:val="0C6805B7"/>
    <w:rsid w:val="0C6A432F"/>
    <w:rsid w:val="0C6F1945"/>
    <w:rsid w:val="0C7451AE"/>
    <w:rsid w:val="0C7B478E"/>
    <w:rsid w:val="0C7B653C"/>
    <w:rsid w:val="0C801DA5"/>
    <w:rsid w:val="0C874EE1"/>
    <w:rsid w:val="0C8C699B"/>
    <w:rsid w:val="0C8F3D96"/>
    <w:rsid w:val="0C924486"/>
    <w:rsid w:val="0C945850"/>
    <w:rsid w:val="0C9870EE"/>
    <w:rsid w:val="0C9D2956"/>
    <w:rsid w:val="0CA05FA3"/>
    <w:rsid w:val="0CA5180B"/>
    <w:rsid w:val="0CA57A5D"/>
    <w:rsid w:val="0CAA5073"/>
    <w:rsid w:val="0CAD06C0"/>
    <w:rsid w:val="0CAE6912"/>
    <w:rsid w:val="0CAF268A"/>
    <w:rsid w:val="0CB11F5E"/>
    <w:rsid w:val="0CB46CF7"/>
    <w:rsid w:val="0CB63A18"/>
    <w:rsid w:val="0CB952B6"/>
    <w:rsid w:val="0CBB4B8B"/>
    <w:rsid w:val="0CC2416B"/>
    <w:rsid w:val="0CC53C5B"/>
    <w:rsid w:val="0CC9374C"/>
    <w:rsid w:val="0CCF0636"/>
    <w:rsid w:val="0CD0364E"/>
    <w:rsid w:val="0CD143AE"/>
    <w:rsid w:val="0CD345CA"/>
    <w:rsid w:val="0CD45C4C"/>
    <w:rsid w:val="0CEC568C"/>
    <w:rsid w:val="0CEE6D0E"/>
    <w:rsid w:val="0CF34325"/>
    <w:rsid w:val="0CF85DDF"/>
    <w:rsid w:val="0CFB767D"/>
    <w:rsid w:val="0D01680C"/>
    <w:rsid w:val="0D18022F"/>
    <w:rsid w:val="0D1B1A43"/>
    <w:rsid w:val="0D1F15BD"/>
    <w:rsid w:val="0D2E35AF"/>
    <w:rsid w:val="0D314E4D"/>
    <w:rsid w:val="0D3606B5"/>
    <w:rsid w:val="0D3D1A44"/>
    <w:rsid w:val="0D3F3A0E"/>
    <w:rsid w:val="0D407BC0"/>
    <w:rsid w:val="0D42705A"/>
    <w:rsid w:val="0D442DD2"/>
    <w:rsid w:val="0D4479D1"/>
    <w:rsid w:val="0D474670"/>
    <w:rsid w:val="0D4C1C87"/>
    <w:rsid w:val="0D5154EF"/>
    <w:rsid w:val="0D5648B3"/>
    <w:rsid w:val="0D576FA9"/>
    <w:rsid w:val="0D660F9A"/>
    <w:rsid w:val="0D6C40D7"/>
    <w:rsid w:val="0D701E19"/>
    <w:rsid w:val="0D7116ED"/>
    <w:rsid w:val="0D814026"/>
    <w:rsid w:val="0D817B82"/>
    <w:rsid w:val="0D8256A8"/>
    <w:rsid w:val="0D8B6C53"/>
    <w:rsid w:val="0D927FE1"/>
    <w:rsid w:val="0D9553DC"/>
    <w:rsid w:val="0D9C676A"/>
    <w:rsid w:val="0DA970D9"/>
    <w:rsid w:val="0DAB10A3"/>
    <w:rsid w:val="0DAB2E51"/>
    <w:rsid w:val="0DB25F8E"/>
    <w:rsid w:val="0DB31D06"/>
    <w:rsid w:val="0DB461AA"/>
    <w:rsid w:val="0DC14423"/>
    <w:rsid w:val="0DC3019B"/>
    <w:rsid w:val="0DCB34F3"/>
    <w:rsid w:val="0DCC0A89"/>
    <w:rsid w:val="0DCE08EE"/>
    <w:rsid w:val="0DD34156"/>
    <w:rsid w:val="0DDA54E4"/>
    <w:rsid w:val="0DE10621"/>
    <w:rsid w:val="0DE3083D"/>
    <w:rsid w:val="0DE85E53"/>
    <w:rsid w:val="0DE95727"/>
    <w:rsid w:val="0DEB5944"/>
    <w:rsid w:val="0DEF71E2"/>
    <w:rsid w:val="0DF02F5A"/>
    <w:rsid w:val="0DFA7935"/>
    <w:rsid w:val="0E0070D2"/>
    <w:rsid w:val="0E012A71"/>
    <w:rsid w:val="0E0407B3"/>
    <w:rsid w:val="0E0A5DCA"/>
    <w:rsid w:val="0E0B1B42"/>
    <w:rsid w:val="0E100F06"/>
    <w:rsid w:val="0E107158"/>
    <w:rsid w:val="0E176739"/>
    <w:rsid w:val="0E1C3D4F"/>
    <w:rsid w:val="0E26072A"/>
    <w:rsid w:val="0E2F75DE"/>
    <w:rsid w:val="0E344BF5"/>
    <w:rsid w:val="0E3746E5"/>
    <w:rsid w:val="0E3C619F"/>
    <w:rsid w:val="0E3E5A73"/>
    <w:rsid w:val="0E4868F2"/>
    <w:rsid w:val="0E4F1A2E"/>
    <w:rsid w:val="0E5B6625"/>
    <w:rsid w:val="0E5C05EF"/>
    <w:rsid w:val="0E5E6115"/>
    <w:rsid w:val="0E6059EA"/>
    <w:rsid w:val="0E6B438E"/>
    <w:rsid w:val="0E74112A"/>
    <w:rsid w:val="0E8536A2"/>
    <w:rsid w:val="0E855450"/>
    <w:rsid w:val="0E8A2A67"/>
    <w:rsid w:val="0E8F45F1"/>
    <w:rsid w:val="0E912047"/>
    <w:rsid w:val="0E924011"/>
    <w:rsid w:val="0E990EFC"/>
    <w:rsid w:val="0EA33B28"/>
    <w:rsid w:val="0EAC6E81"/>
    <w:rsid w:val="0EB421D9"/>
    <w:rsid w:val="0EB6385C"/>
    <w:rsid w:val="0EB75826"/>
    <w:rsid w:val="0EB9159E"/>
    <w:rsid w:val="0EC0292C"/>
    <w:rsid w:val="0ECC7523"/>
    <w:rsid w:val="0ECE5049"/>
    <w:rsid w:val="0ED168E7"/>
    <w:rsid w:val="0ED63EFE"/>
    <w:rsid w:val="0ED90728"/>
    <w:rsid w:val="0EE77EB9"/>
    <w:rsid w:val="0EE83C31"/>
    <w:rsid w:val="0EEC3721"/>
    <w:rsid w:val="0EEE7499"/>
    <w:rsid w:val="0EF16F8A"/>
    <w:rsid w:val="0EFB5712"/>
    <w:rsid w:val="0EFD592E"/>
    <w:rsid w:val="0EFE5203"/>
    <w:rsid w:val="0F00541F"/>
    <w:rsid w:val="0F072309"/>
    <w:rsid w:val="0F0A004B"/>
    <w:rsid w:val="0F0A1DF9"/>
    <w:rsid w:val="0F0C791F"/>
    <w:rsid w:val="0F182768"/>
    <w:rsid w:val="0F19203C"/>
    <w:rsid w:val="0F1A576B"/>
    <w:rsid w:val="0F1D38DB"/>
    <w:rsid w:val="0F1D7D7F"/>
    <w:rsid w:val="0F256C33"/>
    <w:rsid w:val="0F2904D1"/>
    <w:rsid w:val="0F296723"/>
    <w:rsid w:val="0F31382A"/>
    <w:rsid w:val="0F346E76"/>
    <w:rsid w:val="0F380715"/>
    <w:rsid w:val="0F3A0931"/>
    <w:rsid w:val="0F3D21CF"/>
    <w:rsid w:val="0F3D3F7D"/>
    <w:rsid w:val="0F3F5F47"/>
    <w:rsid w:val="0F3F5FF6"/>
    <w:rsid w:val="0F4470B9"/>
    <w:rsid w:val="0F4B48EC"/>
    <w:rsid w:val="0F4C2412"/>
    <w:rsid w:val="0F4E7F38"/>
    <w:rsid w:val="0F501F02"/>
    <w:rsid w:val="0F503CB0"/>
    <w:rsid w:val="0F517A28"/>
    <w:rsid w:val="0F53554E"/>
    <w:rsid w:val="0F563291"/>
    <w:rsid w:val="0F566DED"/>
    <w:rsid w:val="0F5C08A7"/>
    <w:rsid w:val="0F6634D4"/>
    <w:rsid w:val="0F67724C"/>
    <w:rsid w:val="0F6C4862"/>
    <w:rsid w:val="0F73174D"/>
    <w:rsid w:val="0F803E6A"/>
    <w:rsid w:val="0F847DFE"/>
    <w:rsid w:val="0F8A1F4B"/>
    <w:rsid w:val="0F8B4CE8"/>
    <w:rsid w:val="0F916077"/>
    <w:rsid w:val="0F931DEF"/>
    <w:rsid w:val="0F9F69E6"/>
    <w:rsid w:val="0FA22032"/>
    <w:rsid w:val="0FB12275"/>
    <w:rsid w:val="0FB6788B"/>
    <w:rsid w:val="0FC87CEA"/>
    <w:rsid w:val="0FCB3337"/>
    <w:rsid w:val="0FD20B69"/>
    <w:rsid w:val="0FD7617F"/>
    <w:rsid w:val="0FDC19E8"/>
    <w:rsid w:val="0FDC5544"/>
    <w:rsid w:val="0FE32D76"/>
    <w:rsid w:val="0FEB5787"/>
    <w:rsid w:val="100131FC"/>
    <w:rsid w:val="10086339"/>
    <w:rsid w:val="100920B1"/>
    <w:rsid w:val="100A1780"/>
    <w:rsid w:val="100E76C7"/>
    <w:rsid w:val="101051ED"/>
    <w:rsid w:val="1017657C"/>
    <w:rsid w:val="101A606C"/>
    <w:rsid w:val="102313C5"/>
    <w:rsid w:val="10303AE2"/>
    <w:rsid w:val="103435D2"/>
    <w:rsid w:val="103F5AD3"/>
    <w:rsid w:val="10417A9D"/>
    <w:rsid w:val="10437371"/>
    <w:rsid w:val="104A4BA3"/>
    <w:rsid w:val="104A6951"/>
    <w:rsid w:val="10571108"/>
    <w:rsid w:val="10593038"/>
    <w:rsid w:val="10596B94"/>
    <w:rsid w:val="105A290D"/>
    <w:rsid w:val="105A46BB"/>
    <w:rsid w:val="105C48D7"/>
    <w:rsid w:val="10645539"/>
    <w:rsid w:val="106519DD"/>
    <w:rsid w:val="10675755"/>
    <w:rsid w:val="10685029"/>
    <w:rsid w:val="10686DD7"/>
    <w:rsid w:val="106B4B1A"/>
    <w:rsid w:val="10725EA8"/>
    <w:rsid w:val="10795489"/>
    <w:rsid w:val="107A6B0B"/>
    <w:rsid w:val="107E484D"/>
    <w:rsid w:val="10802373"/>
    <w:rsid w:val="10861954"/>
    <w:rsid w:val="10881228"/>
    <w:rsid w:val="1088747A"/>
    <w:rsid w:val="108D683E"/>
    <w:rsid w:val="10947BCD"/>
    <w:rsid w:val="10967DE9"/>
    <w:rsid w:val="109D1177"/>
    <w:rsid w:val="10AF0EAA"/>
    <w:rsid w:val="10B62239"/>
    <w:rsid w:val="10B63FE7"/>
    <w:rsid w:val="10B85C94"/>
    <w:rsid w:val="10BB33AB"/>
    <w:rsid w:val="10C04E65"/>
    <w:rsid w:val="10C06C14"/>
    <w:rsid w:val="10C34956"/>
    <w:rsid w:val="10CD1330"/>
    <w:rsid w:val="10CF50A9"/>
    <w:rsid w:val="10D10E21"/>
    <w:rsid w:val="10D80401"/>
    <w:rsid w:val="10E02E12"/>
    <w:rsid w:val="10E2302E"/>
    <w:rsid w:val="10F13271"/>
    <w:rsid w:val="10F361C8"/>
    <w:rsid w:val="10F36FE9"/>
    <w:rsid w:val="10F44B0F"/>
    <w:rsid w:val="10F62635"/>
    <w:rsid w:val="10F66AD9"/>
    <w:rsid w:val="10F863AD"/>
    <w:rsid w:val="10F92125"/>
    <w:rsid w:val="10F92E76"/>
    <w:rsid w:val="10FE14EA"/>
    <w:rsid w:val="11050ACA"/>
    <w:rsid w:val="11072A94"/>
    <w:rsid w:val="110A60E1"/>
    <w:rsid w:val="110A7E8F"/>
    <w:rsid w:val="111451B1"/>
    <w:rsid w:val="111E393A"/>
    <w:rsid w:val="1122342A"/>
    <w:rsid w:val="112371A2"/>
    <w:rsid w:val="11274EE5"/>
    <w:rsid w:val="112C6057"/>
    <w:rsid w:val="11407D54"/>
    <w:rsid w:val="11427629"/>
    <w:rsid w:val="114535BD"/>
    <w:rsid w:val="114948FA"/>
    <w:rsid w:val="114D68D5"/>
    <w:rsid w:val="11513D10"/>
    <w:rsid w:val="11561326"/>
    <w:rsid w:val="115A7068"/>
    <w:rsid w:val="115B06EA"/>
    <w:rsid w:val="115F467E"/>
    <w:rsid w:val="11691059"/>
    <w:rsid w:val="116C0B49"/>
    <w:rsid w:val="116F4196"/>
    <w:rsid w:val="11716160"/>
    <w:rsid w:val="117B6FDE"/>
    <w:rsid w:val="117D2D56"/>
    <w:rsid w:val="117D68B3"/>
    <w:rsid w:val="117F6ACF"/>
    <w:rsid w:val="1182211B"/>
    <w:rsid w:val="118B7221"/>
    <w:rsid w:val="118C4D48"/>
    <w:rsid w:val="119500A0"/>
    <w:rsid w:val="119A3908"/>
    <w:rsid w:val="119B31DD"/>
    <w:rsid w:val="119D0D03"/>
    <w:rsid w:val="119D51A7"/>
    <w:rsid w:val="11A42091"/>
    <w:rsid w:val="11A77DD3"/>
    <w:rsid w:val="11B04EDA"/>
    <w:rsid w:val="11B12A00"/>
    <w:rsid w:val="11B147AE"/>
    <w:rsid w:val="11B76268"/>
    <w:rsid w:val="11BA18B5"/>
    <w:rsid w:val="11BB73DB"/>
    <w:rsid w:val="11C40985"/>
    <w:rsid w:val="11C52008"/>
    <w:rsid w:val="11C75D80"/>
    <w:rsid w:val="11C97D4A"/>
    <w:rsid w:val="11CC15E8"/>
    <w:rsid w:val="11CE35B2"/>
    <w:rsid w:val="11D34725"/>
    <w:rsid w:val="11D706B9"/>
    <w:rsid w:val="11DA5AB3"/>
    <w:rsid w:val="11DF30C9"/>
    <w:rsid w:val="11E95D4A"/>
    <w:rsid w:val="11F33019"/>
    <w:rsid w:val="11F36B75"/>
    <w:rsid w:val="11F72B09"/>
    <w:rsid w:val="11F823DD"/>
    <w:rsid w:val="11FC3C7B"/>
    <w:rsid w:val="12011292"/>
    <w:rsid w:val="120D5E88"/>
    <w:rsid w:val="121C60CC"/>
    <w:rsid w:val="121F5BBC"/>
    <w:rsid w:val="122D2087"/>
    <w:rsid w:val="123478B9"/>
    <w:rsid w:val="12380A2C"/>
    <w:rsid w:val="123F625E"/>
    <w:rsid w:val="124473D0"/>
    <w:rsid w:val="12455238"/>
    <w:rsid w:val="124675EC"/>
    <w:rsid w:val="12490E8B"/>
    <w:rsid w:val="125D0492"/>
    <w:rsid w:val="125F245C"/>
    <w:rsid w:val="12614426"/>
    <w:rsid w:val="12655CC4"/>
    <w:rsid w:val="12661A3D"/>
    <w:rsid w:val="12695089"/>
    <w:rsid w:val="126C10E4"/>
    <w:rsid w:val="126D6927"/>
    <w:rsid w:val="12747CB6"/>
    <w:rsid w:val="127952CC"/>
    <w:rsid w:val="127C6B6A"/>
    <w:rsid w:val="12802AFE"/>
    <w:rsid w:val="12906AB9"/>
    <w:rsid w:val="12922832"/>
    <w:rsid w:val="129245E0"/>
    <w:rsid w:val="12B376DE"/>
    <w:rsid w:val="12C64289"/>
    <w:rsid w:val="12C7072D"/>
    <w:rsid w:val="12C86253"/>
    <w:rsid w:val="12CA3D79"/>
    <w:rsid w:val="12CB18A0"/>
    <w:rsid w:val="12CC1C47"/>
    <w:rsid w:val="12D44BF8"/>
    <w:rsid w:val="12D469A6"/>
    <w:rsid w:val="12D6271E"/>
    <w:rsid w:val="12DB1D83"/>
    <w:rsid w:val="12DB5F87"/>
    <w:rsid w:val="12E14724"/>
    <w:rsid w:val="12E3308D"/>
    <w:rsid w:val="12E52961"/>
    <w:rsid w:val="12E56E05"/>
    <w:rsid w:val="12EA61CA"/>
    <w:rsid w:val="12EF1A32"/>
    <w:rsid w:val="12F26E2C"/>
    <w:rsid w:val="12F708E7"/>
    <w:rsid w:val="12FE3A23"/>
    <w:rsid w:val="13117BFA"/>
    <w:rsid w:val="131224C6"/>
    <w:rsid w:val="13164E87"/>
    <w:rsid w:val="131B45D5"/>
    <w:rsid w:val="132B73A1"/>
    <w:rsid w:val="132D4308"/>
    <w:rsid w:val="132F62D2"/>
    <w:rsid w:val="1331686B"/>
    <w:rsid w:val="13433851"/>
    <w:rsid w:val="13521EB6"/>
    <w:rsid w:val="13531FC1"/>
    <w:rsid w:val="135950FD"/>
    <w:rsid w:val="135B2C24"/>
    <w:rsid w:val="1360648C"/>
    <w:rsid w:val="136A10B9"/>
    <w:rsid w:val="136A2E67"/>
    <w:rsid w:val="136E0BA9"/>
    <w:rsid w:val="13710699"/>
    <w:rsid w:val="13737F6D"/>
    <w:rsid w:val="13743CE5"/>
    <w:rsid w:val="13771000"/>
    <w:rsid w:val="1379754E"/>
    <w:rsid w:val="137B10C2"/>
    <w:rsid w:val="137B1518"/>
    <w:rsid w:val="137D2B9A"/>
    <w:rsid w:val="13877EBC"/>
    <w:rsid w:val="13946135"/>
    <w:rsid w:val="13963FB4"/>
    <w:rsid w:val="139D148E"/>
    <w:rsid w:val="139D4FEA"/>
    <w:rsid w:val="139F5206"/>
    <w:rsid w:val="13A26AA4"/>
    <w:rsid w:val="13A50343"/>
    <w:rsid w:val="13B14F39"/>
    <w:rsid w:val="13B567D8"/>
    <w:rsid w:val="13B62550"/>
    <w:rsid w:val="13BB36C2"/>
    <w:rsid w:val="13BB7B66"/>
    <w:rsid w:val="13BC5DB8"/>
    <w:rsid w:val="13BD743A"/>
    <w:rsid w:val="13BF31B2"/>
    <w:rsid w:val="13C24A51"/>
    <w:rsid w:val="13C407C9"/>
    <w:rsid w:val="13C46A1B"/>
    <w:rsid w:val="13CB5FFB"/>
    <w:rsid w:val="13CC1D73"/>
    <w:rsid w:val="13D6674E"/>
    <w:rsid w:val="13D72EAC"/>
    <w:rsid w:val="13D824C6"/>
    <w:rsid w:val="13E35761"/>
    <w:rsid w:val="13F15336"/>
    <w:rsid w:val="13F35552"/>
    <w:rsid w:val="13F82B68"/>
    <w:rsid w:val="13FD1F2D"/>
    <w:rsid w:val="13FF3EF7"/>
    <w:rsid w:val="13FF5CA5"/>
    <w:rsid w:val="14027543"/>
    <w:rsid w:val="14076907"/>
    <w:rsid w:val="14101C60"/>
    <w:rsid w:val="1410477D"/>
    <w:rsid w:val="141554C8"/>
    <w:rsid w:val="14171240"/>
    <w:rsid w:val="141A2ADF"/>
    <w:rsid w:val="141F6347"/>
    <w:rsid w:val="1424395D"/>
    <w:rsid w:val="1424570B"/>
    <w:rsid w:val="142B0848"/>
    <w:rsid w:val="142C636E"/>
    <w:rsid w:val="142E0338"/>
    <w:rsid w:val="143E4A1F"/>
    <w:rsid w:val="14423DE3"/>
    <w:rsid w:val="14425B91"/>
    <w:rsid w:val="144D4C62"/>
    <w:rsid w:val="14524026"/>
    <w:rsid w:val="145F04F1"/>
    <w:rsid w:val="146B333A"/>
    <w:rsid w:val="146F2E2A"/>
    <w:rsid w:val="14720225"/>
    <w:rsid w:val="147815B3"/>
    <w:rsid w:val="147C72F5"/>
    <w:rsid w:val="147E306D"/>
    <w:rsid w:val="147E4E1C"/>
    <w:rsid w:val="14830684"/>
    <w:rsid w:val="148461AA"/>
    <w:rsid w:val="14863CD0"/>
    <w:rsid w:val="148B12E6"/>
    <w:rsid w:val="14942891"/>
    <w:rsid w:val="149503B7"/>
    <w:rsid w:val="149E726C"/>
    <w:rsid w:val="14A14FAE"/>
    <w:rsid w:val="14A30D26"/>
    <w:rsid w:val="14BA7E1E"/>
    <w:rsid w:val="14BB6070"/>
    <w:rsid w:val="14BE790E"/>
    <w:rsid w:val="14D56A06"/>
    <w:rsid w:val="14D709D0"/>
    <w:rsid w:val="14DE58BA"/>
    <w:rsid w:val="14DF1632"/>
    <w:rsid w:val="14E8498B"/>
    <w:rsid w:val="14ED2FA2"/>
    <w:rsid w:val="14ED3D4F"/>
    <w:rsid w:val="14EF1875"/>
    <w:rsid w:val="14EF5D19"/>
    <w:rsid w:val="14F90946"/>
    <w:rsid w:val="14FB46BE"/>
    <w:rsid w:val="14FE5F5C"/>
    <w:rsid w:val="150A4901"/>
    <w:rsid w:val="15115C90"/>
    <w:rsid w:val="15127C5A"/>
    <w:rsid w:val="151439D2"/>
    <w:rsid w:val="151B6B0E"/>
    <w:rsid w:val="151E65FF"/>
    <w:rsid w:val="152A0AFF"/>
    <w:rsid w:val="152C0D1B"/>
    <w:rsid w:val="152D05F0"/>
    <w:rsid w:val="153320AA"/>
    <w:rsid w:val="1534197E"/>
    <w:rsid w:val="15393438"/>
    <w:rsid w:val="153B2D0D"/>
    <w:rsid w:val="154222ED"/>
    <w:rsid w:val="15477903"/>
    <w:rsid w:val="15525368"/>
    <w:rsid w:val="15593193"/>
    <w:rsid w:val="155B4089"/>
    <w:rsid w:val="155C2C83"/>
    <w:rsid w:val="15673B02"/>
    <w:rsid w:val="156A1844"/>
    <w:rsid w:val="156C55BC"/>
    <w:rsid w:val="156F6E5A"/>
    <w:rsid w:val="157224A6"/>
    <w:rsid w:val="15793835"/>
    <w:rsid w:val="15810270"/>
    <w:rsid w:val="158C3568"/>
    <w:rsid w:val="158E5532"/>
    <w:rsid w:val="159A3ED7"/>
    <w:rsid w:val="159E5049"/>
    <w:rsid w:val="15A563D8"/>
    <w:rsid w:val="15AA7E92"/>
    <w:rsid w:val="15AC3C0A"/>
    <w:rsid w:val="15AF7257"/>
    <w:rsid w:val="15B473D7"/>
    <w:rsid w:val="15BD5E17"/>
    <w:rsid w:val="15C745A0"/>
    <w:rsid w:val="15C918AE"/>
    <w:rsid w:val="15C947BC"/>
    <w:rsid w:val="15D1541F"/>
    <w:rsid w:val="15D32F45"/>
    <w:rsid w:val="15D46CBD"/>
    <w:rsid w:val="15D53161"/>
    <w:rsid w:val="15D60C87"/>
    <w:rsid w:val="15D8055B"/>
    <w:rsid w:val="15D96849"/>
    <w:rsid w:val="15E6711C"/>
    <w:rsid w:val="15EE4223"/>
    <w:rsid w:val="15F01D49"/>
    <w:rsid w:val="15F1161D"/>
    <w:rsid w:val="15F76776"/>
    <w:rsid w:val="15F86E50"/>
    <w:rsid w:val="15FA2BC8"/>
    <w:rsid w:val="15FF01DE"/>
    <w:rsid w:val="1609105D"/>
    <w:rsid w:val="160B6B83"/>
    <w:rsid w:val="16161084"/>
    <w:rsid w:val="161A0B74"/>
    <w:rsid w:val="161D0664"/>
    <w:rsid w:val="16257519"/>
    <w:rsid w:val="16297009"/>
    <w:rsid w:val="1633086D"/>
    <w:rsid w:val="16331C36"/>
    <w:rsid w:val="1642631D"/>
    <w:rsid w:val="16443E43"/>
    <w:rsid w:val="16473933"/>
    <w:rsid w:val="16491459"/>
    <w:rsid w:val="164E4CC1"/>
    <w:rsid w:val="16500A3A"/>
    <w:rsid w:val="1658169C"/>
    <w:rsid w:val="165F6ECF"/>
    <w:rsid w:val="16640041"/>
    <w:rsid w:val="1669207D"/>
    <w:rsid w:val="166D339A"/>
    <w:rsid w:val="167069E6"/>
    <w:rsid w:val="16726C02"/>
    <w:rsid w:val="16734728"/>
    <w:rsid w:val="16873D30"/>
    <w:rsid w:val="16895CFA"/>
    <w:rsid w:val="168C1346"/>
    <w:rsid w:val="168E50BE"/>
    <w:rsid w:val="16900E36"/>
    <w:rsid w:val="169052DA"/>
    <w:rsid w:val="16922E00"/>
    <w:rsid w:val="16924BAE"/>
    <w:rsid w:val="16976668"/>
    <w:rsid w:val="169A3A63"/>
    <w:rsid w:val="169A7F07"/>
    <w:rsid w:val="16A11295"/>
    <w:rsid w:val="16A576FF"/>
    <w:rsid w:val="16A62408"/>
    <w:rsid w:val="16A86180"/>
    <w:rsid w:val="16A9014A"/>
    <w:rsid w:val="16AD19E8"/>
    <w:rsid w:val="16B34B25"/>
    <w:rsid w:val="16B40FC8"/>
    <w:rsid w:val="16B9038D"/>
    <w:rsid w:val="16BE1E47"/>
    <w:rsid w:val="16C531D6"/>
    <w:rsid w:val="16C64858"/>
    <w:rsid w:val="16C94348"/>
    <w:rsid w:val="16CA259A"/>
    <w:rsid w:val="16CC53F5"/>
    <w:rsid w:val="16CE195E"/>
    <w:rsid w:val="16D451C7"/>
    <w:rsid w:val="16E66CA8"/>
    <w:rsid w:val="16E96798"/>
    <w:rsid w:val="16F77107"/>
    <w:rsid w:val="16F969DB"/>
    <w:rsid w:val="16FC471D"/>
    <w:rsid w:val="16FD42A8"/>
    <w:rsid w:val="16FE1915"/>
    <w:rsid w:val="17005FBC"/>
    <w:rsid w:val="17013AE2"/>
    <w:rsid w:val="17017F86"/>
    <w:rsid w:val="170A0BE8"/>
    <w:rsid w:val="170A508C"/>
    <w:rsid w:val="171001C9"/>
    <w:rsid w:val="17173305"/>
    <w:rsid w:val="17214184"/>
    <w:rsid w:val="17224B33"/>
    <w:rsid w:val="17226E2D"/>
    <w:rsid w:val="172577D0"/>
    <w:rsid w:val="172F064F"/>
    <w:rsid w:val="172F68A1"/>
    <w:rsid w:val="17321EED"/>
    <w:rsid w:val="173619DD"/>
    <w:rsid w:val="173E4D36"/>
    <w:rsid w:val="173E6AE4"/>
    <w:rsid w:val="17410382"/>
    <w:rsid w:val="17487963"/>
    <w:rsid w:val="174D31CB"/>
    <w:rsid w:val="17516470"/>
    <w:rsid w:val="17577BA6"/>
    <w:rsid w:val="175C3583"/>
    <w:rsid w:val="175E7186"/>
    <w:rsid w:val="1768590F"/>
    <w:rsid w:val="176C18A3"/>
    <w:rsid w:val="176D1177"/>
    <w:rsid w:val="1787048B"/>
    <w:rsid w:val="178C5AA1"/>
    <w:rsid w:val="178C784F"/>
    <w:rsid w:val="179901BE"/>
    <w:rsid w:val="17991F6C"/>
    <w:rsid w:val="179B7A92"/>
    <w:rsid w:val="17A10E21"/>
    <w:rsid w:val="17A34B99"/>
    <w:rsid w:val="17A50911"/>
    <w:rsid w:val="17A54DB5"/>
    <w:rsid w:val="17AA23CB"/>
    <w:rsid w:val="17AC3DA9"/>
    <w:rsid w:val="17AF1790"/>
    <w:rsid w:val="17B1375A"/>
    <w:rsid w:val="17B15508"/>
    <w:rsid w:val="17B374D2"/>
    <w:rsid w:val="17B86896"/>
    <w:rsid w:val="17B9167F"/>
    <w:rsid w:val="17C214C3"/>
    <w:rsid w:val="17C70888"/>
    <w:rsid w:val="17CC40F0"/>
    <w:rsid w:val="17CF1E32"/>
    <w:rsid w:val="17D47448"/>
    <w:rsid w:val="17D74C08"/>
    <w:rsid w:val="17D82A95"/>
    <w:rsid w:val="17D84957"/>
    <w:rsid w:val="17D86F39"/>
    <w:rsid w:val="17DB07D7"/>
    <w:rsid w:val="17E56F60"/>
    <w:rsid w:val="17EC02EE"/>
    <w:rsid w:val="17F6116D"/>
    <w:rsid w:val="18055854"/>
    <w:rsid w:val="18090EA0"/>
    <w:rsid w:val="181141F9"/>
    <w:rsid w:val="18147845"/>
    <w:rsid w:val="181A0A1C"/>
    <w:rsid w:val="181B6E25"/>
    <w:rsid w:val="1820443C"/>
    <w:rsid w:val="18243F2C"/>
    <w:rsid w:val="18245CDA"/>
    <w:rsid w:val="183121A5"/>
    <w:rsid w:val="1833416F"/>
    <w:rsid w:val="18335F1D"/>
    <w:rsid w:val="18371EB1"/>
    <w:rsid w:val="18397C4D"/>
    <w:rsid w:val="183A72AB"/>
    <w:rsid w:val="183D4FEE"/>
    <w:rsid w:val="183F48C2"/>
    <w:rsid w:val="18422604"/>
    <w:rsid w:val="18441ED8"/>
    <w:rsid w:val="18495740"/>
    <w:rsid w:val="184C3483"/>
    <w:rsid w:val="184C5231"/>
    <w:rsid w:val="18510A99"/>
    <w:rsid w:val="18561C0B"/>
    <w:rsid w:val="186D58D3"/>
    <w:rsid w:val="186E33F9"/>
    <w:rsid w:val="186F6C45"/>
    <w:rsid w:val="187529D9"/>
    <w:rsid w:val="187622AE"/>
    <w:rsid w:val="187A1D9E"/>
    <w:rsid w:val="18814EDA"/>
    <w:rsid w:val="18826EA4"/>
    <w:rsid w:val="188B5D59"/>
    <w:rsid w:val="189042E0"/>
    <w:rsid w:val="189310B2"/>
    <w:rsid w:val="18952734"/>
    <w:rsid w:val="189664AC"/>
    <w:rsid w:val="18980476"/>
    <w:rsid w:val="189B3AC2"/>
    <w:rsid w:val="18A62B93"/>
    <w:rsid w:val="18A96DD5"/>
    <w:rsid w:val="18AB01A9"/>
    <w:rsid w:val="18B03A11"/>
    <w:rsid w:val="18BD7EDC"/>
    <w:rsid w:val="18C4126B"/>
    <w:rsid w:val="18C474BD"/>
    <w:rsid w:val="18C748B7"/>
    <w:rsid w:val="18CB25F9"/>
    <w:rsid w:val="18CB43A7"/>
    <w:rsid w:val="18D019BE"/>
    <w:rsid w:val="18D25736"/>
    <w:rsid w:val="18D3325C"/>
    <w:rsid w:val="18D47700"/>
    <w:rsid w:val="18D70F9E"/>
    <w:rsid w:val="18DC4807"/>
    <w:rsid w:val="18DD40DB"/>
    <w:rsid w:val="18DE057F"/>
    <w:rsid w:val="18E436BB"/>
    <w:rsid w:val="18E611E1"/>
    <w:rsid w:val="18ED431E"/>
    <w:rsid w:val="18ED6A14"/>
    <w:rsid w:val="18F25DD8"/>
    <w:rsid w:val="18FE652B"/>
    <w:rsid w:val="19053D5D"/>
    <w:rsid w:val="19120228"/>
    <w:rsid w:val="19137AFC"/>
    <w:rsid w:val="191915B7"/>
    <w:rsid w:val="19197809"/>
    <w:rsid w:val="191C10A7"/>
    <w:rsid w:val="191F46F3"/>
    <w:rsid w:val="192166BD"/>
    <w:rsid w:val="192561AE"/>
    <w:rsid w:val="19267830"/>
    <w:rsid w:val="1927569A"/>
    <w:rsid w:val="19306900"/>
    <w:rsid w:val="1931674C"/>
    <w:rsid w:val="19375EE1"/>
    <w:rsid w:val="19377C8F"/>
    <w:rsid w:val="193B777F"/>
    <w:rsid w:val="193E2DCB"/>
    <w:rsid w:val="193E726F"/>
    <w:rsid w:val="194D2EA6"/>
    <w:rsid w:val="194F4FD8"/>
    <w:rsid w:val="195C14A3"/>
    <w:rsid w:val="1968609A"/>
    <w:rsid w:val="196A0064"/>
    <w:rsid w:val="19726F19"/>
    <w:rsid w:val="19766A09"/>
    <w:rsid w:val="197B401F"/>
    <w:rsid w:val="197B7B7C"/>
    <w:rsid w:val="19805192"/>
    <w:rsid w:val="198B3B37"/>
    <w:rsid w:val="198C7FDB"/>
    <w:rsid w:val="19960E59"/>
    <w:rsid w:val="199649B5"/>
    <w:rsid w:val="19A215AC"/>
    <w:rsid w:val="19A277FE"/>
    <w:rsid w:val="19AC242B"/>
    <w:rsid w:val="19AD1CFF"/>
    <w:rsid w:val="19B80DD0"/>
    <w:rsid w:val="19BE215E"/>
    <w:rsid w:val="19C05ED6"/>
    <w:rsid w:val="19C50978"/>
    <w:rsid w:val="19C92FDD"/>
    <w:rsid w:val="19CA165B"/>
    <w:rsid w:val="19D11E91"/>
    <w:rsid w:val="19D21766"/>
    <w:rsid w:val="19D96F98"/>
    <w:rsid w:val="19DB061A"/>
    <w:rsid w:val="19DE635C"/>
    <w:rsid w:val="19E020D4"/>
    <w:rsid w:val="19E75211"/>
    <w:rsid w:val="19EC6CCB"/>
    <w:rsid w:val="19EF24A3"/>
    <w:rsid w:val="19F31E08"/>
    <w:rsid w:val="19FB0CBC"/>
    <w:rsid w:val="1A0758B3"/>
    <w:rsid w:val="1A0E5A2C"/>
    <w:rsid w:val="1A0E6C42"/>
    <w:rsid w:val="1A165AF6"/>
    <w:rsid w:val="1A1678A4"/>
    <w:rsid w:val="1A187AC0"/>
    <w:rsid w:val="1A197394"/>
    <w:rsid w:val="1A2024D1"/>
    <w:rsid w:val="1A206975"/>
    <w:rsid w:val="1A22449B"/>
    <w:rsid w:val="1A246465"/>
    <w:rsid w:val="1A277D03"/>
    <w:rsid w:val="1A2B77F4"/>
    <w:rsid w:val="1A2C70C8"/>
    <w:rsid w:val="1A2E5016"/>
    <w:rsid w:val="1A3B730B"/>
    <w:rsid w:val="1A4300A3"/>
    <w:rsid w:val="1A442663"/>
    <w:rsid w:val="1A4E34E2"/>
    <w:rsid w:val="1A4E5290"/>
    <w:rsid w:val="1A4E703E"/>
    <w:rsid w:val="1A501008"/>
    <w:rsid w:val="1A5255B1"/>
    <w:rsid w:val="1A534654"/>
    <w:rsid w:val="1A5B5BFF"/>
    <w:rsid w:val="1A5D1977"/>
    <w:rsid w:val="1A5F56EF"/>
    <w:rsid w:val="1A606D71"/>
    <w:rsid w:val="1A676352"/>
    <w:rsid w:val="1A7171D0"/>
    <w:rsid w:val="1A7176E9"/>
    <w:rsid w:val="1A75281D"/>
    <w:rsid w:val="1A7A7E33"/>
    <w:rsid w:val="1A846F04"/>
    <w:rsid w:val="1A89451A"/>
    <w:rsid w:val="1A903AFB"/>
    <w:rsid w:val="1A91414C"/>
    <w:rsid w:val="1A91517D"/>
    <w:rsid w:val="1A98475D"/>
    <w:rsid w:val="1A9A04D5"/>
    <w:rsid w:val="1A9C249F"/>
    <w:rsid w:val="1AA03612"/>
    <w:rsid w:val="1AA2382E"/>
    <w:rsid w:val="1AA2738A"/>
    <w:rsid w:val="1AA27C58"/>
    <w:rsid w:val="1AAB26E2"/>
    <w:rsid w:val="1AAB623F"/>
    <w:rsid w:val="1ABF08C1"/>
    <w:rsid w:val="1ABF618E"/>
    <w:rsid w:val="1AC27242"/>
    <w:rsid w:val="1AC45552"/>
    <w:rsid w:val="1AC76DF0"/>
    <w:rsid w:val="1ACB68E1"/>
    <w:rsid w:val="1ADA4D76"/>
    <w:rsid w:val="1ADA6B24"/>
    <w:rsid w:val="1AE259D8"/>
    <w:rsid w:val="1AE87493"/>
    <w:rsid w:val="1AE94FB9"/>
    <w:rsid w:val="1AEB2ADF"/>
    <w:rsid w:val="1AF5395E"/>
    <w:rsid w:val="1B0167A6"/>
    <w:rsid w:val="1B03607B"/>
    <w:rsid w:val="1B0E67CD"/>
    <w:rsid w:val="1B124510"/>
    <w:rsid w:val="1B1E1106"/>
    <w:rsid w:val="1B222279"/>
    <w:rsid w:val="1B283D33"/>
    <w:rsid w:val="1B285AE1"/>
    <w:rsid w:val="1B291859"/>
    <w:rsid w:val="1B2E6E70"/>
    <w:rsid w:val="1B302BE8"/>
    <w:rsid w:val="1B3E5305"/>
    <w:rsid w:val="1B4072CF"/>
    <w:rsid w:val="1B416BA3"/>
    <w:rsid w:val="1B486183"/>
    <w:rsid w:val="1B4A1EFB"/>
    <w:rsid w:val="1B50328A"/>
    <w:rsid w:val="1B5543FC"/>
    <w:rsid w:val="1B593EEC"/>
    <w:rsid w:val="1B6D1746"/>
    <w:rsid w:val="1B6D5BEA"/>
    <w:rsid w:val="1B7156DA"/>
    <w:rsid w:val="1B866CAC"/>
    <w:rsid w:val="1B87029B"/>
    <w:rsid w:val="1B8D003A"/>
    <w:rsid w:val="1B9227DD"/>
    <w:rsid w:val="1B9413C8"/>
    <w:rsid w:val="1B974A15"/>
    <w:rsid w:val="1B9969DF"/>
    <w:rsid w:val="1B9F38C9"/>
    <w:rsid w:val="1BA17641"/>
    <w:rsid w:val="1BA809D0"/>
    <w:rsid w:val="1BAD248A"/>
    <w:rsid w:val="1BB6133F"/>
    <w:rsid w:val="1BCF0653"/>
    <w:rsid w:val="1BD73063"/>
    <w:rsid w:val="1BDB0DA5"/>
    <w:rsid w:val="1BDB2B53"/>
    <w:rsid w:val="1BDC68CC"/>
    <w:rsid w:val="1BE834C2"/>
    <w:rsid w:val="1BE91714"/>
    <w:rsid w:val="1BEA548C"/>
    <w:rsid w:val="1BEC6B0F"/>
    <w:rsid w:val="1BEF4851"/>
    <w:rsid w:val="1BFC2ACA"/>
    <w:rsid w:val="1BFD51C0"/>
    <w:rsid w:val="1BFD6F3E"/>
    <w:rsid w:val="1C054074"/>
    <w:rsid w:val="1C0C71B1"/>
    <w:rsid w:val="1C0E2F29"/>
    <w:rsid w:val="1C142509"/>
    <w:rsid w:val="1C163B8C"/>
    <w:rsid w:val="1C1B5646"/>
    <w:rsid w:val="1C202C5C"/>
    <w:rsid w:val="1C204A0A"/>
    <w:rsid w:val="1C247518"/>
    <w:rsid w:val="1C2C7853"/>
    <w:rsid w:val="1C2E35CB"/>
    <w:rsid w:val="1C35495A"/>
    <w:rsid w:val="1C4921B3"/>
    <w:rsid w:val="1C511068"/>
    <w:rsid w:val="1C5841A4"/>
    <w:rsid w:val="1C6012AB"/>
    <w:rsid w:val="1C626DD1"/>
    <w:rsid w:val="1C6963B1"/>
    <w:rsid w:val="1C6E39C8"/>
    <w:rsid w:val="1C6F14EE"/>
    <w:rsid w:val="1C6F7740"/>
    <w:rsid w:val="1C766D20"/>
    <w:rsid w:val="1C7B7E93"/>
    <w:rsid w:val="1C850D11"/>
    <w:rsid w:val="1C901B90"/>
    <w:rsid w:val="1C99656B"/>
    <w:rsid w:val="1C9D605B"/>
    <w:rsid w:val="1C9F0025"/>
    <w:rsid w:val="1CA44A0F"/>
    <w:rsid w:val="1CA53161"/>
    <w:rsid w:val="1CAB05D0"/>
    <w:rsid w:val="1CAB4C1C"/>
    <w:rsid w:val="1CAB69CA"/>
    <w:rsid w:val="1CBC0BD7"/>
    <w:rsid w:val="1CC45CDD"/>
    <w:rsid w:val="1CD001DE"/>
    <w:rsid w:val="1CD221A8"/>
    <w:rsid w:val="1CD423AD"/>
    <w:rsid w:val="1CD51C99"/>
    <w:rsid w:val="1CD53A47"/>
    <w:rsid w:val="1CDD6D9F"/>
    <w:rsid w:val="1CE65C54"/>
    <w:rsid w:val="1CE67A02"/>
    <w:rsid w:val="1CEB14BC"/>
    <w:rsid w:val="1CFC0FD3"/>
    <w:rsid w:val="1CFD4D4B"/>
    <w:rsid w:val="1D0468BA"/>
    <w:rsid w:val="1D063C00"/>
    <w:rsid w:val="1D0D31E0"/>
    <w:rsid w:val="1D0E51AB"/>
    <w:rsid w:val="1D102CD1"/>
    <w:rsid w:val="1D1327C1"/>
    <w:rsid w:val="1D1C78C7"/>
    <w:rsid w:val="1D1F4CC2"/>
    <w:rsid w:val="1D230C56"/>
    <w:rsid w:val="1D293D92"/>
    <w:rsid w:val="1D2B3667"/>
    <w:rsid w:val="1D306ECF"/>
    <w:rsid w:val="1D385D84"/>
    <w:rsid w:val="1D3A7D4E"/>
    <w:rsid w:val="1D3C55BB"/>
    <w:rsid w:val="1D3D339A"/>
    <w:rsid w:val="1D3D6A4B"/>
    <w:rsid w:val="1D3E15EC"/>
    <w:rsid w:val="1D3F35B6"/>
    <w:rsid w:val="1D4209B0"/>
    <w:rsid w:val="1D444728"/>
    <w:rsid w:val="1D4B5AB7"/>
    <w:rsid w:val="1D4E37F9"/>
    <w:rsid w:val="1D5030CD"/>
    <w:rsid w:val="1D570900"/>
    <w:rsid w:val="1D58475E"/>
    <w:rsid w:val="1D65301C"/>
    <w:rsid w:val="1D686669"/>
    <w:rsid w:val="1D6D3C7F"/>
    <w:rsid w:val="1D6E731F"/>
    <w:rsid w:val="1D7414B2"/>
    <w:rsid w:val="1D81597C"/>
    <w:rsid w:val="1D8316F5"/>
    <w:rsid w:val="1D886D0B"/>
    <w:rsid w:val="1D8D60CF"/>
    <w:rsid w:val="1D9B6A3E"/>
    <w:rsid w:val="1DA5166B"/>
    <w:rsid w:val="1DAA17BA"/>
    <w:rsid w:val="1DAA4ED3"/>
    <w:rsid w:val="1DB55626"/>
    <w:rsid w:val="1DCA7323"/>
    <w:rsid w:val="1DCB4E4A"/>
    <w:rsid w:val="1DCC309C"/>
    <w:rsid w:val="1DCF493A"/>
    <w:rsid w:val="1DD65CC8"/>
    <w:rsid w:val="1DEC54EC"/>
    <w:rsid w:val="1DEF6D8A"/>
    <w:rsid w:val="1DF12B02"/>
    <w:rsid w:val="1DF20628"/>
    <w:rsid w:val="1DF24184"/>
    <w:rsid w:val="1DF32B81"/>
    <w:rsid w:val="1DF47EFC"/>
    <w:rsid w:val="1E012619"/>
    <w:rsid w:val="1E036392"/>
    <w:rsid w:val="1E067C30"/>
    <w:rsid w:val="1E0740D4"/>
    <w:rsid w:val="1E0C16EA"/>
    <w:rsid w:val="1E0C3498"/>
    <w:rsid w:val="1E1B36DB"/>
    <w:rsid w:val="1E234C86"/>
    <w:rsid w:val="1E262080"/>
    <w:rsid w:val="1E2E3EF1"/>
    <w:rsid w:val="1E316492"/>
    <w:rsid w:val="1E3B5B2B"/>
    <w:rsid w:val="1E3D18A3"/>
    <w:rsid w:val="1E4075E6"/>
    <w:rsid w:val="1E4337F7"/>
    <w:rsid w:val="1E4A5D6E"/>
    <w:rsid w:val="1E4C1AE7"/>
    <w:rsid w:val="1E4E3AB1"/>
    <w:rsid w:val="1E62755C"/>
    <w:rsid w:val="1E652BA8"/>
    <w:rsid w:val="1E6A01BF"/>
    <w:rsid w:val="1E6C2189"/>
    <w:rsid w:val="1E6F3A27"/>
    <w:rsid w:val="1E7554E1"/>
    <w:rsid w:val="1E763007"/>
    <w:rsid w:val="1E7B23CC"/>
    <w:rsid w:val="1E7B6870"/>
    <w:rsid w:val="1E831280"/>
    <w:rsid w:val="1E983160"/>
    <w:rsid w:val="1E984D2C"/>
    <w:rsid w:val="1EA01E32"/>
    <w:rsid w:val="1EA2204E"/>
    <w:rsid w:val="1EA23DFC"/>
    <w:rsid w:val="1EA25BAA"/>
    <w:rsid w:val="1EA47B74"/>
    <w:rsid w:val="1EA71413"/>
    <w:rsid w:val="1EA9518B"/>
    <w:rsid w:val="1EB1403F"/>
    <w:rsid w:val="1EBF49AE"/>
    <w:rsid w:val="1EC10726"/>
    <w:rsid w:val="1EC57AEB"/>
    <w:rsid w:val="1EC65D3D"/>
    <w:rsid w:val="1EC71AB5"/>
    <w:rsid w:val="1EC93137"/>
    <w:rsid w:val="1ECE074D"/>
    <w:rsid w:val="1ED815CC"/>
    <w:rsid w:val="1ED8781E"/>
    <w:rsid w:val="1EDF6DFF"/>
    <w:rsid w:val="1EE00481"/>
    <w:rsid w:val="1EE241F9"/>
    <w:rsid w:val="1EE44415"/>
    <w:rsid w:val="1EE95587"/>
    <w:rsid w:val="1EEB7551"/>
    <w:rsid w:val="1EED151B"/>
    <w:rsid w:val="1EF06916"/>
    <w:rsid w:val="1EF67CA4"/>
    <w:rsid w:val="1EFB350D"/>
    <w:rsid w:val="1EFD7285"/>
    <w:rsid w:val="1F0028D1"/>
    <w:rsid w:val="1F066139"/>
    <w:rsid w:val="1F10520A"/>
    <w:rsid w:val="1F120F82"/>
    <w:rsid w:val="1F1745F6"/>
    <w:rsid w:val="1F1B770B"/>
    <w:rsid w:val="1F1C3BAF"/>
    <w:rsid w:val="1F1F369F"/>
    <w:rsid w:val="1F242A63"/>
    <w:rsid w:val="1F262338"/>
    <w:rsid w:val="1F2C1918"/>
    <w:rsid w:val="1F2C36C6"/>
    <w:rsid w:val="1F2E743E"/>
    <w:rsid w:val="1F3233D2"/>
    <w:rsid w:val="1F3A4035"/>
    <w:rsid w:val="1F3D3B25"/>
    <w:rsid w:val="1F470500"/>
    <w:rsid w:val="1F4E5D32"/>
    <w:rsid w:val="1F536EA5"/>
    <w:rsid w:val="1F552C1D"/>
    <w:rsid w:val="1F572E39"/>
    <w:rsid w:val="1F576995"/>
    <w:rsid w:val="1F5C3FAB"/>
    <w:rsid w:val="1F686DF4"/>
    <w:rsid w:val="1F6D440A"/>
    <w:rsid w:val="1F703EFB"/>
    <w:rsid w:val="1F72557D"/>
    <w:rsid w:val="1F7A2683"/>
    <w:rsid w:val="1F7A6B27"/>
    <w:rsid w:val="1F83778A"/>
    <w:rsid w:val="1F8A4FBC"/>
    <w:rsid w:val="1F8B4890"/>
    <w:rsid w:val="1F8B663F"/>
    <w:rsid w:val="1F9A4AD4"/>
    <w:rsid w:val="1F9C4CF0"/>
    <w:rsid w:val="1FA12306"/>
    <w:rsid w:val="1FA2315F"/>
    <w:rsid w:val="1FA616CA"/>
    <w:rsid w:val="1FA6791C"/>
    <w:rsid w:val="1FAB6CE1"/>
    <w:rsid w:val="1FB21E1D"/>
    <w:rsid w:val="1FB262C1"/>
    <w:rsid w:val="1FB34E0E"/>
    <w:rsid w:val="1FB97650"/>
    <w:rsid w:val="1FBE4C66"/>
    <w:rsid w:val="1FC61D6D"/>
    <w:rsid w:val="1FC658C9"/>
    <w:rsid w:val="1FCD6C57"/>
    <w:rsid w:val="1FCD6FEB"/>
    <w:rsid w:val="1FD44489"/>
    <w:rsid w:val="1FD75D28"/>
    <w:rsid w:val="1FDC333E"/>
    <w:rsid w:val="1FDC6E9A"/>
    <w:rsid w:val="1FE04BDC"/>
    <w:rsid w:val="1FE10954"/>
    <w:rsid w:val="1FE521F3"/>
    <w:rsid w:val="1FEA5A5B"/>
    <w:rsid w:val="1FEF4E1F"/>
    <w:rsid w:val="1FF71F26"/>
    <w:rsid w:val="1FFB37C4"/>
    <w:rsid w:val="2000527E"/>
    <w:rsid w:val="200E0021"/>
    <w:rsid w:val="20126D60"/>
    <w:rsid w:val="201A79C2"/>
    <w:rsid w:val="20230F6D"/>
    <w:rsid w:val="20234AC9"/>
    <w:rsid w:val="20270A5D"/>
    <w:rsid w:val="202B1BD0"/>
    <w:rsid w:val="202D3B9A"/>
    <w:rsid w:val="202F16C0"/>
    <w:rsid w:val="20322F5E"/>
    <w:rsid w:val="203E5DA7"/>
    <w:rsid w:val="20474C5B"/>
    <w:rsid w:val="204F1D62"/>
    <w:rsid w:val="204F58BE"/>
    <w:rsid w:val="20541126"/>
    <w:rsid w:val="20564E9E"/>
    <w:rsid w:val="205F3D25"/>
    <w:rsid w:val="20623843"/>
    <w:rsid w:val="20651585"/>
    <w:rsid w:val="20670E5A"/>
    <w:rsid w:val="20765541"/>
    <w:rsid w:val="2078600D"/>
    <w:rsid w:val="2079293B"/>
    <w:rsid w:val="207D067D"/>
    <w:rsid w:val="20803CC9"/>
    <w:rsid w:val="208E129B"/>
    <w:rsid w:val="20943C19"/>
    <w:rsid w:val="20947775"/>
    <w:rsid w:val="20971013"/>
    <w:rsid w:val="209854B7"/>
    <w:rsid w:val="20994D8B"/>
    <w:rsid w:val="20A26336"/>
    <w:rsid w:val="20A57BD4"/>
    <w:rsid w:val="20AA51EA"/>
    <w:rsid w:val="20B61DE1"/>
    <w:rsid w:val="20C718F8"/>
    <w:rsid w:val="20CF69FF"/>
    <w:rsid w:val="20D12777"/>
    <w:rsid w:val="20D34741"/>
    <w:rsid w:val="20D61B3B"/>
    <w:rsid w:val="20E73D48"/>
    <w:rsid w:val="20E83BDD"/>
    <w:rsid w:val="20EC2AC1"/>
    <w:rsid w:val="20F546B7"/>
    <w:rsid w:val="20F621DE"/>
    <w:rsid w:val="20F85D62"/>
    <w:rsid w:val="20F85F56"/>
    <w:rsid w:val="21004E0A"/>
    <w:rsid w:val="21050673"/>
    <w:rsid w:val="210668C5"/>
    <w:rsid w:val="2107263D"/>
    <w:rsid w:val="21084116"/>
    <w:rsid w:val="210C1A01"/>
    <w:rsid w:val="21110DC5"/>
    <w:rsid w:val="2114528A"/>
    <w:rsid w:val="21162880"/>
    <w:rsid w:val="2116462E"/>
    <w:rsid w:val="211F1734"/>
    <w:rsid w:val="212B632B"/>
    <w:rsid w:val="212C5BFF"/>
    <w:rsid w:val="212D20A3"/>
    <w:rsid w:val="212E3725"/>
    <w:rsid w:val="21303941"/>
    <w:rsid w:val="21366A7E"/>
    <w:rsid w:val="213C3006"/>
    <w:rsid w:val="2149055F"/>
    <w:rsid w:val="214C62A1"/>
    <w:rsid w:val="21555156"/>
    <w:rsid w:val="21570ECE"/>
    <w:rsid w:val="215D400B"/>
    <w:rsid w:val="21645399"/>
    <w:rsid w:val="21661111"/>
    <w:rsid w:val="216830DB"/>
    <w:rsid w:val="217355DC"/>
    <w:rsid w:val="21751354"/>
    <w:rsid w:val="21771570"/>
    <w:rsid w:val="217A4BBD"/>
    <w:rsid w:val="2188552B"/>
    <w:rsid w:val="218872DA"/>
    <w:rsid w:val="218E68BA"/>
    <w:rsid w:val="21935C7E"/>
    <w:rsid w:val="2197576F"/>
    <w:rsid w:val="2197751D"/>
    <w:rsid w:val="21983295"/>
    <w:rsid w:val="219A0DBB"/>
    <w:rsid w:val="219E6AFD"/>
    <w:rsid w:val="21A659B2"/>
    <w:rsid w:val="21A8172A"/>
    <w:rsid w:val="21AA36F4"/>
    <w:rsid w:val="21AE4866"/>
    <w:rsid w:val="21B26104"/>
    <w:rsid w:val="21B87493"/>
    <w:rsid w:val="21BA76AF"/>
    <w:rsid w:val="21C10A3D"/>
    <w:rsid w:val="21C36564"/>
    <w:rsid w:val="21CB71C6"/>
    <w:rsid w:val="21D4251F"/>
    <w:rsid w:val="21D97A24"/>
    <w:rsid w:val="21E12E8E"/>
    <w:rsid w:val="21E464DA"/>
    <w:rsid w:val="21EA1D42"/>
    <w:rsid w:val="21EB5ABA"/>
    <w:rsid w:val="21ED538F"/>
    <w:rsid w:val="21F11323"/>
    <w:rsid w:val="21F901D7"/>
    <w:rsid w:val="21FC1A76"/>
    <w:rsid w:val="220426D8"/>
    <w:rsid w:val="22097CEF"/>
    <w:rsid w:val="220A23E4"/>
    <w:rsid w:val="220A5F40"/>
    <w:rsid w:val="22105521"/>
    <w:rsid w:val="22162B37"/>
    <w:rsid w:val="2217065D"/>
    <w:rsid w:val="2217240B"/>
    <w:rsid w:val="221C3EC6"/>
    <w:rsid w:val="222608A0"/>
    <w:rsid w:val="222C235B"/>
    <w:rsid w:val="222D60D3"/>
    <w:rsid w:val="2234120F"/>
    <w:rsid w:val="22372AAE"/>
    <w:rsid w:val="22433200"/>
    <w:rsid w:val="224376A4"/>
    <w:rsid w:val="22477195"/>
    <w:rsid w:val="2250591D"/>
    <w:rsid w:val="22513B6F"/>
    <w:rsid w:val="22590C76"/>
    <w:rsid w:val="225C6D81"/>
    <w:rsid w:val="225D0766"/>
    <w:rsid w:val="2265586D"/>
    <w:rsid w:val="226A2E83"/>
    <w:rsid w:val="2277734E"/>
    <w:rsid w:val="22794E74"/>
    <w:rsid w:val="227B1683"/>
    <w:rsid w:val="227E248B"/>
    <w:rsid w:val="227E692E"/>
    <w:rsid w:val="22804455"/>
    <w:rsid w:val="22853819"/>
    <w:rsid w:val="228757E3"/>
    <w:rsid w:val="228C2DF9"/>
    <w:rsid w:val="228F6446"/>
    <w:rsid w:val="229D6DB5"/>
    <w:rsid w:val="22A068A5"/>
    <w:rsid w:val="22A30143"/>
    <w:rsid w:val="22A6463F"/>
    <w:rsid w:val="22AA3280"/>
    <w:rsid w:val="22AC524A"/>
    <w:rsid w:val="22B002C2"/>
    <w:rsid w:val="22B83BEE"/>
    <w:rsid w:val="22BD7457"/>
    <w:rsid w:val="22C02AA3"/>
    <w:rsid w:val="22C73E32"/>
    <w:rsid w:val="22C95DFC"/>
    <w:rsid w:val="22CA3922"/>
    <w:rsid w:val="22D402FC"/>
    <w:rsid w:val="22EA18E2"/>
    <w:rsid w:val="22F17100"/>
    <w:rsid w:val="22F64717"/>
    <w:rsid w:val="23040BE2"/>
    <w:rsid w:val="230610BB"/>
    <w:rsid w:val="2309444A"/>
    <w:rsid w:val="230F216D"/>
    <w:rsid w:val="231177A3"/>
    <w:rsid w:val="23130E25"/>
    <w:rsid w:val="231828DF"/>
    <w:rsid w:val="231A0405"/>
    <w:rsid w:val="2322375E"/>
    <w:rsid w:val="2322550C"/>
    <w:rsid w:val="23264FFC"/>
    <w:rsid w:val="232C638A"/>
    <w:rsid w:val="23377209"/>
    <w:rsid w:val="233C481F"/>
    <w:rsid w:val="233F1C1A"/>
    <w:rsid w:val="23452FA8"/>
    <w:rsid w:val="234C4337"/>
    <w:rsid w:val="234E6301"/>
    <w:rsid w:val="234F5BD5"/>
    <w:rsid w:val="23502079"/>
    <w:rsid w:val="23526ABC"/>
    <w:rsid w:val="235D4796"/>
    <w:rsid w:val="236B0C61"/>
    <w:rsid w:val="23720241"/>
    <w:rsid w:val="237613B4"/>
    <w:rsid w:val="237A183A"/>
    <w:rsid w:val="237D2742"/>
    <w:rsid w:val="23887A65"/>
    <w:rsid w:val="238E0DF3"/>
    <w:rsid w:val="239161EE"/>
    <w:rsid w:val="23955CDE"/>
    <w:rsid w:val="23957A8C"/>
    <w:rsid w:val="239D1036"/>
    <w:rsid w:val="239D4B92"/>
    <w:rsid w:val="23A6613D"/>
    <w:rsid w:val="23AB3753"/>
    <w:rsid w:val="23AD74CB"/>
    <w:rsid w:val="23B14FE2"/>
    <w:rsid w:val="23BC326A"/>
    <w:rsid w:val="23BD5235"/>
    <w:rsid w:val="23BD6FE3"/>
    <w:rsid w:val="23C245F9"/>
    <w:rsid w:val="23C30A9D"/>
    <w:rsid w:val="23CB16FF"/>
    <w:rsid w:val="23CB7951"/>
    <w:rsid w:val="23CD191B"/>
    <w:rsid w:val="23DC390D"/>
    <w:rsid w:val="23E7405F"/>
    <w:rsid w:val="23EF693F"/>
    <w:rsid w:val="23F55899"/>
    <w:rsid w:val="23F944BF"/>
    <w:rsid w:val="23FF75FB"/>
    <w:rsid w:val="240B2444"/>
    <w:rsid w:val="240B41F2"/>
    <w:rsid w:val="241237D2"/>
    <w:rsid w:val="2412732E"/>
    <w:rsid w:val="24156E1F"/>
    <w:rsid w:val="24174945"/>
    <w:rsid w:val="2418246B"/>
    <w:rsid w:val="241A2687"/>
    <w:rsid w:val="241E2177"/>
    <w:rsid w:val="24217571"/>
    <w:rsid w:val="24262DDA"/>
    <w:rsid w:val="243472A5"/>
    <w:rsid w:val="24392625"/>
    <w:rsid w:val="243A6885"/>
    <w:rsid w:val="243E0B90"/>
    <w:rsid w:val="24443260"/>
    <w:rsid w:val="2446522A"/>
    <w:rsid w:val="244B0A92"/>
    <w:rsid w:val="245060A9"/>
    <w:rsid w:val="24523BCF"/>
    <w:rsid w:val="24561911"/>
    <w:rsid w:val="24594F5D"/>
    <w:rsid w:val="245C2C9F"/>
    <w:rsid w:val="24681644"/>
    <w:rsid w:val="246851A0"/>
    <w:rsid w:val="246C2EE2"/>
    <w:rsid w:val="246D27B7"/>
    <w:rsid w:val="246F652F"/>
    <w:rsid w:val="24704055"/>
    <w:rsid w:val="247578BD"/>
    <w:rsid w:val="247B1377"/>
    <w:rsid w:val="247E6772"/>
    <w:rsid w:val="247F392A"/>
    <w:rsid w:val="248024EA"/>
    <w:rsid w:val="2480698E"/>
    <w:rsid w:val="2483647E"/>
    <w:rsid w:val="24885842"/>
    <w:rsid w:val="24967F5F"/>
    <w:rsid w:val="24AA3A0B"/>
    <w:rsid w:val="24AA57B9"/>
    <w:rsid w:val="24AA7567"/>
    <w:rsid w:val="24AE34FB"/>
    <w:rsid w:val="24B228BF"/>
    <w:rsid w:val="24B77ED6"/>
    <w:rsid w:val="24B959FC"/>
    <w:rsid w:val="24BE1264"/>
    <w:rsid w:val="24C70119"/>
    <w:rsid w:val="24C83E91"/>
    <w:rsid w:val="24C85C3F"/>
    <w:rsid w:val="24CF6FCD"/>
    <w:rsid w:val="24D32F62"/>
    <w:rsid w:val="24D42836"/>
    <w:rsid w:val="24D942F0"/>
    <w:rsid w:val="24DB1E16"/>
    <w:rsid w:val="24DC16EA"/>
    <w:rsid w:val="24DE1906"/>
    <w:rsid w:val="24E707BB"/>
    <w:rsid w:val="24F904EE"/>
    <w:rsid w:val="250273A3"/>
    <w:rsid w:val="25076767"/>
    <w:rsid w:val="25090731"/>
    <w:rsid w:val="250A6257"/>
    <w:rsid w:val="250F386E"/>
    <w:rsid w:val="25145328"/>
    <w:rsid w:val="25270BB7"/>
    <w:rsid w:val="25387269"/>
    <w:rsid w:val="25396B3D"/>
    <w:rsid w:val="253D487F"/>
    <w:rsid w:val="253D662D"/>
    <w:rsid w:val="253F05F7"/>
    <w:rsid w:val="253F4153"/>
    <w:rsid w:val="254774AC"/>
    <w:rsid w:val="25513E86"/>
    <w:rsid w:val="25551BC9"/>
    <w:rsid w:val="2556149D"/>
    <w:rsid w:val="255676EF"/>
    <w:rsid w:val="25592D3B"/>
    <w:rsid w:val="255B2F57"/>
    <w:rsid w:val="255B6AB3"/>
    <w:rsid w:val="256242E5"/>
    <w:rsid w:val="25665B84"/>
    <w:rsid w:val="256865DD"/>
    <w:rsid w:val="256B7B2F"/>
    <w:rsid w:val="256C6F12"/>
    <w:rsid w:val="256E4A38"/>
    <w:rsid w:val="256F255E"/>
    <w:rsid w:val="257302A1"/>
    <w:rsid w:val="25733DFD"/>
    <w:rsid w:val="25787665"/>
    <w:rsid w:val="257A162F"/>
    <w:rsid w:val="257A33DD"/>
    <w:rsid w:val="257F6C45"/>
    <w:rsid w:val="2580651A"/>
    <w:rsid w:val="258778A8"/>
    <w:rsid w:val="25973F8F"/>
    <w:rsid w:val="25A246E2"/>
    <w:rsid w:val="25A466AC"/>
    <w:rsid w:val="25A84F00"/>
    <w:rsid w:val="25B10E34"/>
    <w:rsid w:val="25B508B9"/>
    <w:rsid w:val="25B763DF"/>
    <w:rsid w:val="25BD0469"/>
    <w:rsid w:val="25C1725E"/>
    <w:rsid w:val="25C24D84"/>
    <w:rsid w:val="25C97EC1"/>
    <w:rsid w:val="25CD5C03"/>
    <w:rsid w:val="25CE3729"/>
    <w:rsid w:val="25D6438C"/>
    <w:rsid w:val="25D725DE"/>
    <w:rsid w:val="25D845A8"/>
    <w:rsid w:val="25D86356"/>
    <w:rsid w:val="25DA0320"/>
    <w:rsid w:val="25DF5936"/>
    <w:rsid w:val="25E1520A"/>
    <w:rsid w:val="25E46AA9"/>
    <w:rsid w:val="25E60A73"/>
    <w:rsid w:val="25E62821"/>
    <w:rsid w:val="25E847EB"/>
    <w:rsid w:val="25EB6089"/>
    <w:rsid w:val="25F82554"/>
    <w:rsid w:val="25F969F8"/>
    <w:rsid w:val="25FC7803"/>
    <w:rsid w:val="26031625"/>
    <w:rsid w:val="26084E8D"/>
    <w:rsid w:val="260929B3"/>
    <w:rsid w:val="260A429C"/>
    <w:rsid w:val="260D4251"/>
    <w:rsid w:val="2610789E"/>
    <w:rsid w:val="261455E0"/>
    <w:rsid w:val="261A071C"/>
    <w:rsid w:val="261A4BC0"/>
    <w:rsid w:val="261C26E6"/>
    <w:rsid w:val="26243349"/>
    <w:rsid w:val="2628108B"/>
    <w:rsid w:val="26377520"/>
    <w:rsid w:val="26437C73"/>
    <w:rsid w:val="26451C3D"/>
    <w:rsid w:val="264B2FCC"/>
    <w:rsid w:val="264D464E"/>
    <w:rsid w:val="2650413E"/>
    <w:rsid w:val="265359DC"/>
    <w:rsid w:val="26571970"/>
    <w:rsid w:val="2657371E"/>
    <w:rsid w:val="265C0D35"/>
    <w:rsid w:val="26661BB3"/>
    <w:rsid w:val="26681488"/>
    <w:rsid w:val="2668592C"/>
    <w:rsid w:val="26720558"/>
    <w:rsid w:val="267442D0"/>
    <w:rsid w:val="26773DC1"/>
    <w:rsid w:val="268B33C8"/>
    <w:rsid w:val="268F110A"/>
    <w:rsid w:val="26976211"/>
    <w:rsid w:val="269E30FB"/>
    <w:rsid w:val="269F0C21"/>
    <w:rsid w:val="26A4233A"/>
    <w:rsid w:val="26AA7CF2"/>
    <w:rsid w:val="26AB5818"/>
    <w:rsid w:val="26B54D1B"/>
    <w:rsid w:val="26B96187"/>
    <w:rsid w:val="26BD5C77"/>
    <w:rsid w:val="26BE554B"/>
    <w:rsid w:val="26C50688"/>
    <w:rsid w:val="26C708A4"/>
    <w:rsid w:val="26CD1C32"/>
    <w:rsid w:val="26CD578F"/>
    <w:rsid w:val="26D134D1"/>
    <w:rsid w:val="26DE174A"/>
    <w:rsid w:val="26DF4DEB"/>
    <w:rsid w:val="26E72CF4"/>
    <w:rsid w:val="26ED7BDF"/>
    <w:rsid w:val="26EF7DFB"/>
    <w:rsid w:val="26F96584"/>
    <w:rsid w:val="27005B64"/>
    <w:rsid w:val="270513CC"/>
    <w:rsid w:val="27082C6B"/>
    <w:rsid w:val="270C4509"/>
    <w:rsid w:val="270E64D3"/>
    <w:rsid w:val="27135897"/>
    <w:rsid w:val="27174C5C"/>
    <w:rsid w:val="271E248E"/>
    <w:rsid w:val="2729330D"/>
    <w:rsid w:val="272A2BE1"/>
    <w:rsid w:val="272C0707"/>
    <w:rsid w:val="27337CE7"/>
    <w:rsid w:val="27363334"/>
    <w:rsid w:val="273852FE"/>
    <w:rsid w:val="27392E24"/>
    <w:rsid w:val="27441678"/>
    <w:rsid w:val="274F2647"/>
    <w:rsid w:val="27514612"/>
    <w:rsid w:val="27533EE6"/>
    <w:rsid w:val="2754116D"/>
    <w:rsid w:val="27547C5E"/>
    <w:rsid w:val="275D6B12"/>
    <w:rsid w:val="275F6D2E"/>
    <w:rsid w:val="27606603"/>
    <w:rsid w:val="276500BD"/>
    <w:rsid w:val="27651E6B"/>
    <w:rsid w:val="27693709"/>
    <w:rsid w:val="276A122F"/>
    <w:rsid w:val="276E2ACE"/>
    <w:rsid w:val="277A5916"/>
    <w:rsid w:val="277B343D"/>
    <w:rsid w:val="27822A1D"/>
    <w:rsid w:val="278247CB"/>
    <w:rsid w:val="278542BB"/>
    <w:rsid w:val="27856069"/>
    <w:rsid w:val="278E3170"/>
    <w:rsid w:val="27960276"/>
    <w:rsid w:val="27985D9D"/>
    <w:rsid w:val="279A7D67"/>
    <w:rsid w:val="27B01338"/>
    <w:rsid w:val="27B23302"/>
    <w:rsid w:val="27B32BD6"/>
    <w:rsid w:val="27BA3F65"/>
    <w:rsid w:val="27BD1CA7"/>
    <w:rsid w:val="27BF77CD"/>
    <w:rsid w:val="27C13545"/>
    <w:rsid w:val="27C941A8"/>
    <w:rsid w:val="27CB7F20"/>
    <w:rsid w:val="27D03788"/>
    <w:rsid w:val="27D668C5"/>
    <w:rsid w:val="27DA0163"/>
    <w:rsid w:val="27DBF964"/>
    <w:rsid w:val="27DF5779"/>
    <w:rsid w:val="27E02036"/>
    <w:rsid w:val="27E15995"/>
    <w:rsid w:val="27E45486"/>
    <w:rsid w:val="27E62FAC"/>
    <w:rsid w:val="27EB1D1A"/>
    <w:rsid w:val="27EF7E63"/>
    <w:rsid w:val="27F03E2A"/>
    <w:rsid w:val="27F31225"/>
    <w:rsid w:val="27F51441"/>
    <w:rsid w:val="27FC27CF"/>
    <w:rsid w:val="27FD02F5"/>
    <w:rsid w:val="27FD20A3"/>
    <w:rsid w:val="280653FC"/>
    <w:rsid w:val="28096C9A"/>
    <w:rsid w:val="280B7BC3"/>
    <w:rsid w:val="28100029"/>
    <w:rsid w:val="281338B7"/>
    <w:rsid w:val="28153891"/>
    <w:rsid w:val="281F64BE"/>
    <w:rsid w:val="28245882"/>
    <w:rsid w:val="282E04AF"/>
    <w:rsid w:val="283244AF"/>
    <w:rsid w:val="283A1500"/>
    <w:rsid w:val="283A50A6"/>
    <w:rsid w:val="283D06F2"/>
    <w:rsid w:val="28414686"/>
    <w:rsid w:val="284B2E0F"/>
    <w:rsid w:val="28520641"/>
    <w:rsid w:val="2852419D"/>
    <w:rsid w:val="285443B9"/>
    <w:rsid w:val="28551EE0"/>
    <w:rsid w:val="28577A06"/>
    <w:rsid w:val="285F68BA"/>
    <w:rsid w:val="28620159"/>
    <w:rsid w:val="286363AA"/>
    <w:rsid w:val="28665E9B"/>
    <w:rsid w:val="28681C13"/>
    <w:rsid w:val="286E4D4F"/>
    <w:rsid w:val="286E6AFD"/>
    <w:rsid w:val="28700AC7"/>
    <w:rsid w:val="28795BCE"/>
    <w:rsid w:val="287E31E4"/>
    <w:rsid w:val="288051AE"/>
    <w:rsid w:val="28887BBF"/>
    <w:rsid w:val="288B7918"/>
    <w:rsid w:val="289522DC"/>
    <w:rsid w:val="28956780"/>
    <w:rsid w:val="289C18BC"/>
    <w:rsid w:val="289C366A"/>
    <w:rsid w:val="289E3886"/>
    <w:rsid w:val="28A075FF"/>
    <w:rsid w:val="28A16ED3"/>
    <w:rsid w:val="28AA222B"/>
    <w:rsid w:val="28AD1D1C"/>
    <w:rsid w:val="28AD3ACA"/>
    <w:rsid w:val="28AF7842"/>
    <w:rsid w:val="28B12D73"/>
    <w:rsid w:val="28B27332"/>
    <w:rsid w:val="28B60BD0"/>
    <w:rsid w:val="28B704A4"/>
    <w:rsid w:val="28C037FD"/>
    <w:rsid w:val="28CF1C92"/>
    <w:rsid w:val="28D21782"/>
    <w:rsid w:val="28D45108"/>
    <w:rsid w:val="28DA4193"/>
    <w:rsid w:val="28DC0708"/>
    <w:rsid w:val="28DC7F0B"/>
    <w:rsid w:val="28E55011"/>
    <w:rsid w:val="28E60D8A"/>
    <w:rsid w:val="28E62B38"/>
    <w:rsid w:val="28E76FDC"/>
    <w:rsid w:val="28EC45F2"/>
    <w:rsid w:val="28F25980"/>
    <w:rsid w:val="28F75508"/>
    <w:rsid w:val="28F96D0F"/>
    <w:rsid w:val="28FB2A87"/>
    <w:rsid w:val="290860F5"/>
    <w:rsid w:val="290C07F0"/>
    <w:rsid w:val="290C4C94"/>
    <w:rsid w:val="290D4568"/>
    <w:rsid w:val="290F6532"/>
    <w:rsid w:val="2916341D"/>
    <w:rsid w:val="2919115F"/>
    <w:rsid w:val="292024ED"/>
    <w:rsid w:val="29253660"/>
    <w:rsid w:val="292673D8"/>
    <w:rsid w:val="292875F4"/>
    <w:rsid w:val="293146FB"/>
    <w:rsid w:val="29385A89"/>
    <w:rsid w:val="2939710B"/>
    <w:rsid w:val="294206B6"/>
    <w:rsid w:val="2944442E"/>
    <w:rsid w:val="29477A7A"/>
    <w:rsid w:val="294B7965"/>
    <w:rsid w:val="294F4B81"/>
    <w:rsid w:val="295108F9"/>
    <w:rsid w:val="29514455"/>
    <w:rsid w:val="29534671"/>
    <w:rsid w:val="295403E9"/>
    <w:rsid w:val="29591CD4"/>
    <w:rsid w:val="295D729E"/>
    <w:rsid w:val="296A5517"/>
    <w:rsid w:val="296E14AB"/>
    <w:rsid w:val="296F6FD1"/>
    <w:rsid w:val="29714AF7"/>
    <w:rsid w:val="2976035F"/>
    <w:rsid w:val="29785E86"/>
    <w:rsid w:val="29791BFE"/>
    <w:rsid w:val="29820AB2"/>
    <w:rsid w:val="29826D04"/>
    <w:rsid w:val="2987256D"/>
    <w:rsid w:val="29961C76"/>
    <w:rsid w:val="299802D6"/>
    <w:rsid w:val="299A413D"/>
    <w:rsid w:val="29A0718A"/>
    <w:rsid w:val="29A273A6"/>
    <w:rsid w:val="29AE5D4B"/>
    <w:rsid w:val="29B570DA"/>
    <w:rsid w:val="29B6075C"/>
    <w:rsid w:val="29B669AE"/>
    <w:rsid w:val="29BA649E"/>
    <w:rsid w:val="29BF5862"/>
    <w:rsid w:val="29C15A7E"/>
    <w:rsid w:val="29CE3CF8"/>
    <w:rsid w:val="29D05CC2"/>
    <w:rsid w:val="29D15596"/>
    <w:rsid w:val="29DA6B40"/>
    <w:rsid w:val="29DF5F05"/>
    <w:rsid w:val="29E17ECF"/>
    <w:rsid w:val="29EB48A9"/>
    <w:rsid w:val="29F15C38"/>
    <w:rsid w:val="29FF0355"/>
    <w:rsid w:val="2A010C35"/>
    <w:rsid w:val="2A027E45"/>
    <w:rsid w:val="2A070FB7"/>
    <w:rsid w:val="2A0873C7"/>
    <w:rsid w:val="2A0E0598"/>
    <w:rsid w:val="2A135BAE"/>
    <w:rsid w:val="2A1439E1"/>
    <w:rsid w:val="2A187669"/>
    <w:rsid w:val="2A1B4A63"/>
    <w:rsid w:val="2A2102CB"/>
    <w:rsid w:val="2A247DBB"/>
    <w:rsid w:val="2A257690"/>
    <w:rsid w:val="2A2B739C"/>
    <w:rsid w:val="2A2E0C3A"/>
    <w:rsid w:val="2A2E29E8"/>
    <w:rsid w:val="2A2E4796"/>
    <w:rsid w:val="2A3049B2"/>
    <w:rsid w:val="2A355B25"/>
    <w:rsid w:val="2A3D2C2B"/>
    <w:rsid w:val="2A426494"/>
    <w:rsid w:val="2A481CFC"/>
    <w:rsid w:val="2A4E308A"/>
    <w:rsid w:val="2A4E4E38"/>
    <w:rsid w:val="2A506E02"/>
    <w:rsid w:val="2A53244F"/>
    <w:rsid w:val="2A5341FD"/>
    <w:rsid w:val="2A571F3F"/>
    <w:rsid w:val="2A5C57A7"/>
    <w:rsid w:val="2A697EC4"/>
    <w:rsid w:val="2A701253"/>
    <w:rsid w:val="2A756869"/>
    <w:rsid w:val="2A77438F"/>
    <w:rsid w:val="2A77613D"/>
    <w:rsid w:val="2A8B1BE9"/>
    <w:rsid w:val="2A8E3487"/>
    <w:rsid w:val="2A952A67"/>
    <w:rsid w:val="2A9767DF"/>
    <w:rsid w:val="2A9A1E2C"/>
    <w:rsid w:val="2A9D36CA"/>
    <w:rsid w:val="2AA42CAA"/>
    <w:rsid w:val="2AA72265"/>
    <w:rsid w:val="2AA8279A"/>
    <w:rsid w:val="2AAB228B"/>
    <w:rsid w:val="2AAF20D3"/>
    <w:rsid w:val="2AB63109"/>
    <w:rsid w:val="2AC82E3D"/>
    <w:rsid w:val="2ACB0237"/>
    <w:rsid w:val="2ACB6489"/>
    <w:rsid w:val="2AD510B6"/>
    <w:rsid w:val="2AD96DF8"/>
    <w:rsid w:val="2ADC41F2"/>
    <w:rsid w:val="2AE00186"/>
    <w:rsid w:val="2AE65071"/>
    <w:rsid w:val="2AE82B97"/>
    <w:rsid w:val="2AE9690F"/>
    <w:rsid w:val="2AEF2177"/>
    <w:rsid w:val="2AEF3F25"/>
    <w:rsid w:val="2AF44D0C"/>
    <w:rsid w:val="2B004385"/>
    <w:rsid w:val="2B035C23"/>
    <w:rsid w:val="2B0379D1"/>
    <w:rsid w:val="2B057BED"/>
    <w:rsid w:val="2B0D6AA1"/>
    <w:rsid w:val="2B0F6376"/>
    <w:rsid w:val="2B1020EE"/>
    <w:rsid w:val="2B14398C"/>
    <w:rsid w:val="2B177920"/>
    <w:rsid w:val="2B1B7EB7"/>
    <w:rsid w:val="2B202899"/>
    <w:rsid w:val="2B2160A9"/>
    <w:rsid w:val="2B2636BF"/>
    <w:rsid w:val="2B287437"/>
    <w:rsid w:val="2B2D4A4E"/>
    <w:rsid w:val="2B365FF8"/>
    <w:rsid w:val="2B522706"/>
    <w:rsid w:val="2B5621F6"/>
    <w:rsid w:val="2B5841C1"/>
    <w:rsid w:val="2B585F6F"/>
    <w:rsid w:val="2B5C5333"/>
    <w:rsid w:val="2B5E554F"/>
    <w:rsid w:val="2B69017C"/>
    <w:rsid w:val="2B764647"/>
    <w:rsid w:val="2B7B7EAF"/>
    <w:rsid w:val="2B7F4745"/>
    <w:rsid w:val="2B801021"/>
    <w:rsid w:val="2B822FEC"/>
    <w:rsid w:val="2B844FB6"/>
    <w:rsid w:val="2B870602"/>
    <w:rsid w:val="2B8A00F2"/>
    <w:rsid w:val="2B8F395A"/>
    <w:rsid w:val="2B8F5708"/>
    <w:rsid w:val="2B936FA7"/>
    <w:rsid w:val="2B942D1F"/>
    <w:rsid w:val="2B97636B"/>
    <w:rsid w:val="2B9B22FF"/>
    <w:rsid w:val="2B9D7E25"/>
    <w:rsid w:val="2BA20995"/>
    <w:rsid w:val="2BAF1907"/>
    <w:rsid w:val="2BC01D66"/>
    <w:rsid w:val="2BC2788C"/>
    <w:rsid w:val="2BC76C50"/>
    <w:rsid w:val="2BCE4483"/>
    <w:rsid w:val="2BCF0AA4"/>
    <w:rsid w:val="2BCF1FA9"/>
    <w:rsid w:val="2BD63337"/>
    <w:rsid w:val="2BDA2E28"/>
    <w:rsid w:val="2BDA4BD6"/>
    <w:rsid w:val="2BDD46C6"/>
    <w:rsid w:val="2BE27F2E"/>
    <w:rsid w:val="2BE75544"/>
    <w:rsid w:val="2BEC66B7"/>
    <w:rsid w:val="2BEF7F55"/>
    <w:rsid w:val="2BFF63EA"/>
    <w:rsid w:val="2C053AB1"/>
    <w:rsid w:val="2C0D4645"/>
    <w:rsid w:val="2C1D50C8"/>
    <w:rsid w:val="2C300C99"/>
    <w:rsid w:val="2C351E0C"/>
    <w:rsid w:val="2C363DD6"/>
    <w:rsid w:val="2C372028"/>
    <w:rsid w:val="2C3B13EC"/>
    <w:rsid w:val="2C3D33B6"/>
    <w:rsid w:val="2C3D5164"/>
    <w:rsid w:val="2C424529"/>
    <w:rsid w:val="2C4C35F9"/>
    <w:rsid w:val="2C5129BE"/>
    <w:rsid w:val="2C583D4C"/>
    <w:rsid w:val="2C5A7AC4"/>
    <w:rsid w:val="2C624BCB"/>
    <w:rsid w:val="2C6941AB"/>
    <w:rsid w:val="2C73502A"/>
    <w:rsid w:val="2C7E7C57"/>
    <w:rsid w:val="2C83526D"/>
    <w:rsid w:val="2C882884"/>
    <w:rsid w:val="2C884632"/>
    <w:rsid w:val="2C8C39F6"/>
    <w:rsid w:val="2C950AFD"/>
    <w:rsid w:val="2C970D19"/>
    <w:rsid w:val="2C9A6113"/>
    <w:rsid w:val="2C9C632F"/>
    <w:rsid w:val="2C9F197B"/>
    <w:rsid w:val="2CA64AB8"/>
    <w:rsid w:val="2CAA34BC"/>
    <w:rsid w:val="2CB573F1"/>
    <w:rsid w:val="2CB73169"/>
    <w:rsid w:val="2CB847EB"/>
    <w:rsid w:val="2CC118F2"/>
    <w:rsid w:val="2CD07D87"/>
    <w:rsid w:val="2CDE6947"/>
    <w:rsid w:val="2CE35D0C"/>
    <w:rsid w:val="2CE37ABA"/>
    <w:rsid w:val="2CED26E7"/>
    <w:rsid w:val="2CEF46B1"/>
    <w:rsid w:val="2CF33A75"/>
    <w:rsid w:val="2CF75313"/>
    <w:rsid w:val="2CF77A09"/>
    <w:rsid w:val="2CF9552F"/>
    <w:rsid w:val="2CFA4E04"/>
    <w:rsid w:val="2CFA7504"/>
    <w:rsid w:val="2CFE66A2"/>
    <w:rsid w:val="2D0411B0"/>
    <w:rsid w:val="2D045C82"/>
    <w:rsid w:val="2D0839C4"/>
    <w:rsid w:val="2D085772"/>
    <w:rsid w:val="2D0A14EA"/>
    <w:rsid w:val="2D0B5263"/>
    <w:rsid w:val="2D202ABC"/>
    <w:rsid w:val="2D216834"/>
    <w:rsid w:val="2D2307FE"/>
    <w:rsid w:val="2D2A393B"/>
    <w:rsid w:val="2D39592C"/>
    <w:rsid w:val="2D3B78F6"/>
    <w:rsid w:val="2D40315E"/>
    <w:rsid w:val="2D430559"/>
    <w:rsid w:val="2D4C1B03"/>
    <w:rsid w:val="2D4E51DC"/>
    <w:rsid w:val="2D510EC7"/>
    <w:rsid w:val="2D546C0A"/>
    <w:rsid w:val="2D5664DE"/>
    <w:rsid w:val="2D594220"/>
    <w:rsid w:val="2D60735C"/>
    <w:rsid w:val="2D67693D"/>
    <w:rsid w:val="2D6A01DB"/>
    <w:rsid w:val="2D7050C6"/>
    <w:rsid w:val="2D79041E"/>
    <w:rsid w:val="2D7B7CF2"/>
    <w:rsid w:val="2D7E77E3"/>
    <w:rsid w:val="2D8079FF"/>
    <w:rsid w:val="2D8172D3"/>
    <w:rsid w:val="2D8C0151"/>
    <w:rsid w:val="2D8F379E"/>
    <w:rsid w:val="2D970E7B"/>
    <w:rsid w:val="2D9A0C12"/>
    <w:rsid w:val="2DA90D03"/>
    <w:rsid w:val="2DAC07F4"/>
    <w:rsid w:val="2DAE631A"/>
    <w:rsid w:val="2DB651CE"/>
    <w:rsid w:val="2DBB4593"/>
    <w:rsid w:val="2DBD030B"/>
    <w:rsid w:val="2DC0604D"/>
    <w:rsid w:val="2DC518B5"/>
    <w:rsid w:val="2DCC67A0"/>
    <w:rsid w:val="2DCD42C6"/>
    <w:rsid w:val="2DCE2518"/>
    <w:rsid w:val="2DD815E9"/>
    <w:rsid w:val="2DD85145"/>
    <w:rsid w:val="2DD90EBD"/>
    <w:rsid w:val="2DD92C6B"/>
    <w:rsid w:val="2DE47F8D"/>
    <w:rsid w:val="2DE51610"/>
    <w:rsid w:val="2DEC308B"/>
    <w:rsid w:val="2DF31F7F"/>
    <w:rsid w:val="2DF81343"/>
    <w:rsid w:val="2DF8162E"/>
    <w:rsid w:val="2E1168A9"/>
    <w:rsid w:val="2E1D6FFC"/>
    <w:rsid w:val="2E1F2D74"/>
    <w:rsid w:val="2E271C28"/>
    <w:rsid w:val="2E2B796A"/>
    <w:rsid w:val="2E334A71"/>
    <w:rsid w:val="2E36630F"/>
    <w:rsid w:val="2E383E35"/>
    <w:rsid w:val="2E3A195C"/>
    <w:rsid w:val="2E3D31FA"/>
    <w:rsid w:val="2E3D58F0"/>
    <w:rsid w:val="2E4427DA"/>
    <w:rsid w:val="2E516CA5"/>
    <w:rsid w:val="2E530C6F"/>
    <w:rsid w:val="2E556795"/>
    <w:rsid w:val="2E56075F"/>
    <w:rsid w:val="2E5D564A"/>
    <w:rsid w:val="2E6115DE"/>
    <w:rsid w:val="2E690493"/>
    <w:rsid w:val="2E6D7F83"/>
    <w:rsid w:val="2E6E74F1"/>
    <w:rsid w:val="2E6E7857"/>
    <w:rsid w:val="2E717347"/>
    <w:rsid w:val="2E782484"/>
    <w:rsid w:val="2E7D7A9A"/>
    <w:rsid w:val="2E8157DC"/>
    <w:rsid w:val="2E821554"/>
    <w:rsid w:val="2E826747"/>
    <w:rsid w:val="2E8452CD"/>
    <w:rsid w:val="2E872C98"/>
    <w:rsid w:val="2E8B665B"/>
    <w:rsid w:val="2E8C5F2F"/>
    <w:rsid w:val="2E9077CD"/>
    <w:rsid w:val="2E9279E9"/>
    <w:rsid w:val="2E960B5C"/>
    <w:rsid w:val="2EA15E7F"/>
    <w:rsid w:val="2EA27501"/>
    <w:rsid w:val="2EA9088F"/>
    <w:rsid w:val="2EAD4823"/>
    <w:rsid w:val="2EAE40F8"/>
    <w:rsid w:val="2EBC6814"/>
    <w:rsid w:val="2EBF00B3"/>
    <w:rsid w:val="2ECA37FB"/>
    <w:rsid w:val="2ECB2EFB"/>
    <w:rsid w:val="2ECD6C74"/>
    <w:rsid w:val="2ED718A0"/>
    <w:rsid w:val="2EE31FF3"/>
    <w:rsid w:val="2EE43FBD"/>
    <w:rsid w:val="2EE713B8"/>
    <w:rsid w:val="2EE95130"/>
    <w:rsid w:val="2EF57F78"/>
    <w:rsid w:val="2F012479"/>
    <w:rsid w:val="2F067A90"/>
    <w:rsid w:val="2F193C67"/>
    <w:rsid w:val="2F1E74CF"/>
    <w:rsid w:val="2F236894"/>
    <w:rsid w:val="2F25085E"/>
    <w:rsid w:val="2F2820FC"/>
    <w:rsid w:val="2F2B399A"/>
    <w:rsid w:val="2F2D14C0"/>
    <w:rsid w:val="2F370591"/>
    <w:rsid w:val="2F3E7229"/>
    <w:rsid w:val="2F3F11F4"/>
    <w:rsid w:val="2F452CAE"/>
    <w:rsid w:val="2F464330"/>
    <w:rsid w:val="2F4800A8"/>
    <w:rsid w:val="2F4B1946"/>
    <w:rsid w:val="2F522CD5"/>
    <w:rsid w:val="2F560A17"/>
    <w:rsid w:val="2F566C69"/>
    <w:rsid w:val="2F5702EB"/>
    <w:rsid w:val="2F5922B5"/>
    <w:rsid w:val="2F646CC8"/>
    <w:rsid w:val="2F662C24"/>
    <w:rsid w:val="2F68699C"/>
    <w:rsid w:val="2F6D5D61"/>
    <w:rsid w:val="2F7013AD"/>
    <w:rsid w:val="2F745341"/>
    <w:rsid w:val="2F750C42"/>
    <w:rsid w:val="2F77273B"/>
    <w:rsid w:val="2F792957"/>
    <w:rsid w:val="2F827A5E"/>
    <w:rsid w:val="2F8A246F"/>
    <w:rsid w:val="2F9257C7"/>
    <w:rsid w:val="2F9B467C"/>
    <w:rsid w:val="2F9C6646"/>
    <w:rsid w:val="2FB614B6"/>
    <w:rsid w:val="2FBC2844"/>
    <w:rsid w:val="2FC17E5A"/>
    <w:rsid w:val="2FC31E25"/>
    <w:rsid w:val="2FC55B9D"/>
    <w:rsid w:val="2FC736C3"/>
    <w:rsid w:val="2FCC2A87"/>
    <w:rsid w:val="2FCF0082"/>
    <w:rsid w:val="2FD57720"/>
    <w:rsid w:val="2FDC6A42"/>
    <w:rsid w:val="2FDE6C5E"/>
    <w:rsid w:val="2FE34275"/>
    <w:rsid w:val="2FE51D9B"/>
    <w:rsid w:val="2FE778C1"/>
    <w:rsid w:val="2FEA5603"/>
    <w:rsid w:val="2FEF2C1A"/>
    <w:rsid w:val="2FF344B8"/>
    <w:rsid w:val="2FFD5337"/>
    <w:rsid w:val="2FFE2E5D"/>
    <w:rsid w:val="2FFF10AF"/>
    <w:rsid w:val="30006BD5"/>
    <w:rsid w:val="3005243D"/>
    <w:rsid w:val="300A35B0"/>
    <w:rsid w:val="300C37CC"/>
    <w:rsid w:val="300C7328"/>
    <w:rsid w:val="30112B90"/>
    <w:rsid w:val="301B756B"/>
    <w:rsid w:val="30202DD3"/>
    <w:rsid w:val="30204B81"/>
    <w:rsid w:val="30226B4B"/>
    <w:rsid w:val="3025488D"/>
    <w:rsid w:val="302A1EA4"/>
    <w:rsid w:val="302C79CA"/>
    <w:rsid w:val="30313232"/>
    <w:rsid w:val="30316D8E"/>
    <w:rsid w:val="3032417B"/>
    <w:rsid w:val="30332B06"/>
    <w:rsid w:val="30360848"/>
    <w:rsid w:val="303801E5"/>
    <w:rsid w:val="303845C1"/>
    <w:rsid w:val="30395C43"/>
    <w:rsid w:val="303B7C0D"/>
    <w:rsid w:val="303D1BD7"/>
    <w:rsid w:val="303E14AB"/>
    <w:rsid w:val="30450A8C"/>
    <w:rsid w:val="304545E8"/>
    <w:rsid w:val="305D7B83"/>
    <w:rsid w:val="305E56A9"/>
    <w:rsid w:val="305F7D9F"/>
    <w:rsid w:val="30640F12"/>
    <w:rsid w:val="306453B6"/>
    <w:rsid w:val="306F78B6"/>
    <w:rsid w:val="3086532C"/>
    <w:rsid w:val="30872E52"/>
    <w:rsid w:val="30896BCA"/>
    <w:rsid w:val="308B46F0"/>
    <w:rsid w:val="308C66BA"/>
    <w:rsid w:val="30907F59"/>
    <w:rsid w:val="30913CD1"/>
    <w:rsid w:val="3091782D"/>
    <w:rsid w:val="309335A5"/>
    <w:rsid w:val="30937A49"/>
    <w:rsid w:val="309D61D2"/>
    <w:rsid w:val="30A21A3A"/>
    <w:rsid w:val="30A457B2"/>
    <w:rsid w:val="30A6777C"/>
    <w:rsid w:val="30AB4D93"/>
    <w:rsid w:val="30AB6B41"/>
    <w:rsid w:val="30C45E54"/>
    <w:rsid w:val="30C6397A"/>
    <w:rsid w:val="30C9346B"/>
    <w:rsid w:val="30CE6CD3"/>
    <w:rsid w:val="30D342E9"/>
    <w:rsid w:val="30DA7426"/>
    <w:rsid w:val="30E42053"/>
    <w:rsid w:val="30E67B79"/>
    <w:rsid w:val="30EB518F"/>
    <w:rsid w:val="30F34FAB"/>
    <w:rsid w:val="30F57DBC"/>
    <w:rsid w:val="30F85AFE"/>
    <w:rsid w:val="30FF0C3A"/>
    <w:rsid w:val="31012C04"/>
    <w:rsid w:val="310149B3"/>
    <w:rsid w:val="3103697D"/>
    <w:rsid w:val="31097D0B"/>
    <w:rsid w:val="310B75DF"/>
    <w:rsid w:val="310E70CF"/>
    <w:rsid w:val="312132A7"/>
    <w:rsid w:val="31215055"/>
    <w:rsid w:val="31230DCD"/>
    <w:rsid w:val="31232B7B"/>
    <w:rsid w:val="312D57A8"/>
    <w:rsid w:val="313905F0"/>
    <w:rsid w:val="313E1763"/>
    <w:rsid w:val="3143321D"/>
    <w:rsid w:val="31552F50"/>
    <w:rsid w:val="31554CFE"/>
    <w:rsid w:val="31603DCF"/>
    <w:rsid w:val="31692558"/>
    <w:rsid w:val="316F4012"/>
    <w:rsid w:val="31723B02"/>
    <w:rsid w:val="31771119"/>
    <w:rsid w:val="31794E91"/>
    <w:rsid w:val="317A4765"/>
    <w:rsid w:val="317C228B"/>
    <w:rsid w:val="317E6003"/>
    <w:rsid w:val="31864EB8"/>
    <w:rsid w:val="31887D1C"/>
    <w:rsid w:val="318C4BC4"/>
    <w:rsid w:val="31921AAF"/>
    <w:rsid w:val="31945827"/>
    <w:rsid w:val="319F5F79"/>
    <w:rsid w:val="319F6C13"/>
    <w:rsid w:val="31A0241D"/>
    <w:rsid w:val="31A517E2"/>
    <w:rsid w:val="31AB491E"/>
    <w:rsid w:val="31AD68E8"/>
    <w:rsid w:val="31B5579D"/>
    <w:rsid w:val="31B639EF"/>
    <w:rsid w:val="31BB2DB3"/>
    <w:rsid w:val="31BB7257"/>
    <w:rsid w:val="31C205E6"/>
    <w:rsid w:val="31C679AA"/>
    <w:rsid w:val="31C75BFC"/>
    <w:rsid w:val="31C81974"/>
    <w:rsid w:val="31CD0D39"/>
    <w:rsid w:val="31D75713"/>
    <w:rsid w:val="31E00A6C"/>
    <w:rsid w:val="31E22A36"/>
    <w:rsid w:val="31E56082"/>
    <w:rsid w:val="31E85B72"/>
    <w:rsid w:val="31EC5663"/>
    <w:rsid w:val="31EF6F01"/>
    <w:rsid w:val="31F512D3"/>
    <w:rsid w:val="31FB3AF8"/>
    <w:rsid w:val="31FC517A"/>
    <w:rsid w:val="31FD161E"/>
    <w:rsid w:val="31FE5396"/>
    <w:rsid w:val="32004C6A"/>
    <w:rsid w:val="3203475A"/>
    <w:rsid w:val="32052280"/>
    <w:rsid w:val="32087FC3"/>
    <w:rsid w:val="320C3EE0"/>
    <w:rsid w:val="321921D0"/>
    <w:rsid w:val="321C75CA"/>
    <w:rsid w:val="3220355E"/>
    <w:rsid w:val="322070BA"/>
    <w:rsid w:val="32230959"/>
    <w:rsid w:val="32270449"/>
    <w:rsid w:val="322A618B"/>
    <w:rsid w:val="322C5A5F"/>
    <w:rsid w:val="32335040"/>
    <w:rsid w:val="32364B30"/>
    <w:rsid w:val="32384404"/>
    <w:rsid w:val="323A4620"/>
    <w:rsid w:val="323B2146"/>
    <w:rsid w:val="323B3EF4"/>
    <w:rsid w:val="323E5792"/>
    <w:rsid w:val="32430FFB"/>
    <w:rsid w:val="32470AEB"/>
    <w:rsid w:val="324A2389"/>
    <w:rsid w:val="324F174E"/>
    <w:rsid w:val="325356E2"/>
    <w:rsid w:val="32566F80"/>
    <w:rsid w:val="32586854"/>
    <w:rsid w:val="325B6344"/>
    <w:rsid w:val="32672F3B"/>
    <w:rsid w:val="3268280F"/>
    <w:rsid w:val="326E6078"/>
    <w:rsid w:val="326E7E26"/>
    <w:rsid w:val="32713DBA"/>
    <w:rsid w:val="327F0285"/>
    <w:rsid w:val="327F64D7"/>
    <w:rsid w:val="32877139"/>
    <w:rsid w:val="32894C60"/>
    <w:rsid w:val="328B4E7C"/>
    <w:rsid w:val="328C29A2"/>
    <w:rsid w:val="328E2276"/>
    <w:rsid w:val="32901660"/>
    <w:rsid w:val="32931F82"/>
    <w:rsid w:val="32957AA8"/>
    <w:rsid w:val="329830F5"/>
    <w:rsid w:val="32A41A99"/>
    <w:rsid w:val="32A55811"/>
    <w:rsid w:val="32AC094E"/>
    <w:rsid w:val="32AC4DF2"/>
    <w:rsid w:val="32B048E2"/>
    <w:rsid w:val="32B36180"/>
    <w:rsid w:val="32BF68D3"/>
    <w:rsid w:val="32C043F9"/>
    <w:rsid w:val="32C20171"/>
    <w:rsid w:val="32C35A72"/>
    <w:rsid w:val="32C4038E"/>
    <w:rsid w:val="32CE4D68"/>
    <w:rsid w:val="32D8384A"/>
    <w:rsid w:val="32E97DF4"/>
    <w:rsid w:val="32EB591A"/>
    <w:rsid w:val="32EC51EE"/>
    <w:rsid w:val="32F01183"/>
    <w:rsid w:val="32F04CDF"/>
    <w:rsid w:val="32FD73FC"/>
    <w:rsid w:val="33022C64"/>
    <w:rsid w:val="33042538"/>
    <w:rsid w:val="33064502"/>
    <w:rsid w:val="3307027A"/>
    <w:rsid w:val="33093FF2"/>
    <w:rsid w:val="33105381"/>
    <w:rsid w:val="33150BE9"/>
    <w:rsid w:val="331717EE"/>
    <w:rsid w:val="331A61FF"/>
    <w:rsid w:val="331F7372"/>
    <w:rsid w:val="33260700"/>
    <w:rsid w:val="33264BA4"/>
    <w:rsid w:val="3328091C"/>
    <w:rsid w:val="332826CA"/>
    <w:rsid w:val="3330157F"/>
    <w:rsid w:val="333E1EEE"/>
    <w:rsid w:val="333F7A14"/>
    <w:rsid w:val="33437504"/>
    <w:rsid w:val="334943EF"/>
    <w:rsid w:val="33501C21"/>
    <w:rsid w:val="335039CF"/>
    <w:rsid w:val="33576B0C"/>
    <w:rsid w:val="33590AD6"/>
    <w:rsid w:val="335A2AA0"/>
    <w:rsid w:val="335C2374"/>
    <w:rsid w:val="335F1E64"/>
    <w:rsid w:val="33633703"/>
    <w:rsid w:val="336E3E55"/>
    <w:rsid w:val="33705E1F"/>
    <w:rsid w:val="33721B98"/>
    <w:rsid w:val="337551E4"/>
    <w:rsid w:val="33775400"/>
    <w:rsid w:val="337A6C9E"/>
    <w:rsid w:val="3381002D"/>
    <w:rsid w:val="33835B53"/>
    <w:rsid w:val="338626B9"/>
    <w:rsid w:val="33863895"/>
    <w:rsid w:val="3390201E"/>
    <w:rsid w:val="33997124"/>
    <w:rsid w:val="339C09C3"/>
    <w:rsid w:val="339C6C14"/>
    <w:rsid w:val="339F04B3"/>
    <w:rsid w:val="33A1247D"/>
    <w:rsid w:val="33A15FD9"/>
    <w:rsid w:val="33A67A93"/>
    <w:rsid w:val="33A87367"/>
    <w:rsid w:val="33B65F28"/>
    <w:rsid w:val="33BA52ED"/>
    <w:rsid w:val="33BE302F"/>
    <w:rsid w:val="33BE4DDD"/>
    <w:rsid w:val="33C06DA7"/>
    <w:rsid w:val="33C10429"/>
    <w:rsid w:val="33C543BD"/>
    <w:rsid w:val="33C70135"/>
    <w:rsid w:val="33CF2B46"/>
    <w:rsid w:val="33D62126"/>
    <w:rsid w:val="33D740F0"/>
    <w:rsid w:val="33D75E9F"/>
    <w:rsid w:val="33D95773"/>
    <w:rsid w:val="33DF14EB"/>
    <w:rsid w:val="33EA3E24"/>
    <w:rsid w:val="33F24A86"/>
    <w:rsid w:val="33F627C9"/>
    <w:rsid w:val="340622E0"/>
    <w:rsid w:val="34076784"/>
    <w:rsid w:val="340F388A"/>
    <w:rsid w:val="341113B0"/>
    <w:rsid w:val="3417273F"/>
    <w:rsid w:val="34192013"/>
    <w:rsid w:val="34232234"/>
    <w:rsid w:val="34272982"/>
    <w:rsid w:val="342B1D46"/>
    <w:rsid w:val="342C582E"/>
    <w:rsid w:val="342C7F98"/>
    <w:rsid w:val="343230D5"/>
    <w:rsid w:val="34367069"/>
    <w:rsid w:val="34390907"/>
    <w:rsid w:val="34473024"/>
    <w:rsid w:val="34496D9C"/>
    <w:rsid w:val="34525525"/>
    <w:rsid w:val="345833BB"/>
    <w:rsid w:val="345E036E"/>
    <w:rsid w:val="346040E6"/>
    <w:rsid w:val="34637732"/>
    <w:rsid w:val="34655258"/>
    <w:rsid w:val="346C2A8B"/>
    <w:rsid w:val="346F60D7"/>
    <w:rsid w:val="34796F56"/>
    <w:rsid w:val="347E631A"/>
    <w:rsid w:val="34801BC2"/>
    <w:rsid w:val="34802092"/>
    <w:rsid w:val="34847DD4"/>
    <w:rsid w:val="348576A9"/>
    <w:rsid w:val="34873421"/>
    <w:rsid w:val="348E0C53"/>
    <w:rsid w:val="348F22D5"/>
    <w:rsid w:val="349D2C44"/>
    <w:rsid w:val="34A51AF9"/>
    <w:rsid w:val="34BB756E"/>
    <w:rsid w:val="34BF705E"/>
    <w:rsid w:val="34CE1050"/>
    <w:rsid w:val="34D128EE"/>
    <w:rsid w:val="34D348B8"/>
    <w:rsid w:val="34D4418C"/>
    <w:rsid w:val="34D83C7C"/>
    <w:rsid w:val="34D97170"/>
    <w:rsid w:val="34DB19BE"/>
    <w:rsid w:val="34DF325D"/>
    <w:rsid w:val="34E40873"/>
    <w:rsid w:val="34E44283"/>
    <w:rsid w:val="34E6283D"/>
    <w:rsid w:val="34E66BA3"/>
    <w:rsid w:val="34E97C37"/>
    <w:rsid w:val="34F14D3E"/>
    <w:rsid w:val="34F30AB6"/>
    <w:rsid w:val="34F34F5A"/>
    <w:rsid w:val="34FF38FF"/>
    <w:rsid w:val="350031D3"/>
    <w:rsid w:val="35011425"/>
    <w:rsid w:val="35020CF9"/>
    <w:rsid w:val="3502519D"/>
    <w:rsid w:val="35040F15"/>
    <w:rsid w:val="35101AB3"/>
    <w:rsid w:val="35123632"/>
    <w:rsid w:val="35156C7E"/>
    <w:rsid w:val="351729F7"/>
    <w:rsid w:val="352073D1"/>
    <w:rsid w:val="35213875"/>
    <w:rsid w:val="35223149"/>
    <w:rsid w:val="352944D8"/>
    <w:rsid w:val="353A4937"/>
    <w:rsid w:val="353E374D"/>
    <w:rsid w:val="353E4427"/>
    <w:rsid w:val="3542559A"/>
    <w:rsid w:val="354E2190"/>
    <w:rsid w:val="35531555"/>
    <w:rsid w:val="355E0625"/>
    <w:rsid w:val="35610116"/>
    <w:rsid w:val="356D6ABA"/>
    <w:rsid w:val="35780FBB"/>
    <w:rsid w:val="35812566"/>
    <w:rsid w:val="35843E04"/>
    <w:rsid w:val="358838F4"/>
    <w:rsid w:val="358856A2"/>
    <w:rsid w:val="358D4A67"/>
    <w:rsid w:val="35956011"/>
    <w:rsid w:val="35957DBF"/>
    <w:rsid w:val="359A7184"/>
    <w:rsid w:val="35AB75E3"/>
    <w:rsid w:val="35B50461"/>
    <w:rsid w:val="35B5220F"/>
    <w:rsid w:val="35B92201"/>
    <w:rsid w:val="35BC359E"/>
    <w:rsid w:val="35BE10C4"/>
    <w:rsid w:val="35C020D4"/>
    <w:rsid w:val="35CB1A33"/>
    <w:rsid w:val="35DE7D47"/>
    <w:rsid w:val="35E13004"/>
    <w:rsid w:val="35E6686D"/>
    <w:rsid w:val="35EA010B"/>
    <w:rsid w:val="35ED7BFB"/>
    <w:rsid w:val="35EF74CF"/>
    <w:rsid w:val="35F363F2"/>
    <w:rsid w:val="35F965A0"/>
    <w:rsid w:val="35FC7E3E"/>
    <w:rsid w:val="35FE5964"/>
    <w:rsid w:val="35FF348B"/>
    <w:rsid w:val="360D3DFA"/>
    <w:rsid w:val="361138EA"/>
    <w:rsid w:val="361231BE"/>
    <w:rsid w:val="361B6516"/>
    <w:rsid w:val="3620283E"/>
    <w:rsid w:val="362178A5"/>
    <w:rsid w:val="36237179"/>
    <w:rsid w:val="362B4280"/>
    <w:rsid w:val="362D7FF8"/>
    <w:rsid w:val="36356EAC"/>
    <w:rsid w:val="36394BEF"/>
    <w:rsid w:val="363C648D"/>
    <w:rsid w:val="36405F7D"/>
    <w:rsid w:val="364A0BAA"/>
    <w:rsid w:val="36513CE6"/>
    <w:rsid w:val="3652180C"/>
    <w:rsid w:val="365657A0"/>
    <w:rsid w:val="365732C7"/>
    <w:rsid w:val="36581519"/>
    <w:rsid w:val="365D6B2F"/>
    <w:rsid w:val="365E6403"/>
    <w:rsid w:val="36637EBD"/>
    <w:rsid w:val="36653C36"/>
    <w:rsid w:val="36716136"/>
    <w:rsid w:val="36730100"/>
    <w:rsid w:val="367E6AA5"/>
    <w:rsid w:val="368050C6"/>
    <w:rsid w:val="36853990"/>
    <w:rsid w:val="3687595A"/>
    <w:rsid w:val="36877708"/>
    <w:rsid w:val="368C4D1E"/>
    <w:rsid w:val="36914A2B"/>
    <w:rsid w:val="36965B9D"/>
    <w:rsid w:val="369736C3"/>
    <w:rsid w:val="369B7657"/>
    <w:rsid w:val="369D517D"/>
    <w:rsid w:val="36A4475E"/>
    <w:rsid w:val="36A54032"/>
    <w:rsid w:val="36A71B58"/>
    <w:rsid w:val="36A91D74"/>
    <w:rsid w:val="36AA5AEC"/>
    <w:rsid w:val="36AD2EE7"/>
    <w:rsid w:val="36C24BE4"/>
    <w:rsid w:val="36C56482"/>
    <w:rsid w:val="36CC7811"/>
    <w:rsid w:val="36CF7301"/>
    <w:rsid w:val="36D30B9F"/>
    <w:rsid w:val="36D3294D"/>
    <w:rsid w:val="36D44917"/>
    <w:rsid w:val="36D668E1"/>
    <w:rsid w:val="36DA0180"/>
    <w:rsid w:val="36DF1167"/>
    <w:rsid w:val="36E0150E"/>
    <w:rsid w:val="36E56B24"/>
    <w:rsid w:val="36F14A0C"/>
    <w:rsid w:val="37070849"/>
    <w:rsid w:val="37135440"/>
    <w:rsid w:val="37160A8C"/>
    <w:rsid w:val="371D1E1A"/>
    <w:rsid w:val="372431A9"/>
    <w:rsid w:val="372907BF"/>
    <w:rsid w:val="372C4753"/>
    <w:rsid w:val="373F4487"/>
    <w:rsid w:val="374342B4"/>
    <w:rsid w:val="3748158D"/>
    <w:rsid w:val="374B4BD9"/>
    <w:rsid w:val="374E0226"/>
    <w:rsid w:val="374E6478"/>
    <w:rsid w:val="375021F0"/>
    <w:rsid w:val="37531CE0"/>
    <w:rsid w:val="37555A58"/>
    <w:rsid w:val="3756532C"/>
    <w:rsid w:val="375F0685"/>
    <w:rsid w:val="37623CD1"/>
    <w:rsid w:val="37691503"/>
    <w:rsid w:val="37695060"/>
    <w:rsid w:val="377A726D"/>
    <w:rsid w:val="378105FB"/>
    <w:rsid w:val="37887BDC"/>
    <w:rsid w:val="378974B0"/>
    <w:rsid w:val="378E0F6A"/>
    <w:rsid w:val="379320DC"/>
    <w:rsid w:val="379522F8"/>
    <w:rsid w:val="37976071"/>
    <w:rsid w:val="37991DE9"/>
    <w:rsid w:val="379A7C7E"/>
    <w:rsid w:val="379C3687"/>
    <w:rsid w:val="37A20571"/>
    <w:rsid w:val="37A367C3"/>
    <w:rsid w:val="37A75B88"/>
    <w:rsid w:val="37A8202C"/>
    <w:rsid w:val="37B07132"/>
    <w:rsid w:val="37B70636"/>
    <w:rsid w:val="37BC0447"/>
    <w:rsid w:val="37BF1123"/>
    <w:rsid w:val="37BF2ED1"/>
    <w:rsid w:val="37C4498C"/>
    <w:rsid w:val="37C624B2"/>
    <w:rsid w:val="37CA01F4"/>
    <w:rsid w:val="37CE75B8"/>
    <w:rsid w:val="37D050DF"/>
    <w:rsid w:val="37D47B5E"/>
    <w:rsid w:val="37D746BF"/>
    <w:rsid w:val="37D7646D"/>
    <w:rsid w:val="37D92540"/>
    <w:rsid w:val="37DC1CD5"/>
    <w:rsid w:val="37DE5A4E"/>
    <w:rsid w:val="37DF3574"/>
    <w:rsid w:val="37E22162"/>
    <w:rsid w:val="37F45271"/>
    <w:rsid w:val="37F74639"/>
    <w:rsid w:val="380B4369"/>
    <w:rsid w:val="380F20AB"/>
    <w:rsid w:val="38123949"/>
    <w:rsid w:val="38156F95"/>
    <w:rsid w:val="381F1BC2"/>
    <w:rsid w:val="38207E14"/>
    <w:rsid w:val="38237904"/>
    <w:rsid w:val="38286CC9"/>
    <w:rsid w:val="383E64EC"/>
    <w:rsid w:val="38431D54"/>
    <w:rsid w:val="38507FCD"/>
    <w:rsid w:val="385C2E16"/>
    <w:rsid w:val="386046B4"/>
    <w:rsid w:val="38673C95"/>
    <w:rsid w:val="38675A43"/>
    <w:rsid w:val="387737AC"/>
    <w:rsid w:val="387939C8"/>
    <w:rsid w:val="387A3DF1"/>
    <w:rsid w:val="3885236D"/>
    <w:rsid w:val="388760E5"/>
    <w:rsid w:val="38912AC0"/>
    <w:rsid w:val="38934A8A"/>
    <w:rsid w:val="3894435E"/>
    <w:rsid w:val="38975BFC"/>
    <w:rsid w:val="389C3213"/>
    <w:rsid w:val="38A24CCD"/>
    <w:rsid w:val="38A547BD"/>
    <w:rsid w:val="38A65E3F"/>
    <w:rsid w:val="38A74091"/>
    <w:rsid w:val="38A81BB8"/>
    <w:rsid w:val="38AA1DD4"/>
    <w:rsid w:val="38AB2FCD"/>
    <w:rsid w:val="38B16CBE"/>
    <w:rsid w:val="38B60778"/>
    <w:rsid w:val="38B7004D"/>
    <w:rsid w:val="38B90269"/>
    <w:rsid w:val="38C20ECB"/>
    <w:rsid w:val="38CA5FD2"/>
    <w:rsid w:val="38CC58A6"/>
    <w:rsid w:val="38D155B2"/>
    <w:rsid w:val="38D62BC9"/>
    <w:rsid w:val="38D66725"/>
    <w:rsid w:val="38DB1F8D"/>
    <w:rsid w:val="38E54BBA"/>
    <w:rsid w:val="38EC5F48"/>
    <w:rsid w:val="38EF3C8A"/>
    <w:rsid w:val="38FB618B"/>
    <w:rsid w:val="38FD0155"/>
    <w:rsid w:val="38FF3ECD"/>
    <w:rsid w:val="39007C46"/>
    <w:rsid w:val="3902751A"/>
    <w:rsid w:val="39074B30"/>
    <w:rsid w:val="39094D4C"/>
    <w:rsid w:val="390A09BE"/>
    <w:rsid w:val="390C7F14"/>
    <w:rsid w:val="39113C01"/>
    <w:rsid w:val="39131727"/>
    <w:rsid w:val="392B4CC2"/>
    <w:rsid w:val="393B0C7E"/>
    <w:rsid w:val="394418E0"/>
    <w:rsid w:val="39461AFC"/>
    <w:rsid w:val="39513FFD"/>
    <w:rsid w:val="395835DE"/>
    <w:rsid w:val="395A7356"/>
    <w:rsid w:val="395D29A2"/>
    <w:rsid w:val="39665CFB"/>
    <w:rsid w:val="39673821"/>
    <w:rsid w:val="396B1563"/>
    <w:rsid w:val="397A17A6"/>
    <w:rsid w:val="397C3770"/>
    <w:rsid w:val="39810D86"/>
    <w:rsid w:val="39846181"/>
    <w:rsid w:val="39882115"/>
    <w:rsid w:val="39900FC9"/>
    <w:rsid w:val="39916AF0"/>
    <w:rsid w:val="39987E7E"/>
    <w:rsid w:val="399A3BF6"/>
    <w:rsid w:val="399D36E6"/>
    <w:rsid w:val="399F745E"/>
    <w:rsid w:val="39A46823"/>
    <w:rsid w:val="39A6259B"/>
    <w:rsid w:val="39A81897"/>
    <w:rsid w:val="39AC56D7"/>
    <w:rsid w:val="39B60304"/>
    <w:rsid w:val="39BA4298"/>
    <w:rsid w:val="39BD1693"/>
    <w:rsid w:val="39BE5B37"/>
    <w:rsid w:val="39C12F31"/>
    <w:rsid w:val="39C33608"/>
    <w:rsid w:val="39C72511"/>
    <w:rsid w:val="39D013C6"/>
    <w:rsid w:val="39DA2245"/>
    <w:rsid w:val="39DF5AAD"/>
    <w:rsid w:val="39E15381"/>
    <w:rsid w:val="39E6508D"/>
    <w:rsid w:val="39E9692C"/>
    <w:rsid w:val="39F03816"/>
    <w:rsid w:val="39F350B4"/>
    <w:rsid w:val="39FC21BB"/>
    <w:rsid w:val="3A073743"/>
    <w:rsid w:val="3A085004"/>
    <w:rsid w:val="3A0B4AF4"/>
    <w:rsid w:val="3A0E1EEE"/>
    <w:rsid w:val="3A0F6392"/>
    <w:rsid w:val="3A1E65D5"/>
    <w:rsid w:val="3A217E73"/>
    <w:rsid w:val="3A267238"/>
    <w:rsid w:val="3A2A31CC"/>
    <w:rsid w:val="3A331955"/>
    <w:rsid w:val="3A3556CD"/>
    <w:rsid w:val="3A461688"/>
    <w:rsid w:val="3A540249"/>
    <w:rsid w:val="3A557B1D"/>
    <w:rsid w:val="3A563FC1"/>
    <w:rsid w:val="3A5D744B"/>
    <w:rsid w:val="3A695377"/>
    <w:rsid w:val="3A6B10EF"/>
    <w:rsid w:val="3A6D4E67"/>
    <w:rsid w:val="3A7461F5"/>
    <w:rsid w:val="3A7F6446"/>
    <w:rsid w:val="3A836438"/>
    <w:rsid w:val="3A8F74D3"/>
    <w:rsid w:val="3A914FF9"/>
    <w:rsid w:val="3A95616C"/>
    <w:rsid w:val="3A976388"/>
    <w:rsid w:val="3AA50161"/>
    <w:rsid w:val="3AA840F1"/>
    <w:rsid w:val="3AAA60BB"/>
    <w:rsid w:val="3AB17449"/>
    <w:rsid w:val="3AB46F3A"/>
    <w:rsid w:val="3AC21656"/>
    <w:rsid w:val="3AC23405"/>
    <w:rsid w:val="3AC54CA3"/>
    <w:rsid w:val="3AC802EF"/>
    <w:rsid w:val="3ACC7DDF"/>
    <w:rsid w:val="3AD0485E"/>
    <w:rsid w:val="3ADE3FB6"/>
    <w:rsid w:val="3AE570F3"/>
    <w:rsid w:val="3AE80991"/>
    <w:rsid w:val="3AEA4709"/>
    <w:rsid w:val="3AEC66D3"/>
    <w:rsid w:val="3AF31088"/>
    <w:rsid w:val="3B027CA5"/>
    <w:rsid w:val="3B077069"/>
    <w:rsid w:val="3B084B8F"/>
    <w:rsid w:val="3B11613A"/>
    <w:rsid w:val="3B135A0E"/>
    <w:rsid w:val="3B1B48C3"/>
    <w:rsid w:val="3B20637D"/>
    <w:rsid w:val="3B265B14"/>
    <w:rsid w:val="3B273268"/>
    <w:rsid w:val="3B2C087E"/>
    <w:rsid w:val="3B304812"/>
    <w:rsid w:val="3B3140E6"/>
    <w:rsid w:val="3B331C0C"/>
    <w:rsid w:val="3B3360B0"/>
    <w:rsid w:val="3B3A17D2"/>
    <w:rsid w:val="3B3E219E"/>
    <w:rsid w:val="3B3F4A55"/>
    <w:rsid w:val="3B404329"/>
    <w:rsid w:val="3B4200A1"/>
    <w:rsid w:val="3B4958D4"/>
    <w:rsid w:val="3B4C0F20"/>
    <w:rsid w:val="3B4C2CCE"/>
    <w:rsid w:val="3B4C7172"/>
    <w:rsid w:val="3B4F27BE"/>
    <w:rsid w:val="3B5129DA"/>
    <w:rsid w:val="3B5A188F"/>
    <w:rsid w:val="3B5F0C53"/>
    <w:rsid w:val="3B5F6EA5"/>
    <w:rsid w:val="3B620744"/>
    <w:rsid w:val="3B64626A"/>
    <w:rsid w:val="3B673FAC"/>
    <w:rsid w:val="3B697D24"/>
    <w:rsid w:val="3B7A3CDF"/>
    <w:rsid w:val="3B81506E"/>
    <w:rsid w:val="3B824942"/>
    <w:rsid w:val="3B8334A3"/>
    <w:rsid w:val="3B862684"/>
    <w:rsid w:val="3B8B7C9A"/>
    <w:rsid w:val="3B912DD7"/>
    <w:rsid w:val="3B9B5A04"/>
    <w:rsid w:val="3BA26D92"/>
    <w:rsid w:val="3BA945C4"/>
    <w:rsid w:val="3BB15227"/>
    <w:rsid w:val="3BB80364"/>
    <w:rsid w:val="3BB84807"/>
    <w:rsid w:val="3BBA40DC"/>
    <w:rsid w:val="3BBD597A"/>
    <w:rsid w:val="3BC35686"/>
    <w:rsid w:val="3BCB453B"/>
    <w:rsid w:val="3BCD02B3"/>
    <w:rsid w:val="3BD17677"/>
    <w:rsid w:val="3BD31641"/>
    <w:rsid w:val="3BD50F16"/>
    <w:rsid w:val="3BD66A3C"/>
    <w:rsid w:val="3BD827B4"/>
    <w:rsid w:val="3BDA652C"/>
    <w:rsid w:val="3BE61375"/>
    <w:rsid w:val="3BED44B1"/>
    <w:rsid w:val="3BF07AFD"/>
    <w:rsid w:val="3BF21AC7"/>
    <w:rsid w:val="3BF33A92"/>
    <w:rsid w:val="3BF70E8C"/>
    <w:rsid w:val="3BFF41E4"/>
    <w:rsid w:val="3C011D0B"/>
    <w:rsid w:val="3C0B2B89"/>
    <w:rsid w:val="3C0E4427"/>
    <w:rsid w:val="3C1063F2"/>
    <w:rsid w:val="3C132CEC"/>
    <w:rsid w:val="3C17152E"/>
    <w:rsid w:val="3C1A644D"/>
    <w:rsid w:val="3C1C4D96"/>
    <w:rsid w:val="3C2105FF"/>
    <w:rsid w:val="3C236125"/>
    <w:rsid w:val="3C261771"/>
    <w:rsid w:val="3C335C3C"/>
    <w:rsid w:val="3C3C71E7"/>
    <w:rsid w:val="3C406CD7"/>
    <w:rsid w:val="3C447E49"/>
    <w:rsid w:val="3C5462DE"/>
    <w:rsid w:val="3C5938F5"/>
    <w:rsid w:val="3C7A386B"/>
    <w:rsid w:val="3C7B47BA"/>
    <w:rsid w:val="3C7F70D3"/>
    <w:rsid w:val="3C9708C1"/>
    <w:rsid w:val="3C990195"/>
    <w:rsid w:val="3C991F43"/>
    <w:rsid w:val="3C9B215F"/>
    <w:rsid w:val="3CA1704A"/>
    <w:rsid w:val="3CA32DC2"/>
    <w:rsid w:val="3CAF79B9"/>
    <w:rsid w:val="3CB11983"/>
    <w:rsid w:val="3CB13731"/>
    <w:rsid w:val="3CB21257"/>
    <w:rsid w:val="3CBA010B"/>
    <w:rsid w:val="3CC2593E"/>
    <w:rsid w:val="3CC316B6"/>
    <w:rsid w:val="3CC52D38"/>
    <w:rsid w:val="3CCD7E3F"/>
    <w:rsid w:val="3CCF3BB7"/>
    <w:rsid w:val="3CD1792F"/>
    <w:rsid w:val="3CD93848"/>
    <w:rsid w:val="3CE33B06"/>
    <w:rsid w:val="3CE37662"/>
    <w:rsid w:val="3CEC29BB"/>
    <w:rsid w:val="3CF17FD1"/>
    <w:rsid w:val="3CF47CAD"/>
    <w:rsid w:val="3CF74EBC"/>
    <w:rsid w:val="3CFB2BFE"/>
    <w:rsid w:val="3CFD6976"/>
    <w:rsid w:val="3CFE624A"/>
    <w:rsid w:val="3D0E0B83"/>
    <w:rsid w:val="3D112421"/>
    <w:rsid w:val="3D1E4B3E"/>
    <w:rsid w:val="3D2757A1"/>
    <w:rsid w:val="3D2959BD"/>
    <w:rsid w:val="3D2A34E3"/>
    <w:rsid w:val="3D3446A0"/>
    <w:rsid w:val="3D3659E4"/>
    <w:rsid w:val="3D3E2AEA"/>
    <w:rsid w:val="3D424389"/>
    <w:rsid w:val="3D4D2D2E"/>
    <w:rsid w:val="3D4E29E8"/>
    <w:rsid w:val="3D510A70"/>
    <w:rsid w:val="3D583BAC"/>
    <w:rsid w:val="3D5E4F3B"/>
    <w:rsid w:val="3D6562C9"/>
    <w:rsid w:val="3D762284"/>
    <w:rsid w:val="3D78424E"/>
    <w:rsid w:val="3D7959A4"/>
    <w:rsid w:val="3D8726E3"/>
    <w:rsid w:val="3D872B79"/>
    <w:rsid w:val="3D87623F"/>
    <w:rsid w:val="3D8A5D30"/>
    <w:rsid w:val="3D954E00"/>
    <w:rsid w:val="3D956BAE"/>
    <w:rsid w:val="3DA05553"/>
    <w:rsid w:val="3DA70690"/>
    <w:rsid w:val="3DAE7C70"/>
    <w:rsid w:val="3DB35286"/>
    <w:rsid w:val="3DB42DAD"/>
    <w:rsid w:val="3DBD4357"/>
    <w:rsid w:val="3DBF105C"/>
    <w:rsid w:val="3DC254CA"/>
    <w:rsid w:val="3DC76F84"/>
    <w:rsid w:val="3DD05E38"/>
    <w:rsid w:val="3DD31485"/>
    <w:rsid w:val="3DD376D7"/>
    <w:rsid w:val="3DD60F75"/>
    <w:rsid w:val="3DE23DBE"/>
    <w:rsid w:val="3DE73182"/>
    <w:rsid w:val="3DEA67CE"/>
    <w:rsid w:val="3DEC2546"/>
    <w:rsid w:val="3DEE62BF"/>
    <w:rsid w:val="3DF15DAF"/>
    <w:rsid w:val="3DFB432B"/>
    <w:rsid w:val="3DFD29A6"/>
    <w:rsid w:val="3DFE0BF8"/>
    <w:rsid w:val="3E083824"/>
    <w:rsid w:val="3E0930F8"/>
    <w:rsid w:val="3E09759C"/>
    <w:rsid w:val="3E10092B"/>
    <w:rsid w:val="3E1D0952"/>
    <w:rsid w:val="3E23240C"/>
    <w:rsid w:val="3E265A58"/>
    <w:rsid w:val="3E2B7513"/>
    <w:rsid w:val="3E2D328B"/>
    <w:rsid w:val="3E300685"/>
    <w:rsid w:val="3E46434D"/>
    <w:rsid w:val="3E4660FB"/>
    <w:rsid w:val="3E4D12C3"/>
    <w:rsid w:val="3E4F1453"/>
    <w:rsid w:val="3E506F79"/>
    <w:rsid w:val="3E510E13"/>
    <w:rsid w:val="3E530817"/>
    <w:rsid w:val="3E5500EC"/>
    <w:rsid w:val="3E554590"/>
    <w:rsid w:val="3E5636F5"/>
    <w:rsid w:val="3E580CE6"/>
    <w:rsid w:val="3E5F0F6A"/>
    <w:rsid w:val="3E682515"/>
    <w:rsid w:val="3E740EBA"/>
    <w:rsid w:val="3E7C7D6E"/>
    <w:rsid w:val="3E8310FD"/>
    <w:rsid w:val="3E895FE7"/>
    <w:rsid w:val="3E8E35FE"/>
    <w:rsid w:val="3E8F1850"/>
    <w:rsid w:val="3E927592"/>
    <w:rsid w:val="3E94330A"/>
    <w:rsid w:val="3E974BA8"/>
    <w:rsid w:val="3E9A01F4"/>
    <w:rsid w:val="3E9A6446"/>
    <w:rsid w:val="3EA13331"/>
    <w:rsid w:val="3EA177D5"/>
    <w:rsid w:val="3EA80B63"/>
    <w:rsid w:val="3EB43064"/>
    <w:rsid w:val="3EB63280"/>
    <w:rsid w:val="3EB94B1E"/>
    <w:rsid w:val="3EC040FF"/>
    <w:rsid w:val="3EC05384"/>
    <w:rsid w:val="3EC36F33"/>
    <w:rsid w:val="3EC3774B"/>
    <w:rsid w:val="3EC7548D"/>
    <w:rsid w:val="3EC82FB3"/>
    <w:rsid w:val="3ECC2AA4"/>
    <w:rsid w:val="3ED16309"/>
    <w:rsid w:val="3ED656D0"/>
    <w:rsid w:val="3EDB2CE7"/>
    <w:rsid w:val="3EE55913"/>
    <w:rsid w:val="3EE94590"/>
    <w:rsid w:val="3EEF22EE"/>
    <w:rsid w:val="3EF1250A"/>
    <w:rsid w:val="3EF73899"/>
    <w:rsid w:val="3EF75647"/>
    <w:rsid w:val="3EFE69D5"/>
    <w:rsid w:val="3F057D64"/>
    <w:rsid w:val="3F147FA7"/>
    <w:rsid w:val="3F161F71"/>
    <w:rsid w:val="3F19736B"/>
    <w:rsid w:val="3F261A88"/>
    <w:rsid w:val="3F281CA4"/>
    <w:rsid w:val="3F2C3542"/>
    <w:rsid w:val="3F316DAB"/>
    <w:rsid w:val="3F32042D"/>
    <w:rsid w:val="3F3D1329"/>
    <w:rsid w:val="3F422D66"/>
    <w:rsid w:val="3F43088C"/>
    <w:rsid w:val="3F454604"/>
    <w:rsid w:val="3F536D21"/>
    <w:rsid w:val="3F566811"/>
    <w:rsid w:val="3F584337"/>
    <w:rsid w:val="3F5973C1"/>
    <w:rsid w:val="3F5E1222"/>
    <w:rsid w:val="3F696545"/>
    <w:rsid w:val="3F6A406B"/>
    <w:rsid w:val="3F724CCD"/>
    <w:rsid w:val="3F762A0F"/>
    <w:rsid w:val="3F76656C"/>
    <w:rsid w:val="3F7877A9"/>
    <w:rsid w:val="3F7C299B"/>
    <w:rsid w:val="3F7F7B16"/>
    <w:rsid w:val="3F80388E"/>
    <w:rsid w:val="3F823162"/>
    <w:rsid w:val="3F8A64BB"/>
    <w:rsid w:val="3F8C3FE1"/>
    <w:rsid w:val="3F8E7D59"/>
    <w:rsid w:val="3F8F587F"/>
    <w:rsid w:val="3F9904AC"/>
    <w:rsid w:val="3F9B5FD2"/>
    <w:rsid w:val="3FA330D9"/>
    <w:rsid w:val="3FA94B93"/>
    <w:rsid w:val="3FAC6431"/>
    <w:rsid w:val="3FAE3F57"/>
    <w:rsid w:val="3FB35A12"/>
    <w:rsid w:val="3FBF43B6"/>
    <w:rsid w:val="3FC27A03"/>
    <w:rsid w:val="3FCE63A8"/>
    <w:rsid w:val="3FD85478"/>
    <w:rsid w:val="3FDA11F0"/>
    <w:rsid w:val="3FDB0AC5"/>
    <w:rsid w:val="3FDF6807"/>
    <w:rsid w:val="3FE47979"/>
    <w:rsid w:val="3FEB51AC"/>
    <w:rsid w:val="3FEC558C"/>
    <w:rsid w:val="3FEE07F8"/>
    <w:rsid w:val="3FEF631E"/>
    <w:rsid w:val="3FF213FE"/>
    <w:rsid w:val="3FF34060"/>
    <w:rsid w:val="3FF658FE"/>
    <w:rsid w:val="3FF73B50"/>
    <w:rsid w:val="3FFA53EF"/>
    <w:rsid w:val="400224F5"/>
    <w:rsid w:val="400718BA"/>
    <w:rsid w:val="400E49F6"/>
    <w:rsid w:val="4012098A"/>
    <w:rsid w:val="40155D85"/>
    <w:rsid w:val="401C5365"/>
    <w:rsid w:val="401D10DD"/>
    <w:rsid w:val="4021297B"/>
    <w:rsid w:val="402204A1"/>
    <w:rsid w:val="40222F64"/>
    <w:rsid w:val="402D7572"/>
    <w:rsid w:val="402E5098"/>
    <w:rsid w:val="4033445D"/>
    <w:rsid w:val="40356427"/>
    <w:rsid w:val="40367005"/>
    <w:rsid w:val="403F2E01"/>
    <w:rsid w:val="40442B0E"/>
    <w:rsid w:val="4047615A"/>
    <w:rsid w:val="40493C80"/>
    <w:rsid w:val="404D1D57"/>
    <w:rsid w:val="40522D14"/>
    <w:rsid w:val="40552625"/>
    <w:rsid w:val="405A7C3B"/>
    <w:rsid w:val="405B6F2C"/>
    <w:rsid w:val="405E3BCF"/>
    <w:rsid w:val="406311E6"/>
    <w:rsid w:val="40694322"/>
    <w:rsid w:val="40721429"/>
    <w:rsid w:val="40774C91"/>
    <w:rsid w:val="4081341A"/>
    <w:rsid w:val="40844CB8"/>
    <w:rsid w:val="40880C4C"/>
    <w:rsid w:val="408829FA"/>
    <w:rsid w:val="40896772"/>
    <w:rsid w:val="4093314D"/>
    <w:rsid w:val="409A272E"/>
    <w:rsid w:val="409A44DC"/>
    <w:rsid w:val="409E3FCC"/>
    <w:rsid w:val="409F5F96"/>
    <w:rsid w:val="40A23390"/>
    <w:rsid w:val="40A62E81"/>
    <w:rsid w:val="40A8309D"/>
    <w:rsid w:val="40A9471F"/>
    <w:rsid w:val="40B01F51"/>
    <w:rsid w:val="40B90E06"/>
    <w:rsid w:val="40BE466E"/>
    <w:rsid w:val="40CA3013"/>
    <w:rsid w:val="40CF0629"/>
    <w:rsid w:val="40D55514"/>
    <w:rsid w:val="40D92C20"/>
    <w:rsid w:val="40E13EB9"/>
    <w:rsid w:val="40E165AE"/>
    <w:rsid w:val="40E340D5"/>
    <w:rsid w:val="40E51BFB"/>
    <w:rsid w:val="40E90FBF"/>
    <w:rsid w:val="40F167F2"/>
    <w:rsid w:val="40F7192E"/>
    <w:rsid w:val="41004C87"/>
    <w:rsid w:val="41036525"/>
    <w:rsid w:val="41076015"/>
    <w:rsid w:val="410D73A4"/>
    <w:rsid w:val="410F0A26"/>
    <w:rsid w:val="411A73CB"/>
    <w:rsid w:val="41200E85"/>
    <w:rsid w:val="41202C33"/>
    <w:rsid w:val="412546ED"/>
    <w:rsid w:val="41263FC1"/>
    <w:rsid w:val="41287D39"/>
    <w:rsid w:val="4134048C"/>
    <w:rsid w:val="413B181B"/>
    <w:rsid w:val="41447381"/>
    <w:rsid w:val="414C1C7A"/>
    <w:rsid w:val="41526B64"/>
    <w:rsid w:val="41546D80"/>
    <w:rsid w:val="4162324B"/>
    <w:rsid w:val="41635215"/>
    <w:rsid w:val="416845DA"/>
    <w:rsid w:val="416A65A4"/>
    <w:rsid w:val="416C40CA"/>
    <w:rsid w:val="41735459"/>
    <w:rsid w:val="417C08E0"/>
    <w:rsid w:val="41874A60"/>
    <w:rsid w:val="418807D8"/>
    <w:rsid w:val="418F7DB9"/>
    <w:rsid w:val="41911D83"/>
    <w:rsid w:val="419453CF"/>
    <w:rsid w:val="419B050B"/>
    <w:rsid w:val="41A27AEC"/>
    <w:rsid w:val="41A82C28"/>
    <w:rsid w:val="41AF2209"/>
    <w:rsid w:val="41B415CD"/>
    <w:rsid w:val="41B94E35"/>
    <w:rsid w:val="41C34BED"/>
    <w:rsid w:val="41CA2B9F"/>
    <w:rsid w:val="41CE6B33"/>
    <w:rsid w:val="41D3573A"/>
    <w:rsid w:val="41D659E7"/>
    <w:rsid w:val="41D91034"/>
    <w:rsid w:val="41E974C9"/>
    <w:rsid w:val="41EA3241"/>
    <w:rsid w:val="41F27582"/>
    <w:rsid w:val="41F61BE6"/>
    <w:rsid w:val="41F84884"/>
    <w:rsid w:val="42010CB6"/>
    <w:rsid w:val="420C765B"/>
    <w:rsid w:val="421A1D78"/>
    <w:rsid w:val="42204EB5"/>
    <w:rsid w:val="42224789"/>
    <w:rsid w:val="4230130C"/>
    <w:rsid w:val="42317917"/>
    <w:rsid w:val="423746D8"/>
    <w:rsid w:val="424010B3"/>
    <w:rsid w:val="424B1F31"/>
    <w:rsid w:val="424C5CAA"/>
    <w:rsid w:val="4251506E"/>
    <w:rsid w:val="4255690C"/>
    <w:rsid w:val="425A03C6"/>
    <w:rsid w:val="426052B1"/>
    <w:rsid w:val="42660B19"/>
    <w:rsid w:val="42664FBD"/>
    <w:rsid w:val="426C0BBA"/>
    <w:rsid w:val="426E79CE"/>
    <w:rsid w:val="42703746"/>
    <w:rsid w:val="427A6373"/>
    <w:rsid w:val="42815953"/>
    <w:rsid w:val="42843695"/>
    <w:rsid w:val="42862F6A"/>
    <w:rsid w:val="42864D18"/>
    <w:rsid w:val="42890CAC"/>
    <w:rsid w:val="42927B60"/>
    <w:rsid w:val="42976F25"/>
    <w:rsid w:val="429B13B4"/>
    <w:rsid w:val="429C453B"/>
    <w:rsid w:val="429D6505"/>
    <w:rsid w:val="429F227D"/>
    <w:rsid w:val="429F3A96"/>
    <w:rsid w:val="42A17DA3"/>
    <w:rsid w:val="42B21FB1"/>
    <w:rsid w:val="42B37AD7"/>
    <w:rsid w:val="42B51AA1"/>
    <w:rsid w:val="42B55CBC"/>
    <w:rsid w:val="42B6714C"/>
    <w:rsid w:val="42BD2703"/>
    <w:rsid w:val="42C121F4"/>
    <w:rsid w:val="42C27D1A"/>
    <w:rsid w:val="42C615B8"/>
    <w:rsid w:val="42D00689"/>
    <w:rsid w:val="42D71A17"/>
    <w:rsid w:val="42D82436"/>
    <w:rsid w:val="42FF2D1C"/>
    <w:rsid w:val="43010842"/>
    <w:rsid w:val="430622FC"/>
    <w:rsid w:val="43087E22"/>
    <w:rsid w:val="430B346F"/>
    <w:rsid w:val="43144A19"/>
    <w:rsid w:val="431762B8"/>
    <w:rsid w:val="431C567C"/>
    <w:rsid w:val="431E13F4"/>
    <w:rsid w:val="43236A0A"/>
    <w:rsid w:val="43244A8B"/>
    <w:rsid w:val="43252782"/>
    <w:rsid w:val="4326474D"/>
    <w:rsid w:val="432804C5"/>
    <w:rsid w:val="432A3FA6"/>
    <w:rsid w:val="43346E69"/>
    <w:rsid w:val="43394480"/>
    <w:rsid w:val="433E1A96"/>
    <w:rsid w:val="43482915"/>
    <w:rsid w:val="43486471"/>
    <w:rsid w:val="434D1CD9"/>
    <w:rsid w:val="434D3A87"/>
    <w:rsid w:val="434F77FF"/>
    <w:rsid w:val="43525542"/>
    <w:rsid w:val="43544E16"/>
    <w:rsid w:val="4355293C"/>
    <w:rsid w:val="435E3EE6"/>
    <w:rsid w:val="436037BB"/>
    <w:rsid w:val="43635059"/>
    <w:rsid w:val="436451D4"/>
    <w:rsid w:val="43672D9B"/>
    <w:rsid w:val="436B215F"/>
    <w:rsid w:val="436E5BA1"/>
    <w:rsid w:val="436F7EA2"/>
    <w:rsid w:val="4374370A"/>
    <w:rsid w:val="43747266"/>
    <w:rsid w:val="437B3C8D"/>
    <w:rsid w:val="43827BD5"/>
    <w:rsid w:val="43853221"/>
    <w:rsid w:val="438576C5"/>
    <w:rsid w:val="439711A6"/>
    <w:rsid w:val="43972F54"/>
    <w:rsid w:val="43993AC6"/>
    <w:rsid w:val="439D4A0F"/>
    <w:rsid w:val="43A0005B"/>
    <w:rsid w:val="43A86F10"/>
    <w:rsid w:val="43AC2EA4"/>
    <w:rsid w:val="43B12268"/>
    <w:rsid w:val="43B35FE0"/>
    <w:rsid w:val="43B41D58"/>
    <w:rsid w:val="43BB30E7"/>
    <w:rsid w:val="43CA10CC"/>
    <w:rsid w:val="43CD4BC8"/>
    <w:rsid w:val="43D85A47"/>
    <w:rsid w:val="43E22422"/>
    <w:rsid w:val="43E3619A"/>
    <w:rsid w:val="43E51F12"/>
    <w:rsid w:val="43EA39CC"/>
    <w:rsid w:val="43F9776B"/>
    <w:rsid w:val="44004F9E"/>
    <w:rsid w:val="44093E52"/>
    <w:rsid w:val="440F51E1"/>
    <w:rsid w:val="441133CA"/>
    <w:rsid w:val="44114AB5"/>
    <w:rsid w:val="44136A7F"/>
    <w:rsid w:val="441B1DD7"/>
    <w:rsid w:val="442347E8"/>
    <w:rsid w:val="44240C8C"/>
    <w:rsid w:val="44246EDE"/>
    <w:rsid w:val="44250560"/>
    <w:rsid w:val="44305883"/>
    <w:rsid w:val="4440539A"/>
    <w:rsid w:val="4447497A"/>
    <w:rsid w:val="44507864"/>
    <w:rsid w:val="44511355"/>
    <w:rsid w:val="44564BBE"/>
    <w:rsid w:val="44625310"/>
    <w:rsid w:val="446948F1"/>
    <w:rsid w:val="44703ED1"/>
    <w:rsid w:val="44743E8F"/>
    <w:rsid w:val="447A4D50"/>
    <w:rsid w:val="447D039C"/>
    <w:rsid w:val="447F5EC2"/>
    <w:rsid w:val="448160DE"/>
    <w:rsid w:val="44817E8C"/>
    <w:rsid w:val="44827761"/>
    <w:rsid w:val="448654A3"/>
    <w:rsid w:val="44890AEF"/>
    <w:rsid w:val="4492209A"/>
    <w:rsid w:val="449776B0"/>
    <w:rsid w:val="44A75419"/>
    <w:rsid w:val="44B71B00"/>
    <w:rsid w:val="44BD4C3D"/>
    <w:rsid w:val="44BE2E8F"/>
    <w:rsid w:val="44BF2763"/>
    <w:rsid w:val="44C45FCB"/>
    <w:rsid w:val="44C71617"/>
    <w:rsid w:val="44D206E8"/>
    <w:rsid w:val="44D22496"/>
    <w:rsid w:val="44D77AAC"/>
    <w:rsid w:val="44DF1057"/>
    <w:rsid w:val="44E4041B"/>
    <w:rsid w:val="44E73A68"/>
    <w:rsid w:val="44EB17AA"/>
    <w:rsid w:val="44ED5522"/>
    <w:rsid w:val="44F93EC7"/>
    <w:rsid w:val="44FA379B"/>
    <w:rsid w:val="44FE772F"/>
    <w:rsid w:val="45091C30"/>
    <w:rsid w:val="451231DA"/>
    <w:rsid w:val="45124F88"/>
    <w:rsid w:val="45126D36"/>
    <w:rsid w:val="4513485D"/>
    <w:rsid w:val="45154A79"/>
    <w:rsid w:val="45196317"/>
    <w:rsid w:val="45237196"/>
    <w:rsid w:val="452627E2"/>
    <w:rsid w:val="452D591E"/>
    <w:rsid w:val="453273D9"/>
    <w:rsid w:val="45350C77"/>
    <w:rsid w:val="453C0257"/>
    <w:rsid w:val="453F38A4"/>
    <w:rsid w:val="45440EBA"/>
    <w:rsid w:val="454B2248"/>
    <w:rsid w:val="454F1D39"/>
    <w:rsid w:val="454F7F8B"/>
    <w:rsid w:val="45505AB1"/>
    <w:rsid w:val="45525385"/>
    <w:rsid w:val="45554E75"/>
    <w:rsid w:val="45561319"/>
    <w:rsid w:val="455C6204"/>
    <w:rsid w:val="45605CF4"/>
    <w:rsid w:val="456926CF"/>
    <w:rsid w:val="456A6B72"/>
    <w:rsid w:val="456F5F37"/>
    <w:rsid w:val="457277D5"/>
    <w:rsid w:val="457572C5"/>
    <w:rsid w:val="4576246C"/>
    <w:rsid w:val="45763769"/>
    <w:rsid w:val="457C68A6"/>
    <w:rsid w:val="4582210E"/>
    <w:rsid w:val="458319E2"/>
    <w:rsid w:val="45877724"/>
    <w:rsid w:val="45894C40"/>
    <w:rsid w:val="458D2861"/>
    <w:rsid w:val="45905EAD"/>
    <w:rsid w:val="459B6D2C"/>
    <w:rsid w:val="45A73923"/>
    <w:rsid w:val="45A91659"/>
    <w:rsid w:val="45AC0F39"/>
    <w:rsid w:val="45B55914"/>
    <w:rsid w:val="45C83899"/>
    <w:rsid w:val="45CA13BF"/>
    <w:rsid w:val="45CD7101"/>
    <w:rsid w:val="45CF3374"/>
    <w:rsid w:val="45D1274E"/>
    <w:rsid w:val="45DB181E"/>
    <w:rsid w:val="45DE130F"/>
    <w:rsid w:val="45E02BB8"/>
    <w:rsid w:val="45E701C3"/>
    <w:rsid w:val="45E83F1B"/>
    <w:rsid w:val="45F34DBA"/>
    <w:rsid w:val="45F823D0"/>
    <w:rsid w:val="45F97EF6"/>
    <w:rsid w:val="45FB77CB"/>
    <w:rsid w:val="46020B59"/>
    <w:rsid w:val="460C5E7C"/>
    <w:rsid w:val="460E7377"/>
    <w:rsid w:val="460F3276"/>
    <w:rsid w:val="461940F5"/>
    <w:rsid w:val="462211FB"/>
    <w:rsid w:val="46256F3D"/>
    <w:rsid w:val="46274A64"/>
    <w:rsid w:val="4629258A"/>
    <w:rsid w:val="46333408"/>
    <w:rsid w:val="46342CDD"/>
    <w:rsid w:val="463827CD"/>
    <w:rsid w:val="46396545"/>
    <w:rsid w:val="463D7DE3"/>
    <w:rsid w:val="4645313C"/>
    <w:rsid w:val="46496788"/>
    <w:rsid w:val="46503FBA"/>
    <w:rsid w:val="46535859"/>
    <w:rsid w:val="46565349"/>
    <w:rsid w:val="46647A66"/>
    <w:rsid w:val="466B25F0"/>
    <w:rsid w:val="466C2476"/>
    <w:rsid w:val="466F1F67"/>
    <w:rsid w:val="46712183"/>
    <w:rsid w:val="46717A8D"/>
    <w:rsid w:val="46731A57"/>
    <w:rsid w:val="46780E1B"/>
    <w:rsid w:val="467A2DE5"/>
    <w:rsid w:val="467D28D5"/>
    <w:rsid w:val="468C2B19"/>
    <w:rsid w:val="468E4AE3"/>
    <w:rsid w:val="469618BE"/>
    <w:rsid w:val="469A6FE4"/>
    <w:rsid w:val="469D4D26"/>
    <w:rsid w:val="46A9191C"/>
    <w:rsid w:val="46AA2F9F"/>
    <w:rsid w:val="46AC6D17"/>
    <w:rsid w:val="46B856BC"/>
    <w:rsid w:val="46BA1434"/>
    <w:rsid w:val="46BA7686"/>
    <w:rsid w:val="46BC1650"/>
    <w:rsid w:val="46C027C2"/>
    <w:rsid w:val="46C95B1B"/>
    <w:rsid w:val="46C978C9"/>
    <w:rsid w:val="46D00C57"/>
    <w:rsid w:val="46D36999"/>
    <w:rsid w:val="46D544C0"/>
    <w:rsid w:val="46DA1AD6"/>
    <w:rsid w:val="46E01544"/>
    <w:rsid w:val="46E42955"/>
    <w:rsid w:val="46E44703"/>
    <w:rsid w:val="46EB4F16"/>
    <w:rsid w:val="46EB5A91"/>
    <w:rsid w:val="46F04E55"/>
    <w:rsid w:val="46F26E20"/>
    <w:rsid w:val="46F47709"/>
    <w:rsid w:val="46F54B62"/>
    <w:rsid w:val="46FC7C9E"/>
    <w:rsid w:val="46FD57C4"/>
    <w:rsid w:val="46FF153C"/>
    <w:rsid w:val="47046B53"/>
    <w:rsid w:val="471054F8"/>
    <w:rsid w:val="471D19C3"/>
    <w:rsid w:val="4723347D"/>
    <w:rsid w:val="4729480B"/>
    <w:rsid w:val="472B0583"/>
    <w:rsid w:val="472C45CF"/>
    <w:rsid w:val="47360BFD"/>
    <w:rsid w:val="474E6020"/>
    <w:rsid w:val="47503B46"/>
    <w:rsid w:val="475353E4"/>
    <w:rsid w:val="475F1299"/>
    <w:rsid w:val="475F1FDB"/>
    <w:rsid w:val="47685334"/>
    <w:rsid w:val="476A10AC"/>
    <w:rsid w:val="476A2E5A"/>
    <w:rsid w:val="476B0980"/>
    <w:rsid w:val="4770243A"/>
    <w:rsid w:val="47743CD8"/>
    <w:rsid w:val="47794E4B"/>
    <w:rsid w:val="477C0DDF"/>
    <w:rsid w:val="477D7E68"/>
    <w:rsid w:val="47881532"/>
    <w:rsid w:val="478A34FC"/>
    <w:rsid w:val="478B1022"/>
    <w:rsid w:val="478F466E"/>
    <w:rsid w:val="47906638"/>
    <w:rsid w:val="479223B1"/>
    <w:rsid w:val="479E2B03"/>
    <w:rsid w:val="47A143A2"/>
    <w:rsid w:val="47A520E4"/>
    <w:rsid w:val="47A53E92"/>
    <w:rsid w:val="47AF2F63"/>
    <w:rsid w:val="47AF4D11"/>
    <w:rsid w:val="47B40579"/>
    <w:rsid w:val="47B57E4D"/>
    <w:rsid w:val="47C36A0E"/>
    <w:rsid w:val="47C45875"/>
    <w:rsid w:val="47D93B3C"/>
    <w:rsid w:val="47DC362C"/>
    <w:rsid w:val="47E36768"/>
    <w:rsid w:val="47E66258"/>
    <w:rsid w:val="47F22E4F"/>
    <w:rsid w:val="47F70466"/>
    <w:rsid w:val="47FA07C6"/>
    <w:rsid w:val="47FE7A46"/>
    <w:rsid w:val="480037BE"/>
    <w:rsid w:val="4800731A"/>
    <w:rsid w:val="480908C5"/>
    <w:rsid w:val="480C3F11"/>
    <w:rsid w:val="480E2480"/>
    <w:rsid w:val="480F755D"/>
    <w:rsid w:val="481132D5"/>
    <w:rsid w:val="48174664"/>
    <w:rsid w:val="481B4154"/>
    <w:rsid w:val="48233009"/>
    <w:rsid w:val="48256D81"/>
    <w:rsid w:val="48270D4B"/>
    <w:rsid w:val="482C010F"/>
    <w:rsid w:val="482F19AD"/>
    <w:rsid w:val="48311BC9"/>
    <w:rsid w:val="48345216"/>
    <w:rsid w:val="483B2A48"/>
    <w:rsid w:val="48403BBB"/>
    <w:rsid w:val="484A2C8B"/>
    <w:rsid w:val="484F2050"/>
    <w:rsid w:val="48547666"/>
    <w:rsid w:val="485853A8"/>
    <w:rsid w:val="48587156"/>
    <w:rsid w:val="485D29BF"/>
    <w:rsid w:val="4860600B"/>
    <w:rsid w:val="48621D83"/>
    <w:rsid w:val="48623B31"/>
    <w:rsid w:val="48653621"/>
    <w:rsid w:val="4876582E"/>
    <w:rsid w:val="488B752C"/>
    <w:rsid w:val="489108BA"/>
    <w:rsid w:val="489932CB"/>
    <w:rsid w:val="489B34E7"/>
    <w:rsid w:val="489B5295"/>
    <w:rsid w:val="489F4D85"/>
    <w:rsid w:val="48A71E8C"/>
    <w:rsid w:val="48AC1250"/>
    <w:rsid w:val="48B325DE"/>
    <w:rsid w:val="48B40105"/>
    <w:rsid w:val="48B56357"/>
    <w:rsid w:val="48B60321"/>
    <w:rsid w:val="48B819A3"/>
    <w:rsid w:val="48B9571B"/>
    <w:rsid w:val="48BB76E5"/>
    <w:rsid w:val="48BD520B"/>
    <w:rsid w:val="48BF71D5"/>
    <w:rsid w:val="48C04CFB"/>
    <w:rsid w:val="48C22822"/>
    <w:rsid w:val="48C42A3E"/>
    <w:rsid w:val="48C52312"/>
    <w:rsid w:val="48C540C0"/>
    <w:rsid w:val="48CE11C6"/>
    <w:rsid w:val="48D03190"/>
    <w:rsid w:val="48D60E36"/>
    <w:rsid w:val="48DA5DBD"/>
    <w:rsid w:val="48DD765B"/>
    <w:rsid w:val="48E42798"/>
    <w:rsid w:val="48E46C3C"/>
    <w:rsid w:val="48EB621C"/>
    <w:rsid w:val="48F14EB5"/>
    <w:rsid w:val="48F50E49"/>
    <w:rsid w:val="4900334A"/>
    <w:rsid w:val="490177EE"/>
    <w:rsid w:val="49042E3A"/>
    <w:rsid w:val="49090450"/>
    <w:rsid w:val="490948F4"/>
    <w:rsid w:val="490B41C9"/>
    <w:rsid w:val="490B5F77"/>
    <w:rsid w:val="490C1CEF"/>
    <w:rsid w:val="490E1F0B"/>
    <w:rsid w:val="49153B3D"/>
    <w:rsid w:val="49172B6D"/>
    <w:rsid w:val="49184B37"/>
    <w:rsid w:val="491A265E"/>
    <w:rsid w:val="491D214E"/>
    <w:rsid w:val="491F1A22"/>
    <w:rsid w:val="4929464F"/>
    <w:rsid w:val="49366D6C"/>
    <w:rsid w:val="493A2D00"/>
    <w:rsid w:val="493A6B92"/>
    <w:rsid w:val="493C0826"/>
    <w:rsid w:val="493E459E"/>
    <w:rsid w:val="49431BB4"/>
    <w:rsid w:val="4944592C"/>
    <w:rsid w:val="49575660"/>
    <w:rsid w:val="495777FB"/>
    <w:rsid w:val="49601FEE"/>
    <w:rsid w:val="496164DE"/>
    <w:rsid w:val="496438D9"/>
    <w:rsid w:val="496672F0"/>
    <w:rsid w:val="496833C9"/>
    <w:rsid w:val="496B4C67"/>
    <w:rsid w:val="49757894"/>
    <w:rsid w:val="4977185E"/>
    <w:rsid w:val="497F6965"/>
    <w:rsid w:val="49843F7B"/>
    <w:rsid w:val="49845D29"/>
    <w:rsid w:val="49891591"/>
    <w:rsid w:val="49A32653"/>
    <w:rsid w:val="49B02FC2"/>
    <w:rsid w:val="49B26D3A"/>
    <w:rsid w:val="49B303BC"/>
    <w:rsid w:val="49B358F7"/>
    <w:rsid w:val="49B4660E"/>
    <w:rsid w:val="49BA799D"/>
    <w:rsid w:val="49BF6D61"/>
    <w:rsid w:val="49C01457"/>
    <w:rsid w:val="49C1138B"/>
    <w:rsid w:val="49C27C4A"/>
    <w:rsid w:val="49C8030C"/>
    <w:rsid w:val="49CA5E32"/>
    <w:rsid w:val="49CD76D0"/>
    <w:rsid w:val="49D61BFB"/>
    <w:rsid w:val="49DB003F"/>
    <w:rsid w:val="49DB1DED"/>
    <w:rsid w:val="49DB4B03"/>
    <w:rsid w:val="49E35145"/>
    <w:rsid w:val="49EA2030"/>
    <w:rsid w:val="49EA64D4"/>
    <w:rsid w:val="49EB5DA8"/>
    <w:rsid w:val="49ED6F18"/>
    <w:rsid w:val="49F17862"/>
    <w:rsid w:val="49F25388"/>
    <w:rsid w:val="49F42EAF"/>
    <w:rsid w:val="49F7299F"/>
    <w:rsid w:val="4A0155CC"/>
    <w:rsid w:val="4A037596"/>
    <w:rsid w:val="4A08695A"/>
    <w:rsid w:val="4A0A26D2"/>
    <w:rsid w:val="4A0D21C2"/>
    <w:rsid w:val="4A121587"/>
    <w:rsid w:val="4A162E25"/>
    <w:rsid w:val="4A190B67"/>
    <w:rsid w:val="4A192915"/>
    <w:rsid w:val="4A1E3175"/>
    <w:rsid w:val="4A273284"/>
    <w:rsid w:val="4A314103"/>
    <w:rsid w:val="4A317C5F"/>
    <w:rsid w:val="4A396B13"/>
    <w:rsid w:val="4A404346"/>
    <w:rsid w:val="4A4C6847"/>
    <w:rsid w:val="4A4F6337"/>
    <w:rsid w:val="4A58168F"/>
    <w:rsid w:val="4A5A1C87"/>
    <w:rsid w:val="4A5E2A1E"/>
    <w:rsid w:val="4A5E47CC"/>
    <w:rsid w:val="4A653DAC"/>
    <w:rsid w:val="4A730277"/>
    <w:rsid w:val="4A800BE6"/>
    <w:rsid w:val="4A8204BA"/>
    <w:rsid w:val="4A8835F7"/>
    <w:rsid w:val="4A897A9B"/>
    <w:rsid w:val="4A8C30E7"/>
    <w:rsid w:val="4A9326C8"/>
    <w:rsid w:val="4A9D3546"/>
    <w:rsid w:val="4AA03036"/>
    <w:rsid w:val="4AB443EC"/>
    <w:rsid w:val="4AB71B3C"/>
    <w:rsid w:val="4AB97C54"/>
    <w:rsid w:val="4ACB00B3"/>
    <w:rsid w:val="4ACC3E2B"/>
    <w:rsid w:val="4ACF1226"/>
    <w:rsid w:val="4ADC5BDD"/>
    <w:rsid w:val="4AE253FD"/>
    <w:rsid w:val="4AE42F23"/>
    <w:rsid w:val="4AEE3DA2"/>
    <w:rsid w:val="4AEE78FE"/>
    <w:rsid w:val="4AF173EE"/>
    <w:rsid w:val="4AF550ED"/>
    <w:rsid w:val="4AF93ACB"/>
    <w:rsid w:val="4AFB201B"/>
    <w:rsid w:val="4B007A08"/>
    <w:rsid w:val="4B02784D"/>
    <w:rsid w:val="4B0610EB"/>
    <w:rsid w:val="4B074E64"/>
    <w:rsid w:val="4B094738"/>
    <w:rsid w:val="4B0B374C"/>
    <w:rsid w:val="4B0E7FA0"/>
    <w:rsid w:val="4B1A4B97"/>
    <w:rsid w:val="4B306168"/>
    <w:rsid w:val="4B321EE0"/>
    <w:rsid w:val="4B35377F"/>
    <w:rsid w:val="4B3B68BB"/>
    <w:rsid w:val="4B4B6AFE"/>
    <w:rsid w:val="4B4E2A92"/>
    <w:rsid w:val="4B5D6832"/>
    <w:rsid w:val="4B5E0F27"/>
    <w:rsid w:val="4B5F25AA"/>
    <w:rsid w:val="4B63653E"/>
    <w:rsid w:val="4B6422B6"/>
    <w:rsid w:val="4B647BC0"/>
    <w:rsid w:val="4B6B71A0"/>
    <w:rsid w:val="4B7122DD"/>
    <w:rsid w:val="4B8246D5"/>
    <w:rsid w:val="4B906C07"/>
    <w:rsid w:val="4B9761E7"/>
    <w:rsid w:val="4B9F509C"/>
    <w:rsid w:val="4BA601D9"/>
    <w:rsid w:val="4BA6642B"/>
    <w:rsid w:val="4BA91A77"/>
    <w:rsid w:val="4BAB57EF"/>
    <w:rsid w:val="4BB30ECF"/>
    <w:rsid w:val="4BBE3774"/>
    <w:rsid w:val="4BC36FDC"/>
    <w:rsid w:val="4BC62629"/>
    <w:rsid w:val="4BD016F9"/>
    <w:rsid w:val="4BD25472"/>
    <w:rsid w:val="4BD56D10"/>
    <w:rsid w:val="4BE43FEB"/>
    <w:rsid w:val="4BEA27BB"/>
    <w:rsid w:val="4BF03B4A"/>
    <w:rsid w:val="4BF61160"/>
    <w:rsid w:val="4C0575F5"/>
    <w:rsid w:val="4C0B44E0"/>
    <w:rsid w:val="4C0D46FC"/>
    <w:rsid w:val="4C101AF6"/>
    <w:rsid w:val="4C143394"/>
    <w:rsid w:val="4C15710C"/>
    <w:rsid w:val="4C172E84"/>
    <w:rsid w:val="4C1C049B"/>
    <w:rsid w:val="4C1E06B7"/>
    <w:rsid w:val="4C2C4B82"/>
    <w:rsid w:val="4C2D26A8"/>
    <w:rsid w:val="4C3103EA"/>
    <w:rsid w:val="4C312198"/>
    <w:rsid w:val="4C3677AE"/>
    <w:rsid w:val="4C392DFB"/>
    <w:rsid w:val="4C4023DB"/>
    <w:rsid w:val="4C4C6FD2"/>
    <w:rsid w:val="4C5145E8"/>
    <w:rsid w:val="4C520360"/>
    <w:rsid w:val="4C5440D8"/>
    <w:rsid w:val="4C5639AD"/>
    <w:rsid w:val="4C5B0FC3"/>
    <w:rsid w:val="4C667968"/>
    <w:rsid w:val="4C687B84"/>
    <w:rsid w:val="4C6D0CF6"/>
    <w:rsid w:val="4C714C8A"/>
    <w:rsid w:val="4C7327B1"/>
    <w:rsid w:val="4C746529"/>
    <w:rsid w:val="4C787DC7"/>
    <w:rsid w:val="4C7D53DD"/>
    <w:rsid w:val="4C7E4CB1"/>
    <w:rsid w:val="4C83676C"/>
    <w:rsid w:val="4C8524E4"/>
    <w:rsid w:val="4C885B30"/>
    <w:rsid w:val="4C9405A1"/>
    <w:rsid w:val="4CB22BAD"/>
    <w:rsid w:val="4CB42DC9"/>
    <w:rsid w:val="4CB46925"/>
    <w:rsid w:val="4CC622FE"/>
    <w:rsid w:val="4CD34FFD"/>
    <w:rsid w:val="4CD40D75"/>
    <w:rsid w:val="4CF24CCA"/>
    <w:rsid w:val="4CF3744D"/>
    <w:rsid w:val="4CF66F3E"/>
    <w:rsid w:val="4CF80F08"/>
    <w:rsid w:val="4D01600E"/>
    <w:rsid w:val="4D0B0C3B"/>
    <w:rsid w:val="4D0E24D9"/>
    <w:rsid w:val="4D1675E0"/>
    <w:rsid w:val="4D1B69A4"/>
    <w:rsid w:val="4D225F85"/>
    <w:rsid w:val="4D265A75"/>
    <w:rsid w:val="4D2C6E03"/>
    <w:rsid w:val="4D3160FC"/>
    <w:rsid w:val="4D317F76"/>
    <w:rsid w:val="4D3857A8"/>
    <w:rsid w:val="4D3C7046"/>
    <w:rsid w:val="4D3D2DBF"/>
    <w:rsid w:val="4D3F08E5"/>
    <w:rsid w:val="4D3F2693"/>
    <w:rsid w:val="4D40640B"/>
    <w:rsid w:val="4D41465D"/>
    <w:rsid w:val="4D4C4DB0"/>
    <w:rsid w:val="4D551EB6"/>
    <w:rsid w:val="4D5679DC"/>
    <w:rsid w:val="4D61085B"/>
    <w:rsid w:val="4D616AAD"/>
    <w:rsid w:val="4D622825"/>
    <w:rsid w:val="4D697710"/>
    <w:rsid w:val="4D7367E0"/>
    <w:rsid w:val="4D782049"/>
    <w:rsid w:val="4D7A7B6F"/>
    <w:rsid w:val="4D7F0CE1"/>
    <w:rsid w:val="4D8409ED"/>
    <w:rsid w:val="4D8B1D7C"/>
    <w:rsid w:val="4DA370C6"/>
    <w:rsid w:val="4DAB41CC"/>
    <w:rsid w:val="4DAD3AA0"/>
    <w:rsid w:val="4DAE7818"/>
    <w:rsid w:val="4DB34E2F"/>
    <w:rsid w:val="4DB50BA7"/>
    <w:rsid w:val="4DB7491F"/>
    <w:rsid w:val="4DBA440F"/>
    <w:rsid w:val="4DBC0187"/>
    <w:rsid w:val="4DBF3025"/>
    <w:rsid w:val="4DC40DEA"/>
    <w:rsid w:val="4DC96400"/>
    <w:rsid w:val="4DCD5EF0"/>
    <w:rsid w:val="4DD21759"/>
    <w:rsid w:val="4DD3727F"/>
    <w:rsid w:val="4DD86643"/>
    <w:rsid w:val="4DDA060D"/>
    <w:rsid w:val="4DDC4386"/>
    <w:rsid w:val="4DDD3C5A"/>
    <w:rsid w:val="4DE4323A"/>
    <w:rsid w:val="4DE66FB2"/>
    <w:rsid w:val="4DE82D2A"/>
    <w:rsid w:val="4DEB281B"/>
    <w:rsid w:val="4DED20EF"/>
    <w:rsid w:val="4DFA0CB0"/>
    <w:rsid w:val="4E047438"/>
    <w:rsid w:val="4E08517B"/>
    <w:rsid w:val="4E0B4C6B"/>
    <w:rsid w:val="4E0D3F4C"/>
    <w:rsid w:val="4E121B55"/>
    <w:rsid w:val="4E143B1F"/>
    <w:rsid w:val="4E1B4E0F"/>
    <w:rsid w:val="4E1F24C4"/>
    <w:rsid w:val="4E2A3343"/>
    <w:rsid w:val="4E30647F"/>
    <w:rsid w:val="4E402B66"/>
    <w:rsid w:val="4E41243B"/>
    <w:rsid w:val="4E50267E"/>
    <w:rsid w:val="4E52289A"/>
    <w:rsid w:val="4E54216E"/>
    <w:rsid w:val="4E571C5E"/>
    <w:rsid w:val="4E5B34FC"/>
    <w:rsid w:val="4E5E4D9B"/>
    <w:rsid w:val="4E604FB7"/>
    <w:rsid w:val="4E616639"/>
    <w:rsid w:val="4E661EA1"/>
    <w:rsid w:val="4E6C395B"/>
    <w:rsid w:val="4E724CEA"/>
    <w:rsid w:val="4E7445BE"/>
    <w:rsid w:val="4E7B594C"/>
    <w:rsid w:val="4E7E368F"/>
    <w:rsid w:val="4E7E543D"/>
    <w:rsid w:val="4E830CA5"/>
    <w:rsid w:val="4E872543"/>
    <w:rsid w:val="4E940ED4"/>
    <w:rsid w:val="4E992277"/>
    <w:rsid w:val="4E9C58C3"/>
    <w:rsid w:val="4EAA7FE0"/>
    <w:rsid w:val="4EB40E5E"/>
    <w:rsid w:val="4EB66985"/>
    <w:rsid w:val="4EC217CD"/>
    <w:rsid w:val="4ED27537"/>
    <w:rsid w:val="4ED41501"/>
    <w:rsid w:val="4ED7041B"/>
    <w:rsid w:val="4ED84B4D"/>
    <w:rsid w:val="4EDD6607"/>
    <w:rsid w:val="4EE01C53"/>
    <w:rsid w:val="4EE5726A"/>
    <w:rsid w:val="4EED4299"/>
    <w:rsid w:val="4EEF00E8"/>
    <w:rsid w:val="4EF851EF"/>
    <w:rsid w:val="4EFF56E1"/>
    <w:rsid w:val="4F043B94"/>
    <w:rsid w:val="4F0516BA"/>
    <w:rsid w:val="4F11005F"/>
    <w:rsid w:val="4F18763F"/>
    <w:rsid w:val="4F1D4C56"/>
    <w:rsid w:val="4F1E452A"/>
    <w:rsid w:val="4F2E6E63"/>
    <w:rsid w:val="4F3124AF"/>
    <w:rsid w:val="4F31425D"/>
    <w:rsid w:val="4F391364"/>
    <w:rsid w:val="4F4F0B87"/>
    <w:rsid w:val="4F506DD9"/>
    <w:rsid w:val="4F563CC4"/>
    <w:rsid w:val="4F5A37B4"/>
    <w:rsid w:val="4F6603AB"/>
    <w:rsid w:val="4F730D1A"/>
    <w:rsid w:val="4F7F321A"/>
    <w:rsid w:val="4F8627FB"/>
    <w:rsid w:val="4F876573"/>
    <w:rsid w:val="4F895E47"/>
    <w:rsid w:val="4F8E7901"/>
    <w:rsid w:val="4F9547EC"/>
    <w:rsid w:val="4F9B5B7A"/>
    <w:rsid w:val="4F9F1B0F"/>
    <w:rsid w:val="4FA62E9D"/>
    <w:rsid w:val="4FAE58AE"/>
    <w:rsid w:val="4FB70C06"/>
    <w:rsid w:val="4FBE01E7"/>
    <w:rsid w:val="4FBF5D0D"/>
    <w:rsid w:val="4FC275AB"/>
    <w:rsid w:val="4FC96B8B"/>
    <w:rsid w:val="4FCC3F86"/>
    <w:rsid w:val="4FCD637F"/>
    <w:rsid w:val="4FD33566"/>
    <w:rsid w:val="4FD74E04"/>
    <w:rsid w:val="4FE37C4D"/>
    <w:rsid w:val="4FEC63D6"/>
    <w:rsid w:val="4FED287A"/>
    <w:rsid w:val="4FF359B6"/>
    <w:rsid w:val="4FF736F9"/>
    <w:rsid w:val="4FF9121F"/>
    <w:rsid w:val="4FFF6109"/>
    <w:rsid w:val="50011E81"/>
    <w:rsid w:val="500A342C"/>
    <w:rsid w:val="50146059"/>
    <w:rsid w:val="501716A5"/>
    <w:rsid w:val="5019541D"/>
    <w:rsid w:val="501C0736"/>
    <w:rsid w:val="502344EE"/>
    <w:rsid w:val="502618E8"/>
    <w:rsid w:val="502F2E92"/>
    <w:rsid w:val="502F4C40"/>
    <w:rsid w:val="50377F99"/>
    <w:rsid w:val="5038161B"/>
    <w:rsid w:val="5039786D"/>
    <w:rsid w:val="503A35E5"/>
    <w:rsid w:val="503E1327"/>
    <w:rsid w:val="50412BC6"/>
    <w:rsid w:val="50485D02"/>
    <w:rsid w:val="504C214F"/>
    <w:rsid w:val="504D50C7"/>
    <w:rsid w:val="50506965"/>
    <w:rsid w:val="5051105B"/>
    <w:rsid w:val="505521CD"/>
    <w:rsid w:val="50577CF3"/>
    <w:rsid w:val="50597F0F"/>
    <w:rsid w:val="505A06D8"/>
    <w:rsid w:val="505C355C"/>
    <w:rsid w:val="505E5526"/>
    <w:rsid w:val="506D7517"/>
    <w:rsid w:val="50700DB5"/>
    <w:rsid w:val="507054CE"/>
    <w:rsid w:val="50720FD1"/>
    <w:rsid w:val="507408A5"/>
    <w:rsid w:val="5076286F"/>
    <w:rsid w:val="50850D04"/>
    <w:rsid w:val="508605D9"/>
    <w:rsid w:val="50926F7D"/>
    <w:rsid w:val="509B4084"/>
    <w:rsid w:val="509D2DB8"/>
    <w:rsid w:val="509E1DC6"/>
    <w:rsid w:val="50A0169A"/>
    <w:rsid w:val="50A218B6"/>
    <w:rsid w:val="50A53155"/>
    <w:rsid w:val="50AA2519"/>
    <w:rsid w:val="50B213CE"/>
    <w:rsid w:val="50B43398"/>
    <w:rsid w:val="50B96C00"/>
    <w:rsid w:val="50C01D3C"/>
    <w:rsid w:val="50C07F8E"/>
    <w:rsid w:val="50C52267"/>
    <w:rsid w:val="50C555A5"/>
    <w:rsid w:val="50C57353"/>
    <w:rsid w:val="50C86E43"/>
    <w:rsid w:val="50CA4969"/>
    <w:rsid w:val="50D13F4A"/>
    <w:rsid w:val="50D21A70"/>
    <w:rsid w:val="50D37CC2"/>
    <w:rsid w:val="50D47596"/>
    <w:rsid w:val="50E023DF"/>
    <w:rsid w:val="50E377D9"/>
    <w:rsid w:val="50E53551"/>
    <w:rsid w:val="50E6454A"/>
    <w:rsid w:val="50EC0D83"/>
    <w:rsid w:val="50EE4AFC"/>
    <w:rsid w:val="50EF2622"/>
    <w:rsid w:val="50EF6964"/>
    <w:rsid w:val="50F10148"/>
    <w:rsid w:val="50FB0FC7"/>
    <w:rsid w:val="50FB4F07"/>
    <w:rsid w:val="50FE2865"/>
    <w:rsid w:val="51031C29"/>
    <w:rsid w:val="5107796B"/>
    <w:rsid w:val="510936E3"/>
    <w:rsid w:val="510C6D30"/>
    <w:rsid w:val="51112598"/>
    <w:rsid w:val="51142088"/>
    <w:rsid w:val="51181B78"/>
    <w:rsid w:val="511D0F3D"/>
    <w:rsid w:val="51256043"/>
    <w:rsid w:val="51281690"/>
    <w:rsid w:val="51324B68"/>
    <w:rsid w:val="5139564B"/>
    <w:rsid w:val="513B5867"/>
    <w:rsid w:val="513D513B"/>
    <w:rsid w:val="514A7858"/>
    <w:rsid w:val="514B3CFC"/>
    <w:rsid w:val="514E10F6"/>
    <w:rsid w:val="514F4E6E"/>
    <w:rsid w:val="51600E2A"/>
    <w:rsid w:val="51621046"/>
    <w:rsid w:val="5167040A"/>
    <w:rsid w:val="516B5167"/>
    <w:rsid w:val="516C77CE"/>
    <w:rsid w:val="51703763"/>
    <w:rsid w:val="51711289"/>
    <w:rsid w:val="517D7C2E"/>
    <w:rsid w:val="517F5754"/>
    <w:rsid w:val="518A1B80"/>
    <w:rsid w:val="518C1C1F"/>
    <w:rsid w:val="51962A9D"/>
    <w:rsid w:val="51A74CAA"/>
    <w:rsid w:val="51AF590D"/>
    <w:rsid w:val="51B353FD"/>
    <w:rsid w:val="51B86EB8"/>
    <w:rsid w:val="51BA2C30"/>
    <w:rsid w:val="51BC69A8"/>
    <w:rsid w:val="51BD44CE"/>
    <w:rsid w:val="51BF3DA2"/>
    <w:rsid w:val="51CC4711"/>
    <w:rsid w:val="51CC64BF"/>
    <w:rsid w:val="51D35A9F"/>
    <w:rsid w:val="51D610EC"/>
    <w:rsid w:val="51D75590"/>
    <w:rsid w:val="51DA5080"/>
    <w:rsid w:val="51E732F9"/>
    <w:rsid w:val="51EC090F"/>
    <w:rsid w:val="51ED4DB3"/>
    <w:rsid w:val="51F83758"/>
    <w:rsid w:val="51FF6894"/>
    <w:rsid w:val="52021EE1"/>
    <w:rsid w:val="520B348B"/>
    <w:rsid w:val="520E6AD8"/>
    <w:rsid w:val="52171E30"/>
    <w:rsid w:val="52187956"/>
    <w:rsid w:val="521A547C"/>
    <w:rsid w:val="52287B99"/>
    <w:rsid w:val="522D5360"/>
    <w:rsid w:val="522E717A"/>
    <w:rsid w:val="523302EC"/>
    <w:rsid w:val="523429E2"/>
    <w:rsid w:val="52354064"/>
    <w:rsid w:val="52391DA6"/>
    <w:rsid w:val="523A78CD"/>
    <w:rsid w:val="523C53F3"/>
    <w:rsid w:val="523E560F"/>
    <w:rsid w:val="52466FD1"/>
    <w:rsid w:val="52495D62"/>
    <w:rsid w:val="524D13AE"/>
    <w:rsid w:val="524E5126"/>
    <w:rsid w:val="5257222D"/>
    <w:rsid w:val="525C5A95"/>
    <w:rsid w:val="525E7A5F"/>
    <w:rsid w:val="5264494A"/>
    <w:rsid w:val="526861E8"/>
    <w:rsid w:val="526B3F2A"/>
    <w:rsid w:val="526D1A50"/>
    <w:rsid w:val="527032EE"/>
    <w:rsid w:val="527252B8"/>
    <w:rsid w:val="527A416D"/>
    <w:rsid w:val="527F3531"/>
    <w:rsid w:val="528648C0"/>
    <w:rsid w:val="528A0854"/>
    <w:rsid w:val="528B1ED6"/>
    <w:rsid w:val="52972F71"/>
    <w:rsid w:val="529945F3"/>
    <w:rsid w:val="529F5982"/>
    <w:rsid w:val="52A116FA"/>
    <w:rsid w:val="52A82A88"/>
    <w:rsid w:val="52AA4A52"/>
    <w:rsid w:val="52B21B59"/>
    <w:rsid w:val="52B61649"/>
    <w:rsid w:val="52B72CCB"/>
    <w:rsid w:val="52B96A43"/>
    <w:rsid w:val="52BE04FE"/>
    <w:rsid w:val="52C5363A"/>
    <w:rsid w:val="52C6444D"/>
    <w:rsid w:val="52C84ED8"/>
    <w:rsid w:val="52D229F0"/>
    <w:rsid w:val="52D47D21"/>
    <w:rsid w:val="52D65847"/>
    <w:rsid w:val="52DF4EB1"/>
    <w:rsid w:val="52E8557B"/>
    <w:rsid w:val="52EA30A1"/>
    <w:rsid w:val="52F65EE9"/>
    <w:rsid w:val="52F7756C"/>
    <w:rsid w:val="53051C89"/>
    <w:rsid w:val="530C3017"/>
    <w:rsid w:val="530C74BB"/>
    <w:rsid w:val="53114AD1"/>
    <w:rsid w:val="531445C2"/>
    <w:rsid w:val="53177C0E"/>
    <w:rsid w:val="53202F66"/>
    <w:rsid w:val="53253728"/>
    <w:rsid w:val="53283BC9"/>
    <w:rsid w:val="532C190B"/>
    <w:rsid w:val="532F6D06"/>
    <w:rsid w:val="5334256E"/>
    <w:rsid w:val="533802B0"/>
    <w:rsid w:val="53397B84"/>
    <w:rsid w:val="533F163E"/>
    <w:rsid w:val="53424C8B"/>
    <w:rsid w:val="534C5B09"/>
    <w:rsid w:val="534D3630"/>
    <w:rsid w:val="535449BE"/>
    <w:rsid w:val="53566988"/>
    <w:rsid w:val="535B4F37"/>
    <w:rsid w:val="535D1AC5"/>
    <w:rsid w:val="535D7D17"/>
    <w:rsid w:val="53620E89"/>
    <w:rsid w:val="536270DB"/>
    <w:rsid w:val="536410A5"/>
    <w:rsid w:val="53642E53"/>
    <w:rsid w:val="536C1D08"/>
    <w:rsid w:val="536E5A80"/>
    <w:rsid w:val="53735D8F"/>
    <w:rsid w:val="53764934"/>
    <w:rsid w:val="53794425"/>
    <w:rsid w:val="537D2167"/>
    <w:rsid w:val="537E1A3B"/>
    <w:rsid w:val="53807561"/>
    <w:rsid w:val="53894668"/>
    <w:rsid w:val="538E7ED0"/>
    <w:rsid w:val="538F3C48"/>
    <w:rsid w:val="5391176E"/>
    <w:rsid w:val="539B25ED"/>
    <w:rsid w:val="539D45B7"/>
    <w:rsid w:val="53A5521A"/>
    <w:rsid w:val="53A72D40"/>
    <w:rsid w:val="53B37937"/>
    <w:rsid w:val="53B67427"/>
    <w:rsid w:val="53B86CFB"/>
    <w:rsid w:val="53B92A73"/>
    <w:rsid w:val="53C20A91"/>
    <w:rsid w:val="53C47D96"/>
    <w:rsid w:val="53C75190"/>
    <w:rsid w:val="53D02297"/>
    <w:rsid w:val="53D578AD"/>
    <w:rsid w:val="53D61877"/>
    <w:rsid w:val="53D63625"/>
    <w:rsid w:val="53E4044E"/>
    <w:rsid w:val="53E53868"/>
    <w:rsid w:val="53E775E0"/>
    <w:rsid w:val="53EB70D0"/>
    <w:rsid w:val="53EC4BF7"/>
    <w:rsid w:val="53F00B8B"/>
    <w:rsid w:val="53F266B1"/>
    <w:rsid w:val="54014B46"/>
    <w:rsid w:val="5406215C"/>
    <w:rsid w:val="54065CB8"/>
    <w:rsid w:val="540B45EB"/>
    <w:rsid w:val="541128AF"/>
    <w:rsid w:val="541505F1"/>
    <w:rsid w:val="541A5C08"/>
    <w:rsid w:val="541F6D7A"/>
    <w:rsid w:val="54224ABC"/>
    <w:rsid w:val="54244390"/>
    <w:rsid w:val="54260108"/>
    <w:rsid w:val="542645AC"/>
    <w:rsid w:val="5426635A"/>
    <w:rsid w:val="54280325"/>
    <w:rsid w:val="54297BF9"/>
    <w:rsid w:val="542B1BC3"/>
    <w:rsid w:val="543D5452"/>
    <w:rsid w:val="543F741C"/>
    <w:rsid w:val="54413194"/>
    <w:rsid w:val="54414F42"/>
    <w:rsid w:val="54462559"/>
    <w:rsid w:val="5447544E"/>
    <w:rsid w:val="544B5DC1"/>
    <w:rsid w:val="544D7D8B"/>
    <w:rsid w:val="54501629"/>
    <w:rsid w:val="545804DE"/>
    <w:rsid w:val="545C7FCE"/>
    <w:rsid w:val="545F7ABE"/>
    <w:rsid w:val="54684BC5"/>
    <w:rsid w:val="546926EB"/>
    <w:rsid w:val="54790B80"/>
    <w:rsid w:val="547C5F7A"/>
    <w:rsid w:val="5488491F"/>
    <w:rsid w:val="54890697"/>
    <w:rsid w:val="548B08B3"/>
    <w:rsid w:val="548B440F"/>
    <w:rsid w:val="549239F0"/>
    <w:rsid w:val="549A28A4"/>
    <w:rsid w:val="549C661D"/>
    <w:rsid w:val="54A35BFD"/>
    <w:rsid w:val="54A454D1"/>
    <w:rsid w:val="54A84FC1"/>
    <w:rsid w:val="54B020C8"/>
    <w:rsid w:val="54B27BEE"/>
    <w:rsid w:val="54B576DE"/>
    <w:rsid w:val="54B716A8"/>
    <w:rsid w:val="54C16083"/>
    <w:rsid w:val="54C17E31"/>
    <w:rsid w:val="54C65448"/>
    <w:rsid w:val="54C85664"/>
    <w:rsid w:val="54CD2C7A"/>
    <w:rsid w:val="54CF254E"/>
    <w:rsid w:val="54D51B2F"/>
    <w:rsid w:val="54D9517B"/>
    <w:rsid w:val="54D97871"/>
    <w:rsid w:val="54DA0EF3"/>
    <w:rsid w:val="54DC2EBD"/>
    <w:rsid w:val="54E0475B"/>
    <w:rsid w:val="54E16725"/>
    <w:rsid w:val="54EA310D"/>
    <w:rsid w:val="54ED50CA"/>
    <w:rsid w:val="54ED6E78"/>
    <w:rsid w:val="54F00716"/>
    <w:rsid w:val="54F46459"/>
    <w:rsid w:val="54F975CB"/>
    <w:rsid w:val="54FC5522"/>
    <w:rsid w:val="550F6DEF"/>
    <w:rsid w:val="55160C9A"/>
    <w:rsid w:val="55195EBF"/>
    <w:rsid w:val="551E34D6"/>
    <w:rsid w:val="55214D74"/>
    <w:rsid w:val="552C177F"/>
    <w:rsid w:val="55326F81"/>
    <w:rsid w:val="5539030F"/>
    <w:rsid w:val="5540344C"/>
    <w:rsid w:val="554747DA"/>
    <w:rsid w:val="554C1DF1"/>
    <w:rsid w:val="555C7B5A"/>
    <w:rsid w:val="55603AEE"/>
    <w:rsid w:val="556709D9"/>
    <w:rsid w:val="55713605"/>
    <w:rsid w:val="55722A84"/>
    <w:rsid w:val="557E5D22"/>
    <w:rsid w:val="55825812"/>
    <w:rsid w:val="55853555"/>
    <w:rsid w:val="5588094F"/>
    <w:rsid w:val="558A2919"/>
    <w:rsid w:val="558A46C7"/>
    <w:rsid w:val="558D41B7"/>
    <w:rsid w:val="558E065B"/>
    <w:rsid w:val="55967510"/>
    <w:rsid w:val="559E0172"/>
    <w:rsid w:val="559E63C4"/>
    <w:rsid w:val="55A66DA3"/>
    <w:rsid w:val="55A82D9F"/>
    <w:rsid w:val="55AC6D33"/>
    <w:rsid w:val="55AD03B6"/>
    <w:rsid w:val="55B81234"/>
    <w:rsid w:val="55B87486"/>
    <w:rsid w:val="55B94FAC"/>
    <w:rsid w:val="55BE25C3"/>
    <w:rsid w:val="55CE0A58"/>
    <w:rsid w:val="55CE6CAA"/>
    <w:rsid w:val="55CF47D0"/>
    <w:rsid w:val="55D43B94"/>
    <w:rsid w:val="55D63DB0"/>
    <w:rsid w:val="55DB4F23"/>
    <w:rsid w:val="55DD6EED"/>
    <w:rsid w:val="55DF0EB7"/>
    <w:rsid w:val="55DF4A13"/>
    <w:rsid w:val="55E069DD"/>
    <w:rsid w:val="55E22755"/>
    <w:rsid w:val="55EB160A"/>
    <w:rsid w:val="55F06C20"/>
    <w:rsid w:val="55F61D5C"/>
    <w:rsid w:val="55F668FC"/>
    <w:rsid w:val="56004989"/>
    <w:rsid w:val="56051FA0"/>
    <w:rsid w:val="56073F6A"/>
    <w:rsid w:val="56097CE2"/>
    <w:rsid w:val="560E70A6"/>
    <w:rsid w:val="561072C2"/>
    <w:rsid w:val="561F3061"/>
    <w:rsid w:val="56242D6E"/>
    <w:rsid w:val="56262642"/>
    <w:rsid w:val="562B5EAA"/>
    <w:rsid w:val="56352885"/>
    <w:rsid w:val="56384123"/>
    <w:rsid w:val="563B3C13"/>
    <w:rsid w:val="563D5BDD"/>
    <w:rsid w:val="5640122A"/>
    <w:rsid w:val="564231F4"/>
    <w:rsid w:val="564B20A8"/>
    <w:rsid w:val="565847C5"/>
    <w:rsid w:val="565A678F"/>
    <w:rsid w:val="565A6C96"/>
    <w:rsid w:val="565E627F"/>
    <w:rsid w:val="566118CC"/>
    <w:rsid w:val="56617B1E"/>
    <w:rsid w:val="56694C24"/>
    <w:rsid w:val="566B62A7"/>
    <w:rsid w:val="56811F6E"/>
    <w:rsid w:val="56837A94"/>
    <w:rsid w:val="56861332"/>
    <w:rsid w:val="568D26C1"/>
    <w:rsid w:val="568D446F"/>
    <w:rsid w:val="56903F5F"/>
    <w:rsid w:val="56951575"/>
    <w:rsid w:val="5697353F"/>
    <w:rsid w:val="569A6B8C"/>
    <w:rsid w:val="569C2904"/>
    <w:rsid w:val="56B440F1"/>
    <w:rsid w:val="56BC4D54"/>
    <w:rsid w:val="56BE0ACC"/>
    <w:rsid w:val="56C80AC9"/>
    <w:rsid w:val="56C97471"/>
    <w:rsid w:val="56CB31E9"/>
    <w:rsid w:val="56CD0D0F"/>
    <w:rsid w:val="56CD51B3"/>
    <w:rsid w:val="56D24578"/>
    <w:rsid w:val="56D26326"/>
    <w:rsid w:val="56D279D6"/>
    <w:rsid w:val="56D3300B"/>
    <w:rsid w:val="56E85B49"/>
    <w:rsid w:val="56EA18C1"/>
    <w:rsid w:val="56ED13B1"/>
    <w:rsid w:val="56ED7603"/>
    <w:rsid w:val="56F00EA2"/>
    <w:rsid w:val="56F02C50"/>
    <w:rsid w:val="56F72230"/>
    <w:rsid w:val="56FB2217"/>
    <w:rsid w:val="56FE536D"/>
    <w:rsid w:val="56FE711B"/>
    <w:rsid w:val="57030BD5"/>
    <w:rsid w:val="570A3D11"/>
    <w:rsid w:val="570D1A54"/>
    <w:rsid w:val="571903F8"/>
    <w:rsid w:val="572052E3"/>
    <w:rsid w:val="57212E09"/>
    <w:rsid w:val="572A43B4"/>
    <w:rsid w:val="572F3778"/>
    <w:rsid w:val="57325016"/>
    <w:rsid w:val="57346FE0"/>
    <w:rsid w:val="57376AD1"/>
    <w:rsid w:val="573A3ECB"/>
    <w:rsid w:val="573B211D"/>
    <w:rsid w:val="574014E1"/>
    <w:rsid w:val="574216FD"/>
    <w:rsid w:val="574F7976"/>
    <w:rsid w:val="57544F8D"/>
    <w:rsid w:val="575925A3"/>
    <w:rsid w:val="576511D6"/>
    <w:rsid w:val="576A2A02"/>
    <w:rsid w:val="576C677A"/>
    <w:rsid w:val="576D24F2"/>
    <w:rsid w:val="5774562F"/>
    <w:rsid w:val="577473DD"/>
    <w:rsid w:val="57783371"/>
    <w:rsid w:val="577D2735"/>
    <w:rsid w:val="57853398"/>
    <w:rsid w:val="57875362"/>
    <w:rsid w:val="57877110"/>
    <w:rsid w:val="5789732C"/>
    <w:rsid w:val="578C2978"/>
    <w:rsid w:val="57911D3D"/>
    <w:rsid w:val="579161E1"/>
    <w:rsid w:val="579932E7"/>
    <w:rsid w:val="579B2BBB"/>
    <w:rsid w:val="579E08FE"/>
    <w:rsid w:val="57A328B9"/>
    <w:rsid w:val="57A44166"/>
    <w:rsid w:val="57A777B2"/>
    <w:rsid w:val="57A8352A"/>
    <w:rsid w:val="57AF6667"/>
    <w:rsid w:val="57B10631"/>
    <w:rsid w:val="57C2639A"/>
    <w:rsid w:val="57C40364"/>
    <w:rsid w:val="57CD4500"/>
    <w:rsid w:val="57CE11E3"/>
    <w:rsid w:val="57CF2865"/>
    <w:rsid w:val="57D305A7"/>
    <w:rsid w:val="57D460CD"/>
    <w:rsid w:val="57D60097"/>
    <w:rsid w:val="57E74053"/>
    <w:rsid w:val="57EA58F1"/>
    <w:rsid w:val="57EE53E1"/>
    <w:rsid w:val="57F10A2D"/>
    <w:rsid w:val="57F14ED1"/>
    <w:rsid w:val="57F16C7F"/>
    <w:rsid w:val="57F50A1F"/>
    <w:rsid w:val="57F86260"/>
    <w:rsid w:val="57F95B34"/>
    <w:rsid w:val="57FB365A"/>
    <w:rsid w:val="57FD73D2"/>
    <w:rsid w:val="57FF139C"/>
    <w:rsid w:val="580C6CA6"/>
    <w:rsid w:val="58134E48"/>
    <w:rsid w:val="581806B0"/>
    <w:rsid w:val="581A7F84"/>
    <w:rsid w:val="581B1F4E"/>
    <w:rsid w:val="581B5AAA"/>
    <w:rsid w:val="5827444F"/>
    <w:rsid w:val="58303814"/>
    <w:rsid w:val="583059FA"/>
    <w:rsid w:val="583A23D4"/>
    <w:rsid w:val="583A6878"/>
    <w:rsid w:val="583B7EFB"/>
    <w:rsid w:val="58443253"/>
    <w:rsid w:val="58496ABB"/>
    <w:rsid w:val="584A6390"/>
    <w:rsid w:val="584C035A"/>
    <w:rsid w:val="5851771E"/>
    <w:rsid w:val="58550FBC"/>
    <w:rsid w:val="585A4825"/>
    <w:rsid w:val="5866766D"/>
    <w:rsid w:val="58694A68"/>
    <w:rsid w:val="586C6306"/>
    <w:rsid w:val="586D09FC"/>
    <w:rsid w:val="5870229A"/>
    <w:rsid w:val="58705DF6"/>
    <w:rsid w:val="58727595"/>
    <w:rsid w:val="587C0C3F"/>
    <w:rsid w:val="587F24DD"/>
    <w:rsid w:val="58816255"/>
    <w:rsid w:val="5886386C"/>
    <w:rsid w:val="5886561A"/>
    <w:rsid w:val="5889510A"/>
    <w:rsid w:val="588E0972"/>
    <w:rsid w:val="58920462"/>
    <w:rsid w:val="58BD6B62"/>
    <w:rsid w:val="58C148A4"/>
    <w:rsid w:val="58C3686E"/>
    <w:rsid w:val="58C44394"/>
    <w:rsid w:val="58C83E84"/>
    <w:rsid w:val="58CA7BFC"/>
    <w:rsid w:val="58CB5722"/>
    <w:rsid w:val="58CB74D0"/>
    <w:rsid w:val="58DC16DE"/>
    <w:rsid w:val="58E30CBE"/>
    <w:rsid w:val="58E46427"/>
    <w:rsid w:val="58F20F01"/>
    <w:rsid w:val="58F44C79"/>
    <w:rsid w:val="58F5454D"/>
    <w:rsid w:val="58F702C5"/>
    <w:rsid w:val="590429E2"/>
    <w:rsid w:val="59050C34"/>
    <w:rsid w:val="59084281"/>
    <w:rsid w:val="59091DA7"/>
    <w:rsid w:val="590B5B1F"/>
    <w:rsid w:val="591075D9"/>
    <w:rsid w:val="59126EAD"/>
    <w:rsid w:val="59172716"/>
    <w:rsid w:val="5919023C"/>
    <w:rsid w:val="591F15CA"/>
    <w:rsid w:val="59205A6E"/>
    <w:rsid w:val="592866D1"/>
    <w:rsid w:val="592B4413"/>
    <w:rsid w:val="592D018B"/>
    <w:rsid w:val="592F5CB1"/>
    <w:rsid w:val="59352B9C"/>
    <w:rsid w:val="59372DB8"/>
    <w:rsid w:val="593908DE"/>
    <w:rsid w:val="593D6572"/>
    <w:rsid w:val="594D6137"/>
    <w:rsid w:val="59505C28"/>
    <w:rsid w:val="5954396A"/>
    <w:rsid w:val="59570D64"/>
    <w:rsid w:val="59576FB6"/>
    <w:rsid w:val="59605E6B"/>
    <w:rsid w:val="59682F71"/>
    <w:rsid w:val="596D4A2C"/>
    <w:rsid w:val="596D67DA"/>
    <w:rsid w:val="59710078"/>
    <w:rsid w:val="597B2CA5"/>
    <w:rsid w:val="597C6A1D"/>
    <w:rsid w:val="597D4C6F"/>
    <w:rsid w:val="59815DE1"/>
    <w:rsid w:val="59851D75"/>
    <w:rsid w:val="598558D1"/>
    <w:rsid w:val="59875AED"/>
    <w:rsid w:val="598C3C46"/>
    <w:rsid w:val="5991071A"/>
    <w:rsid w:val="5996100A"/>
    <w:rsid w:val="599C0E6D"/>
    <w:rsid w:val="59A0095D"/>
    <w:rsid w:val="59A044B9"/>
    <w:rsid w:val="59A3044D"/>
    <w:rsid w:val="59A65848"/>
    <w:rsid w:val="59A73A9A"/>
    <w:rsid w:val="59AD307A"/>
    <w:rsid w:val="59AF0A8E"/>
    <w:rsid w:val="59AF294E"/>
    <w:rsid w:val="59B166C6"/>
    <w:rsid w:val="59B47F65"/>
    <w:rsid w:val="59C02B36"/>
    <w:rsid w:val="59C55518"/>
    <w:rsid w:val="59CF4D9E"/>
    <w:rsid w:val="59D2488F"/>
    <w:rsid w:val="59DB1995"/>
    <w:rsid w:val="59DB7BE7"/>
    <w:rsid w:val="59E24AD2"/>
    <w:rsid w:val="59E36A9C"/>
    <w:rsid w:val="59E545C2"/>
    <w:rsid w:val="59E92304"/>
    <w:rsid w:val="59ED3476"/>
    <w:rsid w:val="59EF3692"/>
    <w:rsid w:val="59F24535"/>
    <w:rsid w:val="59F44805"/>
    <w:rsid w:val="59FF38D6"/>
    <w:rsid w:val="5A075A38"/>
    <w:rsid w:val="5A096502"/>
    <w:rsid w:val="5A0E3B19"/>
    <w:rsid w:val="5A0F7891"/>
    <w:rsid w:val="5A1F5D26"/>
    <w:rsid w:val="5A2055FA"/>
    <w:rsid w:val="5A2275C4"/>
    <w:rsid w:val="5A24333C"/>
    <w:rsid w:val="5A250E62"/>
    <w:rsid w:val="5A272E2C"/>
    <w:rsid w:val="5A274BDA"/>
    <w:rsid w:val="5A2A6479"/>
    <w:rsid w:val="5A2E7D17"/>
    <w:rsid w:val="5A3317D1"/>
    <w:rsid w:val="5A36306F"/>
    <w:rsid w:val="5A4237C2"/>
    <w:rsid w:val="5A4C4641"/>
    <w:rsid w:val="5A5A0B0C"/>
    <w:rsid w:val="5A6E5909"/>
    <w:rsid w:val="5A736072"/>
    <w:rsid w:val="5A7D0C9E"/>
    <w:rsid w:val="5A9009D2"/>
    <w:rsid w:val="5A92474A"/>
    <w:rsid w:val="5A932270"/>
    <w:rsid w:val="5A936E61"/>
    <w:rsid w:val="5A951B44"/>
    <w:rsid w:val="5A9B1124"/>
    <w:rsid w:val="5A9C7376"/>
    <w:rsid w:val="5AA004E9"/>
    <w:rsid w:val="5AA61FA3"/>
    <w:rsid w:val="5AA91A93"/>
    <w:rsid w:val="5AB3646E"/>
    <w:rsid w:val="5AB741B0"/>
    <w:rsid w:val="5ABF12B7"/>
    <w:rsid w:val="5AC32B55"/>
    <w:rsid w:val="5AC468CD"/>
    <w:rsid w:val="5AD22D98"/>
    <w:rsid w:val="5AD84127"/>
    <w:rsid w:val="5AD85ED5"/>
    <w:rsid w:val="5ADA3E91"/>
    <w:rsid w:val="5ADF42DD"/>
    <w:rsid w:val="5AE825BC"/>
    <w:rsid w:val="5AEB3E5A"/>
    <w:rsid w:val="5AF32D0E"/>
    <w:rsid w:val="5AF54CD9"/>
    <w:rsid w:val="5AFD593B"/>
    <w:rsid w:val="5B0664B5"/>
    <w:rsid w:val="5B084A0C"/>
    <w:rsid w:val="5B0B1E06"/>
    <w:rsid w:val="5B0B2327"/>
    <w:rsid w:val="5B1213E7"/>
    <w:rsid w:val="5B182775"/>
    <w:rsid w:val="5B1C04B7"/>
    <w:rsid w:val="5B1C2265"/>
    <w:rsid w:val="5B264E92"/>
    <w:rsid w:val="5B266C40"/>
    <w:rsid w:val="5B2A2BD4"/>
    <w:rsid w:val="5B2C2DA1"/>
    <w:rsid w:val="5B2D6220"/>
    <w:rsid w:val="5B2F1F99"/>
    <w:rsid w:val="5B323837"/>
    <w:rsid w:val="5B37709F"/>
    <w:rsid w:val="5B3C46B5"/>
    <w:rsid w:val="5B433C96"/>
    <w:rsid w:val="5B4F49FA"/>
    <w:rsid w:val="5B5419FF"/>
    <w:rsid w:val="5B5437AD"/>
    <w:rsid w:val="5B555777"/>
    <w:rsid w:val="5B56343D"/>
    <w:rsid w:val="5B6559BA"/>
    <w:rsid w:val="5B6B4F9B"/>
    <w:rsid w:val="5B6D486F"/>
    <w:rsid w:val="5B7C0F56"/>
    <w:rsid w:val="5B7C4AB2"/>
    <w:rsid w:val="5B81656C"/>
    <w:rsid w:val="5B857E0A"/>
    <w:rsid w:val="5B90055D"/>
    <w:rsid w:val="5B9B13DC"/>
    <w:rsid w:val="5B9C6F02"/>
    <w:rsid w:val="5BA02E96"/>
    <w:rsid w:val="5BA34735"/>
    <w:rsid w:val="5BA858A7"/>
    <w:rsid w:val="5BB22BCA"/>
    <w:rsid w:val="5BBB1A7E"/>
    <w:rsid w:val="5BBC75A4"/>
    <w:rsid w:val="5BBE156E"/>
    <w:rsid w:val="5BC07095"/>
    <w:rsid w:val="5BC56459"/>
    <w:rsid w:val="5BC621D1"/>
    <w:rsid w:val="5BC85F49"/>
    <w:rsid w:val="5BCA3A6F"/>
    <w:rsid w:val="5BCC1717"/>
    <w:rsid w:val="5BD3501A"/>
    <w:rsid w:val="5BDE39BF"/>
    <w:rsid w:val="5BE427E9"/>
    <w:rsid w:val="5BE80399"/>
    <w:rsid w:val="5BED775E"/>
    <w:rsid w:val="5BEF1728"/>
    <w:rsid w:val="5BF60D08"/>
    <w:rsid w:val="5BF907F8"/>
    <w:rsid w:val="5C001B87"/>
    <w:rsid w:val="5C013209"/>
    <w:rsid w:val="5C050F4B"/>
    <w:rsid w:val="5C0A47B4"/>
    <w:rsid w:val="5C133668"/>
    <w:rsid w:val="5C161AB5"/>
    <w:rsid w:val="5C185B16"/>
    <w:rsid w:val="5C1967A5"/>
    <w:rsid w:val="5C1B251D"/>
    <w:rsid w:val="5C2F7D76"/>
    <w:rsid w:val="5C3B671B"/>
    <w:rsid w:val="5C3D6937"/>
    <w:rsid w:val="5C433822"/>
    <w:rsid w:val="5C4F0418"/>
    <w:rsid w:val="5C533A65"/>
    <w:rsid w:val="5C5872CD"/>
    <w:rsid w:val="5C6043D4"/>
    <w:rsid w:val="5C626E3A"/>
    <w:rsid w:val="5C645C72"/>
    <w:rsid w:val="5C653798"/>
    <w:rsid w:val="5C677510"/>
    <w:rsid w:val="5C702869"/>
    <w:rsid w:val="5C732359"/>
    <w:rsid w:val="5C734107"/>
    <w:rsid w:val="5C7A3771"/>
    <w:rsid w:val="5C7A5495"/>
    <w:rsid w:val="5C8005D2"/>
    <w:rsid w:val="5C806824"/>
    <w:rsid w:val="5C875E04"/>
    <w:rsid w:val="5C891B7C"/>
    <w:rsid w:val="5C894B1F"/>
    <w:rsid w:val="5C8C341B"/>
    <w:rsid w:val="5C91458D"/>
    <w:rsid w:val="5C974299"/>
    <w:rsid w:val="5C9C6B0B"/>
    <w:rsid w:val="5C9F4EFC"/>
    <w:rsid w:val="5CAE15E3"/>
    <w:rsid w:val="5CAE513F"/>
    <w:rsid w:val="5CB377CB"/>
    <w:rsid w:val="5CB70498"/>
    <w:rsid w:val="5CC11316"/>
    <w:rsid w:val="5CC26E3C"/>
    <w:rsid w:val="5CCB7A9F"/>
    <w:rsid w:val="5CCE758F"/>
    <w:rsid w:val="5CD252D1"/>
    <w:rsid w:val="5CE768A3"/>
    <w:rsid w:val="5CEB1EEF"/>
    <w:rsid w:val="5CED210B"/>
    <w:rsid w:val="5CF76AE6"/>
    <w:rsid w:val="5CF8460C"/>
    <w:rsid w:val="5CFA6097"/>
    <w:rsid w:val="5D0631CD"/>
    <w:rsid w:val="5D072AA1"/>
    <w:rsid w:val="5D131446"/>
    <w:rsid w:val="5D170F36"/>
    <w:rsid w:val="5D1E0517"/>
    <w:rsid w:val="5D2418A5"/>
    <w:rsid w:val="5D296EBB"/>
    <w:rsid w:val="5D2B49E2"/>
    <w:rsid w:val="5D303DA6"/>
    <w:rsid w:val="5D335644"/>
    <w:rsid w:val="5D35760E"/>
    <w:rsid w:val="5D395350"/>
    <w:rsid w:val="5D3970FE"/>
    <w:rsid w:val="5D3A60FB"/>
    <w:rsid w:val="5D4B6E32"/>
    <w:rsid w:val="5D5F468B"/>
    <w:rsid w:val="5D6121B1"/>
    <w:rsid w:val="5D616655"/>
    <w:rsid w:val="5D657C27"/>
    <w:rsid w:val="5D704AEA"/>
    <w:rsid w:val="5D7243BE"/>
    <w:rsid w:val="5D777C27"/>
    <w:rsid w:val="5D79574D"/>
    <w:rsid w:val="5D804D2D"/>
    <w:rsid w:val="5D812E10"/>
    <w:rsid w:val="5D8440F2"/>
    <w:rsid w:val="5D8D2FA6"/>
    <w:rsid w:val="5D8D6E33"/>
    <w:rsid w:val="5D8F4F70"/>
    <w:rsid w:val="5D9702C9"/>
    <w:rsid w:val="5D9E3405"/>
    <w:rsid w:val="5DA01B06"/>
    <w:rsid w:val="5DA16A52"/>
    <w:rsid w:val="5DA87DE0"/>
    <w:rsid w:val="5DAA635A"/>
    <w:rsid w:val="5DAB167E"/>
    <w:rsid w:val="5DB669A1"/>
    <w:rsid w:val="5DC015CE"/>
    <w:rsid w:val="5DCC7F73"/>
    <w:rsid w:val="5DCF7A63"/>
    <w:rsid w:val="5DD07337"/>
    <w:rsid w:val="5DD62B9F"/>
    <w:rsid w:val="5DD9443E"/>
    <w:rsid w:val="5DDE3802"/>
    <w:rsid w:val="5DE0757A"/>
    <w:rsid w:val="5DEA21A7"/>
    <w:rsid w:val="5DF03535"/>
    <w:rsid w:val="5DF748C4"/>
    <w:rsid w:val="5DFE20F6"/>
    <w:rsid w:val="5E052FC6"/>
    <w:rsid w:val="5E064456"/>
    <w:rsid w:val="5E070FAB"/>
    <w:rsid w:val="5E084D23"/>
    <w:rsid w:val="5E0E058B"/>
    <w:rsid w:val="5E0F7CBE"/>
    <w:rsid w:val="5E1C257C"/>
    <w:rsid w:val="5E1C432A"/>
    <w:rsid w:val="5E2002BE"/>
    <w:rsid w:val="5E23390B"/>
    <w:rsid w:val="5E2A2EEB"/>
    <w:rsid w:val="5E2D4789"/>
    <w:rsid w:val="5E2D6537"/>
    <w:rsid w:val="5E337FF2"/>
    <w:rsid w:val="5E385608"/>
    <w:rsid w:val="5E391380"/>
    <w:rsid w:val="5E394EDC"/>
    <w:rsid w:val="5E3D49CC"/>
    <w:rsid w:val="5E3E0745"/>
    <w:rsid w:val="5E3F1A16"/>
    <w:rsid w:val="5E420397"/>
    <w:rsid w:val="5E421FE3"/>
    <w:rsid w:val="5E4A70E9"/>
    <w:rsid w:val="5E4F64AE"/>
    <w:rsid w:val="5E563CE0"/>
    <w:rsid w:val="5E587A58"/>
    <w:rsid w:val="5E59557E"/>
    <w:rsid w:val="5E59732C"/>
    <w:rsid w:val="5E5D506F"/>
    <w:rsid w:val="5E622685"/>
    <w:rsid w:val="5E766130"/>
    <w:rsid w:val="5E7A5C21"/>
    <w:rsid w:val="5E7B3747"/>
    <w:rsid w:val="5E7F3237"/>
    <w:rsid w:val="5E7F4FE5"/>
    <w:rsid w:val="5E826883"/>
    <w:rsid w:val="5E8720EC"/>
    <w:rsid w:val="5E8A398A"/>
    <w:rsid w:val="5E9345EC"/>
    <w:rsid w:val="5E954808"/>
    <w:rsid w:val="5E9B5B97"/>
    <w:rsid w:val="5EA44E9E"/>
    <w:rsid w:val="5EAC3900"/>
    <w:rsid w:val="5EB17168"/>
    <w:rsid w:val="5EB35D99"/>
    <w:rsid w:val="5EB629D1"/>
    <w:rsid w:val="5EB6652D"/>
    <w:rsid w:val="5EBA426F"/>
    <w:rsid w:val="5EC56770"/>
    <w:rsid w:val="5ED66BCF"/>
    <w:rsid w:val="5ED74E21"/>
    <w:rsid w:val="5EDB5F93"/>
    <w:rsid w:val="5EDD1D0C"/>
    <w:rsid w:val="5EDF3CD6"/>
    <w:rsid w:val="5EE50BC0"/>
    <w:rsid w:val="5EE70DDC"/>
    <w:rsid w:val="5EE96902"/>
    <w:rsid w:val="5EF552A7"/>
    <w:rsid w:val="5EF64B7B"/>
    <w:rsid w:val="5EFC6636"/>
    <w:rsid w:val="5EFD415C"/>
    <w:rsid w:val="5EFF6126"/>
    <w:rsid w:val="5F025C16"/>
    <w:rsid w:val="5F0441B1"/>
    <w:rsid w:val="5F100333"/>
    <w:rsid w:val="5F125E59"/>
    <w:rsid w:val="5F17346F"/>
    <w:rsid w:val="5F1D2186"/>
    <w:rsid w:val="5F24793A"/>
    <w:rsid w:val="5F261904"/>
    <w:rsid w:val="5F265461"/>
    <w:rsid w:val="5F2B0CC9"/>
    <w:rsid w:val="5F3202A9"/>
    <w:rsid w:val="5F322057"/>
    <w:rsid w:val="5F334021"/>
    <w:rsid w:val="5F335DCF"/>
    <w:rsid w:val="5F3758C0"/>
    <w:rsid w:val="5F3C1128"/>
    <w:rsid w:val="5F3F4774"/>
    <w:rsid w:val="5F41673E"/>
    <w:rsid w:val="5F441D8B"/>
    <w:rsid w:val="5F4678B1"/>
    <w:rsid w:val="5F5875E4"/>
    <w:rsid w:val="5F5A15AE"/>
    <w:rsid w:val="5F5C0E82"/>
    <w:rsid w:val="5F667F53"/>
    <w:rsid w:val="5F697A43"/>
    <w:rsid w:val="5F6B37BB"/>
    <w:rsid w:val="5F70492E"/>
    <w:rsid w:val="5F724B4A"/>
    <w:rsid w:val="5F73441E"/>
    <w:rsid w:val="5F775CBC"/>
    <w:rsid w:val="5F795ED8"/>
    <w:rsid w:val="5F7A1C50"/>
    <w:rsid w:val="5F7E529D"/>
    <w:rsid w:val="5F813A91"/>
    <w:rsid w:val="5F814D8D"/>
    <w:rsid w:val="5F8403D9"/>
    <w:rsid w:val="5F922AF6"/>
    <w:rsid w:val="5F990328"/>
    <w:rsid w:val="5F9A19AB"/>
    <w:rsid w:val="5F9A7BFD"/>
    <w:rsid w:val="5F9E593F"/>
    <w:rsid w:val="5F9F5213"/>
    <w:rsid w:val="5FB46F10"/>
    <w:rsid w:val="5FB92779"/>
    <w:rsid w:val="5FB94527"/>
    <w:rsid w:val="5FBA3FD4"/>
    <w:rsid w:val="5FBC5DC5"/>
    <w:rsid w:val="5FC157B0"/>
    <w:rsid w:val="5FC609F2"/>
    <w:rsid w:val="5FCA6734"/>
    <w:rsid w:val="5FCD3B2E"/>
    <w:rsid w:val="5FCF3D4A"/>
    <w:rsid w:val="5FD0361E"/>
    <w:rsid w:val="5FD50C35"/>
    <w:rsid w:val="5FE01AB3"/>
    <w:rsid w:val="5FE315A4"/>
    <w:rsid w:val="5FE377F5"/>
    <w:rsid w:val="5FE80968"/>
    <w:rsid w:val="5FF23595"/>
    <w:rsid w:val="5FF7504F"/>
    <w:rsid w:val="5FF94923"/>
    <w:rsid w:val="5FFF5CB2"/>
    <w:rsid w:val="60031C46"/>
    <w:rsid w:val="60082773"/>
    <w:rsid w:val="600A2FD4"/>
    <w:rsid w:val="600A6346"/>
    <w:rsid w:val="600B4656"/>
    <w:rsid w:val="600C644D"/>
    <w:rsid w:val="600D6620"/>
    <w:rsid w:val="60161979"/>
    <w:rsid w:val="601B7E84"/>
    <w:rsid w:val="602D6CC3"/>
    <w:rsid w:val="603315F8"/>
    <w:rsid w:val="60372B4A"/>
    <w:rsid w:val="60402552"/>
    <w:rsid w:val="604162CA"/>
    <w:rsid w:val="60432042"/>
    <w:rsid w:val="60471B32"/>
    <w:rsid w:val="60487659"/>
    <w:rsid w:val="604C539B"/>
    <w:rsid w:val="605424A1"/>
    <w:rsid w:val="60583D40"/>
    <w:rsid w:val="60695F4D"/>
    <w:rsid w:val="606C77EB"/>
    <w:rsid w:val="60716BAF"/>
    <w:rsid w:val="60771CEC"/>
    <w:rsid w:val="607B7A2E"/>
    <w:rsid w:val="607E751E"/>
    <w:rsid w:val="6082700E"/>
    <w:rsid w:val="608508AD"/>
    <w:rsid w:val="6085265B"/>
    <w:rsid w:val="60883EF9"/>
    <w:rsid w:val="60885CA7"/>
    <w:rsid w:val="608E7761"/>
    <w:rsid w:val="60911000"/>
    <w:rsid w:val="60917251"/>
    <w:rsid w:val="60996106"/>
    <w:rsid w:val="609B59DA"/>
    <w:rsid w:val="609D1752"/>
    <w:rsid w:val="60A26D69"/>
    <w:rsid w:val="60AE3960"/>
    <w:rsid w:val="60AF1486"/>
    <w:rsid w:val="60B44CEE"/>
    <w:rsid w:val="60B8658C"/>
    <w:rsid w:val="60BB607C"/>
    <w:rsid w:val="60BE78DB"/>
    <w:rsid w:val="60C2565D"/>
    <w:rsid w:val="60C43183"/>
    <w:rsid w:val="60CB2763"/>
    <w:rsid w:val="60D4713E"/>
    <w:rsid w:val="60D55390"/>
    <w:rsid w:val="60D96503"/>
    <w:rsid w:val="60DF1D6B"/>
    <w:rsid w:val="60E71115"/>
    <w:rsid w:val="60EE1FAE"/>
    <w:rsid w:val="60EF0A8D"/>
    <w:rsid w:val="60F31CBA"/>
    <w:rsid w:val="60F82E2D"/>
    <w:rsid w:val="61025A59"/>
    <w:rsid w:val="610417D1"/>
    <w:rsid w:val="61094D17"/>
    <w:rsid w:val="61112140"/>
    <w:rsid w:val="61113EEE"/>
    <w:rsid w:val="611B6B1B"/>
    <w:rsid w:val="612956DC"/>
    <w:rsid w:val="613528A4"/>
    <w:rsid w:val="61370C95"/>
    <w:rsid w:val="61377D95"/>
    <w:rsid w:val="613F280A"/>
    <w:rsid w:val="61477910"/>
    <w:rsid w:val="61497B2C"/>
    <w:rsid w:val="615D0EE2"/>
    <w:rsid w:val="616109D2"/>
    <w:rsid w:val="6162299C"/>
    <w:rsid w:val="61691F7C"/>
    <w:rsid w:val="61695AD8"/>
    <w:rsid w:val="616B7AA3"/>
    <w:rsid w:val="61706E67"/>
    <w:rsid w:val="61722BDF"/>
    <w:rsid w:val="61730705"/>
    <w:rsid w:val="617526CF"/>
    <w:rsid w:val="61785D1C"/>
    <w:rsid w:val="61903065"/>
    <w:rsid w:val="61926DDD"/>
    <w:rsid w:val="61954B1F"/>
    <w:rsid w:val="619C5EAE"/>
    <w:rsid w:val="619D5782"/>
    <w:rsid w:val="619F774C"/>
    <w:rsid w:val="61A905CB"/>
    <w:rsid w:val="61A97D1C"/>
    <w:rsid w:val="61AB7E9F"/>
    <w:rsid w:val="61B52ACC"/>
    <w:rsid w:val="61B76844"/>
    <w:rsid w:val="61BA27D8"/>
    <w:rsid w:val="61BC3E5A"/>
    <w:rsid w:val="61BE05B8"/>
    <w:rsid w:val="61BE5E24"/>
    <w:rsid w:val="61CB6793"/>
    <w:rsid w:val="61D27B22"/>
    <w:rsid w:val="61D4389A"/>
    <w:rsid w:val="61D45648"/>
    <w:rsid w:val="61E67129"/>
    <w:rsid w:val="61E74A13"/>
    <w:rsid w:val="61E909C7"/>
    <w:rsid w:val="61EA3E09"/>
    <w:rsid w:val="61EB2991"/>
    <w:rsid w:val="61EF3C1A"/>
    <w:rsid w:val="61F555BE"/>
    <w:rsid w:val="61FB0E26"/>
    <w:rsid w:val="62015D11"/>
    <w:rsid w:val="621974FF"/>
    <w:rsid w:val="621D48D8"/>
    <w:rsid w:val="622163B3"/>
    <w:rsid w:val="62265778"/>
    <w:rsid w:val="62285994"/>
    <w:rsid w:val="622A170C"/>
    <w:rsid w:val="623A1223"/>
    <w:rsid w:val="623B7475"/>
    <w:rsid w:val="62404A8B"/>
    <w:rsid w:val="62436329"/>
    <w:rsid w:val="62467BC8"/>
    <w:rsid w:val="6247406C"/>
    <w:rsid w:val="624B51DE"/>
    <w:rsid w:val="624F2F20"/>
    <w:rsid w:val="62500A46"/>
    <w:rsid w:val="625D388F"/>
    <w:rsid w:val="6260512D"/>
    <w:rsid w:val="62620EA5"/>
    <w:rsid w:val="62652744"/>
    <w:rsid w:val="626544F2"/>
    <w:rsid w:val="626A1B08"/>
    <w:rsid w:val="626A7D5A"/>
    <w:rsid w:val="62782477"/>
    <w:rsid w:val="627B3D15"/>
    <w:rsid w:val="627E7362"/>
    <w:rsid w:val="6280132C"/>
    <w:rsid w:val="628C1A7E"/>
    <w:rsid w:val="628C5F22"/>
    <w:rsid w:val="6291178B"/>
    <w:rsid w:val="62913539"/>
    <w:rsid w:val="629D3C8C"/>
    <w:rsid w:val="62A274F4"/>
    <w:rsid w:val="62A52B40"/>
    <w:rsid w:val="62B31701"/>
    <w:rsid w:val="62B334AF"/>
    <w:rsid w:val="62B47227"/>
    <w:rsid w:val="62B80AC5"/>
    <w:rsid w:val="62B92A90"/>
    <w:rsid w:val="62BB2364"/>
    <w:rsid w:val="62CE02E9"/>
    <w:rsid w:val="62D81168"/>
    <w:rsid w:val="62DE6052"/>
    <w:rsid w:val="62E33669"/>
    <w:rsid w:val="62E73159"/>
    <w:rsid w:val="62E96ED1"/>
    <w:rsid w:val="62EF025F"/>
    <w:rsid w:val="62EF64B1"/>
    <w:rsid w:val="63035AB9"/>
    <w:rsid w:val="630A432C"/>
    <w:rsid w:val="630E4B89"/>
    <w:rsid w:val="630E6937"/>
    <w:rsid w:val="63163A3E"/>
    <w:rsid w:val="63185A08"/>
    <w:rsid w:val="631F6D97"/>
    <w:rsid w:val="63220635"/>
    <w:rsid w:val="63272EBA"/>
    <w:rsid w:val="632A1297"/>
    <w:rsid w:val="63424833"/>
    <w:rsid w:val="634405AB"/>
    <w:rsid w:val="634A36E8"/>
    <w:rsid w:val="634C56B2"/>
    <w:rsid w:val="63500CFE"/>
    <w:rsid w:val="63584057"/>
    <w:rsid w:val="635A392B"/>
    <w:rsid w:val="635D78BF"/>
    <w:rsid w:val="63604CB9"/>
    <w:rsid w:val="63660521"/>
    <w:rsid w:val="636C365E"/>
    <w:rsid w:val="637349EC"/>
    <w:rsid w:val="63754C08"/>
    <w:rsid w:val="637864A7"/>
    <w:rsid w:val="637A221F"/>
    <w:rsid w:val="637A7086"/>
    <w:rsid w:val="63846BFA"/>
    <w:rsid w:val="638B442C"/>
    <w:rsid w:val="63974B7F"/>
    <w:rsid w:val="63996A94"/>
    <w:rsid w:val="639A641D"/>
    <w:rsid w:val="63A948B2"/>
    <w:rsid w:val="63C11BFC"/>
    <w:rsid w:val="63C74D38"/>
    <w:rsid w:val="63C811DC"/>
    <w:rsid w:val="63CB65D6"/>
    <w:rsid w:val="63CF256B"/>
    <w:rsid w:val="63D556A7"/>
    <w:rsid w:val="63DD455C"/>
    <w:rsid w:val="63E36016"/>
    <w:rsid w:val="63E61662"/>
    <w:rsid w:val="63E63410"/>
    <w:rsid w:val="63E94CAF"/>
    <w:rsid w:val="63F35B2D"/>
    <w:rsid w:val="63F57AF7"/>
    <w:rsid w:val="63FB4653"/>
    <w:rsid w:val="640E2967"/>
    <w:rsid w:val="6410048D"/>
    <w:rsid w:val="64122457"/>
    <w:rsid w:val="64151F48"/>
    <w:rsid w:val="64191A38"/>
    <w:rsid w:val="641D7C93"/>
    <w:rsid w:val="6421269A"/>
    <w:rsid w:val="64236413"/>
    <w:rsid w:val="64287ECD"/>
    <w:rsid w:val="64300B2F"/>
    <w:rsid w:val="64303292"/>
    <w:rsid w:val="643B19AE"/>
    <w:rsid w:val="643F0D73"/>
    <w:rsid w:val="64410F8F"/>
    <w:rsid w:val="644E2B7B"/>
    <w:rsid w:val="644F7208"/>
    <w:rsid w:val="64502F80"/>
    <w:rsid w:val="64526CF8"/>
    <w:rsid w:val="6458100E"/>
    <w:rsid w:val="645962D8"/>
    <w:rsid w:val="645A5BAC"/>
    <w:rsid w:val="646D58E0"/>
    <w:rsid w:val="647153D0"/>
    <w:rsid w:val="64760C38"/>
    <w:rsid w:val="6477675E"/>
    <w:rsid w:val="647B7FFD"/>
    <w:rsid w:val="64803865"/>
    <w:rsid w:val="64836EB1"/>
    <w:rsid w:val="648669A1"/>
    <w:rsid w:val="648C220A"/>
    <w:rsid w:val="64917820"/>
    <w:rsid w:val="649317EA"/>
    <w:rsid w:val="649E0BD2"/>
    <w:rsid w:val="64A31301"/>
    <w:rsid w:val="64AA6B34"/>
    <w:rsid w:val="64AD3F2E"/>
    <w:rsid w:val="64B13A1E"/>
    <w:rsid w:val="64B21544"/>
    <w:rsid w:val="64B67287"/>
    <w:rsid w:val="64C23E7D"/>
    <w:rsid w:val="64C71494"/>
    <w:rsid w:val="64CF20F6"/>
    <w:rsid w:val="64CF659A"/>
    <w:rsid w:val="64DD0CB7"/>
    <w:rsid w:val="64E33DF4"/>
    <w:rsid w:val="64E35BA2"/>
    <w:rsid w:val="64E42046"/>
    <w:rsid w:val="64E536C8"/>
    <w:rsid w:val="64EA6F30"/>
    <w:rsid w:val="64EC0EFA"/>
    <w:rsid w:val="64ED07CF"/>
    <w:rsid w:val="64EE4C72"/>
    <w:rsid w:val="64F97173"/>
    <w:rsid w:val="64FD6C64"/>
    <w:rsid w:val="65055B18"/>
    <w:rsid w:val="650E70C3"/>
    <w:rsid w:val="65130235"/>
    <w:rsid w:val="65164D65"/>
    <w:rsid w:val="651D5558"/>
    <w:rsid w:val="65222B6E"/>
    <w:rsid w:val="65295CAB"/>
    <w:rsid w:val="652C7549"/>
    <w:rsid w:val="65384140"/>
    <w:rsid w:val="65490E2B"/>
    <w:rsid w:val="65491EA9"/>
    <w:rsid w:val="654C3747"/>
    <w:rsid w:val="654E74BF"/>
    <w:rsid w:val="65610DF1"/>
    <w:rsid w:val="65613696"/>
    <w:rsid w:val="656211BC"/>
    <w:rsid w:val="65757142"/>
    <w:rsid w:val="657B5DDA"/>
    <w:rsid w:val="65827169"/>
    <w:rsid w:val="658904F7"/>
    <w:rsid w:val="65905D2A"/>
    <w:rsid w:val="65931376"/>
    <w:rsid w:val="6595362A"/>
    <w:rsid w:val="659B647C"/>
    <w:rsid w:val="65A45331"/>
    <w:rsid w:val="65A76BCF"/>
    <w:rsid w:val="65A90B99"/>
    <w:rsid w:val="65B03CD6"/>
    <w:rsid w:val="65B31A18"/>
    <w:rsid w:val="65B512EC"/>
    <w:rsid w:val="65BA6903"/>
    <w:rsid w:val="65BD63F3"/>
    <w:rsid w:val="65C634F9"/>
    <w:rsid w:val="65C854C3"/>
    <w:rsid w:val="65CB4FB4"/>
    <w:rsid w:val="65CB6D62"/>
    <w:rsid w:val="65CC4888"/>
    <w:rsid w:val="65D35C16"/>
    <w:rsid w:val="65DF45BB"/>
    <w:rsid w:val="65DF6369"/>
    <w:rsid w:val="65E10333"/>
    <w:rsid w:val="65E16585"/>
    <w:rsid w:val="65E25E59"/>
    <w:rsid w:val="65E46075"/>
    <w:rsid w:val="65EC0A86"/>
    <w:rsid w:val="65F16B55"/>
    <w:rsid w:val="65F31E15"/>
    <w:rsid w:val="65F55B8D"/>
    <w:rsid w:val="65F71905"/>
    <w:rsid w:val="65F91B21"/>
    <w:rsid w:val="65FE1159"/>
    <w:rsid w:val="65FE7137"/>
    <w:rsid w:val="66081D64"/>
    <w:rsid w:val="660B3602"/>
    <w:rsid w:val="660B53B0"/>
    <w:rsid w:val="660B715E"/>
    <w:rsid w:val="660E4EA0"/>
    <w:rsid w:val="661029C7"/>
    <w:rsid w:val="6612673F"/>
    <w:rsid w:val="66170870"/>
    <w:rsid w:val="66171FA7"/>
    <w:rsid w:val="66171FB1"/>
    <w:rsid w:val="661F2C0A"/>
    <w:rsid w:val="66287D10"/>
    <w:rsid w:val="662B15AE"/>
    <w:rsid w:val="662D17CA"/>
    <w:rsid w:val="66383CCB"/>
    <w:rsid w:val="663C37BC"/>
    <w:rsid w:val="663F14FE"/>
    <w:rsid w:val="66417024"/>
    <w:rsid w:val="66486604"/>
    <w:rsid w:val="664A412A"/>
    <w:rsid w:val="664D3C1B"/>
    <w:rsid w:val="664F0CB2"/>
    <w:rsid w:val="66544FA9"/>
    <w:rsid w:val="66546D57"/>
    <w:rsid w:val="66576847"/>
    <w:rsid w:val="665E3732"/>
    <w:rsid w:val="666A58BA"/>
    <w:rsid w:val="666B22F3"/>
    <w:rsid w:val="666D606B"/>
    <w:rsid w:val="667A42E4"/>
    <w:rsid w:val="66833198"/>
    <w:rsid w:val="66886A01"/>
    <w:rsid w:val="668D4017"/>
    <w:rsid w:val="668F7D8F"/>
    <w:rsid w:val="6692162D"/>
    <w:rsid w:val="6694184A"/>
    <w:rsid w:val="669473E5"/>
    <w:rsid w:val="66955B0C"/>
    <w:rsid w:val="66A01F9C"/>
    <w:rsid w:val="66A31A8D"/>
    <w:rsid w:val="66A7157D"/>
    <w:rsid w:val="66B141AA"/>
    <w:rsid w:val="66B27F22"/>
    <w:rsid w:val="66B617C0"/>
    <w:rsid w:val="66B772E6"/>
    <w:rsid w:val="66BE68C6"/>
    <w:rsid w:val="66C51A03"/>
    <w:rsid w:val="66CC0FE3"/>
    <w:rsid w:val="66D32372"/>
    <w:rsid w:val="66D71736"/>
    <w:rsid w:val="66D734E4"/>
    <w:rsid w:val="66DD4F9F"/>
    <w:rsid w:val="66E2573B"/>
    <w:rsid w:val="66E77BCB"/>
    <w:rsid w:val="66EA3218"/>
    <w:rsid w:val="66EC6F90"/>
    <w:rsid w:val="66ED4AB6"/>
    <w:rsid w:val="66EF082E"/>
    <w:rsid w:val="66EF6A80"/>
    <w:rsid w:val="66F347C2"/>
    <w:rsid w:val="66F45E44"/>
    <w:rsid w:val="66F527A2"/>
    <w:rsid w:val="66F9345B"/>
    <w:rsid w:val="66FB71D3"/>
    <w:rsid w:val="66FC25F4"/>
    <w:rsid w:val="66FC2F4B"/>
    <w:rsid w:val="66FE6CC3"/>
    <w:rsid w:val="67000C8D"/>
    <w:rsid w:val="670047E9"/>
    <w:rsid w:val="67073DC9"/>
    <w:rsid w:val="670A1B0C"/>
    <w:rsid w:val="671169F6"/>
    <w:rsid w:val="67177D85"/>
    <w:rsid w:val="67185FD7"/>
    <w:rsid w:val="671958AB"/>
    <w:rsid w:val="67236729"/>
    <w:rsid w:val="672A5D0A"/>
    <w:rsid w:val="672C7CD4"/>
    <w:rsid w:val="673646AF"/>
    <w:rsid w:val="67397CFB"/>
    <w:rsid w:val="673E5311"/>
    <w:rsid w:val="6740552D"/>
    <w:rsid w:val="674212A6"/>
    <w:rsid w:val="6744501E"/>
    <w:rsid w:val="674A015A"/>
    <w:rsid w:val="674A1F08"/>
    <w:rsid w:val="674C7A2E"/>
    <w:rsid w:val="675114E9"/>
    <w:rsid w:val="67512F25"/>
    <w:rsid w:val="675E59B4"/>
    <w:rsid w:val="676254A4"/>
    <w:rsid w:val="676A2E4B"/>
    <w:rsid w:val="67784CC7"/>
    <w:rsid w:val="67786A75"/>
    <w:rsid w:val="677D5E3A"/>
    <w:rsid w:val="67803B7C"/>
    <w:rsid w:val="6784366C"/>
    <w:rsid w:val="678673E4"/>
    <w:rsid w:val="678B49FB"/>
    <w:rsid w:val="678E6299"/>
    <w:rsid w:val="6793565D"/>
    <w:rsid w:val="679413D5"/>
    <w:rsid w:val="679F04A6"/>
    <w:rsid w:val="679F2254"/>
    <w:rsid w:val="679F4002"/>
    <w:rsid w:val="67A4786A"/>
    <w:rsid w:val="67A7735B"/>
    <w:rsid w:val="67AE2497"/>
    <w:rsid w:val="67B11F87"/>
    <w:rsid w:val="67B57CC9"/>
    <w:rsid w:val="67C35F6E"/>
    <w:rsid w:val="67C47F0C"/>
    <w:rsid w:val="67C65A33"/>
    <w:rsid w:val="67D5211A"/>
    <w:rsid w:val="67D6379C"/>
    <w:rsid w:val="67DA7730"/>
    <w:rsid w:val="67DD0FCE"/>
    <w:rsid w:val="67E759A9"/>
    <w:rsid w:val="67E81E4D"/>
    <w:rsid w:val="67E91721"/>
    <w:rsid w:val="67F72090"/>
    <w:rsid w:val="67FF0F45"/>
    <w:rsid w:val="68014CBD"/>
    <w:rsid w:val="680227E3"/>
    <w:rsid w:val="68077DF9"/>
    <w:rsid w:val="68142C42"/>
    <w:rsid w:val="681A7B2C"/>
    <w:rsid w:val="681F5143"/>
    <w:rsid w:val="682664D1"/>
    <w:rsid w:val="682E5386"/>
    <w:rsid w:val="68376930"/>
    <w:rsid w:val="683A1F7D"/>
    <w:rsid w:val="683E7CBF"/>
    <w:rsid w:val="683F0A82"/>
    <w:rsid w:val="683F3A37"/>
    <w:rsid w:val="6841155D"/>
    <w:rsid w:val="6841330B"/>
    <w:rsid w:val="68464DC5"/>
    <w:rsid w:val="68490412"/>
    <w:rsid w:val="684B418A"/>
    <w:rsid w:val="68572B2F"/>
    <w:rsid w:val="685F7C35"/>
    <w:rsid w:val="686139AD"/>
    <w:rsid w:val="68664B20"/>
    <w:rsid w:val="68680898"/>
    <w:rsid w:val="686A0AB4"/>
    <w:rsid w:val="686F7E78"/>
    <w:rsid w:val="6873723D"/>
    <w:rsid w:val="68752FB5"/>
    <w:rsid w:val="68784853"/>
    <w:rsid w:val="687C4343"/>
    <w:rsid w:val="687F5BE1"/>
    <w:rsid w:val="68831B76"/>
    <w:rsid w:val="688431F8"/>
    <w:rsid w:val="6888718C"/>
    <w:rsid w:val="68945B31"/>
    <w:rsid w:val="6897117D"/>
    <w:rsid w:val="689C6793"/>
    <w:rsid w:val="689E075E"/>
    <w:rsid w:val="689E250C"/>
    <w:rsid w:val="68A35D74"/>
    <w:rsid w:val="68AB69D7"/>
    <w:rsid w:val="68B24209"/>
    <w:rsid w:val="68B27D65"/>
    <w:rsid w:val="68B735CD"/>
    <w:rsid w:val="68BB130F"/>
    <w:rsid w:val="68C06926"/>
    <w:rsid w:val="68C61A62"/>
    <w:rsid w:val="68C9702B"/>
    <w:rsid w:val="68CA3301"/>
    <w:rsid w:val="68D0643D"/>
    <w:rsid w:val="68D26659"/>
    <w:rsid w:val="68DC3034"/>
    <w:rsid w:val="68E02B24"/>
    <w:rsid w:val="68EC14C9"/>
    <w:rsid w:val="68EF720B"/>
    <w:rsid w:val="68F62348"/>
    <w:rsid w:val="68F83342"/>
    <w:rsid w:val="68FB5BB0"/>
    <w:rsid w:val="68FC5484"/>
    <w:rsid w:val="69074555"/>
    <w:rsid w:val="690A194F"/>
    <w:rsid w:val="69194288"/>
    <w:rsid w:val="69230C63"/>
    <w:rsid w:val="692769A5"/>
    <w:rsid w:val="69280027"/>
    <w:rsid w:val="693370F8"/>
    <w:rsid w:val="69360996"/>
    <w:rsid w:val="693764BC"/>
    <w:rsid w:val="69390486"/>
    <w:rsid w:val="693C3AD3"/>
    <w:rsid w:val="694A2693"/>
    <w:rsid w:val="694E3F32"/>
    <w:rsid w:val="695232F6"/>
    <w:rsid w:val="695928D6"/>
    <w:rsid w:val="69594684"/>
    <w:rsid w:val="695D5796"/>
    <w:rsid w:val="69635503"/>
    <w:rsid w:val="696A0640"/>
    <w:rsid w:val="696A6892"/>
    <w:rsid w:val="697119CE"/>
    <w:rsid w:val="69825989"/>
    <w:rsid w:val="698711F2"/>
    <w:rsid w:val="698B1703"/>
    <w:rsid w:val="698E2580"/>
    <w:rsid w:val="699102C2"/>
    <w:rsid w:val="69912070"/>
    <w:rsid w:val="699833FF"/>
    <w:rsid w:val="699B2EEF"/>
    <w:rsid w:val="699F478D"/>
    <w:rsid w:val="69A00505"/>
    <w:rsid w:val="69A04061"/>
    <w:rsid w:val="69A476D9"/>
    <w:rsid w:val="69A753F0"/>
    <w:rsid w:val="69BA15C7"/>
    <w:rsid w:val="69BB533F"/>
    <w:rsid w:val="69C9180A"/>
    <w:rsid w:val="69C935B8"/>
    <w:rsid w:val="69D74FBF"/>
    <w:rsid w:val="69DA7573"/>
    <w:rsid w:val="69E95A08"/>
    <w:rsid w:val="69EA352F"/>
    <w:rsid w:val="69EC54F9"/>
    <w:rsid w:val="69EC72A7"/>
    <w:rsid w:val="69EE1271"/>
    <w:rsid w:val="69F83E9D"/>
    <w:rsid w:val="69FA7C16"/>
    <w:rsid w:val="69FC398E"/>
    <w:rsid w:val="6A010FA4"/>
    <w:rsid w:val="6A070584"/>
    <w:rsid w:val="6A0E36C1"/>
    <w:rsid w:val="6A102F95"/>
    <w:rsid w:val="6A107439"/>
    <w:rsid w:val="6A162576"/>
    <w:rsid w:val="6A164324"/>
    <w:rsid w:val="6A2276DF"/>
    <w:rsid w:val="6A2720C1"/>
    <w:rsid w:val="6A2B4273"/>
    <w:rsid w:val="6A31115D"/>
    <w:rsid w:val="6A331379"/>
    <w:rsid w:val="6A3B3D8A"/>
    <w:rsid w:val="6A3C6480"/>
    <w:rsid w:val="6A3D3FA6"/>
    <w:rsid w:val="6A3D7B02"/>
    <w:rsid w:val="6A413A96"/>
    <w:rsid w:val="6A464572"/>
    <w:rsid w:val="6A4B221F"/>
    <w:rsid w:val="6A4E3ABD"/>
    <w:rsid w:val="6A527A52"/>
    <w:rsid w:val="6A5877AE"/>
    <w:rsid w:val="6A5C61DA"/>
    <w:rsid w:val="6A5D1F52"/>
    <w:rsid w:val="6A5F4AB0"/>
    <w:rsid w:val="6A6034B6"/>
    <w:rsid w:val="6A6652AB"/>
    <w:rsid w:val="6A681023"/>
    <w:rsid w:val="6A75300F"/>
    <w:rsid w:val="6A771266"/>
    <w:rsid w:val="6A7A0D56"/>
    <w:rsid w:val="6A7E25F5"/>
    <w:rsid w:val="6A7F636D"/>
    <w:rsid w:val="6A885221"/>
    <w:rsid w:val="6A8E5C60"/>
    <w:rsid w:val="6A90057A"/>
    <w:rsid w:val="6A902328"/>
    <w:rsid w:val="6A9516EC"/>
    <w:rsid w:val="6A99742E"/>
    <w:rsid w:val="6A9C0CCD"/>
    <w:rsid w:val="6A9C6F1F"/>
    <w:rsid w:val="6A9E67F3"/>
    <w:rsid w:val="6AA47B81"/>
    <w:rsid w:val="6AA54025"/>
    <w:rsid w:val="6AAA163C"/>
    <w:rsid w:val="6AAF0A00"/>
    <w:rsid w:val="6AB06526"/>
    <w:rsid w:val="6AB623DF"/>
    <w:rsid w:val="6AB73D58"/>
    <w:rsid w:val="6ABA1153"/>
    <w:rsid w:val="6ABA55F7"/>
    <w:rsid w:val="6AC00E5F"/>
    <w:rsid w:val="6AC16985"/>
    <w:rsid w:val="6AC41FD2"/>
    <w:rsid w:val="6AC62455"/>
    <w:rsid w:val="6AC65D4A"/>
    <w:rsid w:val="6AC81AC2"/>
    <w:rsid w:val="6ACA583A"/>
    <w:rsid w:val="6ACD532A"/>
    <w:rsid w:val="6AD2649C"/>
    <w:rsid w:val="6AD541DF"/>
    <w:rsid w:val="6AD761A9"/>
    <w:rsid w:val="6AD77F57"/>
    <w:rsid w:val="6AD93CCF"/>
    <w:rsid w:val="6ADC37BF"/>
    <w:rsid w:val="6AE61F48"/>
    <w:rsid w:val="6AE85CC0"/>
    <w:rsid w:val="6AEF34F2"/>
    <w:rsid w:val="6AEF52A0"/>
    <w:rsid w:val="6AF1726A"/>
    <w:rsid w:val="6AF3041C"/>
    <w:rsid w:val="6AF64881"/>
    <w:rsid w:val="6AFC176B"/>
    <w:rsid w:val="6AFE295E"/>
    <w:rsid w:val="6AFE7291"/>
    <w:rsid w:val="6B036F9E"/>
    <w:rsid w:val="6B040620"/>
    <w:rsid w:val="6B054AC4"/>
    <w:rsid w:val="6B122D3D"/>
    <w:rsid w:val="6B144D07"/>
    <w:rsid w:val="6B19231D"/>
    <w:rsid w:val="6B1B7E43"/>
    <w:rsid w:val="6B2C02A3"/>
    <w:rsid w:val="6B301415"/>
    <w:rsid w:val="6B32518D"/>
    <w:rsid w:val="6B3709F5"/>
    <w:rsid w:val="6B3727A3"/>
    <w:rsid w:val="6B403D4E"/>
    <w:rsid w:val="6B476E8A"/>
    <w:rsid w:val="6B4C26F3"/>
    <w:rsid w:val="6B4F3F91"/>
    <w:rsid w:val="6B572E46"/>
    <w:rsid w:val="6B5B46E4"/>
    <w:rsid w:val="6B5C337A"/>
    <w:rsid w:val="6B5E2426"/>
    <w:rsid w:val="6B607F4C"/>
    <w:rsid w:val="6B637A3C"/>
    <w:rsid w:val="6B655563"/>
    <w:rsid w:val="6B6B0204"/>
    <w:rsid w:val="6B6E0360"/>
    <w:rsid w:val="6B785296"/>
    <w:rsid w:val="6B80239C"/>
    <w:rsid w:val="6B881251"/>
    <w:rsid w:val="6B910106"/>
    <w:rsid w:val="6B9B71D6"/>
    <w:rsid w:val="6BA37E39"/>
    <w:rsid w:val="6BA936A1"/>
    <w:rsid w:val="6BB67B6C"/>
    <w:rsid w:val="6BB77FE6"/>
    <w:rsid w:val="6BB838E4"/>
    <w:rsid w:val="6BBD0EFB"/>
    <w:rsid w:val="6BBE4C73"/>
    <w:rsid w:val="6BC009EB"/>
    <w:rsid w:val="6BC524A5"/>
    <w:rsid w:val="6BC525EA"/>
    <w:rsid w:val="6BC54253"/>
    <w:rsid w:val="6BC923FB"/>
    <w:rsid w:val="6BC95AF1"/>
    <w:rsid w:val="6BD9385B"/>
    <w:rsid w:val="6BDA7CFF"/>
    <w:rsid w:val="6BE96194"/>
    <w:rsid w:val="6BEC17E0"/>
    <w:rsid w:val="6BF6265F"/>
    <w:rsid w:val="6C00528B"/>
    <w:rsid w:val="6C0134DD"/>
    <w:rsid w:val="6C092392"/>
    <w:rsid w:val="6C0C59DE"/>
    <w:rsid w:val="6C164AAF"/>
    <w:rsid w:val="6C1B20C5"/>
    <w:rsid w:val="6C1E202E"/>
    <w:rsid w:val="6C20148A"/>
    <w:rsid w:val="6C223454"/>
    <w:rsid w:val="6C2471CC"/>
    <w:rsid w:val="6C276CBC"/>
    <w:rsid w:val="6C2C42D2"/>
    <w:rsid w:val="6C33740F"/>
    <w:rsid w:val="6C353187"/>
    <w:rsid w:val="6C3A60A4"/>
    <w:rsid w:val="6C472EBA"/>
    <w:rsid w:val="6C496C32"/>
    <w:rsid w:val="6C506213"/>
    <w:rsid w:val="6C5B3899"/>
    <w:rsid w:val="6C661592"/>
    <w:rsid w:val="6C6972D4"/>
    <w:rsid w:val="6C6D0B73"/>
    <w:rsid w:val="6C7041BF"/>
    <w:rsid w:val="6C711CE5"/>
    <w:rsid w:val="6C755C79"/>
    <w:rsid w:val="6C757A27"/>
    <w:rsid w:val="6C7C646E"/>
    <w:rsid w:val="6C7D068A"/>
    <w:rsid w:val="6C7D68DC"/>
    <w:rsid w:val="6C7F4402"/>
    <w:rsid w:val="6C895281"/>
    <w:rsid w:val="6C8E2897"/>
    <w:rsid w:val="6C97174C"/>
    <w:rsid w:val="6C991968"/>
    <w:rsid w:val="6C9D0D2C"/>
    <w:rsid w:val="6C9F1808"/>
    <w:rsid w:val="6CA200F0"/>
    <w:rsid w:val="6CA64085"/>
    <w:rsid w:val="6CA67BE1"/>
    <w:rsid w:val="6CA87DFD"/>
    <w:rsid w:val="6CA90308"/>
    <w:rsid w:val="6CA976D1"/>
    <w:rsid w:val="6CB247D7"/>
    <w:rsid w:val="6CB30550"/>
    <w:rsid w:val="6CB5251A"/>
    <w:rsid w:val="6CBD0715"/>
    <w:rsid w:val="6CBE13CE"/>
    <w:rsid w:val="6CC17684"/>
    <w:rsid w:val="6CC462B9"/>
    <w:rsid w:val="6CC91B21"/>
    <w:rsid w:val="6CD15DD8"/>
    <w:rsid w:val="6CD60DAD"/>
    <w:rsid w:val="6CDB1F80"/>
    <w:rsid w:val="6CDC7AA6"/>
    <w:rsid w:val="6CDE381E"/>
    <w:rsid w:val="6CDF1345"/>
    <w:rsid w:val="6CE1330F"/>
    <w:rsid w:val="6CE32BE3"/>
    <w:rsid w:val="6CE40709"/>
    <w:rsid w:val="6CE54BAD"/>
    <w:rsid w:val="6CEC3DB9"/>
    <w:rsid w:val="6CED1CB3"/>
    <w:rsid w:val="6CED5810"/>
    <w:rsid w:val="6CF05300"/>
    <w:rsid w:val="6CF070AE"/>
    <w:rsid w:val="6CFA7F2C"/>
    <w:rsid w:val="6CFE7A1D"/>
    <w:rsid w:val="6D013069"/>
    <w:rsid w:val="6D0843F7"/>
    <w:rsid w:val="6D0D1A0E"/>
    <w:rsid w:val="6D0D4104"/>
    <w:rsid w:val="6D0F1C2A"/>
    <w:rsid w:val="6D147240"/>
    <w:rsid w:val="6D162FB8"/>
    <w:rsid w:val="6D1B05CF"/>
    <w:rsid w:val="6D1C4347"/>
    <w:rsid w:val="6D1F1741"/>
    <w:rsid w:val="6D2356D5"/>
    <w:rsid w:val="6D2531FB"/>
    <w:rsid w:val="6D285F68"/>
    <w:rsid w:val="6D2B458A"/>
    <w:rsid w:val="6D2B6338"/>
    <w:rsid w:val="6D2D7BC2"/>
    <w:rsid w:val="6D3276C6"/>
    <w:rsid w:val="6D341690"/>
    <w:rsid w:val="6D374CDD"/>
    <w:rsid w:val="6D3B47CD"/>
    <w:rsid w:val="6D3C22F3"/>
    <w:rsid w:val="6D413DAD"/>
    <w:rsid w:val="6D4318D3"/>
    <w:rsid w:val="6D4F2026"/>
    <w:rsid w:val="6D567859"/>
    <w:rsid w:val="6D592EA5"/>
    <w:rsid w:val="6D5B4E6F"/>
    <w:rsid w:val="6D5C4743"/>
    <w:rsid w:val="6D605FE2"/>
    <w:rsid w:val="6D631F76"/>
    <w:rsid w:val="6D6655C2"/>
    <w:rsid w:val="6D6A50B2"/>
    <w:rsid w:val="6D761CA9"/>
    <w:rsid w:val="6D763A57"/>
    <w:rsid w:val="6D7B106D"/>
    <w:rsid w:val="6D7E504C"/>
    <w:rsid w:val="6D836174"/>
    <w:rsid w:val="6D8F68C7"/>
    <w:rsid w:val="6D9143ED"/>
    <w:rsid w:val="6D941941"/>
    <w:rsid w:val="6D9914F3"/>
    <w:rsid w:val="6D9D5488"/>
    <w:rsid w:val="6DA85BDA"/>
    <w:rsid w:val="6DAA3701"/>
    <w:rsid w:val="6DAC1227"/>
    <w:rsid w:val="6DAC7479"/>
    <w:rsid w:val="6DAF51BB"/>
    <w:rsid w:val="6DB1683D"/>
    <w:rsid w:val="6DB91B96"/>
    <w:rsid w:val="6DB94C1C"/>
    <w:rsid w:val="6DC347C2"/>
    <w:rsid w:val="6DC72505"/>
    <w:rsid w:val="6DC9002B"/>
    <w:rsid w:val="6DCA3DA3"/>
    <w:rsid w:val="6DCF760B"/>
    <w:rsid w:val="6DD10452"/>
    <w:rsid w:val="6DD469CF"/>
    <w:rsid w:val="6DE210EC"/>
    <w:rsid w:val="6DE22E9A"/>
    <w:rsid w:val="6DE54739"/>
    <w:rsid w:val="6DE85FD7"/>
    <w:rsid w:val="6DEA1D4F"/>
    <w:rsid w:val="6DF80910"/>
    <w:rsid w:val="6DF826BE"/>
    <w:rsid w:val="6DF901E4"/>
    <w:rsid w:val="6DFA4688"/>
    <w:rsid w:val="6DFB3F5C"/>
    <w:rsid w:val="6E032E11"/>
    <w:rsid w:val="6E0A419F"/>
    <w:rsid w:val="6E0B0643"/>
    <w:rsid w:val="6E0C43BB"/>
    <w:rsid w:val="6E0E0133"/>
    <w:rsid w:val="6E146DCC"/>
    <w:rsid w:val="6E1D0376"/>
    <w:rsid w:val="6E217E67"/>
    <w:rsid w:val="6E22598D"/>
    <w:rsid w:val="6E276AFF"/>
    <w:rsid w:val="6E2C680B"/>
    <w:rsid w:val="6E2E60E0"/>
    <w:rsid w:val="6E301E58"/>
    <w:rsid w:val="6E3631E6"/>
    <w:rsid w:val="6E380D0C"/>
    <w:rsid w:val="6E3851B0"/>
    <w:rsid w:val="6E396833"/>
    <w:rsid w:val="6E3B07FD"/>
    <w:rsid w:val="6E3D4902"/>
    <w:rsid w:val="6E430774"/>
    <w:rsid w:val="6E445903"/>
    <w:rsid w:val="6E4771A1"/>
    <w:rsid w:val="6E486E44"/>
    <w:rsid w:val="6E4E0530"/>
    <w:rsid w:val="6E5024FA"/>
    <w:rsid w:val="6E526272"/>
    <w:rsid w:val="6E533D98"/>
    <w:rsid w:val="6E535B46"/>
    <w:rsid w:val="6E551448"/>
    <w:rsid w:val="6E587601"/>
    <w:rsid w:val="6E5A0C83"/>
    <w:rsid w:val="6E6041EB"/>
    <w:rsid w:val="6E661D1D"/>
    <w:rsid w:val="6E697118"/>
    <w:rsid w:val="6E6C4E5A"/>
    <w:rsid w:val="6E7B6E4B"/>
    <w:rsid w:val="6E7D0E15"/>
    <w:rsid w:val="6E843F52"/>
    <w:rsid w:val="6E867CCA"/>
    <w:rsid w:val="6E881C94"/>
    <w:rsid w:val="6E8D72AA"/>
    <w:rsid w:val="6E906D9A"/>
    <w:rsid w:val="6E91666F"/>
    <w:rsid w:val="6E922B12"/>
    <w:rsid w:val="6E930639"/>
    <w:rsid w:val="6E9D5013"/>
    <w:rsid w:val="6E9F0D8B"/>
    <w:rsid w:val="6E9F6FDD"/>
    <w:rsid w:val="6EAD16FA"/>
    <w:rsid w:val="6EB32A89"/>
    <w:rsid w:val="6EB74327"/>
    <w:rsid w:val="6EB760D5"/>
    <w:rsid w:val="6EB81E4D"/>
    <w:rsid w:val="6EBD1212"/>
    <w:rsid w:val="6EBF142E"/>
    <w:rsid w:val="6EC151A6"/>
    <w:rsid w:val="6EC86534"/>
    <w:rsid w:val="6EC922AC"/>
    <w:rsid w:val="6ECE341F"/>
    <w:rsid w:val="6ED053E9"/>
    <w:rsid w:val="6ED24CBD"/>
    <w:rsid w:val="6ED253ED"/>
    <w:rsid w:val="6ED722D3"/>
    <w:rsid w:val="6ED749C9"/>
    <w:rsid w:val="6ED76777"/>
    <w:rsid w:val="6EDE7B06"/>
    <w:rsid w:val="6EDF387E"/>
    <w:rsid w:val="6EDF73DA"/>
    <w:rsid w:val="6EE3511C"/>
    <w:rsid w:val="6EF03395"/>
    <w:rsid w:val="6EF2535F"/>
    <w:rsid w:val="6EFF5CCE"/>
    <w:rsid w:val="6F062BB9"/>
    <w:rsid w:val="6F082DD5"/>
    <w:rsid w:val="6F084B83"/>
    <w:rsid w:val="6F0B557E"/>
    <w:rsid w:val="6F0B6421"/>
    <w:rsid w:val="6F0D2199"/>
    <w:rsid w:val="6F1277AF"/>
    <w:rsid w:val="6F143527"/>
    <w:rsid w:val="6F235519"/>
    <w:rsid w:val="6F285225"/>
    <w:rsid w:val="6F2A2165"/>
    <w:rsid w:val="6F320C08"/>
    <w:rsid w:val="6F385CDC"/>
    <w:rsid w:val="6F3911E0"/>
    <w:rsid w:val="6F3B4F58"/>
    <w:rsid w:val="6F3C2A7E"/>
    <w:rsid w:val="6F40256E"/>
    <w:rsid w:val="6F433E0D"/>
    <w:rsid w:val="6F4638FD"/>
    <w:rsid w:val="6F4831D1"/>
    <w:rsid w:val="6F543924"/>
    <w:rsid w:val="6F5A2F04"/>
    <w:rsid w:val="6F5B73A8"/>
    <w:rsid w:val="6F6049BF"/>
    <w:rsid w:val="6F616041"/>
    <w:rsid w:val="6F63625D"/>
    <w:rsid w:val="6F6A0B6A"/>
    <w:rsid w:val="6F6C3363"/>
    <w:rsid w:val="6F6D49E6"/>
    <w:rsid w:val="6F7246F2"/>
    <w:rsid w:val="6F7C2E7B"/>
    <w:rsid w:val="6F80296B"/>
    <w:rsid w:val="6F810491"/>
    <w:rsid w:val="6F814935"/>
    <w:rsid w:val="6F871F4B"/>
    <w:rsid w:val="6FA128E1"/>
    <w:rsid w:val="6FAB550E"/>
    <w:rsid w:val="6FB2689C"/>
    <w:rsid w:val="6FB645DF"/>
    <w:rsid w:val="6FB72105"/>
    <w:rsid w:val="6FB940CF"/>
    <w:rsid w:val="6FC211D5"/>
    <w:rsid w:val="6FC36CFC"/>
    <w:rsid w:val="6FC50CC6"/>
    <w:rsid w:val="6FC52A74"/>
    <w:rsid w:val="6FCF744E"/>
    <w:rsid w:val="6FDE7692"/>
    <w:rsid w:val="6FE0340A"/>
    <w:rsid w:val="6FEA24DA"/>
    <w:rsid w:val="6FED3D79"/>
    <w:rsid w:val="6FF13869"/>
    <w:rsid w:val="6FF45107"/>
    <w:rsid w:val="6FF46EB5"/>
    <w:rsid w:val="6FF63222"/>
    <w:rsid w:val="70003AAC"/>
    <w:rsid w:val="7007308C"/>
    <w:rsid w:val="700C06A3"/>
    <w:rsid w:val="700E61C9"/>
    <w:rsid w:val="700F1FCA"/>
    <w:rsid w:val="70131A31"/>
    <w:rsid w:val="70147557"/>
    <w:rsid w:val="701B08E6"/>
    <w:rsid w:val="70221C74"/>
    <w:rsid w:val="70271038"/>
    <w:rsid w:val="703025E3"/>
    <w:rsid w:val="703B0F88"/>
    <w:rsid w:val="703B6CD7"/>
    <w:rsid w:val="704240C4"/>
    <w:rsid w:val="70457711"/>
    <w:rsid w:val="70480FAF"/>
    <w:rsid w:val="704E2A69"/>
    <w:rsid w:val="70531E2E"/>
    <w:rsid w:val="70553DF8"/>
    <w:rsid w:val="70671D7D"/>
    <w:rsid w:val="70765B1C"/>
    <w:rsid w:val="707F70C6"/>
    <w:rsid w:val="70812E3F"/>
    <w:rsid w:val="70862203"/>
    <w:rsid w:val="708741CD"/>
    <w:rsid w:val="709661BE"/>
    <w:rsid w:val="70974410"/>
    <w:rsid w:val="709D754D"/>
    <w:rsid w:val="70A22DB5"/>
    <w:rsid w:val="70A64653"/>
    <w:rsid w:val="70A94143"/>
    <w:rsid w:val="70AB3A18"/>
    <w:rsid w:val="70B054D2"/>
    <w:rsid w:val="70B07280"/>
    <w:rsid w:val="70B328CC"/>
    <w:rsid w:val="70B32E6B"/>
    <w:rsid w:val="70B86135"/>
    <w:rsid w:val="70C8281B"/>
    <w:rsid w:val="70CB230C"/>
    <w:rsid w:val="70D50A94"/>
    <w:rsid w:val="70E62CA2"/>
    <w:rsid w:val="70E909E4"/>
    <w:rsid w:val="70EB02B8"/>
    <w:rsid w:val="70F03B20"/>
    <w:rsid w:val="70F133F4"/>
    <w:rsid w:val="70F53102"/>
    <w:rsid w:val="70F73101"/>
    <w:rsid w:val="70F74EAF"/>
    <w:rsid w:val="70FC0717"/>
    <w:rsid w:val="7104581E"/>
    <w:rsid w:val="71063344"/>
    <w:rsid w:val="71080E6A"/>
    <w:rsid w:val="710D6480"/>
    <w:rsid w:val="71153587"/>
    <w:rsid w:val="7121017E"/>
    <w:rsid w:val="7128150C"/>
    <w:rsid w:val="71353C29"/>
    <w:rsid w:val="71357785"/>
    <w:rsid w:val="7137174F"/>
    <w:rsid w:val="713954C7"/>
    <w:rsid w:val="713A4D9B"/>
    <w:rsid w:val="713A6780"/>
    <w:rsid w:val="713F6856"/>
    <w:rsid w:val="71463740"/>
    <w:rsid w:val="7146712D"/>
    <w:rsid w:val="714F0748"/>
    <w:rsid w:val="71502811"/>
    <w:rsid w:val="715776FB"/>
    <w:rsid w:val="715E4F2E"/>
    <w:rsid w:val="7161057A"/>
    <w:rsid w:val="71614A1E"/>
    <w:rsid w:val="716A6CEF"/>
    <w:rsid w:val="716B31A7"/>
    <w:rsid w:val="71706A0F"/>
    <w:rsid w:val="71725481"/>
    <w:rsid w:val="71744751"/>
    <w:rsid w:val="71883D59"/>
    <w:rsid w:val="718A5D23"/>
    <w:rsid w:val="718D5813"/>
    <w:rsid w:val="718D75C1"/>
    <w:rsid w:val="718F6E95"/>
    <w:rsid w:val="71956476"/>
    <w:rsid w:val="719A3A8C"/>
    <w:rsid w:val="719E532A"/>
    <w:rsid w:val="71AD7C63"/>
    <w:rsid w:val="71B11502"/>
    <w:rsid w:val="71B45234"/>
    <w:rsid w:val="71B903B6"/>
    <w:rsid w:val="71CF7BDA"/>
    <w:rsid w:val="71D376CA"/>
    <w:rsid w:val="71D55CAE"/>
    <w:rsid w:val="71D64AC4"/>
    <w:rsid w:val="71DB032D"/>
    <w:rsid w:val="71E557A3"/>
    <w:rsid w:val="71E76CD1"/>
    <w:rsid w:val="71ED62B2"/>
    <w:rsid w:val="71EF202A"/>
    <w:rsid w:val="71F118FE"/>
    <w:rsid w:val="71F1492E"/>
    <w:rsid w:val="71F47640"/>
    <w:rsid w:val="71F92EA9"/>
    <w:rsid w:val="71FE401B"/>
    <w:rsid w:val="72001B41"/>
    <w:rsid w:val="720535FB"/>
    <w:rsid w:val="72084E9A"/>
    <w:rsid w:val="720D24B0"/>
    <w:rsid w:val="720F7FD6"/>
    <w:rsid w:val="72111FA0"/>
    <w:rsid w:val="72141A90"/>
    <w:rsid w:val="721970A7"/>
    <w:rsid w:val="72203F91"/>
    <w:rsid w:val="72233A82"/>
    <w:rsid w:val="72275320"/>
    <w:rsid w:val="72281098"/>
    <w:rsid w:val="722872EA"/>
    <w:rsid w:val="722A12B4"/>
    <w:rsid w:val="722D3F99"/>
    <w:rsid w:val="722D66AE"/>
    <w:rsid w:val="72312642"/>
    <w:rsid w:val="723637B5"/>
    <w:rsid w:val="723D2D95"/>
    <w:rsid w:val="724A3704"/>
    <w:rsid w:val="72563E57"/>
    <w:rsid w:val="72606A84"/>
    <w:rsid w:val="72656C75"/>
    <w:rsid w:val="72691DDC"/>
    <w:rsid w:val="72693B8A"/>
    <w:rsid w:val="726A7902"/>
    <w:rsid w:val="726C367A"/>
    <w:rsid w:val="726E2F4F"/>
    <w:rsid w:val="72712A3F"/>
    <w:rsid w:val="7275647C"/>
    <w:rsid w:val="72790C00"/>
    <w:rsid w:val="727A7B45"/>
    <w:rsid w:val="727B1B10"/>
    <w:rsid w:val="727F33AE"/>
    <w:rsid w:val="72802C82"/>
    <w:rsid w:val="72842772"/>
    <w:rsid w:val="728564EA"/>
    <w:rsid w:val="729329B5"/>
    <w:rsid w:val="729624A5"/>
    <w:rsid w:val="7298446F"/>
    <w:rsid w:val="72987FCC"/>
    <w:rsid w:val="72A46970"/>
    <w:rsid w:val="72A9042B"/>
    <w:rsid w:val="72BB3CBA"/>
    <w:rsid w:val="72BC63B0"/>
    <w:rsid w:val="72C15774"/>
    <w:rsid w:val="72C25048"/>
    <w:rsid w:val="72C2773E"/>
    <w:rsid w:val="72C54B39"/>
    <w:rsid w:val="72CB03A1"/>
    <w:rsid w:val="72CC4119"/>
    <w:rsid w:val="72DD00D4"/>
    <w:rsid w:val="72DD6326"/>
    <w:rsid w:val="72E15E16"/>
    <w:rsid w:val="72E41463"/>
    <w:rsid w:val="72E70F53"/>
    <w:rsid w:val="72ED47BB"/>
    <w:rsid w:val="72F1592E"/>
    <w:rsid w:val="72F84F0E"/>
    <w:rsid w:val="73010267"/>
    <w:rsid w:val="73102258"/>
    <w:rsid w:val="73117D7E"/>
    <w:rsid w:val="73124222"/>
    <w:rsid w:val="73171838"/>
    <w:rsid w:val="732E6B82"/>
    <w:rsid w:val="73317DD8"/>
    <w:rsid w:val="73337CF4"/>
    <w:rsid w:val="733D0B73"/>
    <w:rsid w:val="7346211D"/>
    <w:rsid w:val="734B14E2"/>
    <w:rsid w:val="734E4B2E"/>
    <w:rsid w:val="7352461E"/>
    <w:rsid w:val="73577E87"/>
    <w:rsid w:val="7358775B"/>
    <w:rsid w:val="735A1725"/>
    <w:rsid w:val="735C549D"/>
    <w:rsid w:val="735E1215"/>
    <w:rsid w:val="73610D05"/>
    <w:rsid w:val="73612AB3"/>
    <w:rsid w:val="736305DA"/>
    <w:rsid w:val="736B748E"/>
    <w:rsid w:val="737427E7"/>
    <w:rsid w:val="737A1DC7"/>
    <w:rsid w:val="737C5B3F"/>
    <w:rsid w:val="737F73DD"/>
    <w:rsid w:val="7386076C"/>
    <w:rsid w:val="7386708A"/>
    <w:rsid w:val="7387685B"/>
    <w:rsid w:val="73880040"/>
    <w:rsid w:val="739C7F8F"/>
    <w:rsid w:val="739E5AB6"/>
    <w:rsid w:val="73A6496A"/>
    <w:rsid w:val="73A77DFA"/>
    <w:rsid w:val="73B2330F"/>
    <w:rsid w:val="73B452D9"/>
    <w:rsid w:val="73B61051"/>
    <w:rsid w:val="73BB6668"/>
    <w:rsid w:val="73BC418E"/>
    <w:rsid w:val="73C03C7E"/>
    <w:rsid w:val="73CA68AB"/>
    <w:rsid w:val="73CF2113"/>
    <w:rsid w:val="73CF3EC1"/>
    <w:rsid w:val="73D47729"/>
    <w:rsid w:val="73D95384"/>
    <w:rsid w:val="73D96AEE"/>
    <w:rsid w:val="73E01C2A"/>
    <w:rsid w:val="73E6120B"/>
    <w:rsid w:val="73E7745D"/>
    <w:rsid w:val="73EA0EDA"/>
    <w:rsid w:val="73EB6821"/>
    <w:rsid w:val="73ED2599"/>
    <w:rsid w:val="73EF00BF"/>
    <w:rsid w:val="73F6144E"/>
    <w:rsid w:val="741713C4"/>
    <w:rsid w:val="741B0EB4"/>
    <w:rsid w:val="741E2752"/>
    <w:rsid w:val="741E6BF6"/>
    <w:rsid w:val="74213FF1"/>
    <w:rsid w:val="742B77FD"/>
    <w:rsid w:val="742E508B"/>
    <w:rsid w:val="743957DE"/>
    <w:rsid w:val="743B3304"/>
    <w:rsid w:val="743B50B2"/>
    <w:rsid w:val="743D707D"/>
    <w:rsid w:val="743E1047"/>
    <w:rsid w:val="743E4BA3"/>
    <w:rsid w:val="744A79EB"/>
    <w:rsid w:val="744C3764"/>
    <w:rsid w:val="74546174"/>
    <w:rsid w:val="74687E72"/>
    <w:rsid w:val="746C354F"/>
    <w:rsid w:val="7472484C"/>
    <w:rsid w:val="7476433D"/>
    <w:rsid w:val="747B7BA5"/>
    <w:rsid w:val="748C1DB2"/>
    <w:rsid w:val="74A013B9"/>
    <w:rsid w:val="74A0760B"/>
    <w:rsid w:val="74A40EAA"/>
    <w:rsid w:val="74A4534E"/>
    <w:rsid w:val="74AB66DC"/>
    <w:rsid w:val="74AC7D5E"/>
    <w:rsid w:val="74B84955"/>
    <w:rsid w:val="74B9247B"/>
    <w:rsid w:val="74BB2697"/>
    <w:rsid w:val="74C01A5C"/>
    <w:rsid w:val="74C7103C"/>
    <w:rsid w:val="74CE5F27"/>
    <w:rsid w:val="74D06143"/>
    <w:rsid w:val="74D15A17"/>
    <w:rsid w:val="74D3353D"/>
    <w:rsid w:val="74D379E1"/>
    <w:rsid w:val="74DB6895"/>
    <w:rsid w:val="74DF0134"/>
    <w:rsid w:val="74E7348C"/>
    <w:rsid w:val="74F02341"/>
    <w:rsid w:val="74F31E31"/>
    <w:rsid w:val="74F87447"/>
    <w:rsid w:val="74FA6D1C"/>
    <w:rsid w:val="74FD05BA"/>
    <w:rsid w:val="74FD4A5E"/>
    <w:rsid w:val="74FF07D6"/>
    <w:rsid w:val="750202C6"/>
    <w:rsid w:val="75023E22"/>
    <w:rsid w:val="75045DEC"/>
    <w:rsid w:val="750B0F29"/>
    <w:rsid w:val="750E27C7"/>
    <w:rsid w:val="751122B7"/>
    <w:rsid w:val="751C3136"/>
    <w:rsid w:val="751F6782"/>
    <w:rsid w:val="75226272"/>
    <w:rsid w:val="75265D63"/>
    <w:rsid w:val="752C0E9F"/>
    <w:rsid w:val="752D5343"/>
    <w:rsid w:val="752E10BB"/>
    <w:rsid w:val="752E2E69"/>
    <w:rsid w:val="7530273D"/>
    <w:rsid w:val="753164B5"/>
    <w:rsid w:val="753541F8"/>
    <w:rsid w:val="75371D1E"/>
    <w:rsid w:val="75383CE8"/>
    <w:rsid w:val="753F5076"/>
    <w:rsid w:val="754601B3"/>
    <w:rsid w:val="75466405"/>
    <w:rsid w:val="754C32EF"/>
    <w:rsid w:val="754E350B"/>
    <w:rsid w:val="75556648"/>
    <w:rsid w:val="75587EE6"/>
    <w:rsid w:val="755A5A0C"/>
    <w:rsid w:val="755C02F8"/>
    <w:rsid w:val="756021F7"/>
    <w:rsid w:val="75616D9B"/>
    <w:rsid w:val="756248C1"/>
    <w:rsid w:val="757545F4"/>
    <w:rsid w:val="757A4300"/>
    <w:rsid w:val="758142C0"/>
    <w:rsid w:val="75834F63"/>
    <w:rsid w:val="758D5DE2"/>
    <w:rsid w:val="7592164A"/>
    <w:rsid w:val="75952EE8"/>
    <w:rsid w:val="759A405B"/>
    <w:rsid w:val="759B4CA8"/>
    <w:rsid w:val="75A05F49"/>
    <w:rsid w:val="75A1188D"/>
    <w:rsid w:val="75A60C51"/>
    <w:rsid w:val="75B50E95"/>
    <w:rsid w:val="75B82733"/>
    <w:rsid w:val="75B94E29"/>
    <w:rsid w:val="75C64E50"/>
    <w:rsid w:val="75CB690A"/>
    <w:rsid w:val="75CF63FA"/>
    <w:rsid w:val="75D02172"/>
    <w:rsid w:val="75D03F20"/>
    <w:rsid w:val="75D237F5"/>
    <w:rsid w:val="75D25EEA"/>
    <w:rsid w:val="75D8638B"/>
    <w:rsid w:val="75DE488F"/>
    <w:rsid w:val="75E35A02"/>
    <w:rsid w:val="75E659CC"/>
    <w:rsid w:val="75EA4FE2"/>
    <w:rsid w:val="76004806"/>
    <w:rsid w:val="760360A4"/>
    <w:rsid w:val="76037E52"/>
    <w:rsid w:val="760B4F58"/>
    <w:rsid w:val="760F2C9B"/>
    <w:rsid w:val="7614205F"/>
    <w:rsid w:val="761738FD"/>
    <w:rsid w:val="76197675"/>
    <w:rsid w:val="761E764F"/>
    <w:rsid w:val="762878B8"/>
    <w:rsid w:val="762F0C47"/>
    <w:rsid w:val="76326989"/>
    <w:rsid w:val="76391AC6"/>
    <w:rsid w:val="763B049E"/>
    <w:rsid w:val="763B75EC"/>
    <w:rsid w:val="763C3364"/>
    <w:rsid w:val="763E0E8A"/>
    <w:rsid w:val="764010A6"/>
    <w:rsid w:val="764A5A81"/>
    <w:rsid w:val="76530DD9"/>
    <w:rsid w:val="765468FF"/>
    <w:rsid w:val="7654775F"/>
    <w:rsid w:val="76564426"/>
    <w:rsid w:val="765E32DA"/>
    <w:rsid w:val="766A1C7F"/>
    <w:rsid w:val="766A6123"/>
    <w:rsid w:val="767B0330"/>
    <w:rsid w:val="767C19B2"/>
    <w:rsid w:val="768A40CF"/>
    <w:rsid w:val="768D4D1F"/>
    <w:rsid w:val="769136B0"/>
    <w:rsid w:val="76984A3E"/>
    <w:rsid w:val="76A41635"/>
    <w:rsid w:val="76A72ED3"/>
    <w:rsid w:val="76A809F9"/>
    <w:rsid w:val="76B15B00"/>
    <w:rsid w:val="76B64EC4"/>
    <w:rsid w:val="76C021E7"/>
    <w:rsid w:val="76C07AF1"/>
    <w:rsid w:val="76C43A85"/>
    <w:rsid w:val="76CA4E14"/>
    <w:rsid w:val="76CF5F86"/>
    <w:rsid w:val="76D812DE"/>
    <w:rsid w:val="76E00193"/>
    <w:rsid w:val="76E01F41"/>
    <w:rsid w:val="76E23F0B"/>
    <w:rsid w:val="76E24688"/>
    <w:rsid w:val="76E539FB"/>
    <w:rsid w:val="76E557A9"/>
    <w:rsid w:val="76EA2DC0"/>
    <w:rsid w:val="76F0487A"/>
    <w:rsid w:val="76F93003"/>
    <w:rsid w:val="770025E3"/>
    <w:rsid w:val="77040325"/>
    <w:rsid w:val="770A5210"/>
    <w:rsid w:val="770E4D00"/>
    <w:rsid w:val="771147F0"/>
    <w:rsid w:val="771542E1"/>
    <w:rsid w:val="77161E07"/>
    <w:rsid w:val="77275DC2"/>
    <w:rsid w:val="7735228D"/>
    <w:rsid w:val="77366005"/>
    <w:rsid w:val="773724A9"/>
    <w:rsid w:val="77381D7D"/>
    <w:rsid w:val="773F4EBA"/>
    <w:rsid w:val="77453F58"/>
    <w:rsid w:val="774921DC"/>
    <w:rsid w:val="77493F8A"/>
    <w:rsid w:val="77550B81"/>
    <w:rsid w:val="775D17E4"/>
    <w:rsid w:val="77613082"/>
    <w:rsid w:val="77664B3C"/>
    <w:rsid w:val="776808B4"/>
    <w:rsid w:val="776963DA"/>
    <w:rsid w:val="776E579F"/>
    <w:rsid w:val="77707769"/>
    <w:rsid w:val="7771703D"/>
    <w:rsid w:val="77731007"/>
    <w:rsid w:val="777728A5"/>
    <w:rsid w:val="777F5BFE"/>
    <w:rsid w:val="77860D3A"/>
    <w:rsid w:val="77866F8C"/>
    <w:rsid w:val="77882D05"/>
    <w:rsid w:val="778925D9"/>
    <w:rsid w:val="778C3E77"/>
    <w:rsid w:val="778E7BEF"/>
    <w:rsid w:val="7794726C"/>
    <w:rsid w:val="77950F7E"/>
    <w:rsid w:val="779C1F25"/>
    <w:rsid w:val="77A17922"/>
    <w:rsid w:val="77A318EC"/>
    <w:rsid w:val="77B43AFA"/>
    <w:rsid w:val="77B92EBE"/>
    <w:rsid w:val="77BC475C"/>
    <w:rsid w:val="77BE04D4"/>
    <w:rsid w:val="77C11D73"/>
    <w:rsid w:val="77C74EAF"/>
    <w:rsid w:val="77C96E79"/>
    <w:rsid w:val="77D53A70"/>
    <w:rsid w:val="77D777E8"/>
    <w:rsid w:val="77D870BC"/>
    <w:rsid w:val="77E12415"/>
    <w:rsid w:val="77ED0DBA"/>
    <w:rsid w:val="77EF4B32"/>
    <w:rsid w:val="77EF68E0"/>
    <w:rsid w:val="77F02658"/>
    <w:rsid w:val="77F959B0"/>
    <w:rsid w:val="77FC724F"/>
    <w:rsid w:val="77FF289B"/>
    <w:rsid w:val="78000AED"/>
    <w:rsid w:val="78006D3F"/>
    <w:rsid w:val="78034139"/>
    <w:rsid w:val="7808174F"/>
    <w:rsid w:val="780B56E4"/>
    <w:rsid w:val="7819395D"/>
    <w:rsid w:val="78252301"/>
    <w:rsid w:val="782C7B34"/>
    <w:rsid w:val="78306EF8"/>
    <w:rsid w:val="783A38D3"/>
    <w:rsid w:val="783B7D77"/>
    <w:rsid w:val="7840538D"/>
    <w:rsid w:val="78511348"/>
    <w:rsid w:val="785B5D23"/>
    <w:rsid w:val="785D5F3F"/>
    <w:rsid w:val="785F1566"/>
    <w:rsid w:val="786372CE"/>
    <w:rsid w:val="78650950"/>
    <w:rsid w:val="786646C8"/>
    <w:rsid w:val="786A240A"/>
    <w:rsid w:val="786D3CA8"/>
    <w:rsid w:val="787B21CF"/>
    <w:rsid w:val="787C3EEC"/>
    <w:rsid w:val="787E7C64"/>
    <w:rsid w:val="788259A6"/>
    <w:rsid w:val="78827754"/>
    <w:rsid w:val="78850FF2"/>
    <w:rsid w:val="78874D6A"/>
    <w:rsid w:val="78885D4B"/>
    <w:rsid w:val="788A485A"/>
    <w:rsid w:val="788F1E71"/>
    <w:rsid w:val="789254BD"/>
    <w:rsid w:val="789E3E62"/>
    <w:rsid w:val="78A376CA"/>
    <w:rsid w:val="78A53442"/>
    <w:rsid w:val="78A70F68"/>
    <w:rsid w:val="78A84CE1"/>
    <w:rsid w:val="78AA2807"/>
    <w:rsid w:val="78AE679B"/>
    <w:rsid w:val="78B43685"/>
    <w:rsid w:val="78B611AB"/>
    <w:rsid w:val="78B6564F"/>
    <w:rsid w:val="78B90C9C"/>
    <w:rsid w:val="78C0202A"/>
    <w:rsid w:val="78C22246"/>
    <w:rsid w:val="78C31B1A"/>
    <w:rsid w:val="78C338C8"/>
    <w:rsid w:val="78C37D6C"/>
    <w:rsid w:val="78CF226D"/>
    <w:rsid w:val="78D12489"/>
    <w:rsid w:val="78D43D28"/>
    <w:rsid w:val="78D635FC"/>
    <w:rsid w:val="78E0447A"/>
    <w:rsid w:val="78E21FA1"/>
    <w:rsid w:val="78E81581"/>
    <w:rsid w:val="78EE6B97"/>
    <w:rsid w:val="78F41CD4"/>
    <w:rsid w:val="78F817C4"/>
    <w:rsid w:val="78FA19E0"/>
    <w:rsid w:val="78FB7506"/>
    <w:rsid w:val="790068CB"/>
    <w:rsid w:val="7908577F"/>
    <w:rsid w:val="790939D1"/>
    <w:rsid w:val="79102FB2"/>
    <w:rsid w:val="79116D2A"/>
    <w:rsid w:val="79164340"/>
    <w:rsid w:val="7917598C"/>
    <w:rsid w:val="79183C14"/>
    <w:rsid w:val="79224A93"/>
    <w:rsid w:val="79226841"/>
    <w:rsid w:val="79305402"/>
    <w:rsid w:val="79370A36"/>
    <w:rsid w:val="79386064"/>
    <w:rsid w:val="793B3DA7"/>
    <w:rsid w:val="793D367B"/>
    <w:rsid w:val="793F3897"/>
    <w:rsid w:val="7940316B"/>
    <w:rsid w:val="794669D3"/>
    <w:rsid w:val="79492020"/>
    <w:rsid w:val="794C1B10"/>
    <w:rsid w:val="79586707"/>
    <w:rsid w:val="795D1F6F"/>
    <w:rsid w:val="79607369"/>
    <w:rsid w:val="796706F8"/>
    <w:rsid w:val="796E36D6"/>
    <w:rsid w:val="79703A50"/>
    <w:rsid w:val="797B1362"/>
    <w:rsid w:val="797D43BF"/>
    <w:rsid w:val="79811B4C"/>
    <w:rsid w:val="79922AD0"/>
    <w:rsid w:val="79935991"/>
    <w:rsid w:val="79986B03"/>
    <w:rsid w:val="799D236B"/>
    <w:rsid w:val="799E680F"/>
    <w:rsid w:val="79A11E5C"/>
    <w:rsid w:val="79A25BD4"/>
    <w:rsid w:val="79A4194C"/>
    <w:rsid w:val="79A951B4"/>
    <w:rsid w:val="79B17BC5"/>
    <w:rsid w:val="79BD656A"/>
    <w:rsid w:val="79BF6786"/>
    <w:rsid w:val="79C36276"/>
    <w:rsid w:val="79CB0C87"/>
    <w:rsid w:val="79CB512B"/>
    <w:rsid w:val="79CE69C9"/>
    <w:rsid w:val="79D044EF"/>
    <w:rsid w:val="79D42231"/>
    <w:rsid w:val="79ED6E4F"/>
    <w:rsid w:val="79F006ED"/>
    <w:rsid w:val="79F24465"/>
    <w:rsid w:val="79F309DD"/>
    <w:rsid w:val="79F44681"/>
    <w:rsid w:val="79F503F9"/>
    <w:rsid w:val="7A0B19CB"/>
    <w:rsid w:val="7A232871"/>
    <w:rsid w:val="7A252A8D"/>
    <w:rsid w:val="7A2D1941"/>
    <w:rsid w:val="7A3031E0"/>
    <w:rsid w:val="7A304F8E"/>
    <w:rsid w:val="7A3E76AA"/>
    <w:rsid w:val="7A3F3423"/>
    <w:rsid w:val="7A4078C7"/>
    <w:rsid w:val="7A460C55"/>
    <w:rsid w:val="7A4B626B"/>
    <w:rsid w:val="7A4D3D91"/>
    <w:rsid w:val="7A4F7B0A"/>
    <w:rsid w:val="7A552C46"/>
    <w:rsid w:val="7A5944E4"/>
    <w:rsid w:val="7A601D17"/>
    <w:rsid w:val="7A6B4218"/>
    <w:rsid w:val="7A6D61E2"/>
    <w:rsid w:val="7A74131E"/>
    <w:rsid w:val="7A7632E8"/>
    <w:rsid w:val="7A770E0E"/>
    <w:rsid w:val="7A7E3F4B"/>
    <w:rsid w:val="7A8A28F0"/>
    <w:rsid w:val="7A8F6158"/>
    <w:rsid w:val="7A9C0875"/>
    <w:rsid w:val="7AA37E55"/>
    <w:rsid w:val="7AA5772A"/>
    <w:rsid w:val="7AAA2F92"/>
    <w:rsid w:val="7AAC6D0A"/>
    <w:rsid w:val="7AB160CE"/>
    <w:rsid w:val="7AB21E46"/>
    <w:rsid w:val="7AB31F03"/>
    <w:rsid w:val="7ABD0F17"/>
    <w:rsid w:val="7ACA2E20"/>
    <w:rsid w:val="7ACD0A2E"/>
    <w:rsid w:val="7ACF0C4A"/>
    <w:rsid w:val="7AD7365B"/>
    <w:rsid w:val="7ADB75EF"/>
    <w:rsid w:val="7ADC47C3"/>
    <w:rsid w:val="7ADD3367"/>
    <w:rsid w:val="7AE55D78"/>
    <w:rsid w:val="7AE83ABA"/>
    <w:rsid w:val="7AED2E7F"/>
    <w:rsid w:val="7AF1471D"/>
    <w:rsid w:val="7AF366E7"/>
    <w:rsid w:val="7AFF041B"/>
    <w:rsid w:val="7B0326A2"/>
    <w:rsid w:val="7B073F40"/>
    <w:rsid w:val="7B095F0A"/>
    <w:rsid w:val="7B0C1557"/>
    <w:rsid w:val="7B0C59FB"/>
    <w:rsid w:val="7B0E1773"/>
    <w:rsid w:val="7B0F54EB"/>
    <w:rsid w:val="7B113011"/>
    <w:rsid w:val="7B160FC2"/>
    <w:rsid w:val="7B187EFC"/>
    <w:rsid w:val="7B1D19B6"/>
    <w:rsid w:val="7B1F572E"/>
    <w:rsid w:val="7B204C45"/>
    <w:rsid w:val="7B22521E"/>
    <w:rsid w:val="7B252618"/>
    <w:rsid w:val="7B354F51"/>
    <w:rsid w:val="7B3867F0"/>
    <w:rsid w:val="7B474C85"/>
    <w:rsid w:val="7B4A02D1"/>
    <w:rsid w:val="7B4B6523"/>
    <w:rsid w:val="7B5B0730"/>
    <w:rsid w:val="7B5E34A6"/>
    <w:rsid w:val="7B5F1FCE"/>
    <w:rsid w:val="7B641393"/>
    <w:rsid w:val="7B656EB9"/>
    <w:rsid w:val="7B6A2721"/>
    <w:rsid w:val="7B7F441F"/>
    <w:rsid w:val="7B8C6B3B"/>
    <w:rsid w:val="7B95154C"/>
    <w:rsid w:val="7B963516"/>
    <w:rsid w:val="7B9854E0"/>
    <w:rsid w:val="7B9A3006"/>
    <w:rsid w:val="7BAB467E"/>
    <w:rsid w:val="7BAD6D4A"/>
    <w:rsid w:val="7BB816DF"/>
    <w:rsid w:val="7BBB4D2B"/>
    <w:rsid w:val="7BBD6CF5"/>
    <w:rsid w:val="7BBF3BED"/>
    <w:rsid w:val="7BC02341"/>
    <w:rsid w:val="7BC97C07"/>
    <w:rsid w:val="7BCB2527"/>
    <w:rsid w:val="7BD227A0"/>
    <w:rsid w:val="7BD5403F"/>
    <w:rsid w:val="7BDA3403"/>
    <w:rsid w:val="7BDF4EBD"/>
    <w:rsid w:val="7BDF6C6B"/>
    <w:rsid w:val="7BE40725"/>
    <w:rsid w:val="7BE81FC4"/>
    <w:rsid w:val="7BF1074D"/>
    <w:rsid w:val="7BF2699E"/>
    <w:rsid w:val="7BF30969"/>
    <w:rsid w:val="7BFC2A96"/>
    <w:rsid w:val="7C036DFE"/>
    <w:rsid w:val="7C0B35E0"/>
    <w:rsid w:val="7C11382C"/>
    <w:rsid w:val="7C1508DF"/>
    <w:rsid w:val="7C18217D"/>
    <w:rsid w:val="7C183F2B"/>
    <w:rsid w:val="7C1F350C"/>
    <w:rsid w:val="7C232FFC"/>
    <w:rsid w:val="7C2428D0"/>
    <w:rsid w:val="7C266648"/>
    <w:rsid w:val="7C296138"/>
    <w:rsid w:val="7C2F7BF3"/>
    <w:rsid w:val="7C305719"/>
    <w:rsid w:val="7C336FB7"/>
    <w:rsid w:val="7C346BC6"/>
    <w:rsid w:val="7C38637B"/>
    <w:rsid w:val="7C39281F"/>
    <w:rsid w:val="7C417926"/>
    <w:rsid w:val="7C444D20"/>
    <w:rsid w:val="7C464F3C"/>
    <w:rsid w:val="7C5533D1"/>
    <w:rsid w:val="7C596A1E"/>
    <w:rsid w:val="7C5C353E"/>
    <w:rsid w:val="7C5E4034"/>
    <w:rsid w:val="7C613B24"/>
    <w:rsid w:val="7C6B04FF"/>
    <w:rsid w:val="7C6D24C9"/>
    <w:rsid w:val="7C6D4277"/>
    <w:rsid w:val="7C741AA9"/>
    <w:rsid w:val="7C7A7EBA"/>
    <w:rsid w:val="7C7B2E38"/>
    <w:rsid w:val="7C7C270C"/>
    <w:rsid w:val="7C865339"/>
    <w:rsid w:val="7C8B0BA1"/>
    <w:rsid w:val="7C914409"/>
    <w:rsid w:val="7C9537CE"/>
    <w:rsid w:val="7C975798"/>
    <w:rsid w:val="7C9E08D4"/>
    <w:rsid w:val="7CA13F21"/>
    <w:rsid w:val="7CA53A11"/>
    <w:rsid w:val="7CA67789"/>
    <w:rsid w:val="7CA73C2D"/>
    <w:rsid w:val="7CA852AF"/>
    <w:rsid w:val="7CAF663E"/>
    <w:rsid w:val="7CB023B6"/>
    <w:rsid w:val="7CB65C1E"/>
    <w:rsid w:val="7CB73744"/>
    <w:rsid w:val="7CB92797"/>
    <w:rsid w:val="7CB9570E"/>
    <w:rsid w:val="7CB974BC"/>
    <w:rsid w:val="7CC540B3"/>
    <w:rsid w:val="7CCC3693"/>
    <w:rsid w:val="7CDC5B26"/>
    <w:rsid w:val="7CED53B8"/>
    <w:rsid w:val="7CEF1130"/>
    <w:rsid w:val="7CEF7382"/>
    <w:rsid w:val="7CF130FA"/>
    <w:rsid w:val="7CF36E72"/>
    <w:rsid w:val="7CF44998"/>
    <w:rsid w:val="7CF84488"/>
    <w:rsid w:val="7CF93D5D"/>
    <w:rsid w:val="7CFB253F"/>
    <w:rsid w:val="7CFC55FB"/>
    <w:rsid w:val="7CFE1373"/>
    <w:rsid w:val="7CFF2350"/>
    <w:rsid w:val="7D0270B5"/>
    <w:rsid w:val="7D052701"/>
    <w:rsid w:val="7D0821F2"/>
    <w:rsid w:val="7D086284"/>
    <w:rsid w:val="7D0F17D2"/>
    <w:rsid w:val="7D1844DD"/>
    <w:rsid w:val="7D1961AD"/>
    <w:rsid w:val="7D1A0699"/>
    <w:rsid w:val="7D1C7A4B"/>
    <w:rsid w:val="7D284642"/>
    <w:rsid w:val="7D2863F0"/>
    <w:rsid w:val="7D2A018E"/>
    <w:rsid w:val="7D2E7EAA"/>
    <w:rsid w:val="7D2F3C22"/>
    <w:rsid w:val="7D376633"/>
    <w:rsid w:val="7D380D29"/>
    <w:rsid w:val="7D3905FD"/>
    <w:rsid w:val="7D3B4375"/>
    <w:rsid w:val="7D3D00ED"/>
    <w:rsid w:val="7D3D1E9B"/>
    <w:rsid w:val="7D3D633F"/>
    <w:rsid w:val="7D3E7A94"/>
    <w:rsid w:val="7D3F77E3"/>
    <w:rsid w:val="7D450D50"/>
    <w:rsid w:val="7D456FA2"/>
    <w:rsid w:val="7D474AC8"/>
    <w:rsid w:val="7D496A92"/>
    <w:rsid w:val="7D4A0A5C"/>
    <w:rsid w:val="7D4E7D9B"/>
    <w:rsid w:val="7D4F1BCF"/>
    <w:rsid w:val="7D4F6073"/>
    <w:rsid w:val="7D5E0064"/>
    <w:rsid w:val="7D5F62B6"/>
    <w:rsid w:val="7D63567A"/>
    <w:rsid w:val="7D6A07B6"/>
    <w:rsid w:val="7D6E474B"/>
    <w:rsid w:val="7D755AD9"/>
    <w:rsid w:val="7D80447E"/>
    <w:rsid w:val="7D810CD7"/>
    <w:rsid w:val="7D845D1C"/>
    <w:rsid w:val="7D893333"/>
    <w:rsid w:val="7D8A2C07"/>
    <w:rsid w:val="7D8E26F7"/>
    <w:rsid w:val="7D8F476B"/>
    <w:rsid w:val="7D905BFB"/>
    <w:rsid w:val="7D9677FD"/>
    <w:rsid w:val="7D985324"/>
    <w:rsid w:val="7DAC5273"/>
    <w:rsid w:val="7DB163E5"/>
    <w:rsid w:val="7DB55ED6"/>
    <w:rsid w:val="7DBD122E"/>
    <w:rsid w:val="7DBD6359"/>
    <w:rsid w:val="7DCB56F9"/>
    <w:rsid w:val="7DCC321F"/>
    <w:rsid w:val="7DCE51E9"/>
    <w:rsid w:val="7DCF4ABD"/>
    <w:rsid w:val="7DD32800"/>
    <w:rsid w:val="7DE22A43"/>
    <w:rsid w:val="7DE762AB"/>
    <w:rsid w:val="7DF033B2"/>
    <w:rsid w:val="7DF12C86"/>
    <w:rsid w:val="7DF719A7"/>
    <w:rsid w:val="7DF775D2"/>
    <w:rsid w:val="7DFA4230"/>
    <w:rsid w:val="7DFF1847"/>
    <w:rsid w:val="7E040C0B"/>
    <w:rsid w:val="7E154BC6"/>
    <w:rsid w:val="7E235535"/>
    <w:rsid w:val="7E325778"/>
    <w:rsid w:val="7E33329E"/>
    <w:rsid w:val="7E355268"/>
    <w:rsid w:val="7E3922FD"/>
    <w:rsid w:val="7E413C0D"/>
    <w:rsid w:val="7E486D4A"/>
    <w:rsid w:val="7E4E1E86"/>
    <w:rsid w:val="7E4E3093"/>
    <w:rsid w:val="7E553215"/>
    <w:rsid w:val="7E5576B9"/>
    <w:rsid w:val="7E6416AA"/>
    <w:rsid w:val="7E671069"/>
    <w:rsid w:val="7E6873EC"/>
    <w:rsid w:val="7E6B2A38"/>
    <w:rsid w:val="7E6D4A02"/>
    <w:rsid w:val="7E6E2528"/>
    <w:rsid w:val="7E6E7AAC"/>
    <w:rsid w:val="7E747B3F"/>
    <w:rsid w:val="7E75366D"/>
    <w:rsid w:val="7E7538B7"/>
    <w:rsid w:val="7E7E6C0F"/>
    <w:rsid w:val="7E823BED"/>
    <w:rsid w:val="7E843AFA"/>
    <w:rsid w:val="7E8F2BCB"/>
    <w:rsid w:val="7E9006F1"/>
    <w:rsid w:val="7E955D07"/>
    <w:rsid w:val="7E971A7F"/>
    <w:rsid w:val="7E9C7095"/>
    <w:rsid w:val="7EA47B7B"/>
    <w:rsid w:val="7EA47CF8"/>
    <w:rsid w:val="7EA877E8"/>
    <w:rsid w:val="7EAB72D9"/>
    <w:rsid w:val="7EAF501B"/>
    <w:rsid w:val="7EB77A2B"/>
    <w:rsid w:val="7EC35CD5"/>
    <w:rsid w:val="7EC363D0"/>
    <w:rsid w:val="7ED06E49"/>
    <w:rsid w:val="7EDA196C"/>
    <w:rsid w:val="7EDE320A"/>
    <w:rsid w:val="7EE72DFC"/>
    <w:rsid w:val="7EF40C80"/>
    <w:rsid w:val="7EF46ED2"/>
    <w:rsid w:val="7EF97325"/>
    <w:rsid w:val="7EFE38AC"/>
    <w:rsid w:val="7EFF9721"/>
    <w:rsid w:val="7F005876"/>
    <w:rsid w:val="7F01514B"/>
    <w:rsid w:val="7F0709B3"/>
    <w:rsid w:val="7F0A6D29"/>
    <w:rsid w:val="7F1255AA"/>
    <w:rsid w:val="7F1B26B0"/>
    <w:rsid w:val="7F203823"/>
    <w:rsid w:val="7F205261"/>
    <w:rsid w:val="7F2A644F"/>
    <w:rsid w:val="7F315A30"/>
    <w:rsid w:val="7F323556"/>
    <w:rsid w:val="7F3379FA"/>
    <w:rsid w:val="7F343772"/>
    <w:rsid w:val="7F361298"/>
    <w:rsid w:val="7F392B36"/>
    <w:rsid w:val="7F4514DB"/>
    <w:rsid w:val="7F453289"/>
    <w:rsid w:val="7F475253"/>
    <w:rsid w:val="7F4E65E2"/>
    <w:rsid w:val="7F533BF8"/>
    <w:rsid w:val="7F54171E"/>
    <w:rsid w:val="7F5931D8"/>
    <w:rsid w:val="7F5D3D73"/>
    <w:rsid w:val="7F625BE9"/>
    <w:rsid w:val="7F631961"/>
    <w:rsid w:val="7F686F78"/>
    <w:rsid w:val="7F6A0F42"/>
    <w:rsid w:val="7F6F0306"/>
    <w:rsid w:val="7F6F6558"/>
    <w:rsid w:val="7F710522"/>
    <w:rsid w:val="7F743B6E"/>
    <w:rsid w:val="7F791185"/>
    <w:rsid w:val="7F7A329A"/>
    <w:rsid w:val="7F7B314F"/>
    <w:rsid w:val="7F7D6EC7"/>
    <w:rsid w:val="7F8C0EB8"/>
    <w:rsid w:val="7F8C710A"/>
    <w:rsid w:val="7F8D69DE"/>
    <w:rsid w:val="7F914720"/>
    <w:rsid w:val="7F923FF5"/>
    <w:rsid w:val="7F930498"/>
    <w:rsid w:val="7F963AE5"/>
    <w:rsid w:val="7F967F89"/>
    <w:rsid w:val="7FA2248A"/>
    <w:rsid w:val="7FA36202"/>
    <w:rsid w:val="7FA53D28"/>
    <w:rsid w:val="7FA77AA0"/>
    <w:rsid w:val="7FAD31A8"/>
    <w:rsid w:val="7FB4040F"/>
    <w:rsid w:val="7FB623D9"/>
    <w:rsid w:val="7FBA3C77"/>
    <w:rsid w:val="7FC9210C"/>
    <w:rsid w:val="7FCA378E"/>
    <w:rsid w:val="7FD36AE7"/>
    <w:rsid w:val="7FDC1E3F"/>
    <w:rsid w:val="7FDF723A"/>
    <w:rsid w:val="7FE02FB2"/>
    <w:rsid w:val="7FEC5DFB"/>
    <w:rsid w:val="7FEE56CF"/>
    <w:rsid w:val="7FF52F01"/>
    <w:rsid w:val="7FF627D5"/>
    <w:rsid w:val="7FF8654D"/>
    <w:rsid w:val="7FFD4541"/>
    <w:rsid w:val="7FFF168A"/>
    <w:rsid w:val="FDAF0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autoSpaceDE w:val="0"/>
      <w:autoSpaceDN w:val="0"/>
      <w:adjustRightInd w:val="0"/>
      <w:spacing w:before="240" w:after="120" w:line="300" w:lineRule="auto"/>
      <w:jc w:val="center"/>
      <w:outlineLvl w:val="0"/>
    </w:pPr>
    <w:rPr>
      <w:rFonts w:ascii="宋体" w:hAnsi="Calibri" w:eastAsia="宋体" w:cs="Times New Roman"/>
      <w:b/>
      <w:kern w:val="44"/>
      <w:sz w:val="32"/>
      <w:szCs w:val="20"/>
    </w:rPr>
  </w:style>
  <w:style w:type="paragraph" w:styleId="4">
    <w:name w:val="heading 2"/>
    <w:basedOn w:val="1"/>
    <w:next w:val="1"/>
    <w:link w:val="34"/>
    <w:qFormat/>
    <w:uiPriority w:val="0"/>
    <w:pPr>
      <w:keepNext/>
      <w:keepLines/>
      <w:autoSpaceDE w:val="0"/>
      <w:autoSpaceDN w:val="0"/>
      <w:adjustRightInd w:val="0"/>
      <w:spacing w:before="120" w:line="360" w:lineRule="auto"/>
      <w:jc w:val="center"/>
      <w:outlineLvl w:val="1"/>
    </w:pPr>
    <w:rPr>
      <w:rFonts w:ascii="Arial" w:hAnsi="Arial" w:eastAsia="黑体" w:cs="Times New Roman"/>
      <w:b/>
      <w:kern w:val="0"/>
      <w:sz w:val="30"/>
      <w:szCs w:val="20"/>
    </w:rPr>
  </w:style>
  <w:style w:type="paragraph" w:styleId="5">
    <w:name w:val="heading 3"/>
    <w:basedOn w:val="1"/>
    <w:next w:val="1"/>
    <w:link w:val="35"/>
    <w:qFormat/>
    <w:uiPriority w:val="0"/>
    <w:pPr>
      <w:keepNext/>
      <w:keepLines/>
      <w:autoSpaceDE w:val="0"/>
      <w:autoSpaceDN w:val="0"/>
      <w:adjustRightInd w:val="0"/>
      <w:spacing w:before="360" w:after="120" w:line="480" w:lineRule="auto"/>
      <w:jc w:val="left"/>
      <w:outlineLvl w:val="2"/>
    </w:pPr>
    <w:rPr>
      <w:rFonts w:ascii="宋体" w:hAnsi="Calibri" w:eastAsia="宋体" w:cs="Times New Roman"/>
      <w:b/>
      <w:kern w:val="0"/>
      <w:sz w:val="24"/>
      <w:szCs w:val="20"/>
      <w:u w:val="single"/>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2"/>
    <w:qFormat/>
    <w:uiPriority w:val="0"/>
    <w:rPr>
      <w:rFonts w:ascii="宋体" w:hAnsi="Courier New" w:eastAsia="宋体" w:cs="Times New Roman"/>
      <w:szCs w:val="20"/>
    </w:r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8">
    <w:name w:val="annotation text"/>
    <w:basedOn w:val="1"/>
    <w:semiHidden/>
    <w:unhideWhenUsed/>
    <w:qFormat/>
    <w:uiPriority w:val="99"/>
    <w:pPr>
      <w:jc w:val="left"/>
    </w:pPr>
  </w:style>
  <w:style w:type="paragraph" w:styleId="9">
    <w:name w:val="index 6"/>
    <w:basedOn w:val="1"/>
    <w:next w:val="1"/>
    <w:qFormat/>
    <w:uiPriority w:val="99"/>
    <w:pPr>
      <w:ind w:left="2100"/>
    </w:pPr>
    <w:rPr>
      <w:rFonts w:eastAsia="楷体_GB2312"/>
      <w:sz w:val="26"/>
      <w:szCs w:val="20"/>
    </w:rPr>
  </w:style>
  <w:style w:type="paragraph" w:styleId="10">
    <w:name w:val="Body Text"/>
    <w:basedOn w:val="1"/>
    <w:link w:val="39"/>
    <w:qFormat/>
    <w:uiPriority w:val="0"/>
    <w:pPr>
      <w:tabs>
        <w:tab w:val="left" w:pos="567"/>
      </w:tabs>
      <w:spacing w:before="120" w:line="22" w:lineRule="atLeast"/>
    </w:pPr>
    <w:rPr>
      <w:rFonts w:ascii="宋体" w:hAnsi="宋体" w:eastAsia="宋体" w:cs="Times New Roman"/>
      <w:sz w:val="24"/>
      <w:szCs w:val="24"/>
    </w:r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ind w:left="420"/>
      <w:jc w:val="left"/>
    </w:pPr>
    <w:rPr>
      <w:i/>
      <w:iCs/>
      <w:sz w:val="20"/>
      <w:szCs w:val="20"/>
    </w:rPr>
  </w:style>
  <w:style w:type="paragraph" w:styleId="13">
    <w:name w:val="toc 8"/>
    <w:basedOn w:val="1"/>
    <w:next w:val="1"/>
    <w:unhideWhenUsed/>
    <w:qFormat/>
    <w:uiPriority w:val="39"/>
    <w:pPr>
      <w:ind w:left="1470"/>
      <w:jc w:val="left"/>
    </w:pPr>
    <w:rPr>
      <w:sz w:val="18"/>
      <w:szCs w:val="18"/>
    </w:rPr>
  </w:style>
  <w:style w:type="paragraph" w:styleId="14">
    <w:name w:val="Balloon Text"/>
    <w:basedOn w:val="1"/>
    <w:link w:val="5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b/>
      <w:bCs/>
      <w:caps/>
      <w:sz w:val="20"/>
      <w:szCs w:val="20"/>
    </w:rPr>
  </w:style>
  <w:style w:type="paragraph" w:styleId="18">
    <w:name w:val="toc 4"/>
    <w:basedOn w:val="1"/>
    <w:next w:val="1"/>
    <w:unhideWhenUsed/>
    <w:qFormat/>
    <w:uiPriority w:val="39"/>
    <w:pPr>
      <w:ind w:left="630"/>
      <w:jc w:val="left"/>
    </w:pPr>
    <w:rPr>
      <w:sz w:val="18"/>
      <w:szCs w:val="18"/>
    </w:rPr>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toc 6"/>
    <w:basedOn w:val="1"/>
    <w:next w:val="1"/>
    <w:unhideWhenUsed/>
    <w:qFormat/>
    <w:uiPriority w:val="39"/>
    <w:pPr>
      <w:ind w:left="1050"/>
      <w:jc w:val="left"/>
    </w:pPr>
    <w:rPr>
      <w:sz w:val="18"/>
      <w:szCs w:val="18"/>
    </w:rPr>
  </w:style>
  <w:style w:type="paragraph" w:styleId="21">
    <w:name w:val="toc 2"/>
    <w:basedOn w:val="1"/>
    <w:next w:val="1"/>
    <w:unhideWhenUsed/>
    <w:qFormat/>
    <w:uiPriority w:val="39"/>
    <w:pPr>
      <w:ind w:left="210"/>
      <w:jc w:val="left"/>
    </w:pPr>
    <w:rPr>
      <w:smallCaps/>
      <w:sz w:val="20"/>
      <w:szCs w:val="20"/>
    </w:rPr>
  </w:style>
  <w:style w:type="paragraph" w:styleId="22">
    <w:name w:val="toc 9"/>
    <w:basedOn w:val="1"/>
    <w:next w:val="1"/>
    <w:unhideWhenUsed/>
    <w:qFormat/>
    <w:uiPriority w:val="39"/>
    <w:pPr>
      <w:ind w:left="1680"/>
      <w:jc w:val="left"/>
    </w:pPr>
    <w:rPr>
      <w:sz w:val="18"/>
      <w:szCs w:val="18"/>
    </w:rPr>
  </w:style>
  <w:style w:type="paragraph" w:styleId="23">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themeColor="followedHyperlink"/>
      <w:u w:val="single"/>
    </w:rPr>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6"/>
    <w:semiHidden/>
    <w:qFormat/>
    <w:uiPriority w:val="99"/>
    <w:rPr>
      <w:sz w:val="18"/>
      <w:szCs w:val="18"/>
    </w:rPr>
  </w:style>
  <w:style w:type="character" w:customStyle="1" w:styleId="30">
    <w:name w:val="页脚 Char"/>
    <w:basedOn w:val="25"/>
    <w:link w:val="15"/>
    <w:qFormat/>
    <w:uiPriority w:val="99"/>
    <w:rPr>
      <w:sz w:val="18"/>
      <w:szCs w:val="18"/>
    </w:rPr>
  </w:style>
  <w:style w:type="character" w:customStyle="1" w:styleId="31">
    <w:name w:val="纯文本 Char"/>
    <w:basedOn w:val="25"/>
    <w:qFormat/>
    <w:uiPriority w:val="0"/>
    <w:rPr>
      <w:rFonts w:ascii="宋体" w:hAnsi="Courier New" w:eastAsia="宋体" w:cs="Times New Roman"/>
      <w:szCs w:val="20"/>
    </w:rPr>
  </w:style>
  <w:style w:type="character" w:customStyle="1" w:styleId="32">
    <w:name w:val="纯文本 Char1"/>
    <w:basedOn w:val="25"/>
    <w:link w:val="2"/>
    <w:semiHidden/>
    <w:qFormat/>
    <w:uiPriority w:val="99"/>
    <w:rPr>
      <w:rFonts w:ascii="宋体" w:hAnsi="Courier New" w:eastAsia="宋体" w:cs="Courier New"/>
      <w:szCs w:val="21"/>
    </w:rPr>
  </w:style>
  <w:style w:type="character" w:customStyle="1" w:styleId="33">
    <w:name w:val="标题 1 Char"/>
    <w:basedOn w:val="25"/>
    <w:link w:val="3"/>
    <w:qFormat/>
    <w:uiPriority w:val="9"/>
    <w:rPr>
      <w:rFonts w:ascii="宋体" w:hAnsi="Calibri" w:eastAsia="宋体" w:cs="Times New Roman"/>
      <w:b/>
      <w:kern w:val="44"/>
      <w:sz w:val="32"/>
      <w:szCs w:val="20"/>
    </w:rPr>
  </w:style>
  <w:style w:type="character" w:customStyle="1" w:styleId="34">
    <w:name w:val="标题 2 Char"/>
    <w:basedOn w:val="25"/>
    <w:link w:val="4"/>
    <w:qFormat/>
    <w:uiPriority w:val="0"/>
    <w:rPr>
      <w:rFonts w:ascii="Arial" w:hAnsi="Arial" w:eastAsia="黑体" w:cs="Times New Roman"/>
      <w:b/>
      <w:kern w:val="0"/>
      <w:sz w:val="30"/>
      <w:szCs w:val="20"/>
    </w:rPr>
  </w:style>
  <w:style w:type="character" w:customStyle="1" w:styleId="35">
    <w:name w:val="标题 3 Char"/>
    <w:basedOn w:val="25"/>
    <w:link w:val="5"/>
    <w:qFormat/>
    <w:uiPriority w:val="0"/>
    <w:rPr>
      <w:rFonts w:ascii="宋体" w:hAnsi="Calibri" w:eastAsia="宋体" w:cs="Times New Roman"/>
      <w:b/>
      <w:kern w:val="0"/>
      <w:sz w:val="24"/>
      <w:szCs w:val="20"/>
      <w:u w:val="single"/>
    </w:rPr>
  </w:style>
  <w:style w:type="character" w:customStyle="1" w:styleId="36">
    <w:name w:val="15"/>
    <w:qFormat/>
    <w:uiPriority w:val="0"/>
    <w:rPr>
      <w:rFonts w:hint="default" w:ascii="Calibri" w:hAnsi="Calibri"/>
      <w:color w:val="0000FF"/>
      <w:u w:val="single"/>
    </w:rPr>
  </w:style>
  <w:style w:type="paragraph" w:customStyle="1" w:styleId="37">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正文文本 Char"/>
    <w:basedOn w:val="25"/>
    <w:link w:val="10"/>
    <w:qFormat/>
    <w:uiPriority w:val="0"/>
    <w:rPr>
      <w:rFonts w:ascii="宋体" w:hAnsi="宋体" w:eastAsia="宋体" w:cs="Times New Roman"/>
      <w:sz w:val="24"/>
      <w:szCs w:val="24"/>
    </w:rPr>
  </w:style>
  <w:style w:type="paragraph" w:customStyle="1" w:styleId="40">
    <w:name w:val="Table Paragraph"/>
    <w:basedOn w:val="1"/>
    <w:qFormat/>
    <w:uiPriority w:val="1"/>
    <w:pPr>
      <w:autoSpaceDE w:val="0"/>
      <w:autoSpaceDN w:val="0"/>
    </w:pPr>
    <w:rPr>
      <w:rFonts w:ascii="Arial Unicode MS" w:hAnsi="Arial Unicode MS" w:eastAsia="Arial Unicode MS" w:cs="Arial Unicode MS"/>
      <w:kern w:val="0"/>
      <w:sz w:val="2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table" w:customStyle="1" w:styleId="4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styleId="43">
    <w:name w:val="List Paragraph"/>
    <w:basedOn w:val="1"/>
    <w:link w:val="44"/>
    <w:qFormat/>
    <w:uiPriority w:val="99"/>
    <w:pPr>
      <w:widowControl/>
      <w:ind w:firstLine="420" w:firstLineChars="200"/>
      <w:jc w:val="left"/>
    </w:pPr>
    <w:rPr>
      <w:rFonts w:ascii="Times New Roman" w:hAnsi="Times New Roman" w:eastAsia="宋体" w:cs="Times New Roman"/>
      <w:kern w:val="0"/>
      <w:sz w:val="24"/>
      <w:szCs w:val="24"/>
    </w:rPr>
  </w:style>
  <w:style w:type="character" w:customStyle="1" w:styleId="44">
    <w:name w:val="列出段落 Char"/>
    <w:link w:val="43"/>
    <w:qFormat/>
    <w:uiPriority w:val="99"/>
    <w:rPr>
      <w:rFonts w:ascii="Times New Roman" w:hAnsi="Times New Roman" w:eastAsia="宋体" w:cs="Times New Roman"/>
      <w:kern w:val="0"/>
      <w:sz w:val="24"/>
      <w:szCs w:val="24"/>
    </w:rPr>
  </w:style>
  <w:style w:type="paragraph" w:customStyle="1" w:styleId="4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24"/>
    <w:qFormat/>
    <w:uiPriority w:val="0"/>
    <w:rPr>
      <w:rFonts w:ascii="黑体" w:hAnsi="黑体" w:eastAsia="黑体" w:cs="Times New Roman"/>
      <w:b/>
      <w:sz w:val="32"/>
      <w:szCs w:val="24"/>
      <w:lang w:val="en-US" w:eastAsia="zh-CN" w:bidi="ar-SA"/>
    </w:rPr>
  </w:style>
  <w:style w:type="paragraph" w:customStyle="1" w:styleId="48">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缩进_1_0"/>
    <w:basedOn w:val="46"/>
    <w:qFormat/>
    <w:uiPriority w:val="0"/>
    <w:pPr>
      <w:spacing w:line="500" w:lineRule="exact"/>
      <w:ind w:left="1588" w:leftChars="832" w:firstLine="433" w:firstLineChars="196"/>
    </w:pPr>
    <w:rPr>
      <w:sz w:val="24"/>
      <w:szCs w:val="24"/>
    </w:rPr>
  </w:style>
  <w:style w:type="paragraph" w:customStyle="1" w:styleId="50">
    <w:name w:val="正文_4_0_0_0"/>
    <w:basedOn w:val="1"/>
    <w:qFormat/>
    <w:uiPriority w:val="0"/>
    <w:rPr>
      <w:rFonts w:ascii="Calibri" w:hAnsi="Calibri" w:eastAsia="宋体" w:cs="Calibri"/>
      <w:szCs w:val="21"/>
    </w:rPr>
  </w:style>
  <w:style w:type="paragraph" w:customStyle="1" w:styleId="51">
    <w:name w:val="Normal_20_0"/>
    <w:qFormat/>
    <w:uiPriority w:val="0"/>
    <w:pPr>
      <w:widowControl w:val="0"/>
      <w:jc w:val="both"/>
    </w:pPr>
    <w:rPr>
      <w:rFonts w:ascii="Times New Roman" w:hAnsi="Times New Roman" w:eastAsia="宋体" w:cs="Times New Roman"/>
      <w:szCs w:val="24"/>
      <w:lang w:val="en-US" w:eastAsia="zh-CN"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Normal_14"/>
    <w:qFormat/>
    <w:uiPriority w:val="0"/>
    <w:rPr>
      <w:rFonts w:ascii="黑体" w:hAnsi="黑体" w:eastAsia="黑体" w:cs="Times New Roman"/>
      <w:b/>
      <w:sz w:val="32"/>
      <w:szCs w:val="24"/>
      <w:lang w:val="en-US" w:eastAsia="zh-CN" w:bidi="ar-SA"/>
    </w:rPr>
  </w:style>
  <w:style w:type="paragraph" w:customStyle="1" w:styleId="54">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Normal_1"/>
    <w:qFormat/>
    <w:uiPriority w:val="0"/>
    <w:rPr>
      <w:rFonts w:ascii="Times New Roman" w:hAnsi="Times New Roman" w:eastAsia="Times New Roman" w:cs="Times New Roman"/>
      <w:sz w:val="24"/>
      <w:szCs w:val="24"/>
      <w:lang w:val="en-US" w:eastAsia="zh-CN" w:bidi="ar-SA"/>
    </w:rPr>
  </w:style>
  <w:style w:type="character" w:customStyle="1" w:styleId="56">
    <w:name w:val="批注框文本 Char"/>
    <w:basedOn w:val="25"/>
    <w:link w:val="14"/>
    <w:semiHidden/>
    <w:qFormat/>
    <w:uiPriority w:val="99"/>
    <w:rPr>
      <w:kern w:val="2"/>
      <w:sz w:val="18"/>
      <w:szCs w:val="18"/>
    </w:rPr>
  </w:style>
  <w:style w:type="paragraph" w:customStyle="1" w:styleId="57">
    <w:name w:val="正文缩进1"/>
    <w:basedOn w:val="1"/>
    <w:qFormat/>
    <w:uiPriority w:val="0"/>
    <w:pPr>
      <w:autoSpaceDE w:val="0"/>
      <w:autoSpaceDN w:val="0"/>
      <w:adjustRightInd w:val="0"/>
      <w:ind w:firstLine="420"/>
      <w:jc w:val="left"/>
    </w:pPr>
    <w:rPr>
      <w:rFonts w:ascii="宋体"/>
      <w:sz w:val="24"/>
    </w:rPr>
  </w:style>
  <w:style w:type="paragraph" w:customStyle="1" w:styleId="58">
    <w:name w:val="索引 11"/>
    <w:basedOn w:val="1"/>
    <w:next w:val="1"/>
    <w:qFormat/>
    <w:uiPriority w:val="0"/>
    <w:pPr>
      <w:spacing w:line="360" w:lineRule="auto"/>
    </w:pPr>
    <w:rPr>
      <w:rFonts w:ascii="FangSong_GB2312" w:eastAsia="FangSong_GB2312"/>
      <w:sz w:val="24"/>
      <w:szCs w:val="20"/>
    </w:rPr>
  </w:style>
  <w:style w:type="paragraph" w:customStyle="1" w:styleId="59">
    <w:name w:val="纯文本1"/>
    <w:basedOn w:val="1"/>
    <w:qFormat/>
    <w:uiPriority w:val="0"/>
    <w:rPr>
      <w:rFonts w:ascii="宋体" w:hAnsi="Courier New"/>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NormalCharacter"/>
    <w:link w:val="62"/>
    <w:qFormat/>
    <w:uiPriority w:val="0"/>
    <w:rPr>
      <w:rFonts w:ascii="仿宋_GB2312" w:eastAsia="仿宋_GB2312" w:hAnsiTheme="minorHAnsi" w:cstheme="minorBidi"/>
      <w:b/>
      <w:sz w:val="32"/>
      <w:szCs w:val="32"/>
    </w:rPr>
  </w:style>
  <w:style w:type="paragraph" w:customStyle="1" w:styleId="62">
    <w:name w:val="UserStyle_461"/>
    <w:basedOn w:val="1"/>
    <w:link w:val="61"/>
    <w:qFormat/>
    <w:uiPriority w:val="0"/>
    <w:pPr>
      <w:widowControl/>
      <w:textAlignment w:val="baseline"/>
    </w:pPr>
    <w:rPr>
      <w:rFonts w:ascii="仿宋_GB2312" w:eastAsia="仿宋_GB2312"/>
      <w:b/>
      <w:sz w:val="32"/>
      <w:szCs w:val="32"/>
    </w:rPr>
  </w:style>
  <w:style w:type="paragraph" w:customStyle="1" w:styleId="63">
    <w:name w:val="HtmlNormal"/>
    <w:basedOn w:val="1"/>
    <w:qFormat/>
    <w:uiPriority w:val="0"/>
    <w:pPr>
      <w:widowControl/>
      <w:spacing w:before="100" w:beforeAutospacing="1" w:after="100" w:afterAutospacing="1"/>
      <w:jc w:val="left"/>
      <w:textAlignment w:val="baseline"/>
    </w:pPr>
    <w:rPr>
      <w:rFonts w:ascii="宋体" w:hAnsi="宋体" w:eastAsia="宋体" w:cs="Times New Roman"/>
      <w:sz w:val="24"/>
      <w:szCs w:val="24"/>
    </w:rPr>
  </w:style>
  <w:style w:type="paragraph" w:customStyle="1" w:styleId="6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标题 5（有编号）（绿盟科技）"/>
    <w:basedOn w:val="1"/>
    <w:next w:val="6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7">
    <w:name w:val="PlainText"/>
    <w:basedOn w:val="1"/>
    <w:qFormat/>
    <w:uiPriority w:val="0"/>
    <w:pPr>
      <w:widowControl/>
      <w:textAlignment w:val="baseline"/>
    </w:pPr>
    <w:rPr>
      <w:rFonts w:ascii="宋体" w:hAnsi="Courier New"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9"/>
    <customShpInfo spid="_x0000_s1028"/>
    <customShpInfo spid="_x0000_s1026"/>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72</Pages>
  <Words>34936</Words>
  <Characters>36851</Characters>
  <Lines>313</Lines>
  <Paragraphs>88</Paragraphs>
  <TotalTime>0</TotalTime>
  <ScaleCrop>false</ScaleCrop>
  <LinksUpToDate>false</LinksUpToDate>
  <CharactersWithSpaces>38887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2023-03-22T02:46:00Z</dcterms:created>
  <dc:creator>NTKO</dc:creator>
  <cp:lastModifiedBy>蕊</cp:lastModifiedBy>
  <dcterms:modified xsi:type="dcterms:W3CDTF">2023-07-25T18:57:31Z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1E36862943054A06879DC20D99C95180</vt:lpwstr>
  </property>
</Properties>
</file>