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仿宋_GB2312" w:eastAsia="仿宋_GB2312" w:cs="仿宋_GB2312"/>
          <w:b/>
          <w:sz w:val="24"/>
        </w:rPr>
      </w:pPr>
    </w:p>
    <w:p>
      <w:pPr>
        <w:spacing w:line="360" w:lineRule="auto"/>
        <w:jc w:val="left"/>
        <w:rPr>
          <w:rFonts w:ascii="仿宋_GB2312" w:hAnsi="仿宋_GB2312" w:eastAsia="仿宋_GB2312" w:cs="仿宋_GB2312"/>
          <w:b/>
          <w:sz w:val="24"/>
        </w:rPr>
      </w:pPr>
      <w:r>
        <w:rPr>
          <w:sz w:val="20"/>
        </w:rPr>
        <w:drawing>
          <wp:inline distT="0" distB="0" distL="0" distR="0">
            <wp:extent cx="1364615" cy="612775"/>
            <wp:effectExtent l="0" t="0" r="6985" b="9525"/>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3" cstate="print"/>
                    <a:stretch>
                      <a:fillRect/>
                    </a:stretch>
                  </pic:blipFill>
                  <pic:spPr>
                    <a:xfrm>
                      <a:off x="0" y="0"/>
                      <a:ext cx="1364615" cy="612775"/>
                    </a:xfrm>
                    <a:prstGeom prst="rect">
                      <a:avLst/>
                    </a:prstGeom>
                  </pic:spPr>
                </pic:pic>
              </a:graphicData>
            </a:graphic>
          </wp:inline>
        </w:drawing>
      </w:r>
    </w:p>
    <w:p>
      <w:pPr>
        <w:adjustRightInd/>
        <w:spacing w:line="360" w:lineRule="auto"/>
        <w:jc w:val="center"/>
        <w:rPr>
          <w:rFonts w:ascii="仿宋_GB2312" w:hAnsi="仿宋" w:eastAsia="仿宋_GB2312" w:cs="仿宋_GB2312"/>
          <w:b/>
          <w:sz w:val="44"/>
          <w:szCs w:val="44"/>
        </w:rPr>
      </w:pPr>
    </w:p>
    <w:p>
      <w:pPr>
        <w:adjustRightInd/>
        <w:spacing w:line="360" w:lineRule="auto"/>
        <w:jc w:val="center"/>
        <w:outlineLvl w:val="0"/>
        <w:rPr>
          <w:rFonts w:ascii="仿宋_GB2312" w:hAnsi="仿宋_GB2312" w:eastAsia="仿宋_GB2312" w:cs="仿宋_GB2312"/>
          <w:b/>
          <w:sz w:val="56"/>
          <w:szCs w:val="56"/>
        </w:rPr>
      </w:pPr>
      <w:bookmarkStart w:id="0" w:name="_Toc27571"/>
      <w:r>
        <w:rPr>
          <w:rFonts w:hint="eastAsia" w:ascii="仿宋" w:hAnsi="仿宋" w:eastAsia="仿宋" w:cs="仿宋"/>
          <w:b w:val="0"/>
          <w:i w:val="0"/>
          <w:w w:val="80"/>
          <w:sz w:val="48"/>
          <w:szCs w:val="48"/>
          <w:lang w:eastAsia="zh-CN" w:bidi="th-TH"/>
        </w:rPr>
        <w:t>天山牧歌二期31号楼地下一二层装修工程（二次）</w:t>
      </w:r>
      <w:r>
        <w:rPr>
          <w:rFonts w:hint="eastAsia" w:ascii="仿宋" w:hAnsi="仿宋" w:eastAsia="仿宋" w:cs="仿宋"/>
          <w:spacing w:val="40"/>
          <w:w w:val="80"/>
          <w:sz w:val="72"/>
          <w:szCs w:val="72"/>
          <w:lang w:val="zh-CN" w:bidi="th-TH"/>
        </w:rPr>
        <w:t>竞争性磋商</w:t>
      </w:r>
      <w:r>
        <w:rPr>
          <w:rFonts w:hint="eastAsia" w:ascii="仿宋" w:hAnsi="仿宋" w:eastAsia="仿宋" w:cs="仿宋"/>
          <w:spacing w:val="40"/>
          <w:w w:val="80"/>
          <w:sz w:val="72"/>
          <w:szCs w:val="72"/>
          <w:lang w:bidi="th-TH"/>
        </w:rPr>
        <w:t>文件</w:t>
      </w:r>
      <w:bookmarkEnd w:id="0"/>
    </w:p>
    <w:p>
      <w:pPr>
        <w:adjustRightInd/>
        <w:spacing w:line="360" w:lineRule="auto"/>
        <w:jc w:val="center"/>
        <w:rPr>
          <w:rFonts w:ascii="仿宋_GB2312" w:hAnsi="仿宋" w:eastAsia="仿宋_GB2312" w:cs="仿宋_GB2312"/>
          <w:b/>
          <w:sz w:val="44"/>
          <w:szCs w:val="44"/>
        </w:rPr>
      </w:pPr>
      <w:r>
        <w:rPr>
          <w:rFonts w:hint="eastAsia" w:ascii="仿宋_GB2312" w:hAnsi="仿宋" w:eastAsia="仿宋_GB2312" w:cs="仿宋_GB2312"/>
          <w:b/>
          <w:sz w:val="44"/>
          <w:szCs w:val="44"/>
        </w:rPr>
        <w:t>（电子交易）</w:t>
      </w:r>
    </w:p>
    <w:p>
      <w:pPr>
        <w:snapToGrid w:val="0"/>
        <w:spacing w:line="360" w:lineRule="auto"/>
        <w:jc w:val="center"/>
        <w:rPr>
          <w:rFonts w:ascii="仿宋_GB2312" w:hAnsi="仿宋_GB2312" w:eastAsia="仿宋_GB2312" w:cs="仿宋_GB2312"/>
          <w:sz w:val="30"/>
          <w:szCs w:val="30"/>
        </w:rPr>
      </w:pPr>
    </w:p>
    <w:p>
      <w:pPr>
        <w:adjustRightInd/>
        <w:snapToGrid w:val="0"/>
        <w:spacing w:line="360" w:lineRule="auto"/>
        <w:jc w:val="center"/>
        <w:rPr>
          <w:rFonts w:hint="default" w:ascii="仿宋" w:hAnsi="仿宋" w:eastAsia="仿宋" w:cs="仿宋"/>
          <w:w w:val="80"/>
          <w:sz w:val="30"/>
          <w:szCs w:val="30"/>
          <w:lang w:val="en-US" w:eastAsia="zh-CN" w:bidi="th-TH"/>
        </w:rPr>
      </w:pPr>
      <w:r>
        <w:rPr>
          <w:rFonts w:hint="eastAsia" w:ascii="仿宋" w:hAnsi="仿宋" w:eastAsia="仿宋" w:cs="仿宋"/>
          <w:w w:val="80"/>
          <w:sz w:val="30"/>
          <w:szCs w:val="30"/>
          <w:lang w:bidi="th-TH"/>
        </w:rPr>
        <w:t>编号:</w:t>
      </w:r>
      <w:r>
        <w:rPr>
          <w:rFonts w:hint="eastAsia" w:ascii="仿宋" w:hAnsi="仿宋" w:eastAsia="仿宋" w:cs="仿宋"/>
          <w:b w:val="0"/>
          <w:i w:val="0"/>
          <w:w w:val="80"/>
          <w:sz w:val="30"/>
          <w:szCs w:val="30"/>
          <w:lang w:eastAsia="zh-CN" w:bidi="th-TH"/>
        </w:rPr>
        <w:t>2023-ZFCG-0073-01</w:t>
      </w:r>
    </w:p>
    <w:p>
      <w:pPr>
        <w:snapToGrid w:val="0"/>
        <w:spacing w:line="360" w:lineRule="auto"/>
        <w:jc w:val="center"/>
        <w:rPr>
          <w:rFonts w:ascii="仿宋_GB2312" w:hAnsi="仿宋_GB2312" w:eastAsia="仿宋_GB2312" w:cs="仿宋_GB2312"/>
          <w:sz w:val="30"/>
          <w:szCs w:val="30"/>
        </w:rPr>
      </w:pPr>
    </w:p>
    <w:p>
      <w:pPr>
        <w:adjustRightInd/>
        <w:spacing w:line="360" w:lineRule="auto"/>
        <w:rPr>
          <w:rFonts w:ascii="仿宋_GB2312" w:hAnsi="仿宋_GB2312" w:eastAsia="仿宋_GB2312" w:cs="仿宋_GB2312"/>
          <w:sz w:val="28"/>
          <w:szCs w:val="20"/>
        </w:rPr>
      </w:pPr>
    </w:p>
    <w:p>
      <w:pPr>
        <w:spacing w:line="360" w:lineRule="auto"/>
        <w:jc w:val="center"/>
        <w:rPr>
          <w:rFonts w:ascii="仿宋_GB2312" w:hAnsi="仿宋_GB2312" w:eastAsia="仿宋_GB2312" w:cs="仿宋_GB2312"/>
          <w:sz w:val="24"/>
        </w:rPr>
      </w:pPr>
    </w:p>
    <w:p>
      <w:pPr>
        <w:pStyle w:val="185"/>
        <w:widowControl w:val="0"/>
        <w:spacing w:before="0" w:beforeAutospacing="0" w:after="0" w:afterAutospacing="0" w:line="360" w:lineRule="auto"/>
        <w:jc w:val="both"/>
        <w:textAlignment w:val="auto"/>
        <w:rPr>
          <w:rFonts w:hint="default" w:ascii="仿宋_GB2312" w:hAnsi="仿宋_GB2312" w:eastAsia="仿宋_GB2312" w:cs="仿宋_GB2312"/>
          <w:kern w:val="2"/>
        </w:rPr>
      </w:pPr>
    </w:p>
    <w:p>
      <w:pPr>
        <w:spacing w:line="360" w:lineRule="auto"/>
        <w:rPr>
          <w:rFonts w:ascii="仿宋_GB2312" w:hAnsi="仿宋_GB2312" w:eastAsia="仿宋_GB2312" w:cs="仿宋_GB2312"/>
          <w:b/>
          <w:sz w:val="24"/>
        </w:rPr>
      </w:pPr>
      <w:r>
        <w:rPr>
          <w:rFonts w:hint="eastAsia" w:ascii="仿宋_GB2312" w:hAnsi="仿宋_GB2312" w:eastAsia="仿宋_GB2312" w:cs="仿宋_GB2312"/>
          <w:sz w:val="24"/>
        </w:rPr>
        <w:t xml:space="preserve">                                      </w:t>
      </w:r>
    </w:p>
    <w:tbl>
      <w:tblPr>
        <w:tblStyle w:val="61"/>
        <w:tblW w:w="0" w:type="auto"/>
        <w:jc w:val="center"/>
        <w:tblLayout w:type="fixed"/>
        <w:tblCellMar>
          <w:top w:w="0" w:type="dxa"/>
          <w:left w:w="57" w:type="dxa"/>
          <w:bottom w:w="0" w:type="dxa"/>
          <w:right w:w="57" w:type="dxa"/>
        </w:tblCellMar>
      </w:tblPr>
      <w:tblGrid>
        <w:gridCol w:w="2032"/>
        <w:gridCol w:w="306"/>
        <w:gridCol w:w="4919"/>
      </w:tblGrid>
      <w:tr>
        <w:tblPrEx>
          <w:tblCellMar>
            <w:top w:w="0" w:type="dxa"/>
            <w:left w:w="57" w:type="dxa"/>
            <w:bottom w:w="0" w:type="dxa"/>
            <w:right w:w="57" w:type="dxa"/>
          </w:tblCellMar>
        </w:tblPrEx>
        <w:trPr>
          <w:trHeight w:val="680" w:hRule="atLeast"/>
          <w:jc w:val="center"/>
        </w:trPr>
        <w:tc>
          <w:tcPr>
            <w:tcW w:w="2032" w:type="dxa"/>
            <w:vAlign w:val="center"/>
          </w:tcPr>
          <w:p>
            <w:pPr>
              <w:snapToGrid w:val="0"/>
              <w:jc w:val="distribute"/>
              <w:rPr>
                <w:rFonts w:ascii="仿宋" w:hAnsi="仿宋" w:eastAsia="仿宋" w:cs="仿宋"/>
                <w:kern w:val="21"/>
                <w:sz w:val="30"/>
                <w:szCs w:val="30"/>
              </w:rPr>
            </w:pPr>
            <w:r>
              <w:rPr>
                <w:rFonts w:hint="eastAsia" w:ascii="仿宋" w:hAnsi="仿宋" w:eastAsia="仿宋" w:cs="仿宋"/>
                <w:kern w:val="21"/>
                <w:sz w:val="30"/>
                <w:szCs w:val="30"/>
              </w:rPr>
              <w:t>采购人</w:t>
            </w:r>
          </w:p>
        </w:tc>
        <w:tc>
          <w:tcPr>
            <w:tcW w:w="306" w:type="dxa"/>
            <w:vAlign w:val="center"/>
          </w:tcPr>
          <w:p>
            <w:pPr>
              <w:snapToGrid w:val="0"/>
              <w:jc w:val="distribute"/>
              <w:rPr>
                <w:rFonts w:ascii="仿宋" w:hAnsi="仿宋" w:eastAsia="仿宋" w:cs="仿宋"/>
                <w:kern w:val="21"/>
                <w:sz w:val="30"/>
                <w:szCs w:val="30"/>
              </w:rPr>
            </w:pPr>
            <w:r>
              <w:rPr>
                <w:rFonts w:hint="eastAsia" w:ascii="仿宋" w:hAnsi="仿宋" w:eastAsia="仿宋" w:cs="仿宋"/>
                <w:kern w:val="21"/>
                <w:sz w:val="30"/>
                <w:szCs w:val="30"/>
              </w:rPr>
              <w:t>:</w:t>
            </w:r>
          </w:p>
        </w:tc>
        <w:tc>
          <w:tcPr>
            <w:tcW w:w="4919" w:type="dxa"/>
            <w:vAlign w:val="center"/>
          </w:tcPr>
          <w:p>
            <w:pPr>
              <w:snapToGrid w:val="0"/>
              <w:ind w:right="-477" w:rightChars="-227"/>
              <w:jc w:val="both"/>
              <w:rPr>
                <w:rFonts w:hint="eastAsia" w:ascii="仿宋" w:hAnsi="仿宋" w:eastAsia="仿宋" w:cs="仿宋"/>
                <w:kern w:val="21"/>
                <w:sz w:val="30"/>
                <w:szCs w:val="30"/>
                <w:lang w:eastAsia="zh-CN"/>
              </w:rPr>
            </w:pPr>
            <w:r>
              <w:rPr>
                <w:rFonts w:hint="eastAsia" w:ascii="仿宋" w:hAnsi="仿宋" w:eastAsia="仿宋" w:cs="仿宋"/>
                <w:kern w:val="21"/>
                <w:sz w:val="30"/>
                <w:szCs w:val="30"/>
                <w:lang w:eastAsia="zh-CN"/>
              </w:rPr>
              <w:t>乌鲁木齐市天山区机关事务管理中心</w:t>
            </w:r>
          </w:p>
        </w:tc>
      </w:tr>
      <w:tr>
        <w:tblPrEx>
          <w:tblCellMar>
            <w:top w:w="0" w:type="dxa"/>
            <w:left w:w="57" w:type="dxa"/>
            <w:bottom w:w="0" w:type="dxa"/>
            <w:right w:w="57" w:type="dxa"/>
          </w:tblCellMar>
        </w:tblPrEx>
        <w:trPr>
          <w:trHeight w:val="297" w:hRule="atLeast"/>
          <w:jc w:val="center"/>
        </w:trPr>
        <w:tc>
          <w:tcPr>
            <w:tcW w:w="2032" w:type="dxa"/>
            <w:vAlign w:val="center"/>
          </w:tcPr>
          <w:p>
            <w:pPr>
              <w:snapToGrid w:val="0"/>
              <w:jc w:val="distribute"/>
              <w:rPr>
                <w:rFonts w:ascii="仿宋" w:hAnsi="仿宋" w:eastAsia="仿宋" w:cs="仿宋"/>
                <w:kern w:val="21"/>
                <w:szCs w:val="21"/>
              </w:rPr>
            </w:pPr>
          </w:p>
        </w:tc>
        <w:tc>
          <w:tcPr>
            <w:tcW w:w="306" w:type="dxa"/>
            <w:vAlign w:val="center"/>
          </w:tcPr>
          <w:p>
            <w:pPr>
              <w:snapToGrid w:val="0"/>
              <w:jc w:val="distribute"/>
              <w:rPr>
                <w:rFonts w:ascii="仿宋" w:hAnsi="仿宋" w:eastAsia="仿宋" w:cs="仿宋"/>
                <w:kern w:val="21"/>
                <w:szCs w:val="21"/>
              </w:rPr>
            </w:pPr>
          </w:p>
        </w:tc>
        <w:tc>
          <w:tcPr>
            <w:tcW w:w="4919" w:type="dxa"/>
            <w:vAlign w:val="center"/>
          </w:tcPr>
          <w:p>
            <w:pPr>
              <w:snapToGrid w:val="0"/>
              <w:jc w:val="distribute"/>
              <w:rPr>
                <w:rFonts w:ascii="仿宋" w:hAnsi="仿宋" w:eastAsia="仿宋" w:cs="仿宋"/>
                <w:kern w:val="21"/>
                <w:szCs w:val="21"/>
              </w:rPr>
            </w:pPr>
          </w:p>
        </w:tc>
      </w:tr>
      <w:tr>
        <w:tblPrEx>
          <w:tblCellMar>
            <w:top w:w="0" w:type="dxa"/>
            <w:left w:w="57" w:type="dxa"/>
            <w:bottom w:w="0" w:type="dxa"/>
            <w:right w:w="57" w:type="dxa"/>
          </w:tblCellMar>
        </w:tblPrEx>
        <w:trPr>
          <w:trHeight w:val="680" w:hRule="atLeast"/>
          <w:jc w:val="center"/>
        </w:trPr>
        <w:tc>
          <w:tcPr>
            <w:tcW w:w="2032" w:type="dxa"/>
            <w:vAlign w:val="center"/>
          </w:tcPr>
          <w:p>
            <w:pPr>
              <w:snapToGrid w:val="0"/>
              <w:jc w:val="distribute"/>
              <w:rPr>
                <w:rFonts w:ascii="仿宋" w:hAnsi="仿宋" w:eastAsia="仿宋" w:cs="仿宋"/>
                <w:kern w:val="21"/>
                <w:sz w:val="30"/>
                <w:szCs w:val="30"/>
              </w:rPr>
            </w:pPr>
            <w:r>
              <w:rPr>
                <w:rFonts w:hint="eastAsia" w:ascii="仿宋" w:hAnsi="仿宋" w:eastAsia="仿宋" w:cs="仿宋"/>
                <w:kern w:val="21"/>
                <w:sz w:val="30"/>
                <w:szCs w:val="30"/>
              </w:rPr>
              <w:t>采购代理机构</w:t>
            </w:r>
          </w:p>
        </w:tc>
        <w:tc>
          <w:tcPr>
            <w:tcW w:w="306" w:type="dxa"/>
            <w:vAlign w:val="center"/>
          </w:tcPr>
          <w:p>
            <w:pPr>
              <w:snapToGrid w:val="0"/>
              <w:jc w:val="distribute"/>
              <w:rPr>
                <w:rFonts w:ascii="仿宋" w:hAnsi="仿宋" w:eastAsia="仿宋" w:cs="仿宋"/>
                <w:kern w:val="21"/>
                <w:sz w:val="30"/>
                <w:szCs w:val="30"/>
              </w:rPr>
            </w:pPr>
            <w:r>
              <w:rPr>
                <w:rFonts w:hint="eastAsia" w:ascii="仿宋" w:hAnsi="仿宋" w:eastAsia="仿宋" w:cs="仿宋"/>
                <w:kern w:val="21"/>
                <w:sz w:val="30"/>
                <w:szCs w:val="30"/>
              </w:rPr>
              <w:t>:</w:t>
            </w:r>
          </w:p>
        </w:tc>
        <w:tc>
          <w:tcPr>
            <w:tcW w:w="4919" w:type="dxa"/>
            <w:vAlign w:val="center"/>
          </w:tcPr>
          <w:p>
            <w:pPr>
              <w:snapToGrid w:val="0"/>
              <w:jc w:val="distribute"/>
              <w:rPr>
                <w:rFonts w:ascii="仿宋" w:hAnsi="仿宋" w:eastAsia="仿宋" w:cs="仿宋"/>
                <w:kern w:val="21"/>
                <w:sz w:val="30"/>
                <w:szCs w:val="30"/>
              </w:rPr>
            </w:pPr>
            <w:r>
              <w:rPr>
                <w:rFonts w:hint="eastAsia" w:ascii="仿宋" w:hAnsi="仿宋" w:eastAsia="仿宋" w:cs="仿宋"/>
                <w:kern w:val="21"/>
                <w:sz w:val="30"/>
                <w:szCs w:val="30"/>
              </w:rPr>
              <w:t>新疆正禾招投标有限公司</w:t>
            </w:r>
          </w:p>
        </w:tc>
      </w:tr>
      <w:tr>
        <w:tblPrEx>
          <w:tblCellMar>
            <w:top w:w="0" w:type="dxa"/>
            <w:left w:w="57" w:type="dxa"/>
            <w:bottom w:w="0" w:type="dxa"/>
            <w:right w:w="57" w:type="dxa"/>
          </w:tblCellMar>
        </w:tblPrEx>
        <w:trPr>
          <w:trHeight w:val="680" w:hRule="atLeast"/>
          <w:jc w:val="center"/>
        </w:trPr>
        <w:tc>
          <w:tcPr>
            <w:tcW w:w="7257" w:type="dxa"/>
            <w:gridSpan w:val="3"/>
            <w:vAlign w:val="center"/>
          </w:tcPr>
          <w:p>
            <w:pPr>
              <w:snapToGrid w:val="0"/>
              <w:jc w:val="center"/>
              <w:rPr>
                <w:rFonts w:ascii="仿宋" w:hAnsi="仿宋" w:eastAsia="仿宋" w:cs="仿宋"/>
                <w:kern w:val="21"/>
                <w:sz w:val="30"/>
                <w:szCs w:val="30"/>
              </w:rPr>
            </w:pPr>
            <w:r>
              <w:rPr>
                <w:rFonts w:hint="eastAsia" w:ascii="仿宋" w:hAnsi="仿宋" w:eastAsia="仿宋" w:cs="仿宋"/>
                <w:kern w:val="21"/>
                <w:sz w:val="30"/>
                <w:szCs w:val="30"/>
              </w:rPr>
              <w:t>2023年</w:t>
            </w:r>
            <w:r>
              <w:rPr>
                <w:rFonts w:hint="eastAsia" w:ascii="仿宋" w:hAnsi="仿宋" w:eastAsia="仿宋" w:cs="仿宋"/>
                <w:kern w:val="21"/>
                <w:sz w:val="30"/>
                <w:szCs w:val="30"/>
                <w:lang w:val="en-US" w:eastAsia="zh-CN"/>
              </w:rPr>
              <w:t>8</w:t>
            </w:r>
            <w:r>
              <w:rPr>
                <w:rFonts w:hint="eastAsia" w:ascii="仿宋" w:hAnsi="仿宋" w:eastAsia="仿宋" w:cs="仿宋"/>
                <w:kern w:val="21"/>
                <w:sz w:val="30"/>
                <w:szCs w:val="30"/>
              </w:rPr>
              <w:t>月</w:t>
            </w:r>
          </w:p>
        </w:tc>
      </w:tr>
    </w:tbl>
    <w:p>
      <w:pPr>
        <w:snapToGrid w:val="0"/>
        <w:spacing w:line="360" w:lineRule="auto"/>
        <w:jc w:val="center"/>
        <w:rPr>
          <w:rFonts w:ascii="仿宋_GB2312" w:hAnsi="仿宋_GB2312" w:eastAsia="仿宋_GB2312" w:cs="仿宋_GB2312"/>
          <w:bCs/>
          <w:sz w:val="32"/>
          <w:szCs w:val="32"/>
        </w:rPr>
      </w:pPr>
    </w:p>
    <w:p>
      <w:pPr>
        <w:tabs>
          <w:tab w:val="left" w:pos="2268"/>
        </w:tabs>
        <w:spacing w:line="360" w:lineRule="auto"/>
        <w:jc w:val="center"/>
        <w:rPr>
          <w:rFonts w:ascii="仿宋_GB2312" w:hAnsi="仿宋_GB2312" w:eastAsia="仿宋_GB2312" w:cs="仿宋_GB2312"/>
          <w:sz w:val="24"/>
        </w:rPr>
        <w:sectPr>
          <w:headerReference r:id="rId4" w:type="first"/>
          <w:footerReference r:id="rId7" w:type="first"/>
          <w:headerReference r:id="rId3" w:type="default"/>
          <w:footerReference r:id="rId5" w:type="default"/>
          <w:footerReference r:id="rId6" w:type="even"/>
          <w:pgSz w:w="11906" w:h="16838"/>
          <w:pgMar w:top="1174" w:right="1418" w:bottom="1151" w:left="1418" w:header="851" w:footer="992" w:gutter="0"/>
          <w:cols w:space="720" w:num="1"/>
          <w:titlePg/>
          <w:docGrid w:linePitch="312" w:charSpace="0"/>
        </w:sectPr>
      </w:pPr>
    </w:p>
    <w:p>
      <w:pPr>
        <w:pStyle w:val="3"/>
      </w:pPr>
    </w:p>
    <w:sdt>
      <w:sdtPr>
        <w:rPr>
          <w:rFonts w:ascii="宋体" w:hAnsi="宋体"/>
        </w:rPr>
        <w:id w:val="147458442"/>
        <w15:color w:val="DBDBDB"/>
        <w:docPartObj>
          <w:docPartGallery w:val="Table of Contents"/>
          <w:docPartUnique/>
        </w:docPartObj>
      </w:sdtPr>
      <w:sdtEndPr>
        <w:rPr>
          <w:rFonts w:ascii="仿宋_GB2312" w:hAnsi="仿宋_GB2312" w:eastAsia="仿宋_GB2312" w:cs="仿宋_GB2312"/>
          <w:sz w:val="24"/>
        </w:rPr>
      </w:sdtEndPr>
      <w:sdtContent>
        <w:p>
          <w:pPr>
            <w:spacing w:line="312" w:lineRule="auto"/>
            <w:jc w:val="center"/>
            <w:rPr>
              <w:rFonts w:ascii="仿宋" w:hAnsi="仿宋" w:eastAsia="仿宋" w:cs="仿宋"/>
              <w:b/>
              <w:bCs/>
              <w:sz w:val="24"/>
            </w:rPr>
          </w:pPr>
          <w:bookmarkStart w:id="1" w:name="_Toc91899869"/>
          <w:r>
            <w:rPr>
              <w:rFonts w:hint="eastAsia" w:ascii="仿宋" w:hAnsi="仿宋" w:eastAsia="仿宋" w:cs="仿宋"/>
              <w:b/>
              <w:bCs/>
              <w:sz w:val="24"/>
            </w:rPr>
            <w:t>目   录</w:t>
          </w:r>
        </w:p>
        <w:p>
          <w:pPr>
            <w:pStyle w:val="42"/>
            <w:tabs>
              <w:tab w:val="right" w:leader="dot" w:pos="9070"/>
            </w:tabs>
            <w:spacing w:line="312" w:lineRule="auto"/>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TOC \o "1-1" \h \u </w:instrText>
          </w:r>
          <w:r>
            <w:rPr>
              <w:rFonts w:hint="eastAsia" w:ascii="仿宋" w:hAnsi="仿宋" w:eastAsia="仿宋" w:cs="仿宋"/>
              <w:sz w:val="24"/>
            </w:rPr>
            <w:fldChar w:fldCharType="separate"/>
          </w:r>
          <w:r>
            <w:fldChar w:fldCharType="begin"/>
          </w:r>
          <w:r>
            <w:instrText xml:space="preserve"> HYPERLINK \l "_Toc3829" </w:instrText>
          </w:r>
          <w:r>
            <w:fldChar w:fldCharType="separate"/>
          </w:r>
          <w:r>
            <w:rPr>
              <w:rFonts w:hint="eastAsia" w:ascii="仿宋" w:hAnsi="仿宋" w:eastAsia="仿宋" w:cs="仿宋"/>
              <w:sz w:val="24"/>
            </w:rPr>
            <w:t>第一部分  邀请供应商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_Toc3829 \h </w:instrText>
          </w:r>
          <w:r>
            <w:rPr>
              <w:rFonts w:hint="eastAsia" w:ascii="仿宋" w:hAnsi="仿宋" w:eastAsia="仿宋" w:cs="仿宋"/>
              <w:sz w:val="24"/>
            </w:rPr>
            <w:fldChar w:fldCharType="separate"/>
          </w:r>
          <w:r>
            <w:rPr>
              <w:rFonts w:hint="eastAsia" w:ascii="仿宋" w:hAnsi="仿宋" w:eastAsia="仿宋" w:cs="仿宋"/>
              <w:sz w:val="24"/>
            </w:rPr>
            <w:t>4</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"_Toc23245" </w:instrText>
          </w:r>
          <w:r>
            <w:fldChar w:fldCharType="separate"/>
          </w:r>
          <w:r>
            <w:rPr>
              <w:rFonts w:hint="eastAsia" w:ascii="仿宋" w:hAnsi="仿宋" w:eastAsia="仿宋" w:cs="仿宋"/>
              <w:sz w:val="24"/>
            </w:rPr>
            <w:t>竞争性磋商邀请公告</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_Toc23245 \h </w:instrText>
          </w:r>
          <w:r>
            <w:rPr>
              <w:rFonts w:hint="eastAsia" w:ascii="仿宋" w:hAnsi="仿宋" w:eastAsia="仿宋" w:cs="仿宋"/>
              <w:sz w:val="24"/>
            </w:rPr>
            <w:fldChar w:fldCharType="separate"/>
          </w:r>
          <w:r>
            <w:rPr>
              <w:rFonts w:hint="eastAsia" w:ascii="仿宋" w:hAnsi="仿宋" w:eastAsia="仿宋" w:cs="仿宋"/>
              <w:sz w:val="24"/>
            </w:rPr>
            <w:t>4</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"_Toc1370" </w:instrText>
          </w:r>
          <w:r>
            <w:fldChar w:fldCharType="separate"/>
          </w:r>
          <w:r>
            <w:rPr>
              <w:rFonts w:hint="eastAsia" w:ascii="仿宋" w:hAnsi="仿宋" w:eastAsia="仿宋" w:cs="仿宋"/>
              <w:sz w:val="24"/>
            </w:rPr>
            <w:t>第二部分 竞争性磋商流程</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_Toc1370 \h </w:instrText>
          </w:r>
          <w:r>
            <w:rPr>
              <w:rFonts w:hint="eastAsia" w:ascii="仿宋" w:hAnsi="仿宋" w:eastAsia="仿宋" w:cs="仿宋"/>
              <w:sz w:val="24"/>
            </w:rPr>
            <w:fldChar w:fldCharType="separate"/>
          </w:r>
          <w:r>
            <w:rPr>
              <w:rFonts w:hint="eastAsia" w:ascii="仿宋" w:hAnsi="仿宋" w:eastAsia="仿宋" w:cs="仿宋"/>
              <w:sz w:val="24"/>
            </w:rPr>
            <w:t>7</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"_Toc3754" </w:instrText>
          </w:r>
          <w:r>
            <w:fldChar w:fldCharType="separate"/>
          </w:r>
          <w:r>
            <w:rPr>
              <w:rFonts w:hint="eastAsia" w:ascii="仿宋" w:hAnsi="仿宋" w:eastAsia="仿宋" w:cs="仿宋"/>
              <w:sz w:val="24"/>
            </w:rPr>
            <w:t>第三部分  供应商须知</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_Toc3754 \h </w:instrText>
          </w:r>
          <w:r>
            <w:rPr>
              <w:rFonts w:hint="eastAsia" w:ascii="仿宋" w:hAnsi="仿宋" w:eastAsia="仿宋" w:cs="仿宋"/>
              <w:sz w:val="24"/>
            </w:rPr>
            <w:fldChar w:fldCharType="separate"/>
          </w:r>
          <w:r>
            <w:rPr>
              <w:rFonts w:hint="eastAsia" w:ascii="仿宋" w:hAnsi="仿宋" w:eastAsia="仿宋" w:cs="仿宋"/>
              <w:sz w:val="24"/>
            </w:rPr>
            <w:t>12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"_Toc32324" </w:instrText>
          </w:r>
          <w:r>
            <w:fldChar w:fldCharType="separate"/>
          </w:r>
          <w:r>
            <w:rPr>
              <w:rFonts w:hint="eastAsia" w:ascii="仿宋" w:hAnsi="仿宋" w:eastAsia="仿宋" w:cs="仿宋"/>
              <w:sz w:val="24"/>
            </w:rPr>
            <w:t>一、前附表</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_Toc32324 \h </w:instrText>
          </w:r>
          <w:r>
            <w:rPr>
              <w:rFonts w:hint="eastAsia" w:ascii="仿宋" w:hAnsi="仿宋" w:eastAsia="仿宋" w:cs="仿宋"/>
              <w:sz w:val="24"/>
            </w:rPr>
            <w:fldChar w:fldCharType="separate"/>
          </w:r>
          <w:r>
            <w:rPr>
              <w:rFonts w:hint="eastAsia" w:ascii="仿宋" w:hAnsi="仿宋" w:eastAsia="仿宋" w:cs="仿宋"/>
              <w:sz w:val="24"/>
            </w:rPr>
            <w:t>12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"_Toc22917" </w:instrText>
          </w:r>
          <w:r>
            <w:fldChar w:fldCharType="separate"/>
          </w:r>
          <w:r>
            <w:rPr>
              <w:rFonts w:hint="eastAsia" w:ascii="仿宋" w:hAnsi="仿宋" w:eastAsia="仿宋" w:cs="仿宋"/>
              <w:sz w:val="24"/>
            </w:rPr>
            <w:t>二、总则</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_Toc22917 \h </w:instrText>
          </w:r>
          <w:r>
            <w:rPr>
              <w:rFonts w:hint="eastAsia" w:ascii="仿宋" w:hAnsi="仿宋" w:eastAsia="仿宋" w:cs="仿宋"/>
              <w:sz w:val="24"/>
            </w:rPr>
            <w:fldChar w:fldCharType="separate"/>
          </w:r>
          <w:r>
            <w:rPr>
              <w:rFonts w:hint="eastAsia" w:ascii="仿宋" w:hAnsi="仿宋" w:eastAsia="仿宋" w:cs="仿宋"/>
              <w:sz w:val="24"/>
            </w:rPr>
            <w:t>19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"_Toc9095" </w:instrText>
          </w:r>
          <w:r>
            <w:fldChar w:fldCharType="separate"/>
          </w:r>
          <w:r>
            <w:rPr>
              <w:rFonts w:hint="eastAsia" w:ascii="仿宋" w:hAnsi="仿宋" w:eastAsia="仿宋" w:cs="仿宋"/>
              <w:sz w:val="24"/>
            </w:rPr>
            <w:t>三、磋商文件构成、修改、解释</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_Toc9095 \h </w:instrText>
          </w:r>
          <w:r>
            <w:rPr>
              <w:rFonts w:hint="eastAsia" w:ascii="仿宋" w:hAnsi="仿宋" w:eastAsia="仿宋" w:cs="仿宋"/>
              <w:sz w:val="24"/>
            </w:rPr>
            <w:fldChar w:fldCharType="separate"/>
          </w:r>
          <w:r>
            <w:rPr>
              <w:rFonts w:hint="eastAsia" w:ascii="仿宋" w:hAnsi="仿宋" w:eastAsia="仿宋" w:cs="仿宋"/>
              <w:sz w:val="24"/>
            </w:rPr>
            <w:t>23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"_Toc25694" </w:instrText>
          </w:r>
          <w:r>
            <w:fldChar w:fldCharType="separate"/>
          </w:r>
          <w:r>
            <w:rPr>
              <w:rFonts w:hint="eastAsia" w:ascii="仿宋" w:hAnsi="仿宋" w:eastAsia="仿宋" w:cs="仿宋"/>
              <w:sz w:val="24"/>
            </w:rPr>
            <w:t>四、响应文件的编制</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_Toc25694 \h </w:instrText>
          </w:r>
          <w:r>
            <w:rPr>
              <w:rFonts w:hint="eastAsia" w:ascii="仿宋" w:hAnsi="仿宋" w:eastAsia="仿宋" w:cs="仿宋"/>
              <w:sz w:val="24"/>
            </w:rPr>
            <w:fldChar w:fldCharType="separate"/>
          </w:r>
          <w:r>
            <w:rPr>
              <w:rFonts w:hint="eastAsia" w:ascii="仿宋" w:hAnsi="仿宋" w:eastAsia="仿宋" w:cs="仿宋"/>
              <w:sz w:val="24"/>
            </w:rPr>
            <w:t>24</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"_Toc28341" </w:instrText>
          </w:r>
          <w:r>
            <w:fldChar w:fldCharType="separate"/>
          </w:r>
          <w:r>
            <w:rPr>
              <w:rFonts w:hint="eastAsia" w:ascii="仿宋" w:hAnsi="仿宋" w:eastAsia="仿宋" w:cs="仿宋"/>
              <w:sz w:val="24"/>
            </w:rPr>
            <w:t>五、响应文件的提交和备份</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_Toc28341 \h </w:instrText>
          </w:r>
          <w:r>
            <w:rPr>
              <w:rFonts w:hint="eastAsia" w:ascii="仿宋" w:hAnsi="仿宋" w:eastAsia="仿宋" w:cs="仿宋"/>
              <w:sz w:val="24"/>
            </w:rPr>
            <w:fldChar w:fldCharType="separate"/>
          </w:r>
          <w:r>
            <w:rPr>
              <w:rFonts w:hint="eastAsia" w:ascii="仿宋" w:hAnsi="仿宋" w:eastAsia="仿宋" w:cs="仿宋"/>
              <w:sz w:val="24"/>
            </w:rPr>
            <w:t>26</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"_Toc11464" </w:instrText>
          </w:r>
          <w:r>
            <w:fldChar w:fldCharType="separate"/>
          </w:r>
          <w:r>
            <w:rPr>
              <w:rFonts w:hint="eastAsia" w:ascii="仿宋" w:hAnsi="仿宋" w:eastAsia="仿宋" w:cs="仿宋"/>
              <w:sz w:val="24"/>
            </w:rPr>
            <w:t>六、开启响应文件、资格审查与信用信息查询</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_Toc11464 \h </w:instrText>
          </w:r>
          <w:r>
            <w:rPr>
              <w:rFonts w:hint="eastAsia" w:ascii="仿宋" w:hAnsi="仿宋" w:eastAsia="仿宋" w:cs="仿宋"/>
              <w:sz w:val="24"/>
            </w:rPr>
            <w:fldChar w:fldCharType="separate"/>
          </w:r>
          <w:r>
            <w:rPr>
              <w:rFonts w:hint="eastAsia" w:ascii="仿宋" w:hAnsi="仿宋" w:eastAsia="仿宋" w:cs="仿宋"/>
              <w:sz w:val="24"/>
            </w:rPr>
            <w:t>27</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"_Toc20533" </w:instrText>
          </w:r>
          <w:r>
            <w:fldChar w:fldCharType="separate"/>
          </w:r>
          <w:r>
            <w:rPr>
              <w:rFonts w:hint="eastAsia" w:ascii="仿宋" w:hAnsi="仿宋" w:eastAsia="仿宋" w:cs="仿宋"/>
              <w:sz w:val="24"/>
            </w:rPr>
            <w:t>七、提交最后报价</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_Toc20533 \h </w:instrText>
          </w:r>
          <w:r>
            <w:rPr>
              <w:rFonts w:hint="eastAsia" w:ascii="仿宋" w:hAnsi="仿宋" w:eastAsia="仿宋" w:cs="仿宋"/>
              <w:sz w:val="24"/>
            </w:rPr>
            <w:fldChar w:fldCharType="separate"/>
          </w:r>
          <w:r>
            <w:rPr>
              <w:rFonts w:hint="eastAsia" w:ascii="仿宋" w:hAnsi="仿宋" w:eastAsia="仿宋" w:cs="仿宋"/>
              <w:sz w:val="24"/>
            </w:rPr>
            <w:t>31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"_Toc11819" </w:instrText>
          </w:r>
          <w:r>
            <w:fldChar w:fldCharType="separate"/>
          </w:r>
          <w:r>
            <w:rPr>
              <w:rFonts w:hint="eastAsia" w:ascii="仿宋" w:hAnsi="仿宋" w:eastAsia="仿宋" w:cs="仿宋"/>
              <w:sz w:val="24"/>
            </w:rPr>
            <w:t>八、评审</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_Toc11819 \h </w:instrText>
          </w:r>
          <w:r>
            <w:rPr>
              <w:rFonts w:hint="eastAsia" w:ascii="仿宋" w:hAnsi="仿宋" w:eastAsia="仿宋" w:cs="仿宋"/>
              <w:sz w:val="24"/>
            </w:rPr>
            <w:fldChar w:fldCharType="separate"/>
          </w:r>
          <w:r>
            <w:rPr>
              <w:rFonts w:hint="eastAsia" w:ascii="仿宋" w:hAnsi="仿宋" w:eastAsia="仿宋" w:cs="仿宋"/>
              <w:sz w:val="24"/>
            </w:rPr>
            <w:t>32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"_Toc22532" </w:instrText>
          </w:r>
          <w:r>
            <w:fldChar w:fldCharType="separate"/>
          </w:r>
          <w:r>
            <w:rPr>
              <w:rFonts w:hint="eastAsia" w:ascii="仿宋" w:hAnsi="仿宋" w:eastAsia="仿宋" w:cs="仿宋"/>
              <w:sz w:val="24"/>
            </w:rPr>
            <w:t>九、成交</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_Toc22532 \h </w:instrText>
          </w:r>
          <w:r>
            <w:rPr>
              <w:rFonts w:hint="eastAsia" w:ascii="仿宋" w:hAnsi="仿宋" w:eastAsia="仿宋" w:cs="仿宋"/>
              <w:sz w:val="24"/>
            </w:rPr>
            <w:fldChar w:fldCharType="separate"/>
          </w:r>
          <w:r>
            <w:rPr>
              <w:rFonts w:hint="eastAsia" w:ascii="仿宋" w:hAnsi="仿宋" w:eastAsia="仿宋" w:cs="仿宋"/>
              <w:sz w:val="24"/>
            </w:rPr>
            <w:t>32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"_Toc31224" </w:instrText>
          </w:r>
          <w:r>
            <w:fldChar w:fldCharType="separate"/>
          </w:r>
          <w:r>
            <w:rPr>
              <w:rFonts w:hint="eastAsia" w:ascii="仿宋" w:hAnsi="仿宋" w:eastAsia="仿宋" w:cs="仿宋"/>
              <w:sz w:val="24"/>
            </w:rPr>
            <w:t>十二、合同授予</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_Toc31224 \h </w:instrText>
          </w:r>
          <w:r>
            <w:rPr>
              <w:rFonts w:hint="eastAsia" w:ascii="仿宋" w:hAnsi="仿宋" w:eastAsia="仿宋" w:cs="仿宋"/>
              <w:sz w:val="24"/>
            </w:rPr>
            <w:fldChar w:fldCharType="separate"/>
          </w:r>
          <w:r>
            <w:rPr>
              <w:rFonts w:hint="eastAsia" w:ascii="仿宋" w:hAnsi="仿宋" w:eastAsia="仿宋" w:cs="仿宋"/>
              <w:sz w:val="24"/>
            </w:rPr>
            <w:t>33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"_Toc13710" </w:instrText>
          </w:r>
          <w:r>
            <w:fldChar w:fldCharType="separate"/>
          </w:r>
          <w:r>
            <w:rPr>
              <w:rFonts w:hint="eastAsia" w:ascii="仿宋" w:hAnsi="仿宋" w:eastAsia="仿宋" w:cs="仿宋"/>
              <w:sz w:val="24"/>
            </w:rPr>
            <w:t>十三、电子交易活动的中止</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_Toc13710 \h </w:instrText>
          </w:r>
          <w:r>
            <w:rPr>
              <w:rFonts w:hint="eastAsia" w:ascii="仿宋" w:hAnsi="仿宋" w:eastAsia="仿宋" w:cs="仿宋"/>
              <w:sz w:val="24"/>
            </w:rPr>
            <w:fldChar w:fldCharType="separate"/>
          </w:r>
          <w:r>
            <w:rPr>
              <w:rFonts w:hint="eastAsia" w:ascii="仿宋" w:hAnsi="仿宋" w:eastAsia="仿宋" w:cs="仿宋"/>
              <w:sz w:val="24"/>
            </w:rPr>
            <w:t>34</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"_Toc24231" </w:instrText>
          </w:r>
          <w:r>
            <w:fldChar w:fldCharType="separate"/>
          </w:r>
          <w:r>
            <w:rPr>
              <w:rFonts w:hint="eastAsia" w:ascii="仿宋" w:hAnsi="仿宋" w:eastAsia="仿宋" w:cs="仿宋"/>
              <w:sz w:val="24"/>
            </w:rPr>
            <w:t>十四、验收</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_Toc24231 \h </w:instrText>
          </w:r>
          <w:r>
            <w:rPr>
              <w:rFonts w:hint="eastAsia" w:ascii="仿宋" w:hAnsi="仿宋" w:eastAsia="仿宋" w:cs="仿宋"/>
              <w:sz w:val="24"/>
            </w:rPr>
            <w:fldChar w:fldCharType="separate"/>
          </w:r>
          <w:r>
            <w:rPr>
              <w:rFonts w:hint="eastAsia" w:ascii="仿宋" w:hAnsi="仿宋" w:eastAsia="仿宋" w:cs="仿宋"/>
              <w:sz w:val="24"/>
            </w:rPr>
            <w:t>34</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"_Toc20290" </w:instrText>
          </w:r>
          <w:r>
            <w:fldChar w:fldCharType="separate"/>
          </w:r>
          <w:r>
            <w:rPr>
              <w:rFonts w:hint="eastAsia" w:ascii="仿宋" w:hAnsi="仿宋" w:eastAsia="仿宋" w:cs="仿宋"/>
              <w:sz w:val="24"/>
            </w:rPr>
            <w:t>第四部分  采购需求</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_Toc20290 \h </w:instrText>
          </w:r>
          <w:r>
            <w:rPr>
              <w:rFonts w:hint="eastAsia" w:ascii="仿宋" w:hAnsi="仿宋" w:eastAsia="仿宋" w:cs="仿宋"/>
              <w:sz w:val="24"/>
            </w:rPr>
            <w:fldChar w:fldCharType="separate"/>
          </w:r>
          <w:r>
            <w:rPr>
              <w:rFonts w:hint="eastAsia" w:ascii="仿宋" w:hAnsi="仿宋" w:eastAsia="仿宋" w:cs="仿宋"/>
              <w:sz w:val="24"/>
            </w:rPr>
            <w:t>36</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"_Toc31602" </w:instrText>
          </w:r>
          <w:r>
            <w:fldChar w:fldCharType="separate"/>
          </w:r>
          <w:r>
            <w:rPr>
              <w:rFonts w:hint="eastAsia" w:ascii="仿宋" w:hAnsi="仿宋" w:eastAsia="仿宋" w:cs="仿宋"/>
              <w:sz w:val="24"/>
            </w:rPr>
            <w:t>第五部分  评审方法及评审标准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_Toc31602 \h </w:instrText>
          </w:r>
          <w:r>
            <w:rPr>
              <w:rFonts w:hint="eastAsia" w:ascii="仿宋" w:hAnsi="仿宋" w:eastAsia="仿宋" w:cs="仿宋"/>
              <w:sz w:val="24"/>
            </w:rPr>
            <w:fldChar w:fldCharType="separate"/>
          </w:r>
          <w:r>
            <w:rPr>
              <w:rFonts w:hint="eastAsia" w:ascii="仿宋" w:hAnsi="仿宋" w:eastAsia="仿宋" w:cs="仿宋"/>
              <w:sz w:val="24"/>
            </w:rPr>
            <w:t>42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"_Toc30667" </w:instrText>
          </w:r>
          <w:r>
            <w:fldChar w:fldCharType="separate"/>
          </w:r>
          <w:r>
            <w:rPr>
              <w:rFonts w:hint="eastAsia" w:ascii="仿宋" w:hAnsi="仿宋" w:eastAsia="仿宋" w:cs="仿宋"/>
              <w:sz w:val="24"/>
            </w:rPr>
            <w:t>评标办法前附表</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_Toc30667 \h </w:instrText>
          </w:r>
          <w:r>
            <w:rPr>
              <w:rFonts w:hint="eastAsia" w:ascii="仿宋" w:hAnsi="仿宋" w:eastAsia="仿宋" w:cs="仿宋"/>
              <w:sz w:val="24"/>
            </w:rPr>
            <w:fldChar w:fldCharType="separate"/>
          </w:r>
          <w:r>
            <w:rPr>
              <w:rFonts w:hint="eastAsia" w:ascii="仿宋" w:hAnsi="仿宋" w:eastAsia="仿宋" w:cs="仿宋"/>
              <w:sz w:val="24"/>
            </w:rPr>
            <w:t>42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"_Toc20273" </w:instrText>
          </w:r>
          <w:r>
            <w:fldChar w:fldCharType="separate"/>
          </w:r>
          <w:r>
            <w:rPr>
              <w:rFonts w:hint="eastAsia" w:ascii="仿宋" w:hAnsi="仿宋" w:eastAsia="仿宋" w:cs="仿宋"/>
              <w:sz w:val="24"/>
            </w:rPr>
            <w:t>一、 评审方法</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_Toc20273 \h </w:instrText>
          </w:r>
          <w:r>
            <w:rPr>
              <w:rFonts w:hint="eastAsia" w:ascii="仿宋" w:hAnsi="仿宋" w:eastAsia="仿宋" w:cs="仿宋"/>
              <w:sz w:val="24"/>
            </w:rPr>
            <w:fldChar w:fldCharType="separate"/>
          </w:r>
          <w:r>
            <w:rPr>
              <w:rFonts w:hint="eastAsia" w:ascii="仿宋" w:hAnsi="仿宋" w:eastAsia="仿宋" w:cs="仿宋"/>
              <w:sz w:val="24"/>
            </w:rPr>
            <w:t>46</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"_Toc13850" </w:instrText>
          </w:r>
          <w:r>
            <w:fldChar w:fldCharType="separate"/>
          </w:r>
          <w:r>
            <w:rPr>
              <w:rFonts w:hint="eastAsia" w:ascii="仿宋" w:hAnsi="仿宋" w:eastAsia="仿宋" w:cs="仿宋"/>
              <w:sz w:val="24"/>
            </w:rPr>
            <w:t>二、 评标标准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_Toc13850 \h </w:instrText>
          </w:r>
          <w:r>
            <w:rPr>
              <w:rFonts w:hint="eastAsia" w:ascii="仿宋" w:hAnsi="仿宋" w:eastAsia="仿宋" w:cs="仿宋"/>
              <w:sz w:val="24"/>
            </w:rPr>
            <w:fldChar w:fldCharType="separate"/>
          </w:r>
          <w:r>
            <w:rPr>
              <w:rFonts w:hint="eastAsia" w:ascii="仿宋" w:hAnsi="仿宋" w:eastAsia="仿宋" w:cs="仿宋"/>
              <w:sz w:val="24"/>
            </w:rPr>
            <w:t>46</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"_Toc704" </w:instrText>
          </w:r>
          <w:r>
            <w:fldChar w:fldCharType="separate"/>
          </w:r>
          <w:r>
            <w:rPr>
              <w:rFonts w:hint="eastAsia" w:ascii="仿宋" w:hAnsi="仿宋" w:eastAsia="仿宋" w:cs="仿宋"/>
              <w:sz w:val="24"/>
            </w:rPr>
            <w:t>三、 磋商小组的组成</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_Toc704 \h </w:instrText>
          </w:r>
          <w:r>
            <w:rPr>
              <w:rFonts w:hint="eastAsia" w:ascii="仿宋" w:hAnsi="仿宋" w:eastAsia="仿宋" w:cs="仿宋"/>
              <w:sz w:val="24"/>
            </w:rPr>
            <w:fldChar w:fldCharType="separate"/>
          </w:r>
          <w:r>
            <w:rPr>
              <w:rFonts w:hint="eastAsia" w:ascii="仿宋" w:hAnsi="仿宋" w:eastAsia="仿宋" w:cs="仿宋"/>
              <w:sz w:val="24"/>
            </w:rPr>
            <w:t>46</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"_Toc32413" </w:instrText>
          </w:r>
          <w:r>
            <w:fldChar w:fldCharType="separate"/>
          </w:r>
          <w:r>
            <w:rPr>
              <w:rFonts w:hint="eastAsia" w:ascii="仿宋" w:hAnsi="仿宋" w:eastAsia="仿宋" w:cs="仿宋"/>
              <w:sz w:val="24"/>
            </w:rPr>
            <w:t>四、 磋商小组的职责</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_Toc32413 \h </w:instrText>
          </w:r>
          <w:r>
            <w:rPr>
              <w:rFonts w:hint="eastAsia" w:ascii="仿宋" w:hAnsi="仿宋" w:eastAsia="仿宋" w:cs="仿宋"/>
              <w:sz w:val="24"/>
            </w:rPr>
            <w:fldChar w:fldCharType="separate"/>
          </w:r>
          <w:r>
            <w:rPr>
              <w:rFonts w:hint="eastAsia" w:ascii="仿宋" w:hAnsi="仿宋" w:eastAsia="仿宋" w:cs="仿宋"/>
              <w:sz w:val="24"/>
            </w:rPr>
            <w:t>46</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"_Toc29645" </w:instrText>
          </w:r>
          <w:r>
            <w:fldChar w:fldCharType="separate"/>
          </w:r>
          <w:r>
            <w:rPr>
              <w:rFonts w:hint="eastAsia" w:ascii="仿宋" w:hAnsi="仿宋" w:eastAsia="仿宋" w:cs="仿宋"/>
              <w:sz w:val="24"/>
            </w:rPr>
            <w:t>五、 评审程序</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_Toc29645 \h </w:instrText>
          </w:r>
          <w:r>
            <w:rPr>
              <w:rFonts w:hint="eastAsia" w:ascii="仿宋" w:hAnsi="仿宋" w:eastAsia="仿宋" w:cs="仿宋"/>
              <w:sz w:val="24"/>
            </w:rPr>
            <w:fldChar w:fldCharType="separate"/>
          </w:r>
          <w:r>
            <w:rPr>
              <w:rFonts w:hint="eastAsia" w:ascii="仿宋" w:hAnsi="仿宋" w:eastAsia="仿宋" w:cs="仿宋"/>
              <w:sz w:val="24"/>
            </w:rPr>
            <w:t>47</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"_Toc28505" </w:instrText>
          </w:r>
          <w:r>
            <w:fldChar w:fldCharType="separate"/>
          </w:r>
          <w:r>
            <w:rPr>
              <w:rFonts w:hint="eastAsia" w:ascii="仿宋" w:hAnsi="仿宋" w:eastAsia="仿宋" w:cs="仿宋"/>
              <w:sz w:val="24"/>
            </w:rPr>
            <w:t>六、 评标中的其他事项</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_Toc28505 \h </w:instrText>
          </w:r>
          <w:r>
            <w:rPr>
              <w:rFonts w:hint="eastAsia" w:ascii="仿宋" w:hAnsi="仿宋" w:eastAsia="仿宋" w:cs="仿宋"/>
              <w:sz w:val="24"/>
            </w:rPr>
            <w:fldChar w:fldCharType="separate"/>
          </w:r>
          <w:r>
            <w:rPr>
              <w:rFonts w:hint="eastAsia" w:ascii="仿宋" w:hAnsi="仿宋" w:eastAsia="仿宋" w:cs="仿宋"/>
              <w:sz w:val="24"/>
            </w:rPr>
            <w:t>47</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"_Toc27407" </w:instrText>
          </w:r>
          <w:r>
            <w:fldChar w:fldCharType="separate"/>
          </w:r>
          <w:r>
            <w:rPr>
              <w:rFonts w:hint="eastAsia" w:ascii="仿宋" w:hAnsi="仿宋" w:eastAsia="仿宋" w:cs="仿宋"/>
              <w:sz w:val="24"/>
            </w:rPr>
            <w:t>七、 评审过程的保密与录像</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_Toc27407 \h </w:instrText>
          </w:r>
          <w:r>
            <w:rPr>
              <w:rFonts w:hint="eastAsia" w:ascii="仿宋" w:hAnsi="仿宋" w:eastAsia="仿宋" w:cs="仿宋"/>
              <w:sz w:val="24"/>
            </w:rPr>
            <w:fldChar w:fldCharType="separate"/>
          </w:r>
          <w:r>
            <w:rPr>
              <w:rFonts w:hint="eastAsia" w:ascii="仿宋" w:hAnsi="仿宋" w:eastAsia="仿宋" w:cs="仿宋"/>
              <w:sz w:val="24"/>
            </w:rPr>
            <w:t>49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"_Toc28107" </w:instrText>
          </w:r>
          <w:r>
            <w:fldChar w:fldCharType="separate"/>
          </w:r>
          <w:r>
            <w:rPr>
              <w:rFonts w:hint="eastAsia" w:ascii="仿宋" w:hAnsi="仿宋" w:eastAsia="仿宋" w:cs="仿宋"/>
              <w:sz w:val="24"/>
            </w:rPr>
            <w:t>第六部分  拟签订的合同文本</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_Toc28107 \h </w:instrText>
          </w:r>
          <w:r>
            <w:rPr>
              <w:rFonts w:hint="eastAsia" w:ascii="仿宋" w:hAnsi="仿宋" w:eastAsia="仿宋" w:cs="仿宋"/>
              <w:sz w:val="24"/>
            </w:rPr>
            <w:fldChar w:fldCharType="separate"/>
          </w:r>
          <w:r>
            <w:rPr>
              <w:rFonts w:hint="eastAsia" w:ascii="仿宋" w:hAnsi="仿宋" w:eastAsia="仿宋" w:cs="仿宋"/>
              <w:sz w:val="24"/>
            </w:rPr>
            <w:t>51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"_Toc303" </w:instrText>
          </w:r>
          <w:r>
            <w:fldChar w:fldCharType="separate"/>
          </w:r>
          <w:r>
            <w:rPr>
              <w:rFonts w:hint="eastAsia" w:ascii="仿宋" w:hAnsi="仿宋" w:eastAsia="仿宋" w:cs="仿宋"/>
              <w:sz w:val="24"/>
            </w:rPr>
            <w:t>第七部分  应提交的有关格式范例</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_Toc303 \h </w:instrText>
          </w:r>
          <w:r>
            <w:rPr>
              <w:rFonts w:hint="eastAsia" w:ascii="仿宋" w:hAnsi="仿宋" w:eastAsia="仿宋" w:cs="仿宋"/>
              <w:sz w:val="24"/>
            </w:rPr>
            <w:fldChar w:fldCharType="separate"/>
          </w:r>
          <w:r>
            <w:rPr>
              <w:rFonts w:hint="eastAsia" w:ascii="仿宋" w:hAnsi="仿宋" w:eastAsia="仿宋" w:cs="仿宋"/>
              <w:sz w:val="24"/>
            </w:rPr>
            <w:t>83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"_Toc15534" </w:instrText>
          </w:r>
          <w:r>
            <w:fldChar w:fldCharType="separate"/>
          </w:r>
          <w:r>
            <w:rPr>
              <w:rFonts w:hint="eastAsia" w:ascii="仿宋" w:hAnsi="仿宋" w:eastAsia="仿宋" w:cs="仿宋"/>
              <w:kern w:val="0"/>
              <w:sz w:val="24"/>
            </w:rPr>
            <w:t>资格文件部分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_Toc15534 \h </w:instrText>
          </w:r>
          <w:r>
            <w:rPr>
              <w:rFonts w:hint="eastAsia" w:ascii="仿宋" w:hAnsi="仿宋" w:eastAsia="仿宋" w:cs="仿宋"/>
              <w:sz w:val="24"/>
            </w:rPr>
            <w:fldChar w:fldCharType="separate"/>
          </w:r>
          <w:r>
            <w:rPr>
              <w:rFonts w:hint="eastAsia" w:ascii="仿宋" w:hAnsi="仿宋" w:eastAsia="仿宋" w:cs="仿宋"/>
              <w:sz w:val="24"/>
            </w:rPr>
            <w:t>83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"_Toc4067" </w:instrText>
          </w:r>
          <w:r>
            <w:fldChar w:fldCharType="separate"/>
          </w:r>
          <w:r>
            <w:rPr>
              <w:rFonts w:hint="eastAsia" w:ascii="仿宋" w:hAnsi="仿宋" w:eastAsia="仿宋" w:cs="仿宋"/>
              <w:kern w:val="0"/>
              <w:sz w:val="24"/>
            </w:rPr>
            <w:t>商务技术文件部分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_Toc4067 \h </w:instrText>
          </w:r>
          <w:r>
            <w:rPr>
              <w:rFonts w:hint="eastAsia" w:ascii="仿宋" w:hAnsi="仿宋" w:eastAsia="仿宋" w:cs="仿宋"/>
              <w:sz w:val="24"/>
            </w:rPr>
            <w:fldChar w:fldCharType="separate"/>
          </w:r>
          <w:r>
            <w:rPr>
              <w:rFonts w:hint="eastAsia" w:ascii="仿宋" w:hAnsi="仿宋" w:eastAsia="仿宋" w:cs="仿宋"/>
              <w:sz w:val="24"/>
            </w:rPr>
            <w:t>93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42"/>
            <w:tabs>
              <w:tab w:val="right" w:leader="dot" w:pos="9070"/>
            </w:tabs>
            <w:spacing w:line="312" w:lineRule="auto"/>
            <w:rPr>
              <w:rFonts w:ascii="仿宋" w:hAnsi="仿宋" w:eastAsia="仿宋" w:cs="仿宋"/>
              <w:sz w:val="24"/>
            </w:rPr>
          </w:pPr>
          <w:r>
            <w:fldChar w:fldCharType="begin"/>
          </w:r>
          <w:r>
            <w:instrText xml:space="preserve"> HYPERLINK \l "_Toc17614" </w:instrText>
          </w:r>
          <w:r>
            <w:fldChar w:fldCharType="separate"/>
          </w:r>
          <w:r>
            <w:rPr>
              <w:rFonts w:hint="eastAsia" w:ascii="仿宋" w:hAnsi="仿宋" w:eastAsia="仿宋" w:cs="仿宋"/>
              <w:kern w:val="0"/>
              <w:sz w:val="24"/>
            </w:rPr>
            <w:t>报价文件部分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_Toc17614 \h </w:instrText>
          </w:r>
          <w:r>
            <w:rPr>
              <w:rFonts w:hint="eastAsia" w:ascii="仿宋" w:hAnsi="仿宋" w:eastAsia="仿宋" w:cs="仿宋"/>
              <w:sz w:val="24"/>
            </w:rPr>
            <w:fldChar w:fldCharType="separate"/>
          </w:r>
          <w:r>
            <w:rPr>
              <w:rFonts w:hint="eastAsia" w:ascii="仿宋" w:hAnsi="仿宋" w:eastAsia="仿宋" w:cs="仿宋"/>
              <w:sz w:val="24"/>
            </w:rPr>
            <w:t>99</w:t>
          </w:r>
          <w:r>
            <w:rPr>
              <w:rFonts w:hint="eastAsia" w:ascii="仿宋" w:hAnsi="仿宋" w:eastAsia="仿宋" w:cs="仿宋"/>
              <w:sz w:val="24"/>
            </w:rPr>
            <w:fldChar w:fldCharType="end"/>
          </w:r>
          <w:r>
            <w:rPr>
              <w:rFonts w:hint="eastAsia" w:ascii="仿宋" w:hAnsi="仿宋" w:eastAsia="仿宋" w:cs="仿宋"/>
              <w:sz w:val="24"/>
            </w:rPr>
            <w:fldChar w:fldCharType="end"/>
          </w:r>
        </w:p>
        <w:p>
          <w:pPr>
            <w:spacing w:line="312" w:lineRule="auto"/>
            <w:ind w:firstLine="549" w:firstLineChars="229"/>
            <w:rPr>
              <w:rFonts w:ascii="仿宋_GB2312" w:hAnsi="仿宋_GB2312" w:eastAsia="仿宋_GB2312" w:cs="仿宋_GB2312"/>
              <w:sz w:val="24"/>
            </w:rPr>
          </w:pPr>
          <w:r>
            <w:rPr>
              <w:rFonts w:hint="eastAsia" w:ascii="仿宋" w:hAnsi="仿宋" w:eastAsia="仿宋" w:cs="仿宋"/>
              <w:sz w:val="24"/>
            </w:rPr>
            <w:fldChar w:fldCharType="end"/>
          </w:r>
        </w:p>
      </w:sdtContent>
    </w:sdt>
    <w:p>
      <w:pPr>
        <w:spacing w:line="360" w:lineRule="auto"/>
        <w:ind w:firstLine="549" w:firstLineChars="229"/>
        <w:rPr>
          <w:rFonts w:ascii="仿宋_GB2312" w:hAnsi="仿宋_GB2312" w:eastAsia="仿宋_GB2312" w:cs="仿宋_GB2312"/>
          <w:sz w:val="24"/>
        </w:rPr>
      </w:pPr>
    </w:p>
    <w:bookmarkEnd w:id="1"/>
    <w:p>
      <w:pPr>
        <w:adjustRightInd/>
        <w:spacing w:line="360" w:lineRule="auto"/>
        <w:jc w:val="center"/>
        <w:outlineLvl w:val="0"/>
        <w:rPr>
          <w:rFonts w:ascii="仿宋_GB2312" w:hAnsi="仿宋_GB2312" w:eastAsia="仿宋_GB2312" w:cs="仿宋_GB2312"/>
          <w:b/>
          <w:sz w:val="36"/>
          <w:szCs w:val="20"/>
        </w:rPr>
      </w:pPr>
      <w:bookmarkStart w:id="2" w:name="_Hlt74728647"/>
      <w:bookmarkEnd w:id="2"/>
      <w:bookmarkStart w:id="3" w:name="_Hlt74707423"/>
      <w:bookmarkEnd w:id="3"/>
      <w:bookmarkStart w:id="4" w:name="_Hlt74729822"/>
      <w:bookmarkEnd w:id="4"/>
      <w:bookmarkStart w:id="5" w:name="_Hlt74649545"/>
      <w:bookmarkEnd w:id="5"/>
      <w:bookmarkStart w:id="6" w:name="_Toc3829"/>
      <w:bookmarkStart w:id="7" w:name="第二部分"/>
      <w:bookmarkStart w:id="8" w:name="_Toc91899870"/>
      <w:bookmarkStart w:id="9" w:name="_Toc91899871"/>
      <w:r>
        <w:rPr>
          <w:rFonts w:hint="eastAsia" w:ascii="仿宋_GB2312" w:hAnsi="仿宋_GB2312" w:eastAsia="仿宋_GB2312" w:cs="仿宋_GB2312"/>
          <w:b/>
          <w:sz w:val="36"/>
          <w:szCs w:val="20"/>
        </w:rPr>
        <w:t>第一部分  邀请供应商</w:t>
      </w:r>
      <w:bookmarkEnd w:id="6"/>
    </w:p>
    <w:p>
      <w:pPr>
        <w:adjustRightInd/>
        <w:spacing w:line="360" w:lineRule="auto"/>
        <w:jc w:val="center"/>
        <w:outlineLvl w:val="0"/>
        <w:rPr>
          <w:rFonts w:ascii="仿宋_GB2312" w:hAnsi="仿宋_GB2312" w:eastAsia="仿宋_GB2312" w:cs="仿宋_GB2312"/>
          <w:b/>
          <w:sz w:val="36"/>
          <w:szCs w:val="20"/>
        </w:rPr>
      </w:pPr>
      <w:bookmarkStart w:id="10" w:name="_Toc23245"/>
      <w:r>
        <w:rPr>
          <w:rFonts w:hint="eastAsia" w:ascii="仿宋_GB2312" w:hAnsi="仿宋_GB2312" w:eastAsia="仿宋_GB2312" w:cs="仿宋_GB2312"/>
          <w:b/>
          <w:sz w:val="36"/>
          <w:szCs w:val="20"/>
        </w:rPr>
        <w:t>竞争性磋商公告</w:t>
      </w:r>
      <w:bookmarkEnd w:id="10"/>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150"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项目概况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i w:val="0"/>
          <w:sz w:val="24"/>
          <w:szCs w:val="24"/>
          <w:lang w:eastAsia="zh-CN"/>
        </w:rPr>
        <w:t>天山牧歌二期31号楼地下一二层装修工程（二次）</w:t>
      </w:r>
      <w:r>
        <w:rPr>
          <w:rFonts w:hint="eastAsia" w:ascii="仿宋" w:hAnsi="仿宋" w:eastAsia="仿宋" w:cs="仿宋"/>
          <w:sz w:val="24"/>
          <w:szCs w:val="24"/>
        </w:rPr>
        <w:t>采购项目的潜在供应商应在政采云平台线上</w:t>
      </w:r>
      <w:r>
        <w:rPr>
          <w:rFonts w:hint="eastAsia" w:ascii="仿宋" w:hAnsi="仿宋" w:eastAsia="仿宋" w:cs="仿宋"/>
          <w:sz w:val="24"/>
          <w:szCs w:val="24"/>
          <w:highlight w:val="none"/>
        </w:rPr>
        <w:t>获取获取采购文件，并于</w:t>
      </w:r>
      <w:r>
        <w:rPr>
          <w:rFonts w:hint="eastAsia" w:ascii="仿宋" w:hAnsi="仿宋" w:eastAsia="仿宋" w:cs="仿宋"/>
          <w:sz w:val="24"/>
          <w:szCs w:val="24"/>
          <w:highlight w:val="none"/>
          <w:lang w:eastAsia="zh-CN"/>
        </w:rPr>
        <w:t>2023年08月</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lang w:eastAsia="zh-CN"/>
        </w:rPr>
        <w:t>日11:00 </w:t>
      </w:r>
      <w:r>
        <w:rPr>
          <w:rFonts w:hint="eastAsia" w:ascii="仿宋" w:hAnsi="仿宋" w:eastAsia="仿宋" w:cs="仿宋"/>
          <w:sz w:val="24"/>
          <w:szCs w:val="24"/>
          <w:highlight w:val="none"/>
        </w:rPr>
        <w:t>（北京时间）前提交响应文件。    </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highlight w:val="none"/>
        </w:rPr>
      </w:pPr>
      <w:r>
        <w:rPr>
          <w:rStyle w:val="64"/>
          <w:rFonts w:hint="eastAsia" w:ascii="仿宋" w:hAnsi="仿宋" w:eastAsia="仿宋" w:cs="仿宋"/>
          <w:sz w:val="24"/>
          <w:szCs w:val="24"/>
          <w:highlight w:val="none"/>
        </w:rPr>
        <w:t>一、项目基本情况</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项目编号：</w:t>
      </w:r>
      <w:r>
        <w:rPr>
          <w:rFonts w:hint="eastAsia" w:ascii="仿宋" w:hAnsi="仿宋" w:eastAsia="仿宋" w:cs="仿宋"/>
          <w:b w:val="0"/>
          <w:i w:val="0"/>
          <w:sz w:val="24"/>
          <w:szCs w:val="24"/>
          <w:highlight w:val="none"/>
          <w:lang w:eastAsia="zh-CN"/>
        </w:rPr>
        <w:t>2023-ZFCG-0073-01</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项目名称：</w:t>
      </w:r>
      <w:r>
        <w:rPr>
          <w:rFonts w:hint="eastAsia" w:ascii="仿宋" w:hAnsi="仿宋" w:eastAsia="仿宋" w:cs="仿宋"/>
          <w:sz w:val="24"/>
          <w:szCs w:val="24"/>
          <w:highlight w:val="none"/>
          <w:lang w:eastAsia="zh-CN"/>
        </w:rPr>
        <w:t>天山牧歌二期31号楼地下一二层装修工程（二次）</w:t>
      </w:r>
      <w:r>
        <w:rPr>
          <w:rFonts w:hint="eastAsia" w:ascii="仿宋" w:hAnsi="仿宋" w:eastAsia="仿宋" w:cs="仿宋"/>
          <w:sz w:val="24"/>
          <w:szCs w:val="24"/>
          <w:highlight w:val="none"/>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采购方式：竞争性磋商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预算金额（元）：</w:t>
      </w:r>
      <w:r>
        <w:rPr>
          <w:rFonts w:hint="eastAsia" w:ascii="仿宋" w:hAnsi="仿宋" w:eastAsia="仿宋" w:cs="仿宋"/>
          <w:sz w:val="24"/>
          <w:szCs w:val="24"/>
          <w:highlight w:val="none"/>
          <w:lang w:val="en-US" w:eastAsia="zh-CN"/>
        </w:rPr>
        <w:t>2538263.54</w:t>
      </w:r>
      <w:r>
        <w:rPr>
          <w:rFonts w:hint="eastAsia" w:ascii="仿宋" w:hAnsi="仿宋" w:eastAsia="仿宋" w:cs="仿宋"/>
          <w:sz w:val="24"/>
          <w:szCs w:val="24"/>
          <w:highlight w:val="none"/>
        </w:rPr>
        <w:t>  </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最高限价（元）：</w:t>
      </w:r>
      <w:r>
        <w:rPr>
          <w:rFonts w:hint="eastAsia" w:ascii="仿宋" w:hAnsi="仿宋" w:eastAsia="仿宋" w:cs="仿宋"/>
          <w:sz w:val="24"/>
          <w:szCs w:val="24"/>
          <w:highlight w:val="none"/>
          <w:lang w:val="en-US" w:eastAsia="zh-CN"/>
        </w:rPr>
        <w:t>2538263.54</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采购需求：</w:t>
      </w:r>
      <w:r>
        <w:rPr>
          <w:rFonts w:hint="eastAsia" w:ascii="仿宋" w:hAnsi="仿宋" w:eastAsia="仿宋" w:cs="仿宋"/>
          <w:kern w:val="0"/>
          <w:sz w:val="24"/>
          <w:szCs w:val="24"/>
          <w:highlight w:val="none"/>
          <w:lang w:val="en-US" w:eastAsia="zh-CN" w:bidi="ar"/>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shd w:val="clear" w:fill="F7F7F7"/>
        </w:rPr>
        <w:t>   标项名称： </w:t>
      </w:r>
      <w:r>
        <w:rPr>
          <w:rStyle w:val="72"/>
          <w:rFonts w:hint="eastAsia" w:ascii="仿宋" w:hAnsi="仿宋" w:eastAsia="仿宋" w:cs="仿宋"/>
          <w:sz w:val="24"/>
          <w:szCs w:val="24"/>
          <w:highlight w:val="none"/>
          <w:shd w:val="clear" w:fill="F7F7F7"/>
          <w:lang w:eastAsia="zh-CN"/>
        </w:rPr>
        <w:t>天山牧歌二期31号楼地下一二层装修工程（二次）</w:t>
      </w:r>
      <w:r>
        <w:rPr>
          <w:rFonts w:hint="eastAsia" w:ascii="仿宋" w:hAnsi="仿宋" w:eastAsia="仿宋" w:cs="仿宋"/>
          <w:sz w:val="24"/>
          <w:szCs w:val="24"/>
          <w:highlight w:val="none"/>
          <w:shd w:val="clear" w:fill="F7F7F7"/>
        </w:rPr>
        <w:t> </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   数量：不限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预算金额（元）：</w:t>
      </w:r>
      <w:r>
        <w:rPr>
          <w:rFonts w:hint="eastAsia" w:ascii="仿宋" w:hAnsi="仿宋" w:eastAsia="仿宋" w:cs="仿宋"/>
          <w:sz w:val="24"/>
          <w:szCs w:val="24"/>
          <w:highlight w:val="none"/>
          <w:lang w:val="en-US" w:eastAsia="zh-CN"/>
        </w:rPr>
        <w:t>2538263.54</w:t>
      </w:r>
      <w:r>
        <w:rPr>
          <w:rFonts w:hint="eastAsia" w:ascii="仿宋" w:hAnsi="仿宋" w:eastAsia="仿宋" w:cs="仿宋"/>
          <w:sz w:val="24"/>
          <w:szCs w:val="24"/>
          <w:highlight w:val="none"/>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单位：</w:t>
      </w:r>
      <w:r>
        <w:rPr>
          <w:rFonts w:hint="eastAsia" w:ascii="仿宋" w:hAnsi="仿宋" w:eastAsia="仿宋" w:cs="仿宋"/>
          <w:sz w:val="24"/>
          <w:szCs w:val="24"/>
          <w:highlight w:val="none"/>
          <w:lang w:eastAsia="zh-CN"/>
        </w:rPr>
        <w:t>批</w:t>
      </w:r>
      <w:r>
        <w:rPr>
          <w:rFonts w:hint="eastAsia" w:ascii="仿宋" w:hAnsi="仿宋" w:eastAsia="仿宋" w:cs="仿宋"/>
          <w:sz w:val="24"/>
          <w:szCs w:val="24"/>
          <w:highlight w:val="none"/>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简要规格描述：</w:t>
      </w:r>
      <w:r>
        <w:rPr>
          <w:rFonts w:hint="eastAsia" w:ascii="仿宋" w:hAnsi="仿宋" w:eastAsia="仿宋" w:cs="仿宋"/>
          <w:sz w:val="24"/>
          <w:szCs w:val="24"/>
          <w:highlight w:val="none"/>
          <w:lang w:eastAsia="zh-CN"/>
        </w:rPr>
        <w:t>天山牧歌二期31号楼地下一二层装修</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详见采购文件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备注：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合同履约期限：标项 1，</w:t>
      </w:r>
      <w:r>
        <w:rPr>
          <w:rFonts w:hint="eastAsia" w:ascii="仿宋" w:hAnsi="仿宋" w:eastAsia="仿宋" w:cs="仿宋"/>
          <w:sz w:val="24"/>
          <w:szCs w:val="24"/>
          <w:lang w:eastAsia="zh-CN"/>
        </w:rPr>
        <w:t>工期</w:t>
      </w:r>
      <w:r>
        <w:rPr>
          <w:rFonts w:hint="eastAsia" w:ascii="仿宋" w:hAnsi="仿宋" w:eastAsia="仿宋" w:cs="仿宋"/>
          <w:snapToGrid w:val="0"/>
          <w:color w:val="000000" w:themeColor="text1"/>
          <w:szCs w:val="24"/>
          <w:highlight w:val="none"/>
          <w:lang w:val="en-US" w:eastAsia="zh-CN"/>
          <w14:textFill>
            <w14:solidFill>
              <w14:schemeClr w14:val="tx1"/>
            </w14:solidFill>
          </w14:textFill>
        </w:rPr>
        <w:t>40</w:t>
      </w:r>
      <w:r>
        <w:rPr>
          <w:rFonts w:hint="eastAsia" w:ascii="仿宋" w:hAnsi="仿宋" w:eastAsia="仿宋" w:cs="仿宋"/>
          <w:snapToGrid w:val="0"/>
          <w:color w:val="000000" w:themeColor="text1"/>
          <w:szCs w:val="24"/>
          <w:highlight w:val="none"/>
          <w:lang w:eastAsia="zh-CN"/>
          <w14:textFill>
            <w14:solidFill>
              <w14:schemeClr w14:val="tx1"/>
            </w14:solidFill>
          </w14:textFill>
        </w:rPr>
        <w:t>日历日</w:t>
      </w:r>
      <w:r>
        <w:rPr>
          <w:rFonts w:hint="eastAsia" w:ascii="仿宋" w:hAnsi="仿宋" w:eastAsia="仿宋" w:cs="仿宋"/>
          <w:sz w:val="24"/>
          <w:szCs w:val="24"/>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本项目（否）接受联合体投标。  </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4"/>
          <w:rFonts w:hint="eastAsia" w:ascii="仿宋" w:hAnsi="仿宋" w:eastAsia="仿宋" w:cs="仿宋"/>
          <w:sz w:val="24"/>
          <w:szCs w:val="24"/>
        </w:rPr>
        <w:t>二、申请人的资格要求：</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1.满足《中华人民共和国政府采购法》第二十二条规定；</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2.落实政府采购政策需满足的资格要求：标项1：供应商为小微企业</w:t>
      </w:r>
      <w:r>
        <w:rPr>
          <w:rFonts w:hint="eastAsia" w:ascii="仿宋" w:hAnsi="仿宋" w:eastAsia="仿宋" w:cs="仿宋"/>
          <w:sz w:val="24"/>
          <w:szCs w:val="24"/>
          <w:lang w:eastAsia="zh-CN"/>
        </w:rPr>
        <w:t>，</w:t>
      </w:r>
      <w:r>
        <w:rPr>
          <w:rFonts w:hint="eastAsia" w:ascii="仿宋" w:hAnsi="仿宋" w:eastAsia="仿宋" w:cs="仿宋"/>
          <w:sz w:val="24"/>
          <w:szCs w:val="24"/>
        </w:rPr>
        <w:t>本项目执行促进中小企业发展政策，监狱企业、残疾人福利性单位视同小型、微型企业。</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373"/>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sz w:val="24"/>
          <w:szCs w:val="24"/>
        </w:rPr>
        <w:t>3.本项目的特定资格要求：</w:t>
      </w:r>
      <w:r>
        <w:rPr>
          <w:rFonts w:hint="eastAsia" w:ascii="仿宋" w:hAnsi="仿宋" w:eastAsia="仿宋" w:cs="仿宋"/>
          <w:sz w:val="24"/>
          <w:szCs w:val="24"/>
        </w:rPr>
        <w:br w:type="textWrapping"/>
      </w:r>
      <w:r>
        <w:rPr>
          <w:rFonts w:hint="eastAsia" w:ascii="仿宋" w:hAnsi="仿宋" w:eastAsia="仿宋" w:cs="仿宋"/>
          <w:sz w:val="24"/>
          <w:szCs w:val="24"/>
        </w:rPr>
        <w:t>【标项1】</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3.1供应商应具备装修装饰工程专业承包二级及以上资质；</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3.2供应商应具备有效的安全生产许可证；</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3.3 项目负责人须具备建筑工程专业壹级或贰级注册建造师资格，并取得有效的安全生产考核合格证书。</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4"/>
          <w:rFonts w:hint="eastAsia" w:ascii="仿宋" w:hAnsi="仿宋" w:eastAsia="仿宋" w:cs="仿宋"/>
          <w:sz w:val="24"/>
          <w:szCs w:val="24"/>
        </w:rPr>
        <w:t>三、获取采购文件</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u w:val="none"/>
        </w:rPr>
        <w:t>时间：2023年0</w:t>
      </w:r>
      <w:r>
        <w:rPr>
          <w:rFonts w:hint="eastAsia" w:ascii="仿宋" w:hAnsi="仿宋" w:eastAsia="仿宋" w:cs="仿宋"/>
          <w:sz w:val="24"/>
          <w:szCs w:val="24"/>
          <w:u w:val="none"/>
          <w:lang w:val="en-US" w:eastAsia="zh-CN"/>
        </w:rPr>
        <w:t>8</w:t>
      </w:r>
      <w:r>
        <w:rPr>
          <w:rFonts w:hint="eastAsia" w:ascii="仿宋" w:hAnsi="仿宋" w:eastAsia="仿宋" w:cs="仿宋"/>
          <w:sz w:val="24"/>
          <w:szCs w:val="24"/>
          <w:u w:val="none"/>
        </w:rPr>
        <w:t>月</w:t>
      </w:r>
      <w:r>
        <w:rPr>
          <w:rFonts w:hint="eastAsia" w:ascii="仿宋" w:hAnsi="仿宋" w:eastAsia="仿宋" w:cs="仿宋"/>
          <w:sz w:val="24"/>
          <w:szCs w:val="24"/>
          <w:u w:val="none"/>
          <w:lang w:val="en-US" w:eastAsia="zh-CN"/>
        </w:rPr>
        <w:t>15</w:t>
      </w:r>
      <w:r>
        <w:rPr>
          <w:rFonts w:hint="eastAsia" w:ascii="仿宋" w:hAnsi="仿宋" w:eastAsia="仿宋" w:cs="仿宋"/>
          <w:sz w:val="24"/>
          <w:szCs w:val="24"/>
          <w:u w:val="none"/>
        </w:rPr>
        <w:t>日至</w:t>
      </w:r>
      <w:r>
        <w:rPr>
          <w:rFonts w:hint="eastAsia" w:ascii="仿宋" w:hAnsi="仿宋" w:eastAsia="仿宋" w:cs="仿宋"/>
          <w:sz w:val="24"/>
          <w:szCs w:val="24"/>
          <w:highlight w:val="none"/>
          <w:u w:val="none"/>
        </w:rPr>
        <w:t>2023年</w:t>
      </w:r>
      <w:r>
        <w:rPr>
          <w:rFonts w:hint="eastAsia" w:ascii="仿宋" w:hAnsi="仿宋" w:eastAsia="仿宋" w:cs="仿宋"/>
          <w:sz w:val="24"/>
          <w:szCs w:val="24"/>
          <w:highlight w:val="none"/>
          <w:u w:val="none"/>
          <w:lang w:val="en-US" w:eastAsia="zh-CN"/>
        </w:rPr>
        <w:t>08</w:t>
      </w:r>
      <w:r>
        <w:rPr>
          <w:rFonts w:hint="eastAsia" w:ascii="仿宋" w:hAnsi="仿宋" w:eastAsia="仿宋" w:cs="仿宋"/>
          <w:sz w:val="24"/>
          <w:szCs w:val="24"/>
          <w:highlight w:val="none"/>
          <w:u w:val="none"/>
        </w:rPr>
        <w:t>月</w:t>
      </w:r>
      <w:r>
        <w:rPr>
          <w:rFonts w:hint="eastAsia" w:ascii="仿宋" w:hAnsi="仿宋" w:eastAsia="仿宋" w:cs="仿宋"/>
          <w:sz w:val="24"/>
          <w:szCs w:val="24"/>
          <w:highlight w:val="none"/>
          <w:u w:val="none"/>
          <w:lang w:val="en-US" w:eastAsia="zh-CN"/>
        </w:rPr>
        <w:t>22</w:t>
      </w:r>
      <w:r>
        <w:rPr>
          <w:rFonts w:hint="eastAsia" w:ascii="仿宋" w:hAnsi="仿宋" w:eastAsia="仿宋" w:cs="仿宋"/>
          <w:sz w:val="24"/>
          <w:szCs w:val="24"/>
          <w:highlight w:val="none"/>
          <w:u w:val="none"/>
        </w:rPr>
        <w:t>日</w:t>
      </w:r>
      <w:r>
        <w:rPr>
          <w:rFonts w:hint="eastAsia" w:ascii="仿宋" w:hAnsi="仿宋" w:eastAsia="仿宋" w:cs="仿宋"/>
          <w:sz w:val="24"/>
          <w:szCs w:val="24"/>
          <w:u w:val="none"/>
        </w:rPr>
        <w:t>，每天上午</w:t>
      </w:r>
      <w:r>
        <w:rPr>
          <w:rFonts w:hint="eastAsia" w:ascii="仿宋" w:hAnsi="仿宋" w:eastAsia="仿宋" w:cs="仿宋"/>
          <w:sz w:val="24"/>
          <w:szCs w:val="24"/>
          <w:u w:val="none"/>
          <w:lang w:val="en-US" w:eastAsia="zh-CN"/>
        </w:rPr>
        <w:t>1</w:t>
      </w:r>
      <w:r>
        <w:rPr>
          <w:rFonts w:hint="eastAsia" w:ascii="仿宋" w:hAnsi="仿宋" w:eastAsia="仿宋" w:cs="仿宋"/>
          <w:sz w:val="24"/>
          <w:szCs w:val="24"/>
          <w:u w:val="none"/>
        </w:rPr>
        <w:t>0:00至12:00，下午12:00至</w:t>
      </w:r>
      <w:r>
        <w:rPr>
          <w:rFonts w:hint="eastAsia" w:ascii="仿宋" w:hAnsi="仿宋" w:eastAsia="仿宋" w:cs="仿宋"/>
          <w:sz w:val="24"/>
          <w:szCs w:val="24"/>
          <w:u w:val="none"/>
          <w:lang w:val="en-US" w:eastAsia="zh-CN"/>
        </w:rPr>
        <w:t>19</w:t>
      </w:r>
      <w:r>
        <w:rPr>
          <w:rFonts w:hint="eastAsia" w:ascii="仿宋" w:hAnsi="仿宋" w:eastAsia="仿宋" w:cs="仿宋"/>
          <w:sz w:val="24"/>
          <w:szCs w:val="24"/>
          <w:u w:val="none"/>
        </w:rPr>
        <w:t>:</w:t>
      </w:r>
      <w:r>
        <w:rPr>
          <w:rFonts w:hint="eastAsia" w:ascii="仿宋" w:hAnsi="仿宋" w:eastAsia="仿宋" w:cs="仿宋"/>
          <w:sz w:val="24"/>
          <w:szCs w:val="24"/>
          <w:u w:val="none"/>
          <w:lang w:val="en-US" w:eastAsia="zh-CN"/>
        </w:rPr>
        <w:t>00</w:t>
      </w:r>
      <w:r>
        <w:rPr>
          <w:rFonts w:hint="eastAsia" w:ascii="仿宋" w:hAnsi="仿宋" w:eastAsia="仿宋" w:cs="仿宋"/>
          <w:sz w:val="24"/>
          <w:szCs w:val="24"/>
          <w:u w:val="none"/>
        </w:rPr>
        <w:t>（北京时间，法定节假日除外）</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地点：政采云平台线上获取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方式：供应商登录政采云平台https://www.zcygov.cn/在线申请获取采购文件（进入“项目采购”应用，在获取采购文件菜单中选择项目，申请获取采购文件）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售价（元）： </w:t>
      </w:r>
      <w:r>
        <w:rPr>
          <w:rStyle w:val="72"/>
          <w:rFonts w:hint="eastAsia" w:ascii="仿宋" w:hAnsi="仿宋" w:eastAsia="仿宋" w:cs="仿宋"/>
          <w:sz w:val="24"/>
          <w:szCs w:val="24"/>
        </w:rPr>
        <w:t>0</w:t>
      </w:r>
      <w:r>
        <w:rPr>
          <w:rFonts w:hint="eastAsia" w:ascii="仿宋" w:hAnsi="仿宋" w:eastAsia="仿宋" w:cs="仿宋"/>
          <w:sz w:val="24"/>
          <w:szCs w:val="24"/>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4"/>
          <w:rFonts w:hint="eastAsia" w:ascii="仿宋" w:hAnsi="仿宋" w:eastAsia="仿宋" w:cs="仿宋"/>
          <w:sz w:val="24"/>
          <w:szCs w:val="24"/>
        </w:rPr>
        <w:t>四、响应文件提交</w:t>
      </w:r>
      <w:r>
        <w:rPr>
          <w:rFonts w:hint="eastAsia" w:ascii="仿宋" w:hAnsi="仿宋" w:eastAsia="仿宋" w:cs="仿宋"/>
          <w:sz w:val="24"/>
          <w:szCs w:val="24"/>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截止时间：</w:t>
      </w:r>
      <w:r>
        <w:rPr>
          <w:rFonts w:hint="eastAsia" w:ascii="仿宋" w:hAnsi="仿宋" w:eastAsia="仿宋" w:cs="仿宋"/>
          <w:sz w:val="24"/>
          <w:szCs w:val="24"/>
          <w:highlight w:val="none"/>
          <w:lang w:eastAsia="zh-CN"/>
        </w:rPr>
        <w:t>2023年08月</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lang w:eastAsia="zh-CN"/>
        </w:rPr>
        <w:t>日11:00</w:t>
      </w:r>
      <w:r>
        <w:rPr>
          <w:rFonts w:hint="eastAsia" w:ascii="仿宋" w:hAnsi="仿宋" w:eastAsia="仿宋" w:cs="仿宋"/>
          <w:sz w:val="24"/>
          <w:szCs w:val="24"/>
          <w:highlight w:val="none"/>
        </w:rPr>
        <w:t>（</w:t>
      </w:r>
      <w:r>
        <w:rPr>
          <w:rFonts w:hint="eastAsia" w:ascii="仿宋" w:hAnsi="仿宋" w:eastAsia="仿宋" w:cs="仿宋"/>
          <w:sz w:val="24"/>
          <w:szCs w:val="24"/>
        </w:rPr>
        <w:t>北京时间）</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地点：政采云平台（https://www.zcygov.cn/） </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highlight w:val="none"/>
        </w:rPr>
      </w:pPr>
      <w:r>
        <w:rPr>
          <w:rStyle w:val="64"/>
          <w:rFonts w:hint="eastAsia" w:ascii="仿宋" w:hAnsi="仿宋" w:eastAsia="仿宋" w:cs="仿宋"/>
          <w:sz w:val="24"/>
          <w:szCs w:val="24"/>
        </w:rPr>
        <w:t>五、响应文件开启</w:t>
      </w:r>
      <w:r>
        <w:rPr>
          <w:rFonts w:hint="eastAsia" w:ascii="仿宋" w:hAnsi="仿宋" w:eastAsia="仿宋" w:cs="仿宋"/>
          <w:sz w:val="24"/>
          <w:szCs w:val="24"/>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highlight w:val="none"/>
        </w:rPr>
        <w:t>    开启时间：</w:t>
      </w:r>
      <w:r>
        <w:rPr>
          <w:rFonts w:hint="eastAsia" w:ascii="仿宋" w:hAnsi="仿宋" w:eastAsia="仿宋" w:cs="仿宋"/>
          <w:sz w:val="24"/>
          <w:szCs w:val="24"/>
          <w:highlight w:val="none"/>
          <w:lang w:eastAsia="zh-CN"/>
        </w:rPr>
        <w:t>2023年08月</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lang w:eastAsia="zh-CN"/>
        </w:rPr>
        <w:t>日11:00 </w:t>
      </w:r>
      <w:r>
        <w:rPr>
          <w:rFonts w:hint="eastAsia" w:ascii="仿宋" w:hAnsi="仿宋" w:eastAsia="仿宋" w:cs="仿宋"/>
          <w:sz w:val="24"/>
          <w:szCs w:val="24"/>
          <w:highlight w:val="none"/>
        </w:rPr>
        <w:t>（北京</w:t>
      </w:r>
      <w:r>
        <w:rPr>
          <w:rFonts w:hint="eastAsia" w:ascii="仿宋" w:hAnsi="仿宋" w:eastAsia="仿宋" w:cs="仿宋"/>
          <w:sz w:val="24"/>
          <w:szCs w:val="24"/>
        </w:rPr>
        <w:t>时间）</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地</w:t>
      </w:r>
      <w:r>
        <w:rPr>
          <w:rFonts w:hint="eastAsia" w:ascii="仿宋" w:hAnsi="仿宋" w:eastAsia="仿宋" w:cs="仿宋"/>
          <w:sz w:val="24"/>
          <w:szCs w:val="24"/>
          <w:highlight w:val="none"/>
        </w:rPr>
        <w:t>点：政采云平台（https://www.zcygov.cn/）</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4"/>
          <w:rFonts w:hint="eastAsia" w:ascii="仿宋" w:hAnsi="仿宋" w:eastAsia="仿宋" w:cs="仿宋"/>
          <w:sz w:val="24"/>
          <w:szCs w:val="24"/>
        </w:rPr>
        <w:t>六、公告期限</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自本公告发布之日起3个工作日。</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4"/>
          <w:rFonts w:hint="eastAsia" w:ascii="仿宋" w:hAnsi="仿宋" w:eastAsia="仿宋" w:cs="仿宋"/>
          <w:sz w:val="24"/>
          <w:szCs w:val="24"/>
        </w:rPr>
        <w:t>七、其他补充事宜</w:t>
      </w:r>
      <w:r>
        <w:rPr>
          <w:rFonts w:hint="eastAsia" w:ascii="仿宋" w:hAnsi="仿宋" w:eastAsia="仿宋" w:cs="仿宋"/>
          <w:sz w:val="24"/>
          <w:szCs w:val="24"/>
        </w:rPr>
        <w:t> </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特别提示：</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1、采购限额标准以上，200万元以下的货物和服务采购项目、400万元以下的工程采购项目，适宜由中小企业提供的，采购人应当专门面向中小企业采购。</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57"/>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64"/>
          <w:rFonts w:hint="eastAsia" w:ascii="仿宋" w:hAnsi="仿宋" w:eastAsia="仿宋" w:cs="仿宋"/>
          <w:sz w:val="24"/>
          <w:szCs w:val="24"/>
        </w:rPr>
        <w:t>八、凡对本次招标提出询问，请按以下方式联系</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乌鲁木齐市天山区机关事务管理中心</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rPr>
        <w:t>地 址：</w:t>
      </w:r>
      <w:r>
        <w:rPr>
          <w:rFonts w:hint="eastAsia" w:ascii="仿宋" w:hAnsi="仿宋" w:eastAsia="仿宋" w:cs="仿宋"/>
          <w:sz w:val="24"/>
          <w:szCs w:val="24"/>
          <w:lang w:eastAsia="zh-CN"/>
        </w:rPr>
        <w:t>乌鲁木齐市天山区东环路</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rPr>
        <w:t>联系方式：</w:t>
      </w:r>
      <w:r>
        <w:rPr>
          <w:rFonts w:hint="eastAsia" w:ascii="仿宋" w:hAnsi="仿宋" w:eastAsia="仿宋" w:cs="仿宋"/>
          <w:sz w:val="24"/>
          <w:szCs w:val="24"/>
          <w:lang w:eastAsia="zh-CN"/>
        </w:rPr>
        <w:t>0991-2610749</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名 称：新疆正禾招投标有限公司</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地 址：乌鲁木齐市高新区新市区鲤鱼山北路199号集电港A座511</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联系方式：0991-6660570</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3.项目联系方式</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项目联系人：</w:t>
      </w:r>
      <w:r>
        <w:rPr>
          <w:rFonts w:hint="eastAsia" w:ascii="仿宋" w:hAnsi="仿宋" w:eastAsia="仿宋" w:cs="仿宋"/>
          <w:sz w:val="24"/>
          <w:szCs w:val="24"/>
          <w:lang w:eastAsia="zh-CN"/>
        </w:rPr>
        <w:t>杨慧、周建、付静文、谭成璇</w:t>
      </w:r>
    </w:p>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电 话：0991-6660570  </w:t>
      </w:r>
    </w:p>
    <w:p/>
    <w:p>
      <w:pPr>
        <w:rPr>
          <w:rFonts w:hint="eastAsia" w:ascii="仿宋_GB2312" w:hAnsi="仿宋_GB2312" w:eastAsia="仿宋_GB2312" w:cs="仿宋_GB2312"/>
          <w:b/>
          <w:sz w:val="36"/>
          <w:szCs w:val="20"/>
        </w:rPr>
      </w:pPr>
      <w:bookmarkStart w:id="11" w:name="_Toc1370"/>
      <w:r>
        <w:rPr>
          <w:rFonts w:hint="eastAsia" w:ascii="仿宋_GB2312" w:hAnsi="仿宋_GB2312" w:eastAsia="仿宋_GB2312" w:cs="仿宋_GB2312"/>
          <w:b/>
          <w:sz w:val="36"/>
          <w:szCs w:val="20"/>
        </w:rPr>
        <w:br w:type="page"/>
      </w:r>
      <w:bookmarkStart w:id="549" w:name="_GoBack"/>
      <w:bookmarkEnd w:id="549"/>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仿宋_GB2312" w:hAnsi="仿宋_GB2312" w:eastAsia="仿宋_GB2312" w:cs="仿宋_GB2312"/>
          <w:b/>
          <w:sz w:val="32"/>
          <w:szCs w:val="20"/>
        </w:rPr>
      </w:pPr>
      <w:r>
        <w:rPr>
          <w:rFonts w:hint="eastAsia" w:ascii="仿宋_GB2312" w:hAnsi="仿宋_GB2312" w:eastAsia="仿宋_GB2312" w:cs="仿宋_GB2312"/>
          <w:b/>
          <w:sz w:val="36"/>
          <w:szCs w:val="20"/>
        </w:rPr>
        <w:t>第二部分 竞争性磋商流程</w:t>
      </w:r>
      <w:bookmarkEnd w:id="11"/>
    </w:p>
    <w:p>
      <w:pPr>
        <w:pStyle w:val="395"/>
        <w:keepNext w:val="0"/>
        <w:keepLines w:val="0"/>
        <w:pageBreakBefore w:val="0"/>
        <w:widowControl w:val="0"/>
        <w:numPr>
          <w:ilvl w:val="0"/>
          <w:numId w:val="7"/>
        </w:numPr>
        <w:tabs>
          <w:tab w:val="left" w:pos="210"/>
          <w:tab w:val="left" w:pos="420"/>
          <w:tab w:val="clear" w:pos="397"/>
        </w:tabs>
        <w:kinsoku/>
        <w:wordWrap/>
        <w:overflowPunct/>
        <w:topLinePunct w:val="0"/>
        <w:autoSpaceDE/>
        <w:autoSpaceDN/>
        <w:bidi w:val="0"/>
        <w:adjustRightInd w:val="0"/>
        <w:snapToGrid/>
        <w:spacing w:before="0" w:line="360" w:lineRule="auto"/>
        <w:ind w:firstLine="482"/>
        <w:textAlignment w:val="auto"/>
        <w:rPr>
          <w:rFonts w:ascii="仿宋_GB2312" w:hAnsi="仿宋" w:eastAsia="仿宋_GB2312"/>
          <w:b/>
        </w:rPr>
      </w:pPr>
      <w:r>
        <w:rPr>
          <w:rFonts w:hint="eastAsia" w:ascii="仿宋_GB2312" w:hAnsi="仿宋" w:eastAsia="仿宋_GB2312"/>
          <w:b/>
          <w:szCs w:val="24"/>
        </w:rPr>
        <w:t>征集供应商</w:t>
      </w:r>
    </w:p>
    <w:p>
      <w:pPr>
        <w:pStyle w:val="395"/>
        <w:keepNext w:val="0"/>
        <w:keepLines w:val="0"/>
        <w:pageBreakBefore w:val="0"/>
        <w:widowControl w:val="0"/>
        <w:numPr>
          <w:ilvl w:val="1"/>
          <w:numId w:val="8"/>
        </w:numPr>
        <w:kinsoku/>
        <w:wordWrap/>
        <w:overflowPunct/>
        <w:topLinePunct w:val="0"/>
        <w:autoSpaceDE/>
        <w:autoSpaceDN/>
        <w:bidi w:val="0"/>
        <w:adjustRightInd w:val="0"/>
        <w:snapToGrid/>
        <w:spacing w:before="0" w:line="360" w:lineRule="auto"/>
        <w:ind w:firstLineChars="0"/>
        <w:textAlignment w:val="auto"/>
        <w:rPr>
          <w:rFonts w:ascii="仿宋_GB2312" w:hAnsi="仿宋" w:eastAsia="仿宋_GB2312"/>
          <w:szCs w:val="24"/>
        </w:rPr>
      </w:pPr>
      <w:r>
        <w:rPr>
          <w:rFonts w:hint="eastAsia" w:ascii="仿宋_GB2312" w:hAnsi="仿宋" w:eastAsia="仿宋_GB2312"/>
          <w:szCs w:val="24"/>
        </w:rPr>
        <w:t>邀请供应商。</w:t>
      </w:r>
    </w:p>
    <w:p>
      <w:pPr>
        <w:pStyle w:val="395"/>
        <w:keepNext w:val="0"/>
        <w:keepLines w:val="0"/>
        <w:pageBreakBefore w:val="0"/>
        <w:widowControl w:val="0"/>
        <w:numPr>
          <w:ilvl w:val="2"/>
          <w:numId w:val="9"/>
        </w:numPr>
        <w:kinsoku/>
        <w:wordWrap/>
        <w:overflowPunct/>
        <w:topLinePunct w:val="0"/>
        <w:autoSpaceDE/>
        <w:autoSpaceDN/>
        <w:bidi w:val="0"/>
        <w:adjustRightInd w:val="0"/>
        <w:snapToGrid/>
        <w:spacing w:before="0" w:line="360" w:lineRule="auto"/>
        <w:ind w:left="408" w:firstLine="392" w:firstLineChars="0"/>
        <w:textAlignment w:val="auto"/>
        <w:rPr>
          <w:rFonts w:ascii="仿宋_GB2312" w:hAnsi="仿宋" w:eastAsia="仿宋_GB2312"/>
          <w:szCs w:val="24"/>
        </w:rPr>
      </w:pPr>
      <w:r>
        <w:rPr>
          <w:rFonts w:hint="eastAsia" w:ascii="仿宋_GB2312" w:hAnsi="仿宋" w:eastAsia="仿宋_GB2312"/>
          <w:b/>
          <w:szCs w:val="24"/>
        </w:rPr>
        <w:t>采用公告方式邀请供应商的，</w:t>
      </w:r>
      <w:r>
        <w:rPr>
          <w:rFonts w:hint="eastAsia" w:ascii="仿宋_GB2312" w:hAnsi="仿宋" w:eastAsia="仿宋_GB2312"/>
          <w:szCs w:val="24"/>
        </w:rPr>
        <w:t>由采购人、采购代理机构在省级以上人民政府财政部门指定的政府采购信息发布媒体上发布磋商公告，邀请符合相应资格条件的供应商参与竞争性磋商采购活动</w:t>
      </w:r>
      <w:r>
        <w:rPr>
          <w:rFonts w:hint="eastAsia" w:ascii="仿宋_GB2312" w:hAnsi="仿宋" w:eastAsia="仿宋_GB2312"/>
          <w:b/>
          <w:bCs/>
          <w:szCs w:val="24"/>
        </w:rPr>
        <w:t>（本项目采用此方式）</w:t>
      </w:r>
      <w:r>
        <w:rPr>
          <w:rFonts w:hint="eastAsia" w:ascii="仿宋_GB2312" w:hAnsi="仿宋" w:eastAsia="仿宋_GB2312"/>
          <w:szCs w:val="24"/>
        </w:rPr>
        <w:t>。</w:t>
      </w:r>
    </w:p>
    <w:p>
      <w:pPr>
        <w:pStyle w:val="395"/>
        <w:keepNext w:val="0"/>
        <w:keepLines w:val="0"/>
        <w:pageBreakBefore w:val="0"/>
        <w:widowControl w:val="0"/>
        <w:numPr>
          <w:ilvl w:val="2"/>
          <w:numId w:val="9"/>
        </w:numPr>
        <w:kinsoku/>
        <w:wordWrap/>
        <w:overflowPunct/>
        <w:topLinePunct w:val="0"/>
        <w:autoSpaceDE/>
        <w:autoSpaceDN/>
        <w:bidi w:val="0"/>
        <w:adjustRightInd w:val="0"/>
        <w:snapToGrid/>
        <w:spacing w:before="0" w:line="360" w:lineRule="auto"/>
        <w:ind w:left="408" w:firstLine="392" w:firstLineChars="0"/>
        <w:textAlignment w:val="auto"/>
        <w:rPr>
          <w:rFonts w:ascii="仿宋_GB2312" w:hAnsi="仿宋" w:eastAsia="仿宋_GB2312"/>
          <w:szCs w:val="24"/>
        </w:rPr>
      </w:pPr>
      <w:r>
        <w:rPr>
          <w:rFonts w:hint="eastAsia" w:ascii="仿宋_GB2312" w:hAnsi="仿宋" w:eastAsia="仿宋_GB2312"/>
          <w:b/>
          <w:szCs w:val="24"/>
        </w:rPr>
        <w:t>采用随机抽取方式邀请供应商的，</w:t>
      </w:r>
      <w:r>
        <w:rPr>
          <w:rFonts w:hint="eastAsia" w:ascii="仿宋_GB2312" w:hAnsi="仿宋" w:eastAsia="仿宋_GB2312"/>
          <w:szCs w:val="24"/>
        </w:rPr>
        <w:t>由采购人、采购代理机构从省级以上财政部门建立的供应商库中随机抽取不少于3家符合相应资格条件的供应商参与竞争性磋商采购活动。</w:t>
      </w:r>
    </w:p>
    <w:p>
      <w:pPr>
        <w:pStyle w:val="395"/>
        <w:keepNext w:val="0"/>
        <w:keepLines w:val="0"/>
        <w:pageBreakBefore w:val="0"/>
        <w:widowControl w:val="0"/>
        <w:numPr>
          <w:ilvl w:val="2"/>
          <w:numId w:val="9"/>
        </w:numPr>
        <w:kinsoku/>
        <w:wordWrap/>
        <w:overflowPunct/>
        <w:topLinePunct w:val="0"/>
        <w:autoSpaceDE/>
        <w:autoSpaceDN/>
        <w:bidi w:val="0"/>
        <w:adjustRightInd w:val="0"/>
        <w:snapToGrid/>
        <w:spacing w:before="0" w:line="360" w:lineRule="auto"/>
        <w:ind w:left="408" w:firstLine="392" w:firstLineChars="0"/>
        <w:textAlignment w:val="auto"/>
        <w:rPr>
          <w:rFonts w:ascii="仿宋_GB2312" w:hAnsi="仿宋" w:eastAsia="仿宋_GB2312"/>
          <w:szCs w:val="24"/>
        </w:rPr>
      </w:pPr>
      <w:r>
        <w:rPr>
          <w:rFonts w:hint="eastAsia" w:ascii="仿宋_GB2312" w:hAnsi="仿宋" w:eastAsia="仿宋_GB2312"/>
          <w:b/>
          <w:szCs w:val="24"/>
        </w:rPr>
        <w:t>采用书面推荐方式邀请供应商的，</w:t>
      </w:r>
      <w:r>
        <w:rPr>
          <w:rFonts w:hint="eastAsia" w:ascii="仿宋_GB2312" w:hAnsi="仿宋" w:eastAsia="仿宋_GB2312"/>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5"/>
        <w:keepNext w:val="0"/>
        <w:keepLines w:val="0"/>
        <w:pageBreakBefore w:val="0"/>
        <w:widowControl w:val="0"/>
        <w:numPr>
          <w:ilvl w:val="1"/>
          <w:numId w:val="8"/>
        </w:numPr>
        <w:kinsoku/>
        <w:wordWrap/>
        <w:overflowPunct/>
        <w:topLinePunct w:val="0"/>
        <w:autoSpaceDE/>
        <w:autoSpaceDN/>
        <w:bidi w:val="0"/>
        <w:adjustRightInd w:val="0"/>
        <w:snapToGrid/>
        <w:spacing w:before="0" w:line="360" w:lineRule="auto"/>
        <w:ind w:firstLineChars="0"/>
        <w:textAlignment w:val="auto"/>
        <w:rPr>
          <w:rFonts w:ascii="仿宋_GB2312" w:hAnsi="仿宋" w:eastAsia="仿宋_GB2312"/>
          <w:szCs w:val="24"/>
        </w:rPr>
      </w:pPr>
      <w:r>
        <w:rPr>
          <w:rFonts w:hint="eastAsia" w:ascii="仿宋_GB2312" w:hAnsi="仿宋" w:eastAsia="仿宋_GB2312"/>
          <w:szCs w:val="24"/>
        </w:rPr>
        <w:t>供应商获取磋商文件。</w:t>
      </w:r>
    </w:p>
    <w:p>
      <w:pPr>
        <w:pStyle w:val="395"/>
        <w:numPr>
          <w:ilvl w:val="1"/>
          <w:numId w:val="8"/>
        </w:numPr>
        <w:spacing w:before="0"/>
        <w:ind w:firstLineChars="0"/>
        <w:rPr>
          <w:rFonts w:ascii="仿宋_GB2312" w:hAnsi="仿宋" w:eastAsia="仿宋_GB2312"/>
          <w:szCs w:val="24"/>
        </w:rPr>
      </w:pPr>
      <w:r>
        <w:rPr>
          <w:rFonts w:hint="eastAsia" w:ascii="仿宋_GB2312" w:hAnsi="仿宋" w:eastAsia="仿宋_GB2312"/>
          <w:szCs w:val="24"/>
        </w:rPr>
        <w:t>组织现场考察或召开答疑会（如果有）。</w:t>
      </w:r>
    </w:p>
    <w:p>
      <w:pPr>
        <w:pStyle w:val="395"/>
        <w:numPr>
          <w:ilvl w:val="1"/>
          <w:numId w:val="8"/>
        </w:numPr>
        <w:spacing w:before="0"/>
        <w:ind w:firstLineChars="0"/>
        <w:rPr>
          <w:rFonts w:ascii="仿宋_GB2312" w:hAnsi="仿宋" w:eastAsia="仿宋_GB2312"/>
          <w:szCs w:val="24"/>
        </w:rPr>
      </w:pPr>
      <w:r>
        <w:rPr>
          <w:rFonts w:hint="eastAsia" w:ascii="仿宋_GB2312" w:hAnsi="仿宋" w:eastAsia="仿宋_GB2312"/>
          <w:szCs w:val="24"/>
        </w:rPr>
        <w:t>发布更正（延期）公告，澄清或修改磋商文件（如果有）。</w:t>
      </w:r>
    </w:p>
    <w:p>
      <w:pPr>
        <w:pStyle w:val="395"/>
        <w:numPr>
          <w:ilvl w:val="1"/>
          <w:numId w:val="8"/>
        </w:numPr>
        <w:spacing w:before="0"/>
        <w:ind w:firstLineChars="0"/>
        <w:rPr>
          <w:rFonts w:ascii="仿宋_GB2312" w:hAnsi="仿宋" w:eastAsia="仿宋_GB2312"/>
          <w:szCs w:val="24"/>
        </w:rPr>
      </w:pPr>
      <w:r>
        <w:rPr>
          <w:rFonts w:hint="eastAsia" w:ascii="仿宋_GB2312" w:hAnsi="仿宋" w:eastAsia="仿宋_GB2312"/>
          <w:szCs w:val="24"/>
        </w:rPr>
        <w:t>供应商按磋商文件要求编制响应文件。</w:t>
      </w:r>
    </w:p>
    <w:p>
      <w:pPr>
        <w:pStyle w:val="395"/>
        <w:spacing w:before="0"/>
        <w:ind w:left="397" w:firstLine="0" w:firstLineChars="0"/>
        <w:rPr>
          <w:rFonts w:ascii="仿宋_GB2312" w:hAnsi="仿宋" w:eastAsia="仿宋_GB2312"/>
          <w:szCs w:val="24"/>
        </w:rPr>
      </w:pPr>
    </w:p>
    <w:p>
      <w:pPr>
        <w:pStyle w:val="395"/>
        <w:numPr>
          <w:ilvl w:val="0"/>
          <w:numId w:val="7"/>
        </w:numPr>
        <w:tabs>
          <w:tab w:val="left" w:pos="210"/>
          <w:tab w:val="left" w:pos="420"/>
          <w:tab w:val="clear" w:pos="397"/>
        </w:tabs>
        <w:spacing w:before="0"/>
        <w:ind w:firstLine="482"/>
        <w:rPr>
          <w:rFonts w:ascii="仿宋_GB2312" w:hAnsi="仿宋" w:eastAsia="仿宋_GB2312"/>
          <w:b/>
          <w:szCs w:val="24"/>
        </w:rPr>
      </w:pPr>
      <w:r>
        <w:rPr>
          <w:rFonts w:hint="eastAsia" w:ascii="仿宋_GB2312" w:hAnsi="仿宋" w:eastAsia="仿宋_GB2312"/>
          <w:b/>
          <w:szCs w:val="24"/>
        </w:rPr>
        <w:t>响应文件开启与信用信息查询</w:t>
      </w:r>
    </w:p>
    <w:p>
      <w:pPr>
        <w:pStyle w:val="395"/>
        <w:numPr>
          <w:ilvl w:val="1"/>
          <w:numId w:val="10"/>
        </w:numPr>
        <w:spacing w:before="0"/>
        <w:ind w:left="10" w:firstLine="387" w:firstLineChars="0"/>
        <w:rPr>
          <w:rFonts w:ascii="仿宋_GB2312" w:hAnsi="仿宋" w:eastAsia="仿宋_GB2312"/>
          <w:szCs w:val="24"/>
        </w:rPr>
      </w:pPr>
      <w:r>
        <w:rPr>
          <w:rFonts w:hint="eastAsia" w:ascii="仿宋_GB2312" w:hAnsi="仿宋" w:eastAsia="仿宋_GB2312"/>
          <w:szCs w:val="24"/>
        </w:rPr>
        <w:t>供应商依据“提交响应文件的截止时间与地点”通过政采云平台在线提交响应文件。供应商在提交响应文件的截止时间前，可以补充、修改或撤回响应文件。</w:t>
      </w:r>
    </w:p>
    <w:p>
      <w:pPr>
        <w:pStyle w:val="395"/>
        <w:numPr>
          <w:ilvl w:val="1"/>
          <w:numId w:val="10"/>
        </w:numPr>
        <w:spacing w:before="0"/>
        <w:ind w:left="10" w:firstLine="387" w:firstLineChars="0"/>
        <w:rPr>
          <w:rFonts w:ascii="仿宋_GB2312" w:hAnsi="仿宋" w:eastAsia="仿宋_GB2312"/>
          <w:szCs w:val="24"/>
        </w:rPr>
      </w:pPr>
      <w:r>
        <w:rPr>
          <w:rFonts w:hint="eastAsia" w:ascii="仿宋_GB2312" w:hAnsi="仿宋" w:eastAsia="仿宋_GB2312"/>
          <w:szCs w:val="24"/>
        </w:rPr>
        <w:t>采购代理机构将通过“信用中国”网站(</w:t>
      </w:r>
      <w:r>
        <w:fldChar w:fldCharType="begin"/>
      </w:r>
      <w:r>
        <w:instrText xml:space="preserve"> HYPERLINK "http://www.creditchina.gov.cn" </w:instrText>
      </w:r>
      <w:r>
        <w:fldChar w:fldCharType="separate"/>
      </w:r>
      <w:r>
        <w:rPr>
          <w:rFonts w:hint="eastAsia" w:ascii="仿宋_GB2312" w:hAnsi="仿宋" w:eastAsia="仿宋_GB2312"/>
          <w:szCs w:val="24"/>
        </w:rPr>
        <w:t>www.creditchina.gov.cn</w:t>
      </w:r>
      <w:r>
        <w:rPr>
          <w:rFonts w:hint="eastAsia" w:ascii="仿宋_GB2312" w:hAnsi="仿宋" w:eastAsia="仿宋_GB2312"/>
          <w:szCs w:val="24"/>
        </w:rPr>
        <w:fldChar w:fldCharType="end"/>
      </w:r>
      <w:r>
        <w:rPr>
          <w:rFonts w:hint="eastAsia" w:ascii="仿宋_GB2312" w:hAnsi="仿宋" w:eastAsia="仿宋_GB2312"/>
          <w:szCs w:val="24"/>
        </w:rPr>
        <w:t>)和中国政府采购网(www.ccgp.gov.cn)渠道查询供应商响应截止时间当日的信用记录。</w:t>
      </w:r>
    </w:p>
    <w:p>
      <w:pPr>
        <w:pStyle w:val="395"/>
        <w:spacing w:before="0"/>
        <w:ind w:left="397" w:firstLine="0" w:firstLineChars="0"/>
        <w:rPr>
          <w:rFonts w:ascii="仿宋_GB2312" w:hAnsi="仿宋" w:eastAsia="仿宋_GB2312"/>
          <w:szCs w:val="24"/>
        </w:rPr>
      </w:pPr>
    </w:p>
    <w:p>
      <w:pPr>
        <w:pStyle w:val="395"/>
        <w:numPr>
          <w:ilvl w:val="0"/>
          <w:numId w:val="7"/>
        </w:numPr>
        <w:tabs>
          <w:tab w:val="left" w:pos="210"/>
          <w:tab w:val="left" w:pos="420"/>
          <w:tab w:val="clear" w:pos="397"/>
        </w:tabs>
        <w:spacing w:before="0"/>
        <w:ind w:firstLine="482"/>
        <w:rPr>
          <w:rFonts w:ascii="仿宋_GB2312" w:hAnsi="仿宋" w:eastAsia="仿宋_GB2312"/>
          <w:b/>
          <w:szCs w:val="24"/>
        </w:rPr>
      </w:pPr>
      <w:r>
        <w:rPr>
          <w:rFonts w:hint="eastAsia" w:ascii="仿宋_GB2312" w:hAnsi="仿宋" w:eastAsia="仿宋_GB2312"/>
          <w:b/>
          <w:szCs w:val="24"/>
        </w:rPr>
        <w:t>磋商与评审</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磋商小组签到。</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采购代理机构宣布有关纪律以及磋商、评审工作程序。</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磋商小组审查确认磋商文件。磋商文件内容违反国家有关强制性规定的，磋商小组应当停止评审并向采购代理机构说明情况。</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采购人或采购代理机构对供应商的资格进行审查。</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磋商小组审查响应文件。</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对于未实质性响应磋商文件的响应文件由磋商小组认定响应无效，并告知该供应商。</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w:t>
      </w:r>
      <w:r>
        <w:rPr>
          <w:rFonts w:hint="eastAsia" w:ascii="仿宋_GB2312" w:hAnsi="仿宋" w:eastAsia="仿宋_GB2312"/>
          <w:b/>
          <w:bCs/>
          <w:szCs w:val="24"/>
        </w:rPr>
        <w:t>不得少于半小时</w:t>
      </w:r>
      <w:r>
        <w:rPr>
          <w:rFonts w:hint="eastAsia" w:ascii="仿宋_GB2312" w:hAnsi="仿宋" w:eastAsia="仿宋_GB2312"/>
          <w:szCs w:val="24"/>
        </w:rPr>
        <w:t>，供应商已经明确表示澄清说明或补正完毕的除外。供应商的澄清、说明或者更正不得超出响应文件的范围或者改变响应文件的实质性内容。</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与符合要求的供应商进行磋商。磋商小组所有成员按照响应文件解密次序集中与单一供应商分别进行磋商，并给予所有参加磋商的供应商平等的磋商机会。磋商过程中，磋商小组可以根据磋商情况调整轮次。在磋商过程中，磋商小组可以根据磋商文件和磋商情况实质性变动采购需求中的技术、服务要求以及合同草案条款，但不得变动磋商文件中的其他内容。</w:t>
      </w:r>
    </w:p>
    <w:p>
      <w:pPr>
        <w:pStyle w:val="395"/>
        <w:spacing w:before="0"/>
        <w:ind w:firstLine="480"/>
        <w:rPr>
          <w:rFonts w:ascii="仿宋_GB2312" w:hAnsi="仿宋" w:eastAsia="仿宋_GB2312"/>
          <w:szCs w:val="24"/>
        </w:rPr>
      </w:pPr>
      <w:r>
        <w:rPr>
          <w:rFonts w:hint="eastAsia" w:ascii="仿宋_GB2312" w:hAnsi="仿宋" w:eastAsia="仿宋_GB2312"/>
          <w:szCs w:val="24"/>
        </w:rPr>
        <w:t>磋商形式：</w:t>
      </w:r>
    </w:p>
    <w:p>
      <w:pPr>
        <w:pStyle w:val="395"/>
        <w:spacing w:before="0"/>
        <w:ind w:firstLine="480"/>
        <w:rPr>
          <w:rFonts w:ascii="仿宋_GB2312" w:hAnsi="仿宋" w:eastAsia="仿宋_GB2312"/>
          <w:szCs w:val="24"/>
        </w:rPr>
      </w:pPr>
      <w:r>
        <w:rPr>
          <w:rFonts w:hint="eastAsia" w:ascii="宋体" w:hAnsi="宋体" w:cs="宋体"/>
          <w:szCs w:val="24"/>
        </w:rPr>
        <w:t>□</w:t>
      </w:r>
      <w:r>
        <w:rPr>
          <w:rFonts w:hint="eastAsia" w:ascii="仿宋_GB2312" w:hAnsi="仿宋_GB2312" w:eastAsia="仿宋_GB2312" w:cs="仿宋_GB2312"/>
          <w:szCs w:val="24"/>
        </w:rPr>
        <w:t>远程在线视频磋商：</w:t>
      </w:r>
      <w:r>
        <w:rPr>
          <w:rFonts w:hint="eastAsia" w:ascii="仿宋_GB2312" w:hAnsi="仿宋" w:eastAsia="仿宋_GB2312"/>
          <w:szCs w:val="24"/>
        </w:rPr>
        <w:t>磋商时由采购代理机构利用政采云平台发起磋商邀请，供应商通过政采云“在线评审室”进行远程视频磋商。供应商使用CA数字证书登陆政采云平台——收到视频评审邀请——点击“视频评审”进入“视频评审系统”——开始远程磋商活动;</w:t>
      </w:r>
    </w:p>
    <w:p>
      <w:pPr>
        <w:pStyle w:val="395"/>
        <w:spacing w:before="0"/>
        <w:ind w:firstLine="480"/>
        <w:rPr>
          <w:rFonts w:ascii="仿宋_GB2312" w:hAnsi="仿宋_GB2312" w:eastAsia="仿宋_GB2312" w:cs="仿宋_GB2312"/>
          <w:szCs w:val="24"/>
        </w:rPr>
      </w:pPr>
      <w:r>
        <w:rPr>
          <w:rFonts w:hint="eastAsia" w:ascii="宋体" w:hAnsi="宋体" w:cs="宋体"/>
          <w:szCs w:val="24"/>
        </w:rPr>
        <w:t>☑</w:t>
      </w:r>
      <w:r>
        <w:rPr>
          <w:rFonts w:hint="eastAsia" w:ascii="仿宋_GB2312" w:hAnsi="仿宋_GB2312" w:eastAsia="仿宋_GB2312" w:cs="仿宋_GB2312"/>
          <w:szCs w:val="24"/>
        </w:rPr>
        <w:t>远程在线非视频磋商：</w:t>
      </w:r>
      <w:r>
        <w:rPr>
          <w:rFonts w:hint="eastAsia" w:ascii="仿宋_GB2312" w:hAnsi="仿宋" w:eastAsia="仿宋_GB2312"/>
          <w:szCs w:val="24"/>
        </w:rPr>
        <w:t>磋商时由采购代理机构利用政采云平台发起磋商邀请，磋商小组在线（以书面形式完成的需扫描上传）将磋商问题通知所有参加磋商的供应商，供应商按照磋商小组的要求对问题进行答复，并由授权代表签字或者加盖公章后扫描上传（或直接在线加盖电子签章后提交）；</w:t>
      </w:r>
    </w:p>
    <w:p>
      <w:pPr>
        <w:pStyle w:val="395"/>
        <w:spacing w:before="0"/>
        <w:ind w:firstLine="480"/>
        <w:rPr>
          <w:rFonts w:ascii="仿宋_GB2312" w:hAnsi="仿宋" w:eastAsia="仿宋_GB2312"/>
          <w:szCs w:val="24"/>
        </w:rPr>
      </w:pPr>
      <w:r>
        <w:rPr>
          <w:rFonts w:hint="eastAsia" w:ascii="宋体" w:hAnsi="宋体" w:cs="宋体"/>
          <w:szCs w:val="24"/>
        </w:rPr>
        <w:t>□</w:t>
      </w:r>
      <w:r>
        <w:rPr>
          <w:rFonts w:hint="eastAsia" w:ascii="仿宋_GB2312" w:hAnsi="仿宋_GB2312" w:eastAsia="仿宋_GB2312" w:cs="仿宋_GB2312"/>
          <w:szCs w:val="24"/>
        </w:rPr>
        <w:t>评审现场磋商：</w:t>
      </w:r>
      <w:r>
        <w:rPr>
          <w:rFonts w:hint="eastAsia" w:ascii="仿宋_GB2312" w:hAnsi="仿宋" w:eastAsia="仿宋_GB2312"/>
          <w:szCs w:val="24"/>
        </w:rPr>
        <w:t>对于要求到采购代理机构现场进行磋商的供应商，需在采购代理机构指定会议室开展磋商活动，磋商小组在现场集中与单一供应商分别进行磋商。</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经磋商确定磋商文件的变动情况。对磋商文件作出的实质性变动是磋商文件的有效组成部分，磋商小组应当及时通过政采云平台通知所有参加磋商的供应商。</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磋商小组按照下列方式确定提交最后报价的供应商，有特殊规定的从其规定：</w:t>
      </w:r>
    </w:p>
    <w:p>
      <w:pPr>
        <w:pStyle w:val="395"/>
        <w:spacing w:before="0"/>
        <w:ind w:firstLine="480"/>
        <w:rPr>
          <w:rFonts w:ascii="仿宋_GB2312" w:hAnsi="仿宋" w:eastAsia="仿宋_GB2312"/>
          <w:szCs w:val="24"/>
        </w:rPr>
      </w:pPr>
      <w:r>
        <w:rPr>
          <w:rFonts w:hint="eastAsia" w:ascii="仿宋_GB2312" w:hAnsi="仿宋" w:eastAsia="仿宋_GB2312"/>
          <w:szCs w:val="24"/>
        </w:rPr>
        <w:t>磋商文件能够详细列明采购标的的技术、服务要求的，磋商结束后，磋商小组应当要求所有实质性响应的供应商在规定时间内在电子交易平台提交最后报价，提交最后报价的供应商不得少于</w:t>
      </w:r>
      <w:r>
        <w:rPr>
          <w:rFonts w:hint="eastAsia" w:ascii="仿宋_GB2312" w:hAnsi="仿宋" w:eastAsia="仿宋_GB2312"/>
          <w:szCs w:val="24"/>
          <w:lang w:val="en-US" w:eastAsia="zh-CN"/>
        </w:rPr>
        <w:t>2</w:t>
      </w:r>
      <w:r>
        <w:rPr>
          <w:rFonts w:hint="eastAsia" w:ascii="仿宋_GB2312" w:hAnsi="仿宋" w:eastAsia="仿宋_GB2312"/>
          <w:szCs w:val="24"/>
        </w:rPr>
        <w:t>家。</w:t>
      </w:r>
    </w:p>
    <w:p>
      <w:pPr>
        <w:pStyle w:val="395"/>
        <w:spacing w:before="0"/>
        <w:ind w:firstLine="480"/>
        <w:rPr>
          <w:rFonts w:ascii="仿宋_GB2312" w:hAnsi="仿宋" w:eastAsia="仿宋_GB2312"/>
          <w:szCs w:val="24"/>
        </w:rPr>
      </w:pPr>
      <w:r>
        <w:rPr>
          <w:rFonts w:hint="eastAsia" w:ascii="仿宋_GB2312" w:hAnsi="仿宋" w:eastAsia="仿宋_GB2312"/>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确定进入最后报价的供应商在规定时间内提交最后报价。</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采购代理机构唱价。</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5"/>
        <w:numPr>
          <w:ilvl w:val="1"/>
          <w:numId w:val="11"/>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磋商小组应当根据综合评分情况，按照评审得分由高到低顺序推荐3名以上成交候选供应商，并编写评审报告。</w:t>
      </w:r>
    </w:p>
    <w:p>
      <w:pPr>
        <w:pStyle w:val="395"/>
        <w:numPr>
          <w:ilvl w:val="0"/>
          <w:numId w:val="7"/>
        </w:numPr>
        <w:tabs>
          <w:tab w:val="left" w:pos="210"/>
          <w:tab w:val="left" w:pos="420"/>
          <w:tab w:val="clear" w:pos="397"/>
        </w:tabs>
        <w:spacing w:before="0"/>
        <w:ind w:firstLine="482"/>
        <w:rPr>
          <w:rFonts w:ascii="仿宋_GB2312" w:hAnsi="仿宋" w:eastAsia="仿宋_GB2312"/>
          <w:b/>
          <w:szCs w:val="24"/>
        </w:rPr>
      </w:pPr>
      <w:r>
        <w:rPr>
          <w:rFonts w:hint="eastAsia" w:ascii="仿宋_GB2312" w:hAnsi="仿宋" w:eastAsia="仿宋_GB2312"/>
          <w:b/>
          <w:szCs w:val="24"/>
        </w:rPr>
        <w:t>成交</w:t>
      </w:r>
    </w:p>
    <w:p>
      <w:pPr>
        <w:pStyle w:val="395"/>
        <w:numPr>
          <w:ilvl w:val="1"/>
          <w:numId w:val="12"/>
        </w:numPr>
        <w:spacing w:before="0"/>
        <w:ind w:left="10" w:firstLine="387" w:firstLineChars="0"/>
        <w:rPr>
          <w:rFonts w:ascii="仿宋_GB2312" w:hAnsi="仿宋" w:eastAsia="仿宋_GB2312"/>
          <w:szCs w:val="24"/>
        </w:rPr>
      </w:pPr>
      <w:r>
        <w:rPr>
          <w:rFonts w:hint="eastAsia" w:ascii="仿宋_GB2312" w:hAnsi="仿宋" w:eastAsia="仿宋_GB2312"/>
          <w:szCs w:val="24"/>
        </w:rPr>
        <w:t>采购代理机构应当在评审结束后2个工作日内，将评审报告送采购人确认。</w:t>
      </w:r>
    </w:p>
    <w:p>
      <w:pPr>
        <w:pStyle w:val="395"/>
        <w:numPr>
          <w:ilvl w:val="1"/>
          <w:numId w:val="12"/>
        </w:numPr>
        <w:spacing w:before="0"/>
        <w:ind w:left="10" w:firstLine="387" w:firstLineChars="0"/>
        <w:rPr>
          <w:rFonts w:ascii="仿宋_GB2312" w:hAnsi="仿宋" w:eastAsia="仿宋_GB2312"/>
          <w:szCs w:val="24"/>
        </w:rPr>
      </w:pPr>
      <w:r>
        <w:rPr>
          <w:rFonts w:hint="eastAsia" w:ascii="仿宋_GB2312" w:hAnsi="仿宋" w:eastAsia="仿宋_GB2312"/>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从评审报告提出的成交候选供应商中，按照排序由高到低的原则确定成交供应商，采购人也可以书面授权磋商小组直接确定成交供应商。成交通知书和结果公告应当在规定时间内同时发出。</w:t>
      </w:r>
    </w:p>
    <w:p>
      <w:pPr>
        <w:pStyle w:val="395"/>
        <w:numPr>
          <w:ilvl w:val="1"/>
          <w:numId w:val="12"/>
        </w:numPr>
        <w:spacing w:before="0"/>
        <w:ind w:left="10" w:firstLine="387" w:firstLineChars="0"/>
        <w:rPr>
          <w:rFonts w:ascii="仿宋_GB2312" w:hAnsi="仿宋" w:eastAsia="仿宋_GB2312"/>
          <w:szCs w:val="24"/>
        </w:rPr>
      </w:pPr>
      <w:r>
        <w:rPr>
          <w:rFonts w:hint="eastAsia" w:ascii="仿宋_GB2312" w:hAnsi="仿宋" w:eastAsia="仿宋_GB2312"/>
          <w:szCs w:val="24"/>
        </w:rPr>
        <w:t>采购代理机构在收到采购人对评审报告的确认意见和对成交供应商的确定结果后，应当在2个工作日内，在新疆政府采购网（政采云）上公告成交结果，同时向成交供应商发出成交通知书，并将磋商文件随成交结果同时公告。</w:t>
      </w:r>
    </w:p>
    <w:p>
      <w:pPr>
        <w:pStyle w:val="395"/>
        <w:numPr>
          <w:ilvl w:val="0"/>
          <w:numId w:val="7"/>
        </w:numPr>
        <w:tabs>
          <w:tab w:val="left" w:pos="210"/>
          <w:tab w:val="left" w:pos="420"/>
          <w:tab w:val="clear" w:pos="397"/>
        </w:tabs>
        <w:spacing w:before="0"/>
        <w:ind w:firstLine="482"/>
        <w:rPr>
          <w:rFonts w:ascii="仿宋_GB2312" w:hAnsi="仿宋" w:eastAsia="仿宋_GB2312"/>
          <w:b/>
          <w:szCs w:val="24"/>
        </w:rPr>
      </w:pPr>
      <w:r>
        <w:rPr>
          <w:rFonts w:hint="eastAsia" w:ascii="仿宋_GB2312" w:hAnsi="仿宋" w:eastAsia="仿宋_GB2312"/>
          <w:b/>
          <w:szCs w:val="24"/>
        </w:rPr>
        <w:t>合同的签订</w:t>
      </w:r>
    </w:p>
    <w:p>
      <w:pPr>
        <w:pStyle w:val="395"/>
        <w:spacing w:before="0"/>
        <w:ind w:firstLine="480"/>
        <w:rPr>
          <w:rFonts w:ascii="仿宋_GB2312" w:hAnsi="仿宋" w:eastAsia="仿宋_GB2312"/>
          <w:szCs w:val="24"/>
          <w:lang w:val="zh-CN"/>
        </w:rPr>
      </w:pPr>
      <w:r>
        <w:rPr>
          <w:rFonts w:hint="eastAsia" w:ascii="仿宋_GB2312" w:hAnsi="仿宋" w:eastAsia="仿宋_GB2312"/>
          <w:szCs w:val="24"/>
          <w:lang w:val="zh-CN"/>
        </w:rPr>
        <w:t>5.1 采购人与中标人应当通过电子交易平台在中标通知书发出之日起三十日内，按照采购文件确定的事项签订政府采购合同，并在签订之日起2个工作日内将政府采购合同在</w:t>
      </w:r>
      <w:r>
        <w:rPr>
          <w:rFonts w:hint="eastAsia" w:ascii="仿宋_GB2312" w:hAnsi="仿宋" w:eastAsia="仿宋_GB2312"/>
          <w:szCs w:val="24"/>
        </w:rPr>
        <w:t>新疆</w:t>
      </w:r>
      <w:r>
        <w:rPr>
          <w:rFonts w:hint="eastAsia" w:ascii="仿宋_GB2312" w:hAnsi="仿宋" w:eastAsia="仿宋_GB2312"/>
          <w:szCs w:val="24"/>
          <w:lang w:val="zh-CN"/>
        </w:rPr>
        <w:t>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395"/>
        <w:spacing w:before="0"/>
        <w:ind w:firstLine="480"/>
        <w:rPr>
          <w:rFonts w:ascii="仿宋_GB2312" w:hAnsi="仿宋" w:eastAsia="仿宋_GB2312"/>
          <w:szCs w:val="24"/>
        </w:rPr>
      </w:pPr>
      <w:r>
        <w:rPr>
          <w:rFonts w:hint="eastAsia" w:ascii="仿宋_GB2312" w:hAnsi="仿宋" w:eastAsia="仿宋_GB2312"/>
          <w:szCs w:val="24"/>
          <w:lang w:val="zh-CN"/>
        </w:rPr>
        <w:t>5.2中标人按规定的日期、时间、地点，由法定代表人或其授权代表与采购人代表签订合同。如中标人为联合体的，由联合体成员各方法定代表人或其授权代表与采购人代表签订合同。</w:t>
      </w:r>
    </w:p>
    <w:p>
      <w:pPr>
        <w:pStyle w:val="395"/>
        <w:spacing w:before="0"/>
        <w:ind w:firstLine="480"/>
        <w:rPr>
          <w:rFonts w:ascii="仿宋_GB2312" w:hAnsi="仿宋" w:eastAsia="仿宋_GB2312"/>
          <w:szCs w:val="24"/>
          <w:lang w:val="zh-CN"/>
        </w:rPr>
      </w:pPr>
      <w:r>
        <w:rPr>
          <w:rFonts w:hint="eastAsia" w:ascii="仿宋_GB2312" w:hAnsi="仿宋" w:eastAsia="仿宋_GB2312"/>
          <w:szCs w:val="24"/>
          <w:lang w:val="zh-CN"/>
        </w:rPr>
        <w:t>5.3如签订合同并生效后，供应商无故拒绝或延期，除按照合同条款处理外，列入不良行为记录一次，并给予通报。</w:t>
      </w:r>
    </w:p>
    <w:p>
      <w:pPr>
        <w:pStyle w:val="395"/>
        <w:spacing w:before="0"/>
        <w:ind w:firstLine="480"/>
        <w:rPr>
          <w:rFonts w:ascii="仿宋_GB2312" w:hAnsi="仿宋" w:eastAsia="仿宋_GB2312"/>
          <w:szCs w:val="24"/>
          <w:lang w:val="zh-CN"/>
        </w:rPr>
      </w:pPr>
      <w:r>
        <w:rPr>
          <w:rFonts w:hint="eastAsia" w:ascii="仿宋_GB2312" w:hAnsi="仿宋" w:eastAsia="仿宋_GB2312"/>
          <w:szCs w:val="24"/>
          <w:lang w:val="zh-CN"/>
        </w:rPr>
        <w:t>5.4中标供应商拒绝与采购人签订合同的，采购人可以按照评审报告推荐的中标或者成交候选人名单排序，确定下一候选人为中标供应商，也可以重新开展政府采购活动。</w:t>
      </w:r>
    </w:p>
    <w:p>
      <w:pPr>
        <w:pStyle w:val="395"/>
        <w:spacing w:before="0"/>
        <w:ind w:firstLine="480"/>
        <w:rPr>
          <w:rFonts w:ascii="仿宋_GB2312" w:hAnsi="仿宋" w:eastAsia="仿宋_GB2312"/>
          <w:szCs w:val="24"/>
          <w:lang w:val="zh-CN"/>
        </w:rPr>
      </w:pPr>
      <w:r>
        <w:rPr>
          <w:rFonts w:hint="eastAsia" w:ascii="仿宋_GB2312" w:hAnsi="仿宋" w:eastAsia="仿宋_GB2312"/>
          <w:szCs w:val="24"/>
          <w:lang w:val="zh-CN"/>
        </w:rPr>
        <w:t>5.5采购合同由采购人与中标供应商根据采购文件、投标文件等内容通过政府采购电子交易平台在线签订，自动备案。</w:t>
      </w:r>
    </w:p>
    <w:p>
      <w:pPr>
        <w:pStyle w:val="395"/>
        <w:numPr>
          <w:ilvl w:val="0"/>
          <w:numId w:val="7"/>
        </w:numPr>
        <w:tabs>
          <w:tab w:val="left" w:pos="210"/>
          <w:tab w:val="left" w:pos="420"/>
          <w:tab w:val="clear" w:pos="397"/>
        </w:tabs>
        <w:spacing w:before="0"/>
        <w:ind w:firstLine="482"/>
        <w:rPr>
          <w:rFonts w:ascii="仿宋_GB2312" w:hAnsi="仿宋" w:eastAsia="仿宋_GB2312"/>
          <w:b/>
          <w:szCs w:val="24"/>
        </w:rPr>
      </w:pPr>
      <w:r>
        <w:rPr>
          <w:rFonts w:hint="eastAsia" w:ascii="仿宋_GB2312" w:hAnsi="仿宋" w:eastAsia="仿宋_GB2312"/>
          <w:b/>
          <w:szCs w:val="24"/>
        </w:rPr>
        <w:t>竞争性磋商流程图</w:t>
      </w:r>
    </w:p>
    <w:p>
      <w:pPr>
        <w:rPr>
          <w:rFonts w:ascii="仿宋_GB2312" w:hAnsi="仿宋" w:eastAsia="仿宋_GB2312"/>
          <w:b/>
        </w:rPr>
      </w:pPr>
      <w:r>
        <w:rPr>
          <w:rFonts w:ascii="仿宋_GB2312" w:hAnsi="仿宋" w:eastAsia="仿宋_GB2312"/>
          <w:b/>
        </w:rPr>
        <w:drawing>
          <wp:inline distT="0" distB="0" distL="114300" distR="114300">
            <wp:extent cx="5634990" cy="2319020"/>
            <wp:effectExtent l="0" t="0" r="3810" b="5080"/>
            <wp:docPr id="1" name="ECB019B1-382A-4266-B25C-5B523AA43C14-1" descr="C:/Users/Administrator/AppData/Local/Temp/wps.hNBePf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hNBePfwps"/>
                    <pic:cNvPicPr>
                      <a:picLocks noChangeAspect="1"/>
                    </pic:cNvPicPr>
                  </pic:nvPicPr>
                  <pic:blipFill>
                    <a:blip r:embed="rId14" cstate="print"/>
                    <a:stretch>
                      <a:fillRect/>
                    </a:stretch>
                  </pic:blipFill>
                  <pic:spPr>
                    <a:xfrm>
                      <a:off x="0" y="0"/>
                      <a:ext cx="5634990" cy="2319020"/>
                    </a:xfrm>
                    <a:prstGeom prst="rect">
                      <a:avLst/>
                    </a:prstGeom>
                  </pic:spPr>
                </pic:pic>
              </a:graphicData>
            </a:graphic>
          </wp:inline>
        </w:drawing>
      </w:r>
      <w:r>
        <w:rPr>
          <w:rFonts w:ascii="仿宋_GB2312" w:hAnsi="仿宋" w:eastAsia="仿宋_GB2312"/>
          <w:b/>
        </w:rPr>
        <w:br w:type="page"/>
      </w:r>
    </w:p>
    <w:p>
      <w:pPr>
        <w:widowControl/>
        <w:adjustRightInd/>
        <w:jc w:val="center"/>
        <w:outlineLvl w:val="0"/>
        <w:rPr>
          <w:rFonts w:ascii="仿宋_GB2312" w:hAnsi="仿宋_GB2312" w:eastAsia="仿宋_GB2312" w:cs="仿宋_GB2312"/>
          <w:b/>
          <w:sz w:val="36"/>
          <w:szCs w:val="20"/>
        </w:rPr>
      </w:pPr>
      <w:bookmarkStart w:id="12" w:name="_Toc3754"/>
      <w:r>
        <w:rPr>
          <w:rFonts w:hint="eastAsia" w:ascii="仿宋_GB2312" w:hAnsi="仿宋_GB2312" w:eastAsia="仿宋_GB2312" w:cs="仿宋_GB2312"/>
          <w:b/>
          <w:sz w:val="36"/>
          <w:szCs w:val="20"/>
        </w:rPr>
        <w:t>第三部分</w:t>
      </w:r>
      <w:bookmarkEnd w:id="7"/>
      <w:r>
        <w:rPr>
          <w:rFonts w:hint="eastAsia" w:ascii="仿宋_GB2312" w:hAnsi="仿宋_GB2312" w:eastAsia="仿宋_GB2312" w:cs="仿宋_GB2312"/>
          <w:b/>
          <w:sz w:val="36"/>
          <w:szCs w:val="20"/>
        </w:rPr>
        <w:t xml:space="preserve">  </w:t>
      </w:r>
      <w:r>
        <w:rPr>
          <w:rFonts w:hint="eastAsia" w:ascii="仿宋_GB2312" w:hAnsi="仿宋_GB2312" w:eastAsia="仿宋_GB2312" w:cs="仿宋_GB2312"/>
          <w:b/>
          <w:sz w:val="36"/>
        </w:rPr>
        <w:t>供应商须知</w:t>
      </w:r>
      <w:bookmarkEnd w:id="8"/>
      <w:bookmarkEnd w:id="12"/>
    </w:p>
    <w:p>
      <w:pPr>
        <w:adjustRightInd/>
        <w:spacing w:line="360" w:lineRule="auto"/>
        <w:ind w:firstLine="3845" w:firstLineChars="1197"/>
        <w:outlineLvl w:val="0"/>
        <w:rPr>
          <w:rFonts w:ascii="仿宋_GB2312" w:hAnsi="仿宋_GB2312" w:eastAsia="仿宋_GB2312" w:cs="仿宋_GB2312"/>
          <w:b/>
          <w:sz w:val="32"/>
          <w:szCs w:val="20"/>
        </w:rPr>
      </w:pPr>
      <w:bookmarkStart w:id="13" w:name="_Toc32324"/>
      <w:r>
        <w:rPr>
          <w:rFonts w:hint="eastAsia" w:ascii="仿宋_GB2312" w:hAnsi="仿宋_GB2312" w:eastAsia="仿宋_GB2312" w:cs="仿宋_GB2312"/>
          <w:b/>
          <w:sz w:val="32"/>
          <w:szCs w:val="20"/>
        </w:rPr>
        <w:t>一、前附表</w:t>
      </w:r>
      <w:bookmarkEnd w:id="13"/>
    </w:p>
    <w:tbl>
      <w:tblPr>
        <w:tblStyle w:val="61"/>
        <w:tblW w:w="875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1"/>
        <w:gridCol w:w="1844"/>
        <w:gridCol w:w="603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序号</w:t>
            </w:r>
          </w:p>
        </w:tc>
        <w:tc>
          <w:tcPr>
            <w:tcW w:w="1844"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名称</w:t>
            </w:r>
          </w:p>
        </w:tc>
        <w:tc>
          <w:tcPr>
            <w:tcW w:w="6034"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采购人</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采购人信息</w:t>
            </w:r>
          </w:p>
          <w:p>
            <w:pPr>
              <w:pStyle w:val="161"/>
              <w:spacing w:line="360" w:lineRule="auto"/>
              <w:ind w:firstLine="0"/>
              <w:rPr>
                <w:rFonts w:hint="eastAsia" w:ascii="仿宋" w:hAnsi="仿宋" w:eastAsia="仿宋" w:cs="仿宋"/>
                <w:snapToGrid w:val="0"/>
                <w:color w:val="000000" w:themeColor="text1"/>
                <w:szCs w:val="24"/>
                <w:highlight w:val="none"/>
                <w:lang w:eastAsia="zh-CN"/>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名 称：</w:t>
            </w:r>
            <w:r>
              <w:rPr>
                <w:rFonts w:hint="eastAsia" w:ascii="仿宋" w:hAnsi="仿宋" w:eastAsia="仿宋" w:cs="仿宋"/>
                <w:snapToGrid w:val="0"/>
                <w:color w:val="000000" w:themeColor="text1"/>
                <w:szCs w:val="24"/>
                <w:highlight w:val="none"/>
                <w:lang w:eastAsia="zh-CN"/>
                <w14:textFill>
                  <w14:solidFill>
                    <w14:schemeClr w14:val="tx1"/>
                  </w14:solidFill>
                </w14:textFill>
              </w:rPr>
              <w:t>乌鲁木齐市天山区机关事务管理中心</w:t>
            </w:r>
          </w:p>
          <w:p>
            <w:pPr>
              <w:pStyle w:val="161"/>
              <w:spacing w:line="360" w:lineRule="auto"/>
              <w:ind w:firstLine="0"/>
              <w:rPr>
                <w:rFonts w:hint="eastAsia" w:ascii="仿宋" w:hAnsi="仿宋" w:eastAsia="仿宋" w:cs="仿宋"/>
                <w:snapToGrid w:val="0"/>
                <w:color w:val="000000" w:themeColor="text1"/>
                <w:szCs w:val="24"/>
                <w:highlight w:val="none"/>
                <w:lang w:eastAsia="zh-CN"/>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地 址：</w:t>
            </w:r>
            <w:r>
              <w:rPr>
                <w:rFonts w:hint="eastAsia" w:ascii="仿宋" w:hAnsi="仿宋" w:eastAsia="仿宋" w:cs="仿宋"/>
                <w:snapToGrid w:val="0"/>
                <w:color w:val="000000" w:themeColor="text1"/>
                <w:szCs w:val="24"/>
                <w:highlight w:val="none"/>
                <w:lang w:eastAsia="zh-CN"/>
                <w14:textFill>
                  <w14:solidFill>
                    <w14:schemeClr w14:val="tx1"/>
                  </w14:solidFill>
                </w14:textFill>
              </w:rPr>
              <w:t>新疆乌鲁木齐市天山区东环路</w:t>
            </w:r>
          </w:p>
          <w:p>
            <w:pPr>
              <w:pStyle w:val="161"/>
              <w:spacing w:line="360" w:lineRule="auto"/>
              <w:ind w:firstLine="0"/>
              <w:rPr>
                <w:rFonts w:hint="eastAsia" w:ascii="仿宋" w:hAnsi="仿宋" w:eastAsia="仿宋" w:cs="仿宋"/>
                <w:snapToGrid w:val="0"/>
                <w:color w:val="000000" w:themeColor="text1"/>
                <w:szCs w:val="24"/>
                <w:highlight w:val="none"/>
                <w:lang w:eastAsia="zh-CN"/>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联系方式：</w:t>
            </w:r>
            <w:r>
              <w:rPr>
                <w:rFonts w:hint="eastAsia" w:ascii="仿宋" w:hAnsi="仿宋" w:eastAsia="仿宋" w:cs="仿宋"/>
                <w:snapToGrid w:val="0"/>
                <w:color w:val="000000" w:themeColor="text1"/>
                <w:szCs w:val="24"/>
                <w:highlight w:val="none"/>
                <w:lang w:eastAsia="zh-CN"/>
                <w14:textFill>
                  <w14:solidFill>
                    <w14:schemeClr w14:val="tx1"/>
                  </w14:solidFill>
                </w14:textFill>
              </w:rPr>
              <w:t>0991-2610749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采购代理机构</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采购代理机构信息</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名 称：新疆正禾招投标有限公司</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地 址：新疆乌鲁木齐高新技术产业开发区（新市区）鲤鱼山北路199号驰达-高新区（新市区）电子信息产业加速器1栋511室</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项目联系人：杨慧</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电 话：0991-6660570</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电子邮箱：zh6660570@qq.com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3</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踏勘现场</w:t>
            </w:r>
          </w:p>
        </w:tc>
        <w:tc>
          <w:tcPr>
            <w:tcW w:w="6034" w:type="dxa"/>
            <w:noWrap/>
            <w:vAlign w:val="center"/>
          </w:tcPr>
          <w:p>
            <w:pPr>
              <w:pStyle w:val="407"/>
              <w:spacing w:before="0" w:after="0" w:line="360" w:lineRule="auto"/>
              <w:ind w:left="0" w:leftChars="0" w:firstLine="0" w:firstLineChars="0"/>
              <w:rPr>
                <w:rStyle w:val="623"/>
                <w:rFonts w:hint="eastAsia" w:ascii="仿宋" w:hAnsi="仿宋" w:eastAsia="仿宋" w:cs="仿宋"/>
                <w:sz w:val="24"/>
                <w:szCs w:val="24"/>
              </w:rPr>
            </w:pPr>
            <w:r>
              <w:rPr>
                <w:rStyle w:val="623"/>
                <w:rFonts w:hint="eastAsia" w:ascii="仿宋" w:hAnsi="仿宋" w:eastAsia="仿宋" w:cs="仿宋"/>
                <w:sz w:val="24"/>
                <w:szCs w:val="24"/>
              </w:rPr>
              <w:fldChar w:fldCharType="begin"/>
            </w:r>
            <w:r>
              <w:rPr>
                <w:rStyle w:val="623"/>
                <w:rFonts w:hint="eastAsia" w:ascii="仿宋" w:hAnsi="仿宋" w:eastAsia="仿宋" w:cs="仿宋"/>
                <w:sz w:val="24"/>
                <w:szCs w:val="24"/>
              </w:rPr>
              <w:instrText xml:space="preserve"> eq \o\ac(</w:instrText>
            </w:r>
            <w:r>
              <w:rPr>
                <w:rStyle w:val="623"/>
                <w:rFonts w:hint="eastAsia" w:ascii="仿宋" w:hAnsi="仿宋" w:eastAsia="仿宋" w:cs="仿宋"/>
                <w:position w:val="-4"/>
                <w:sz w:val="36"/>
                <w:szCs w:val="24"/>
              </w:rPr>
              <w:instrText xml:space="preserve">□</w:instrText>
            </w:r>
            <w:r>
              <w:rPr>
                <w:rStyle w:val="623"/>
                <w:rFonts w:hint="eastAsia" w:ascii="仿宋" w:hAnsi="仿宋" w:eastAsia="仿宋" w:cs="仿宋"/>
                <w:sz w:val="24"/>
                <w:szCs w:val="24"/>
              </w:rPr>
              <w:instrText xml:space="preserve">,√)</w:instrText>
            </w:r>
            <w:r>
              <w:rPr>
                <w:rStyle w:val="623"/>
                <w:rFonts w:hint="eastAsia" w:ascii="仿宋" w:hAnsi="仿宋" w:eastAsia="仿宋" w:cs="仿宋"/>
                <w:sz w:val="24"/>
                <w:szCs w:val="24"/>
              </w:rPr>
              <w:fldChar w:fldCharType="end"/>
            </w:r>
            <w:r>
              <w:rPr>
                <w:rStyle w:val="623"/>
                <w:rFonts w:hint="eastAsia" w:ascii="仿宋" w:hAnsi="仿宋" w:eastAsia="仿宋" w:cs="仿宋"/>
                <w:sz w:val="24"/>
                <w:szCs w:val="24"/>
              </w:rPr>
              <w:t>否，自行踏勘。</w:t>
            </w:r>
          </w:p>
          <w:p>
            <w:pPr>
              <w:pStyle w:val="407"/>
              <w:spacing w:before="0" w:after="0" w:line="360" w:lineRule="auto"/>
              <w:ind w:left="0" w:leftChars="0" w:firstLine="0" w:firstLineChars="0"/>
              <w:rPr>
                <w:rStyle w:val="623"/>
                <w:rFonts w:hint="eastAsia" w:ascii="仿宋" w:hAnsi="仿宋" w:eastAsia="仿宋" w:cs="仿宋"/>
                <w:sz w:val="24"/>
                <w:szCs w:val="24"/>
              </w:rPr>
            </w:pPr>
            <w:r>
              <w:rPr>
                <w:rStyle w:val="623"/>
                <w:rFonts w:hint="eastAsia" w:ascii="仿宋" w:hAnsi="仿宋" w:eastAsia="仿宋" w:cs="仿宋"/>
                <w:sz w:val="24"/>
                <w:szCs w:val="24"/>
              </w:rPr>
              <w:fldChar w:fldCharType="begin"/>
            </w:r>
            <w:r>
              <w:rPr>
                <w:rStyle w:val="623"/>
                <w:rFonts w:hint="eastAsia" w:ascii="仿宋" w:hAnsi="仿宋" w:eastAsia="仿宋" w:cs="仿宋"/>
                <w:sz w:val="24"/>
                <w:szCs w:val="24"/>
              </w:rPr>
              <w:instrText xml:space="preserve"> eq \o\ac(</w:instrText>
            </w:r>
            <w:r>
              <w:rPr>
                <w:rStyle w:val="623"/>
                <w:rFonts w:hint="eastAsia" w:ascii="仿宋" w:hAnsi="仿宋" w:eastAsia="仿宋" w:cs="仿宋"/>
                <w:position w:val="-4"/>
                <w:sz w:val="36"/>
                <w:szCs w:val="24"/>
              </w:rPr>
              <w:instrText xml:space="preserve">□</w:instrText>
            </w:r>
            <w:r>
              <w:rPr>
                <w:rStyle w:val="623"/>
                <w:rFonts w:hint="eastAsia" w:ascii="仿宋" w:hAnsi="仿宋" w:eastAsia="仿宋" w:cs="仿宋"/>
                <w:sz w:val="24"/>
                <w:szCs w:val="24"/>
              </w:rPr>
              <w:instrText xml:space="preserve">)</w:instrText>
            </w:r>
            <w:r>
              <w:rPr>
                <w:rStyle w:val="623"/>
                <w:rFonts w:hint="eastAsia" w:ascii="仿宋" w:hAnsi="仿宋" w:eastAsia="仿宋" w:cs="仿宋"/>
                <w:sz w:val="24"/>
                <w:szCs w:val="24"/>
              </w:rPr>
              <w:fldChar w:fldCharType="end"/>
            </w:r>
            <w:r>
              <w:rPr>
                <w:rStyle w:val="623"/>
                <w:rFonts w:hint="eastAsia" w:ascii="仿宋" w:hAnsi="仿宋" w:eastAsia="仿宋" w:cs="仿宋"/>
                <w:sz w:val="24"/>
                <w:szCs w:val="24"/>
              </w:rPr>
              <w:t>统一组织。</w:t>
            </w:r>
          </w:p>
          <w:p>
            <w:pPr>
              <w:pStyle w:val="407"/>
              <w:spacing w:before="0" w:after="0" w:line="360" w:lineRule="auto"/>
              <w:ind w:left="0" w:leftChars="0" w:firstLine="0" w:firstLineChars="0"/>
              <w:rPr>
                <w:rStyle w:val="623"/>
                <w:rFonts w:hint="eastAsia" w:ascii="仿宋" w:hAnsi="仿宋" w:eastAsia="仿宋" w:cs="仿宋"/>
                <w:sz w:val="24"/>
                <w:szCs w:val="24"/>
              </w:rPr>
            </w:pPr>
            <w:r>
              <w:rPr>
                <w:rStyle w:val="623"/>
                <w:rFonts w:hint="eastAsia" w:ascii="仿宋" w:hAnsi="仿宋" w:eastAsia="仿宋" w:cs="仿宋"/>
                <w:sz w:val="24"/>
                <w:szCs w:val="24"/>
              </w:rPr>
              <w:t>联系人：/    联系电话：/</w:t>
            </w:r>
          </w:p>
          <w:p>
            <w:pPr>
              <w:pStyle w:val="161"/>
              <w:spacing w:line="360" w:lineRule="auto"/>
              <w:ind w:firstLine="0"/>
              <w:rPr>
                <w:rFonts w:hint="eastAsia" w:ascii="仿宋" w:hAnsi="仿宋" w:eastAsia="仿宋" w:cs="仿宋"/>
                <w:snapToGrid w:val="0"/>
                <w:color w:val="000000" w:themeColor="text1"/>
                <w:szCs w:val="24"/>
                <w:lang w:eastAsia="zh-CN"/>
                <w14:textFill>
                  <w14:solidFill>
                    <w14:schemeClr w14:val="tx1"/>
                  </w14:solidFill>
                </w14:textFill>
              </w:rPr>
            </w:pPr>
            <w:r>
              <w:rPr>
                <w:rStyle w:val="623"/>
                <w:rFonts w:hint="eastAsia" w:ascii="仿宋" w:hAnsi="仿宋" w:eastAsia="仿宋" w:cs="仿宋"/>
                <w:sz w:val="24"/>
                <w:szCs w:val="24"/>
              </w:rPr>
              <w:t xml:space="preserve">踏勘时间：/    踏勘地点：/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4</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资金来源</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5</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环境标志产品</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节能产品</w:t>
            </w:r>
          </w:p>
        </w:tc>
        <w:tc>
          <w:tcPr>
            <w:tcW w:w="6034" w:type="dxa"/>
            <w:noWrap/>
            <w:vAlign w:val="center"/>
          </w:tcPr>
          <w:p>
            <w:pPr>
              <w:pStyle w:val="407"/>
              <w:spacing w:before="0" w:after="0" w:line="360" w:lineRule="auto"/>
              <w:ind w:left="0" w:leftChars="0" w:firstLine="0" w:firstLineChars="0"/>
              <w:rPr>
                <w:rStyle w:val="623"/>
                <w:rFonts w:ascii="仿宋" w:hAnsi="仿宋" w:eastAsia="仿宋" w:cs="仿宋"/>
                <w:sz w:val="24"/>
                <w:szCs w:val="24"/>
                <w:highlight w:val="none"/>
              </w:rPr>
            </w:pPr>
            <w:r>
              <w:rPr>
                <w:rStyle w:val="623"/>
                <w:rFonts w:hint="eastAsia" w:ascii="仿宋" w:hAnsi="仿宋" w:eastAsia="仿宋" w:cs="仿宋"/>
                <w:sz w:val="24"/>
                <w:szCs w:val="24"/>
                <w:highlight w:val="none"/>
              </w:rPr>
              <w:t>优先采购环境标志产品政策，节能产品政策</w:t>
            </w:r>
          </w:p>
          <w:p>
            <w:pPr>
              <w:pStyle w:val="407"/>
              <w:spacing w:before="0" w:after="0" w:line="360" w:lineRule="auto"/>
              <w:ind w:left="0" w:leftChars="0" w:firstLine="0" w:firstLineChars="0"/>
              <w:rPr>
                <w:rStyle w:val="623"/>
                <w:rFonts w:ascii="仿宋" w:hAnsi="仿宋" w:eastAsia="仿宋" w:cs="仿宋"/>
                <w:sz w:val="24"/>
                <w:szCs w:val="24"/>
                <w:highlight w:val="none"/>
              </w:rPr>
            </w:pPr>
            <w:r>
              <w:rPr>
                <w:rStyle w:val="623"/>
                <w:rFonts w:hint="eastAsia" w:ascii="仿宋" w:hAnsi="仿宋" w:eastAsia="仿宋" w:cs="仿宋"/>
                <w:sz w:val="24"/>
                <w:szCs w:val="24"/>
                <w:highlight w:val="none"/>
              </w:rPr>
              <w:fldChar w:fldCharType="begin"/>
            </w:r>
            <w:r>
              <w:rPr>
                <w:rStyle w:val="623"/>
                <w:rFonts w:hint="eastAsia" w:ascii="仿宋" w:hAnsi="仿宋" w:eastAsia="仿宋" w:cs="仿宋"/>
                <w:sz w:val="24"/>
                <w:szCs w:val="24"/>
                <w:highlight w:val="none"/>
              </w:rPr>
              <w:instrText xml:space="preserve"> eq \o\ac(</w:instrText>
            </w:r>
            <w:r>
              <w:rPr>
                <w:rStyle w:val="623"/>
                <w:rFonts w:hint="eastAsia" w:ascii="仿宋" w:hAnsi="仿宋" w:eastAsia="仿宋" w:cs="仿宋"/>
                <w:position w:val="-4"/>
                <w:sz w:val="24"/>
                <w:szCs w:val="24"/>
                <w:highlight w:val="none"/>
              </w:rPr>
              <w:instrText xml:space="preserve">□</w:instrText>
            </w:r>
            <w:r>
              <w:rPr>
                <w:rStyle w:val="623"/>
                <w:rFonts w:hint="eastAsia" w:ascii="仿宋" w:hAnsi="仿宋" w:eastAsia="仿宋" w:cs="仿宋"/>
                <w:sz w:val="24"/>
                <w:szCs w:val="24"/>
                <w:highlight w:val="none"/>
              </w:rPr>
              <w:instrText xml:space="preserve">)</w:instrText>
            </w:r>
            <w:r>
              <w:rPr>
                <w:rStyle w:val="623"/>
                <w:rFonts w:hint="eastAsia" w:ascii="仿宋" w:hAnsi="仿宋" w:eastAsia="仿宋" w:cs="仿宋"/>
                <w:sz w:val="24"/>
                <w:szCs w:val="24"/>
                <w:highlight w:val="none"/>
              </w:rPr>
              <w:fldChar w:fldCharType="end"/>
            </w:r>
            <w:r>
              <w:rPr>
                <w:rStyle w:val="623"/>
                <w:rFonts w:hint="eastAsia" w:ascii="仿宋" w:hAnsi="仿宋" w:eastAsia="仿宋" w:cs="仿宋"/>
                <w:sz w:val="24"/>
                <w:szCs w:val="24"/>
                <w:highlight w:val="none"/>
              </w:rPr>
              <w:t xml:space="preserve">适用  </w:t>
            </w:r>
            <w:r>
              <w:rPr>
                <w:rStyle w:val="623"/>
                <w:rFonts w:hint="eastAsia" w:ascii="仿宋" w:hAnsi="仿宋" w:eastAsia="仿宋" w:cs="仿宋"/>
                <w:sz w:val="24"/>
                <w:szCs w:val="24"/>
                <w:highlight w:val="none"/>
              </w:rPr>
              <w:fldChar w:fldCharType="begin"/>
            </w:r>
            <w:r>
              <w:rPr>
                <w:rStyle w:val="623"/>
                <w:rFonts w:hint="eastAsia" w:ascii="仿宋" w:hAnsi="仿宋" w:eastAsia="仿宋" w:cs="仿宋"/>
                <w:sz w:val="24"/>
                <w:szCs w:val="24"/>
                <w:highlight w:val="none"/>
              </w:rPr>
              <w:instrText xml:space="preserve"> eq \o\ac(</w:instrText>
            </w:r>
            <w:r>
              <w:rPr>
                <w:rStyle w:val="623"/>
                <w:rFonts w:hint="eastAsia" w:ascii="仿宋" w:hAnsi="仿宋" w:eastAsia="仿宋" w:cs="仿宋"/>
                <w:position w:val="-4"/>
                <w:sz w:val="24"/>
                <w:szCs w:val="24"/>
                <w:highlight w:val="none"/>
              </w:rPr>
              <w:instrText xml:space="preserve">□</w:instrText>
            </w:r>
            <w:r>
              <w:rPr>
                <w:rStyle w:val="623"/>
                <w:rFonts w:hint="eastAsia" w:ascii="仿宋" w:hAnsi="仿宋" w:eastAsia="仿宋" w:cs="仿宋"/>
                <w:position w:val="-4"/>
                <w:sz w:val="24"/>
                <w:szCs w:val="24"/>
                <w:highlight w:val="none"/>
                <w:lang w:eastAsia="zh-CN"/>
              </w:rPr>
              <w:instrText xml:space="preserve">,</w:instrText>
            </w:r>
            <w:r>
              <w:rPr>
                <w:rStyle w:val="623"/>
                <w:rFonts w:hint="eastAsia" w:ascii="仿宋" w:hAnsi="仿宋" w:eastAsia="仿宋" w:cs="仿宋"/>
                <w:position w:val="-1"/>
                <w:sz w:val="16"/>
                <w:szCs w:val="24"/>
                <w:highlight w:val="none"/>
                <w:lang w:eastAsia="zh-CN"/>
              </w:rPr>
              <w:instrText xml:space="preserve">√</w:instrText>
            </w:r>
            <w:r>
              <w:rPr>
                <w:rStyle w:val="623"/>
                <w:rFonts w:hint="eastAsia" w:ascii="仿宋" w:hAnsi="仿宋" w:eastAsia="仿宋" w:cs="仿宋"/>
                <w:sz w:val="24"/>
                <w:szCs w:val="24"/>
                <w:highlight w:val="none"/>
              </w:rPr>
              <w:instrText xml:space="preserve">)</w:instrText>
            </w:r>
            <w:r>
              <w:rPr>
                <w:rStyle w:val="623"/>
                <w:rFonts w:hint="eastAsia" w:ascii="仿宋" w:hAnsi="仿宋" w:eastAsia="仿宋" w:cs="仿宋"/>
                <w:sz w:val="24"/>
                <w:szCs w:val="24"/>
                <w:highlight w:val="none"/>
              </w:rPr>
              <w:fldChar w:fldCharType="end"/>
            </w:r>
            <w:r>
              <w:rPr>
                <w:rStyle w:val="623"/>
                <w:rFonts w:hint="eastAsia" w:ascii="仿宋" w:hAnsi="仿宋" w:eastAsia="仿宋" w:cs="仿宋"/>
                <w:sz w:val="24"/>
                <w:szCs w:val="24"/>
                <w:highlight w:val="none"/>
              </w:rPr>
              <w:t xml:space="preserve">不适用  </w:t>
            </w:r>
          </w:p>
          <w:p>
            <w:pPr>
              <w:autoSpaceDE w:val="0"/>
              <w:autoSpaceDN w:val="0"/>
              <w:snapToGrid w:val="0"/>
              <w:spacing w:line="360" w:lineRule="auto"/>
              <w:ind w:right="105" w:rightChars="50"/>
              <w:rPr>
                <w:rFonts w:hint="eastAsia" w:ascii="仿宋" w:hAnsi="仿宋" w:eastAsia="仿宋" w:cs="仿宋"/>
                <w:color w:val="000000" w:themeColor="text1"/>
                <w:sz w:val="24"/>
                <w14:textFill>
                  <w14:solidFill>
                    <w14:schemeClr w14:val="tx1"/>
                  </w14:solidFill>
                </w14:textFill>
              </w:rPr>
            </w:pPr>
            <w:r>
              <w:rPr>
                <w:rStyle w:val="623"/>
                <w:rFonts w:hint="eastAsia" w:ascii="仿宋" w:hAnsi="仿宋" w:eastAsia="仿宋" w:cs="仿宋"/>
                <w:sz w:val="24"/>
                <w:szCs w:val="24"/>
                <w:highlight w:val="none"/>
              </w:rPr>
              <w:t>提供中国政府采购网（</w:t>
            </w:r>
            <w:r>
              <w:rPr>
                <w:highlight w:val="none"/>
              </w:rPr>
              <w:fldChar w:fldCharType="begin"/>
            </w:r>
            <w:r>
              <w:rPr>
                <w:highlight w:val="none"/>
              </w:rPr>
              <w:instrText xml:space="preserve"> HYPERLINK "http://www.ccgp.gov.cn/jnhb/jnhbqd/" </w:instrText>
            </w:r>
            <w:r>
              <w:rPr>
                <w:highlight w:val="none"/>
              </w:rPr>
              <w:fldChar w:fldCharType="separate"/>
            </w:r>
            <w:r>
              <w:rPr>
                <w:rStyle w:val="623"/>
                <w:rFonts w:hint="eastAsia" w:ascii="仿宋" w:hAnsi="仿宋" w:eastAsia="仿宋" w:cs="仿宋"/>
                <w:sz w:val="24"/>
                <w:szCs w:val="24"/>
                <w:highlight w:val="none"/>
              </w:rPr>
              <w:t>节能环保清单-中国政府采购网 (ccgp.gov.cn)</w:t>
            </w:r>
            <w:r>
              <w:rPr>
                <w:rStyle w:val="623"/>
                <w:rFonts w:hint="eastAsia" w:ascii="仿宋" w:hAnsi="仿宋" w:eastAsia="仿宋" w:cs="仿宋"/>
                <w:sz w:val="24"/>
                <w:szCs w:val="24"/>
                <w:highlight w:val="none"/>
              </w:rPr>
              <w:fldChar w:fldCharType="end"/>
            </w:r>
            <w:r>
              <w:rPr>
                <w:rStyle w:val="623"/>
                <w:rFonts w:hint="eastAsia" w:ascii="仿宋" w:hAnsi="仿宋" w:eastAsia="仿宋" w:cs="仿宋"/>
                <w:sz w:val="24"/>
                <w:szCs w:val="24"/>
                <w:highlight w:val="none"/>
              </w:rPr>
              <w:t>）网页查询文件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6</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响应产品主体</w:t>
            </w:r>
          </w:p>
        </w:tc>
        <w:tc>
          <w:tcPr>
            <w:tcW w:w="6034" w:type="dxa"/>
            <w:noWrap/>
            <w:vAlign w:val="center"/>
          </w:tcPr>
          <w:p>
            <w:pPr>
              <w:autoSpaceDE w:val="0"/>
              <w:autoSpaceDN w:val="0"/>
              <w:snapToGrid w:val="0"/>
              <w:spacing w:line="360" w:lineRule="auto"/>
              <w:ind w:right="105" w:rightChars="5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7</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投标保证金▲</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lang w:val="en-US" w:eastAsia="zh-CN"/>
                <w14:textFill>
                  <w14:solidFill>
                    <w14:schemeClr w14:val="tx1"/>
                  </w14:solidFill>
                </w14:textFill>
              </w:rPr>
              <w:t>1.</w:t>
            </w:r>
            <w:r>
              <w:rPr>
                <w:rFonts w:hint="eastAsia" w:ascii="仿宋" w:hAnsi="仿宋" w:eastAsia="仿宋" w:cs="仿宋"/>
                <w:snapToGrid w:val="0"/>
                <w:color w:val="000000" w:themeColor="text1"/>
                <w:szCs w:val="24"/>
                <w14:textFill>
                  <w14:solidFill>
                    <w14:schemeClr w14:val="tx1"/>
                  </w14:solidFill>
                </w14:textFill>
              </w:rPr>
              <w:t>投标保证金的金额：</w:t>
            </w:r>
            <w:r>
              <w:rPr>
                <w:rFonts w:hint="eastAsia" w:ascii="仿宋" w:hAnsi="仿宋" w:eastAsia="仿宋" w:cs="仿宋"/>
                <w:snapToGrid w:val="0"/>
                <w:color w:val="000000" w:themeColor="text1"/>
                <w:szCs w:val="24"/>
                <w:lang w:val="en-US" w:eastAsia="zh-CN"/>
                <w14:textFill>
                  <w14:solidFill>
                    <w14:schemeClr w14:val="tx1"/>
                  </w14:solidFill>
                </w14:textFill>
              </w:rPr>
              <w:t>20000</w:t>
            </w:r>
            <w:r>
              <w:rPr>
                <w:rFonts w:hint="eastAsia" w:ascii="仿宋" w:hAnsi="仿宋" w:eastAsia="仿宋" w:cs="仿宋"/>
                <w:snapToGrid w:val="0"/>
                <w:color w:val="000000" w:themeColor="text1"/>
                <w:szCs w:val="24"/>
                <w:highlight w:val="none"/>
                <w14:textFill>
                  <w14:solidFill>
                    <w14:schemeClr w14:val="tx1"/>
                  </w14:solidFill>
                </w14:textFill>
              </w:rPr>
              <w:t>元</w:t>
            </w:r>
            <w:r>
              <w:rPr>
                <w:rFonts w:hint="eastAsia" w:ascii="仿宋" w:hAnsi="仿宋" w:eastAsia="仿宋" w:cs="仿宋"/>
                <w:snapToGrid w:val="0"/>
                <w:color w:val="000000" w:themeColor="text1"/>
                <w:szCs w:val="24"/>
                <w14:textFill>
                  <w14:solidFill>
                    <w14:schemeClr w14:val="tx1"/>
                  </w14:solidFill>
                </w14:textFill>
              </w:rPr>
              <w:t xml:space="preserve"> (大写：</w:t>
            </w:r>
            <w:r>
              <w:rPr>
                <w:rFonts w:hint="eastAsia" w:ascii="仿宋" w:hAnsi="仿宋" w:eastAsia="仿宋" w:cs="仿宋"/>
                <w:snapToGrid w:val="0"/>
                <w:color w:val="000000" w:themeColor="text1"/>
                <w:szCs w:val="24"/>
                <w:lang w:eastAsia="zh-CN"/>
                <w14:textFill>
                  <w14:solidFill>
                    <w14:schemeClr w14:val="tx1"/>
                  </w14:solidFill>
                </w14:textFill>
              </w:rPr>
              <w:t>贰万元整</w:t>
            </w:r>
            <w:r>
              <w:rPr>
                <w:rFonts w:hint="eastAsia" w:ascii="仿宋" w:hAnsi="仿宋" w:eastAsia="仿宋" w:cs="仿宋"/>
                <w:snapToGrid w:val="0"/>
                <w:color w:val="000000" w:themeColor="text1"/>
                <w:szCs w:val="24"/>
                <w14:textFill>
                  <w14:solidFill>
                    <w14:schemeClr w14:val="tx1"/>
                  </w14:solidFill>
                </w14:textFill>
              </w:rPr>
              <w:t>）</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2.投标保证金的形式：现金/银行汇票/银行支票/银行保函。</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如采用银行转账方式，</w:t>
            </w:r>
            <w:r>
              <w:rPr>
                <w:rFonts w:hint="eastAsia" w:ascii="仿宋" w:hAnsi="仿宋" w:eastAsia="仿宋" w:cs="仿宋"/>
                <w:snapToGrid w:val="0"/>
                <w:color w:val="000000" w:themeColor="text1"/>
                <w:szCs w:val="24"/>
                <w:lang w:eastAsia="zh-CN"/>
                <w14:textFill>
                  <w14:solidFill>
                    <w14:schemeClr w14:val="tx1"/>
                  </w14:solidFill>
                </w14:textFill>
              </w:rPr>
              <w:t>供应商</w:t>
            </w:r>
            <w:r>
              <w:rPr>
                <w:rFonts w:hint="eastAsia" w:ascii="仿宋" w:hAnsi="仿宋" w:eastAsia="仿宋" w:cs="仿宋"/>
                <w:snapToGrid w:val="0"/>
                <w:color w:val="000000" w:themeColor="text1"/>
                <w:szCs w:val="24"/>
                <w14:textFill>
                  <w14:solidFill>
                    <w14:schemeClr w14:val="tx1"/>
                  </w14:solidFill>
                </w14:textFill>
              </w:rPr>
              <w:t>必须在投标截止时间之前从</w:t>
            </w:r>
            <w:r>
              <w:rPr>
                <w:rFonts w:hint="eastAsia" w:ascii="仿宋" w:hAnsi="仿宋" w:eastAsia="仿宋" w:cs="仿宋"/>
                <w:snapToGrid w:val="0"/>
                <w:color w:val="000000" w:themeColor="text1"/>
                <w:szCs w:val="24"/>
                <w:lang w:eastAsia="zh-CN"/>
                <w14:textFill>
                  <w14:solidFill>
                    <w14:schemeClr w14:val="tx1"/>
                  </w14:solidFill>
                </w14:textFill>
              </w:rPr>
              <w:t>供应商</w:t>
            </w:r>
            <w:r>
              <w:rPr>
                <w:rFonts w:hint="eastAsia" w:ascii="仿宋" w:hAnsi="仿宋" w:eastAsia="仿宋" w:cs="仿宋"/>
                <w:snapToGrid w:val="0"/>
                <w:color w:val="000000" w:themeColor="text1"/>
                <w:szCs w:val="24"/>
                <w14:textFill>
                  <w14:solidFill>
                    <w14:schemeClr w14:val="tx1"/>
                  </w14:solidFill>
                </w14:textFill>
              </w:rPr>
              <w:t>账户中转出；银行汇票/银行支票/银行保函方式须递交原件（银行保函格式见应答文件格式）</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3.投标保证金有效期与投标有效期一致。</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4.提交投标保证金的截止时间为：投标文件递交截止时间。</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5.保证金提交账号信息如下：</w:t>
            </w:r>
            <w:r>
              <w:rPr>
                <w:rFonts w:hint="eastAsia" w:ascii="仿宋" w:hAnsi="仿宋" w:eastAsia="仿宋" w:cs="仿宋"/>
                <w:snapToGrid w:val="0"/>
                <w:color w:val="000000" w:themeColor="text1"/>
                <w:szCs w:val="24"/>
                <w14:textFill>
                  <w14:solidFill>
                    <w14:schemeClr w14:val="tx1"/>
                  </w14:solidFill>
                </w14:textFill>
              </w:rPr>
              <w:cr/>
            </w:r>
            <w:r>
              <w:rPr>
                <w:rFonts w:hint="eastAsia" w:ascii="仿宋" w:hAnsi="仿宋" w:eastAsia="仿宋" w:cs="仿宋"/>
                <w:snapToGrid w:val="0"/>
                <w:color w:val="000000" w:themeColor="text1"/>
                <w:szCs w:val="24"/>
                <w14:textFill>
                  <w14:solidFill>
                    <w14:schemeClr w14:val="tx1"/>
                  </w14:solidFill>
                </w14:textFill>
              </w:rPr>
              <w:t>【账户名称】：新疆正禾招投标有限公司</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【开 户 行】：中国银行乌鲁木齐市鲤鱼山北路支行  </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【帐   号】：107682142279</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【行   号】：104881004153</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注：须在汇款单上备注“00</w:t>
            </w:r>
            <w:r>
              <w:rPr>
                <w:rFonts w:hint="eastAsia" w:ascii="仿宋" w:hAnsi="仿宋" w:eastAsia="仿宋" w:cs="仿宋"/>
                <w:snapToGrid w:val="0"/>
                <w:color w:val="000000" w:themeColor="text1"/>
                <w:szCs w:val="24"/>
                <w:lang w:val="en-US" w:eastAsia="zh-CN"/>
                <w14:textFill>
                  <w14:solidFill>
                    <w14:schemeClr w14:val="tx1"/>
                  </w14:solidFill>
                </w14:textFill>
              </w:rPr>
              <w:t>73</w:t>
            </w:r>
            <w:r>
              <w:rPr>
                <w:rFonts w:hint="eastAsia" w:ascii="仿宋" w:hAnsi="仿宋" w:eastAsia="仿宋" w:cs="仿宋"/>
                <w:snapToGrid w:val="0"/>
                <w:color w:val="000000" w:themeColor="text1"/>
                <w:szCs w:val="24"/>
                <w14:textFill>
                  <w14:solidFill>
                    <w14:schemeClr w14:val="tx1"/>
                  </w14:solidFill>
                </w14:textFill>
              </w:rPr>
              <w:t>保证金”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8</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响应文件有效期▲</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自响应截止时间起90天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9</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bCs/>
                <w:snapToGrid w:val="0"/>
                <w:color w:val="000000" w:themeColor="text1"/>
                <w:szCs w:val="24"/>
                <w14:textFill>
                  <w14:solidFill>
                    <w14:schemeClr w14:val="tx1"/>
                  </w14:solidFill>
                </w14:textFill>
              </w:rPr>
              <w:t>提交首次响应文件截止时间</w:t>
            </w:r>
            <w:r>
              <w:rPr>
                <w:rFonts w:hint="eastAsia" w:ascii="仿宋" w:hAnsi="仿宋" w:eastAsia="仿宋" w:cs="仿宋"/>
                <w:snapToGrid w:val="0"/>
                <w:color w:val="000000" w:themeColor="text1"/>
                <w:szCs w:val="24"/>
                <w14:textFill>
                  <w14:solidFill>
                    <w14:schemeClr w14:val="tx1"/>
                  </w14:solidFill>
                </w14:textFill>
              </w:rPr>
              <w:t>▲</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按“竞争性磋商公告”规定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10</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响应文件递交地点▲</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按“竞争性磋商公告”规定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11</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响应文件开启时间▲</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按“竞争性磋商公告”规定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12</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highlight w:val="none"/>
                <w:lang w:eastAsia="zh-CN"/>
                <w14:textFill>
                  <w14:solidFill>
                    <w14:schemeClr w14:val="tx1"/>
                  </w14:solidFill>
                </w14:textFill>
              </w:rPr>
            </w:pPr>
            <w:r>
              <w:rPr>
                <w:rFonts w:hint="eastAsia" w:ascii="仿宋" w:hAnsi="仿宋" w:eastAsia="仿宋" w:cs="仿宋"/>
                <w:snapToGrid w:val="0"/>
                <w:color w:val="000000" w:themeColor="text1"/>
                <w:szCs w:val="24"/>
                <w:highlight w:val="none"/>
                <w:lang w:eastAsia="zh-CN"/>
                <w14:textFill>
                  <w14:solidFill>
                    <w14:schemeClr w14:val="tx1"/>
                  </w14:solidFill>
                </w14:textFill>
              </w:rPr>
              <w:t>工期</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highlight w:val="none"/>
                <w:lang w:eastAsia="zh-CN"/>
                <w14:textFill>
                  <w14:solidFill>
                    <w14:schemeClr w14:val="tx1"/>
                  </w14:solidFill>
                </w14:textFill>
              </w:rPr>
            </w:pPr>
            <w:r>
              <w:rPr>
                <w:rFonts w:hint="eastAsia" w:ascii="仿宋" w:hAnsi="仿宋" w:eastAsia="仿宋" w:cs="仿宋"/>
                <w:snapToGrid w:val="0"/>
                <w:color w:val="000000" w:themeColor="text1"/>
                <w:szCs w:val="24"/>
                <w:highlight w:val="none"/>
                <w:lang w:val="en-US" w:eastAsia="zh-CN"/>
                <w14:textFill>
                  <w14:solidFill>
                    <w14:schemeClr w14:val="tx1"/>
                  </w14:solidFill>
                </w14:textFill>
              </w:rPr>
              <w:t>40</w:t>
            </w:r>
            <w:r>
              <w:rPr>
                <w:rFonts w:hint="eastAsia" w:ascii="仿宋" w:hAnsi="仿宋" w:eastAsia="仿宋" w:cs="仿宋"/>
                <w:snapToGrid w:val="0"/>
                <w:color w:val="000000" w:themeColor="text1"/>
                <w:szCs w:val="24"/>
                <w:highlight w:val="none"/>
                <w:lang w:eastAsia="zh-CN"/>
                <w14:textFill>
                  <w14:solidFill>
                    <w14:schemeClr w14:val="tx1"/>
                  </w14:solidFill>
                </w14:textFill>
              </w:rPr>
              <w:t>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13</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lang w:eastAsia="zh-CN"/>
                <w14:textFill>
                  <w14:solidFill>
                    <w14:schemeClr w14:val="tx1"/>
                  </w14:solidFill>
                </w14:textFill>
              </w:rPr>
              <w:t>工程</w:t>
            </w:r>
            <w:r>
              <w:rPr>
                <w:rFonts w:hint="eastAsia" w:ascii="仿宋" w:hAnsi="仿宋" w:eastAsia="仿宋" w:cs="仿宋"/>
                <w:snapToGrid w:val="0"/>
                <w:color w:val="000000" w:themeColor="text1"/>
                <w:szCs w:val="24"/>
                <w14:textFill>
                  <w14:solidFill>
                    <w14:schemeClr w14:val="tx1"/>
                  </w14:solidFill>
                </w14:textFill>
              </w:rPr>
              <w:t>地点</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乌鲁木齐市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default" w:ascii="仿宋" w:hAnsi="仿宋" w:eastAsia="仿宋" w:cs="仿宋"/>
                <w:snapToGrid w:val="0"/>
                <w:color w:val="000000" w:themeColor="text1"/>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Cs w:val="24"/>
                <w:highlight w:val="none"/>
                <w:lang w:val="en-US" w:eastAsia="zh-CN"/>
                <w14:textFill>
                  <w14:solidFill>
                    <w14:schemeClr w14:val="tx1"/>
                  </w14:solidFill>
                </w14:textFill>
              </w:rPr>
              <w:t>14</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highlight w:val="none"/>
                <w:lang w:eastAsia="zh-CN"/>
                <w14:textFill>
                  <w14:solidFill>
                    <w14:schemeClr w14:val="tx1"/>
                  </w14:solidFill>
                </w14:textFill>
              </w:rPr>
            </w:pPr>
            <w:r>
              <w:rPr>
                <w:rFonts w:hint="eastAsia" w:ascii="仿宋" w:hAnsi="仿宋" w:eastAsia="仿宋" w:cs="仿宋"/>
                <w:snapToGrid w:val="0"/>
                <w:color w:val="000000" w:themeColor="text1"/>
                <w:szCs w:val="24"/>
                <w:highlight w:val="none"/>
                <w:lang w:eastAsia="zh-CN"/>
                <w14:textFill>
                  <w14:solidFill>
                    <w14:schemeClr w14:val="tx1"/>
                  </w14:solidFill>
                </w14:textFill>
              </w:rPr>
              <w:t>质保期</w:t>
            </w:r>
          </w:p>
        </w:tc>
        <w:tc>
          <w:tcPr>
            <w:tcW w:w="6034" w:type="dxa"/>
            <w:noWrap/>
            <w:vAlign w:val="center"/>
          </w:tcPr>
          <w:p>
            <w:pPr>
              <w:pStyle w:val="161"/>
              <w:spacing w:line="360" w:lineRule="auto"/>
              <w:ind w:firstLine="0"/>
              <w:rPr>
                <w:rFonts w:hint="default" w:ascii="仿宋" w:hAnsi="仿宋" w:eastAsia="仿宋" w:cs="仿宋"/>
                <w:snapToGrid w:val="0"/>
                <w:color w:val="000000" w:themeColor="text1"/>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Cs w:val="24"/>
                <w:highlight w:val="none"/>
                <w:lang w:eastAsia="zh-CN"/>
                <w14:textFill>
                  <w14:solidFill>
                    <w14:schemeClr w14:val="tx1"/>
                  </w14:solidFill>
                </w14:textFill>
              </w:rPr>
              <w:t>符合行业标准要求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14</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答疑</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供应商如认为采购文件表述不清晰的，请于投标截止日48小时之前将疑问发送至该电子邮件（邮箱zh6660570@qq.com）。答疑回复内容是采购文件的组成部份，并将以更正公告的形式在本采购公告发布的同一媒体发布，请供应商密切关注更正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15</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采购文件的澄清与修改</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采购人或者采购代理机构可以对已发出的采购文件进行必要的澄清或者修改。澄清或者修改的内容可能影响响应文件编制的，采购人或者采购代理机构应当在响应截止时间至少5日前，将以更正公告的形式在采购公告发布的同一媒体发布。采购文件的修改和澄清（答疑）答复的文件作为采购采购文件的补充和组成部分，对所有供应商均有约束力。若后续仍有更正内容，将继续以更正公告形式在本网站发布，请供应商密切关注更正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16</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响应文件形式▲</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本项目实行电子投标。</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响应文件：电子加密响应文件</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（1）“电子加密响应文件”是指通过“政采云电子交易客户端”完成响应文件编制后生成并加密的数据电文形式的响应文件（后缀格式为.jmbs）</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备份响应文件”是指与“电子加密响应文件”同时生成的数据电文形式的电子文件（备份响应文件，用于供应商电子加密响应文件解密异常时应急使用），其他方式编制的备份响应文件视为无效备份响应文件。备份响应文件（后缀格式为.bfbs）以U盘形式提供。备份文件不做强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17</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响应文件的上传和递交</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（1）电子加密响应文件：响应文件制作完成并生成加密文件，在响应截止时间前，供应商需将加密的响应文件上传至新疆政府采购网，到达开标时间后，进行解密。</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供应商未能在响应截止时间前成功上传电子加密响应文件的响应无效。</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（2）备份响应文件：响应截止时间前，供应商应将备份响应文件递交至开标地点，以便电子加密响应文件解密异常时应急使用。</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备份响应文件递交要求：供应商须将备份响应文件以U盘形式单独放在密封袋中，密封后并在密封袋上注明项目名称、响应单位名称并加盖公章。未密封包装或者逾期送达的“备份响应文件”将不予接收。</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供应商若选择非开标当天递交，请确保在投标截止日之前1小时，将备份响应文件通过快递形式或直接送达采购代理机构处，以便标书解密异常时应急使用（地址：乌鲁木齐市高新区新市区鲤鱼山北路199号集电港A座511，接收人：杨慧，电话：0991-6660570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18</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询标澄清</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在评标过程中，如评审小组对响应文件有疑问，由评审组长或代理机构代为将问题汇总后发起询标澄清函，供应商应在规定截止时间前回复相关内容并提交。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19</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质疑</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根据《中华人民共和国政府采购法》第五十二条的规定，供应商认为</w:t>
            </w:r>
            <w:r>
              <w:rPr>
                <w:rFonts w:hint="eastAsia" w:ascii="仿宋" w:hAnsi="仿宋" w:eastAsia="仿宋" w:cs="仿宋"/>
                <w:snapToGrid w:val="0"/>
                <w:color w:val="000000" w:themeColor="text1"/>
                <w:szCs w:val="24"/>
                <w:lang w:eastAsia="zh-CN"/>
                <w14:textFill>
                  <w14:solidFill>
                    <w14:schemeClr w14:val="tx1"/>
                  </w14:solidFill>
                </w14:textFill>
              </w:rPr>
              <w:t>采购文件</w:t>
            </w:r>
            <w:r>
              <w:rPr>
                <w:rFonts w:hint="eastAsia" w:ascii="仿宋" w:hAnsi="仿宋" w:eastAsia="仿宋" w:cs="仿宋"/>
                <w:snapToGrid w:val="0"/>
                <w:color w:val="000000" w:themeColor="text1"/>
                <w:szCs w:val="24"/>
                <w14:textFill>
                  <w14:solidFill>
                    <w14:schemeClr w14:val="tx1"/>
                  </w14:solidFill>
                </w14:textFill>
              </w:rPr>
              <w:t>、采购过程和中标、成交结果使自己的权益受到损害的，可以在知道或者应知其权益受到损害之日起七个工作日内，以书面形式向采购人、采购代理机构提出质疑。</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政府采购法第五十二条规定的供应商应知其权益受到损害之日，是指：</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（一）对可以质疑的采购文件提出质疑的，为收到采购文件之日或者采购文件公告期限届满之日；</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（二）对采购过程提出质疑的，为各采购程序环节结束之日；</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（三）对中标或者成交结果提出质疑的，为中标或者成交结果公告期限届满之日。</w:t>
            </w:r>
          </w:p>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根据《政府采购质疑和投诉办法》第十三条，采购人、采购代理机构不得拒收质疑供应商在法定质疑期内发出的质疑函，应当在收到质疑函后7个工作日内作出答复，并以书面形式通知质疑供应商和其他有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20</w:t>
            </w:r>
          </w:p>
        </w:tc>
        <w:tc>
          <w:tcPr>
            <w:tcW w:w="184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投诉</w:t>
            </w:r>
          </w:p>
        </w:tc>
        <w:tc>
          <w:tcPr>
            <w:tcW w:w="6034" w:type="dxa"/>
            <w:noWrap/>
            <w:vAlign w:val="center"/>
          </w:tcPr>
          <w:p>
            <w:pPr>
              <w:pStyle w:val="161"/>
              <w:spacing w:line="360" w:lineRule="auto"/>
              <w:ind w:firstLine="0"/>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根据《中华人民共和国政府采购法》第五十五条的规定，质疑供应商对采购人、采购代理机构的答复不满意或者采购人、采购代理机构未在规定的时间内作出答复的，可以在答复期满后十五个工作日内向同级政府采购监督管理部门投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21</w:t>
            </w:r>
          </w:p>
        </w:tc>
        <w:tc>
          <w:tcPr>
            <w:tcW w:w="1844" w:type="dxa"/>
            <w:noWrap/>
            <w:vAlign w:val="center"/>
          </w:tcPr>
          <w:p>
            <w:pPr>
              <w:snapToGri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样品</w:t>
            </w:r>
          </w:p>
        </w:tc>
        <w:tc>
          <w:tcPr>
            <w:tcW w:w="6034" w:type="dxa"/>
            <w:noWrap/>
            <w:vAlign w:val="center"/>
          </w:tcPr>
          <w:p>
            <w:pPr>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fldChar w:fldCharType="begin"/>
            </w:r>
            <w:r>
              <w:rPr>
                <w:rFonts w:hint="eastAsia" w:ascii="仿宋" w:hAnsi="仿宋" w:eastAsia="仿宋" w:cs="仿宋"/>
                <w:color w:val="000000" w:themeColor="text1"/>
                <w:sz w:val="24"/>
                <w14:textFill>
                  <w14:solidFill>
                    <w14:schemeClr w14:val="tx1"/>
                  </w14:solidFill>
                </w14:textFill>
              </w:rPr>
              <w:instrText xml:space="preserve"> eq \o\ac(</w:instrText>
            </w:r>
            <w:r>
              <w:rPr>
                <w:rFonts w:hint="eastAsia" w:ascii="仿宋" w:hAnsi="仿宋" w:eastAsia="仿宋" w:cs="仿宋"/>
                <w:color w:val="000000" w:themeColor="text1"/>
                <w:position w:val="-4"/>
                <w:sz w:val="36"/>
                <w14:textFill>
                  <w14:solidFill>
                    <w14:schemeClr w14:val="tx1"/>
                  </w14:solidFill>
                </w14:textFill>
              </w:rPr>
              <w:instrText xml:space="preserve">□</w:instrText>
            </w:r>
            <w:r>
              <w:rPr>
                <w:rFonts w:hint="eastAsia" w:ascii="仿宋" w:hAnsi="仿宋" w:eastAsia="仿宋" w:cs="仿宋"/>
                <w:color w:val="000000" w:themeColor="text1"/>
                <w:sz w:val="24"/>
                <w14:textFill>
                  <w14:solidFill>
                    <w14:schemeClr w14:val="tx1"/>
                  </w14:solidFill>
                </w14:textFill>
              </w:rPr>
              <w:instrText xml:space="preserve">,√)</w:instrText>
            </w:r>
            <w:r>
              <w:rPr>
                <w:rFonts w:hint="eastAsia" w:ascii="仿宋" w:hAnsi="仿宋" w:eastAsia="仿宋" w:cs="仿宋"/>
                <w:color w:val="000000" w:themeColor="text1"/>
                <w:sz w:val="24"/>
                <w14:textFill>
                  <w14:solidFill>
                    <w14:schemeClr w14:val="tx1"/>
                  </w14:solidFill>
                </w14:textFill>
              </w:rPr>
              <w:fldChar w:fldCharType="end"/>
            </w:r>
            <w:r>
              <w:rPr>
                <w:rFonts w:hint="eastAsia" w:ascii="仿宋" w:hAnsi="仿宋" w:eastAsia="仿宋" w:cs="仿宋"/>
                <w:color w:val="000000" w:themeColor="text1"/>
                <w:sz w:val="24"/>
                <w14:textFill>
                  <w14:solidFill>
                    <w14:schemeClr w14:val="tx1"/>
                  </w14:solidFill>
                </w14:textFill>
              </w:rPr>
              <w:t xml:space="preserve"> 不提供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22</w:t>
            </w:r>
          </w:p>
        </w:tc>
        <w:tc>
          <w:tcPr>
            <w:tcW w:w="1844" w:type="dxa"/>
            <w:noWrap/>
            <w:vAlign w:val="center"/>
          </w:tcPr>
          <w:p>
            <w:pPr>
              <w:snapToGri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演示</w:t>
            </w:r>
          </w:p>
        </w:tc>
        <w:tc>
          <w:tcPr>
            <w:tcW w:w="6034" w:type="dxa"/>
            <w:noWrap/>
            <w:vAlign w:val="center"/>
          </w:tcPr>
          <w:p>
            <w:pPr>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fldChar w:fldCharType="begin"/>
            </w:r>
            <w:r>
              <w:rPr>
                <w:rFonts w:hint="eastAsia" w:ascii="仿宋" w:hAnsi="仿宋" w:eastAsia="仿宋" w:cs="仿宋"/>
                <w:color w:val="000000" w:themeColor="text1"/>
                <w:sz w:val="24"/>
                <w14:textFill>
                  <w14:solidFill>
                    <w14:schemeClr w14:val="tx1"/>
                  </w14:solidFill>
                </w14:textFill>
              </w:rPr>
              <w:instrText xml:space="preserve"> eq \o\ac(</w:instrText>
            </w:r>
            <w:r>
              <w:rPr>
                <w:rFonts w:hint="eastAsia" w:ascii="仿宋" w:hAnsi="仿宋" w:eastAsia="仿宋" w:cs="仿宋"/>
                <w:color w:val="000000" w:themeColor="text1"/>
                <w:position w:val="-4"/>
                <w:sz w:val="36"/>
                <w14:textFill>
                  <w14:solidFill>
                    <w14:schemeClr w14:val="tx1"/>
                  </w14:solidFill>
                </w14:textFill>
              </w:rPr>
              <w:instrText xml:space="preserve">□</w:instrText>
            </w:r>
            <w:r>
              <w:rPr>
                <w:rFonts w:hint="eastAsia" w:ascii="仿宋" w:hAnsi="仿宋" w:eastAsia="仿宋" w:cs="仿宋"/>
                <w:color w:val="000000" w:themeColor="text1"/>
                <w:sz w:val="24"/>
                <w14:textFill>
                  <w14:solidFill>
                    <w14:schemeClr w14:val="tx1"/>
                  </w14:solidFill>
                </w14:textFill>
              </w:rPr>
              <w:instrText xml:space="preserve">,√)</w:instrText>
            </w:r>
            <w:r>
              <w:rPr>
                <w:rFonts w:hint="eastAsia" w:ascii="仿宋" w:hAnsi="仿宋" w:eastAsia="仿宋" w:cs="仿宋"/>
                <w:color w:val="000000" w:themeColor="text1"/>
                <w:sz w:val="24"/>
                <w14:textFill>
                  <w14:solidFill>
                    <w14:schemeClr w14:val="tx1"/>
                  </w14:solidFill>
                </w14:textFill>
              </w:rPr>
              <w:fldChar w:fldCharType="end"/>
            </w:r>
            <w:r>
              <w:rPr>
                <w:rFonts w:hint="eastAsia" w:ascii="仿宋" w:hAnsi="仿宋" w:eastAsia="仿宋" w:cs="仿宋"/>
                <w:color w:val="000000" w:themeColor="text1"/>
                <w:sz w:val="24"/>
                <w14:textFill>
                  <w14:solidFill>
                    <w14:schemeClr w14:val="tx1"/>
                  </w14:solidFill>
                </w14:textFill>
              </w:rPr>
              <w:t xml:space="preserve"> 不要求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23</w:t>
            </w:r>
          </w:p>
        </w:tc>
        <w:tc>
          <w:tcPr>
            <w:tcW w:w="1844" w:type="dxa"/>
            <w:noWrap/>
            <w:vAlign w:val="center"/>
          </w:tcPr>
          <w:p>
            <w:pPr>
              <w:snapToGri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支持中小企业</w:t>
            </w:r>
          </w:p>
        </w:tc>
        <w:tc>
          <w:tcPr>
            <w:tcW w:w="6034" w:type="dxa"/>
            <w:noWrap/>
            <w:vAlign w:val="center"/>
          </w:tcPr>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1.说明</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（1）中小企业</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符合中小企业划分标准的个体工商户，在政府采购活动中视同中小企业。</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在货物采购项目中，供应商提供的货物既有中小企业制造货物，也有大型企业制造货物的，不享受本办法规定的中小企业扶持政策。</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响应文件中须同时出具《政府采购促进中小企业发展管理办法》【财库（2020）46号】规定的《中小企业声明函》，否则不得享受价格扣除。</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（2）残疾人福利性单位</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符合《关于促进残疾人就业政府采购政策的通知》（财库〔2017〕141号）规定的条件并提供提供《残疾人福利性单位声明函》的残疾人福利性单位视同小型、微型企业；</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（3）监狱企业</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2.价格扣除：</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本项目对符合规定的小微企业（含小型企业）报价给予</w:t>
            </w:r>
            <w:r>
              <w:rPr>
                <w:rFonts w:hint="eastAsia" w:ascii="仿宋" w:hAnsi="仿宋" w:eastAsia="仿宋" w:cs="仿宋"/>
                <w:color w:val="000000" w:themeColor="text1"/>
                <w:sz w:val="24"/>
                <w:u w:val="single"/>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的扣除。</w:t>
            </w:r>
          </w:p>
          <w:p>
            <w:pPr>
              <w:pStyle w:val="640"/>
              <w:spacing w:line="360" w:lineRule="auto"/>
              <w:ind w:left="0" w:leftChars="0" w:firstLine="0" w:firstLineChars="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3.本项目采购标的名称为：</w:t>
            </w:r>
            <w:r>
              <w:rPr>
                <w:rFonts w:hint="eastAsia" w:ascii="仿宋" w:hAnsi="仿宋" w:eastAsia="仿宋" w:cs="仿宋"/>
                <w:b/>
                <w:bCs/>
                <w:color w:val="000000" w:themeColor="text1"/>
                <w:sz w:val="24"/>
                <w:szCs w:val="24"/>
                <w:lang w:eastAsia="zh-CN"/>
                <w14:textFill>
                  <w14:solidFill>
                    <w14:schemeClr w14:val="tx1"/>
                  </w14:solidFill>
                </w14:textFill>
              </w:rPr>
              <w:t>装修维修</w:t>
            </w:r>
          </w:p>
          <w:p>
            <w:pPr>
              <w:pStyle w:val="640"/>
              <w:spacing w:line="360" w:lineRule="auto"/>
              <w:ind w:left="0" w:leftChars="0"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4.所属行业为：</w:t>
            </w:r>
            <w:r>
              <w:rPr>
                <w:rFonts w:hint="eastAsia" w:ascii="仿宋" w:hAnsi="仿宋" w:eastAsia="仿宋" w:cs="仿宋"/>
                <w:b/>
                <w:bCs/>
                <w:color w:val="000000" w:themeColor="text1"/>
                <w:sz w:val="24"/>
                <w:szCs w:val="24"/>
                <w14:textFill>
                  <w14:solidFill>
                    <w14:schemeClr w14:val="tx1"/>
                  </w14:solidFill>
                </w14:textFill>
              </w:rPr>
              <w:t>建筑业</w:t>
            </w:r>
          </w:p>
          <w:p>
            <w:pPr>
              <w:pStyle w:val="640"/>
              <w:spacing w:line="360" w:lineRule="auto"/>
              <w:ind w:left="0" w:leftChars="0" w:firstLine="0" w:firstLineChars="0"/>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w:t>
            </w:r>
          </w:p>
        </w:tc>
        <w:tc>
          <w:tcPr>
            <w:tcW w:w="1844" w:type="dxa"/>
            <w:noWrap/>
            <w:vAlign w:val="center"/>
          </w:tcPr>
          <w:p>
            <w:pPr>
              <w:snapToGri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联合体和分包</w:t>
            </w:r>
          </w:p>
        </w:tc>
        <w:tc>
          <w:tcPr>
            <w:tcW w:w="6034" w:type="dxa"/>
            <w:noWrap/>
            <w:vAlign w:val="center"/>
          </w:tcPr>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对于联合协议约定小微企业（货物由小微企业制造）的合同份额占到合同总金额30%以上的，其报价给予6%的扣除，用扣除后的价格参加评审。组成联合体的小微企业与联合体内其他企业之间存在直接控股、管理关系的，不享受价格扣除优惠政策。</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对于分包意向协议约定小微企业（货物由小微企业制造）的合同份额占到合同总金额30%以上的，其报价给予6%的扣除，用扣除后的价格参加评审。接受分包的小微企业与分包企业之间存在直接控股、管理关系的，不享受价格扣除优惠政策。</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以联合体形式进行投标的，参加联合体的供应商均应当具备政府采购法第二十二条规定的条件，并应当在投标文件中提交联合协议，载明联合体各方承担的工作和义务。联合体各方应当共同与采购人签订采购合同，就采购合同约定的事项对采购人承担连带责任。</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（5）以联合体形式参加投标的，联合体各方不得再单独参加或者与其他供应商另外组成联合体参加本项目的投标。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25</w:t>
            </w:r>
          </w:p>
        </w:tc>
        <w:tc>
          <w:tcPr>
            <w:tcW w:w="1844" w:type="dxa"/>
            <w:noWrap/>
            <w:vAlign w:val="center"/>
          </w:tcPr>
          <w:p>
            <w:pPr>
              <w:snapToGri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联合体投标说明</w:t>
            </w:r>
          </w:p>
        </w:tc>
        <w:tc>
          <w:tcPr>
            <w:tcW w:w="6034" w:type="dxa"/>
            <w:noWrap/>
            <w:vAlign w:val="center"/>
          </w:tcPr>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（1）联合体投标的，联合体各方的业绩证明材料均认可。</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（2）联合体投标的，联合体中有一方或者联合体成员根据分工按采购文件评标细则要求提供材料的，视为符合了相关要求。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26</w:t>
            </w:r>
          </w:p>
        </w:tc>
        <w:tc>
          <w:tcPr>
            <w:tcW w:w="1844" w:type="dxa"/>
            <w:noWrap/>
            <w:vAlign w:val="center"/>
          </w:tcPr>
          <w:p>
            <w:pPr>
              <w:snapToGri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其他</w:t>
            </w:r>
          </w:p>
        </w:tc>
        <w:tc>
          <w:tcPr>
            <w:tcW w:w="6034" w:type="dxa"/>
            <w:noWrap/>
            <w:vAlign w:val="center"/>
          </w:tcPr>
          <w:p>
            <w:pPr>
              <w:pStyle w:val="33"/>
              <w:snapToGrid w:val="0"/>
              <w:spacing w:line="360" w:lineRule="auto"/>
              <w:rPr>
                <w:rFonts w:hint="eastAsia" w:ascii="仿宋" w:hAnsi="仿宋" w:eastAsia="仿宋" w:cs="仿宋"/>
                <w:snapToGrid w:val="0"/>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snapToGrid w:val="0"/>
                <w:color w:val="000000" w:themeColor="text1"/>
                <w:sz w:val="24"/>
                <w:szCs w:val="24"/>
                <w14:textFill>
                  <w14:solidFill>
                    <w14:schemeClr w14:val="tx1"/>
                  </w14:solidFill>
                </w14:textFill>
              </w:rPr>
              <w:t>采购文件中凡标注“▲”的条款均为实质性要求，不响应的响应文件将作无效标处理。</w:t>
            </w:r>
          </w:p>
          <w:p>
            <w:pPr>
              <w:pStyle w:val="33"/>
              <w:snapToGrid w:val="0"/>
              <w:spacing w:line="360" w:lineRule="auto"/>
              <w:rPr>
                <w:rFonts w:hint="eastAsia" w:ascii="仿宋" w:hAnsi="仿宋" w:eastAsia="仿宋" w:cs="仿宋"/>
                <w:snapToGrid w:val="0"/>
                <w:color w:val="000000" w:themeColor="text1"/>
                <w:sz w:val="24"/>
                <w:szCs w:val="24"/>
                <w14:textFill>
                  <w14:solidFill>
                    <w14:schemeClr w14:val="tx1"/>
                  </w14:solidFill>
                </w14:textFill>
              </w:rPr>
            </w:pPr>
            <w:r>
              <w:rPr>
                <w:rFonts w:hint="eastAsia" w:ascii="仿宋" w:hAnsi="仿宋" w:eastAsia="仿宋" w:cs="仿宋"/>
                <w:snapToGrid w:val="0"/>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供应商未上传电子加密响应文件，其响应无效。</w:t>
            </w:r>
          </w:p>
          <w:p>
            <w:pPr>
              <w:pStyle w:val="33"/>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napToGrid w:val="0"/>
                <w:color w:val="000000" w:themeColor="text1"/>
                <w:sz w:val="24"/>
                <w:szCs w:val="24"/>
                <w14:textFill>
                  <w14:solidFill>
                    <w14:schemeClr w14:val="tx1"/>
                  </w14:solidFill>
                </w14:textFill>
              </w:rPr>
              <w:t>（3）供应商上传了</w:t>
            </w:r>
            <w:r>
              <w:rPr>
                <w:rFonts w:hint="eastAsia" w:ascii="仿宋" w:hAnsi="仿宋" w:eastAsia="仿宋" w:cs="仿宋"/>
                <w:color w:val="000000" w:themeColor="text1"/>
                <w:sz w:val="24"/>
                <w:szCs w:val="24"/>
                <w14:textFill>
                  <w14:solidFill>
                    <w14:schemeClr w14:val="tx1"/>
                  </w14:solidFill>
                </w14:textFill>
              </w:rPr>
              <w:t>电子加密响应文件，未提供备份响应文件，解密出现问题后，由此导致对该供应商无法评审的，其后果由该供应商自行承担。</w:t>
            </w:r>
          </w:p>
          <w:p>
            <w:pPr>
              <w:pStyle w:val="33"/>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（4）各供应商自行在新疆政府采购网下载或查阅采购文件和相关更正公告等，不另行通知，如有遗漏采购人、采购代理机构概不负责。</w:t>
            </w:r>
          </w:p>
          <w:p>
            <w:pPr>
              <w:pStyle w:val="33"/>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（5）两家或两家以上供应商提供的响应文件出自同一终端设备的，或在相同Internet主机分配地址（相同IP地址）报名或网上投标的，后果由供应商自行承担。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1" w:type="dxa"/>
            <w:noWrap/>
            <w:vAlign w:val="center"/>
          </w:tcPr>
          <w:p>
            <w:pPr>
              <w:pStyle w:val="161"/>
              <w:spacing w:line="360" w:lineRule="auto"/>
              <w:ind w:firstLine="0"/>
              <w:jc w:val="center"/>
              <w:rPr>
                <w:rFonts w:hint="eastAsia" w:ascii="仿宋" w:hAnsi="仿宋" w:eastAsia="仿宋" w:cs="仿宋"/>
                <w:snapToGrid w:val="0"/>
                <w:color w:val="000000" w:themeColor="text1"/>
                <w:szCs w:val="24"/>
                <w14:textFill>
                  <w14:solidFill>
                    <w14:schemeClr w14:val="tx1"/>
                  </w14:solidFill>
                </w14:textFill>
              </w:rPr>
            </w:pPr>
            <w:r>
              <w:rPr>
                <w:rFonts w:hint="eastAsia" w:ascii="仿宋" w:hAnsi="仿宋" w:eastAsia="仿宋" w:cs="仿宋"/>
                <w:snapToGrid w:val="0"/>
                <w:color w:val="000000" w:themeColor="text1"/>
                <w:szCs w:val="24"/>
                <w14:textFill>
                  <w14:solidFill>
                    <w14:schemeClr w14:val="tx1"/>
                  </w14:solidFill>
                </w14:textFill>
              </w:rPr>
              <w:t>27</w:t>
            </w:r>
          </w:p>
        </w:tc>
        <w:tc>
          <w:tcPr>
            <w:tcW w:w="1844" w:type="dxa"/>
            <w:noWrap/>
            <w:vAlign w:val="center"/>
          </w:tcPr>
          <w:p>
            <w:pPr>
              <w:pStyle w:val="33"/>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投标文件解密时长▲</w:t>
            </w:r>
          </w:p>
        </w:tc>
        <w:tc>
          <w:tcPr>
            <w:tcW w:w="6034" w:type="dxa"/>
            <w:noWrap/>
            <w:vAlign w:val="center"/>
          </w:tcPr>
          <w:p>
            <w:pPr>
              <w:pStyle w:val="33"/>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30分钟。</w:t>
            </w:r>
          </w:p>
          <w:p>
            <w:pPr>
              <w:pStyle w:val="33"/>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若未在开标时间后30分钟内解密的，视为撤销其投标文件。</w:t>
            </w:r>
          </w:p>
        </w:tc>
      </w:tr>
    </w:tbl>
    <w:p>
      <w:pPr>
        <w:rPr>
          <w:rFonts w:ascii="仿宋_GB2312" w:hAnsi="仿宋_GB2312" w:eastAsia="仿宋_GB2312" w:cs="仿宋_GB2312"/>
          <w:b/>
          <w:sz w:val="32"/>
          <w:szCs w:val="20"/>
        </w:rPr>
      </w:pPr>
    </w:p>
    <w:p>
      <w:pPr>
        <w:adjustRightInd/>
        <w:spacing w:line="360" w:lineRule="auto"/>
        <w:ind w:firstLine="3845" w:firstLineChars="1197"/>
        <w:outlineLvl w:val="0"/>
        <w:rPr>
          <w:rFonts w:ascii="仿宋_GB2312" w:hAnsi="仿宋_GB2312" w:eastAsia="仿宋_GB2312" w:cs="仿宋_GB2312"/>
          <w:b/>
          <w:sz w:val="32"/>
          <w:szCs w:val="20"/>
        </w:rPr>
      </w:pPr>
      <w:bookmarkStart w:id="14" w:name="_Toc22917"/>
      <w:r>
        <w:rPr>
          <w:rFonts w:hint="eastAsia" w:ascii="仿宋_GB2312" w:hAnsi="仿宋_GB2312" w:eastAsia="仿宋_GB2312" w:cs="仿宋_GB2312"/>
          <w:b/>
          <w:sz w:val="32"/>
          <w:szCs w:val="20"/>
        </w:rPr>
        <w:t>二、总则</w:t>
      </w:r>
      <w:bookmarkEnd w:id="14"/>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适用范围</w:t>
      </w:r>
    </w:p>
    <w:p>
      <w:pPr>
        <w:snapToGrid w:val="0"/>
        <w:spacing w:line="360" w:lineRule="auto"/>
        <w:ind w:firstLine="480" w:firstLineChars="200"/>
        <w:jc w:val="left"/>
        <w:rPr>
          <w:rFonts w:ascii="仿宋_GB2312" w:hAnsi="仿宋" w:eastAsia="仿宋_GB2312"/>
          <w:sz w:val="24"/>
        </w:rPr>
      </w:pPr>
      <w:r>
        <w:rPr>
          <w:rFonts w:hint="eastAsia" w:ascii="仿宋_GB2312" w:hAnsi="仿宋" w:eastAsia="仿宋_GB2312"/>
          <w:sz w:val="24"/>
        </w:rPr>
        <w:t>本磋商文件适用于该项目的邀请、响应、开启响应文件、信用信息查询、资格性审查、评审、成交、合同、验收等行为（法律、法规另有规定的，从其规定）。</w:t>
      </w: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定义</w:t>
      </w:r>
    </w:p>
    <w:p>
      <w:pPr>
        <w:numPr>
          <w:ilvl w:val="1"/>
          <w:numId w:val="14"/>
        </w:numPr>
        <w:spacing w:line="360" w:lineRule="auto"/>
        <w:ind w:left="10" w:firstLine="387"/>
        <w:rPr>
          <w:rFonts w:ascii="仿宋_GB2312" w:hAnsi="仿宋" w:eastAsia="仿宋_GB2312"/>
          <w:sz w:val="24"/>
        </w:rPr>
      </w:pPr>
      <w:r>
        <w:rPr>
          <w:rFonts w:hint="eastAsia" w:ascii="仿宋_GB2312" w:hAnsi="仿宋" w:eastAsia="仿宋_GB2312"/>
          <w:sz w:val="24"/>
        </w:rPr>
        <w:t>“采购人”系指磋商邀请公告中载明的本项目的采购人。</w:t>
      </w:r>
    </w:p>
    <w:p>
      <w:pPr>
        <w:numPr>
          <w:ilvl w:val="1"/>
          <w:numId w:val="14"/>
        </w:numPr>
        <w:spacing w:line="360" w:lineRule="auto"/>
        <w:ind w:left="10" w:firstLine="387"/>
        <w:rPr>
          <w:rFonts w:ascii="仿宋_GB2312" w:hAnsi="仿宋" w:eastAsia="仿宋_GB2312"/>
          <w:sz w:val="24"/>
        </w:rPr>
      </w:pPr>
      <w:r>
        <w:rPr>
          <w:rFonts w:hint="eastAsia" w:ascii="仿宋_GB2312" w:hAnsi="仿宋" w:eastAsia="仿宋_GB2312"/>
          <w:sz w:val="24"/>
        </w:rPr>
        <w:t>“采购代理机构”系指磋商邀请公告中载明的本项目的采购代理机构。</w:t>
      </w:r>
    </w:p>
    <w:p>
      <w:pPr>
        <w:numPr>
          <w:ilvl w:val="1"/>
          <w:numId w:val="14"/>
        </w:numPr>
        <w:spacing w:line="360" w:lineRule="auto"/>
        <w:ind w:left="10" w:firstLine="387"/>
        <w:rPr>
          <w:rFonts w:ascii="仿宋_GB2312" w:hAnsi="仿宋" w:eastAsia="仿宋_GB2312"/>
          <w:sz w:val="24"/>
        </w:rPr>
      </w:pPr>
      <w:r>
        <w:rPr>
          <w:rFonts w:hint="eastAsia" w:ascii="仿宋_GB2312" w:hAnsi="仿宋" w:eastAsia="仿宋_GB2312"/>
          <w:sz w:val="24"/>
        </w:rPr>
        <w:t>“供应商”系指响应磋商、参加本次竞争的法人、其他组织或自然人。</w:t>
      </w:r>
    </w:p>
    <w:p>
      <w:pPr>
        <w:numPr>
          <w:ilvl w:val="1"/>
          <w:numId w:val="14"/>
        </w:numPr>
        <w:spacing w:line="360" w:lineRule="auto"/>
        <w:ind w:left="10" w:firstLine="387"/>
        <w:rPr>
          <w:rFonts w:ascii="仿宋_GB2312" w:hAnsi="仿宋" w:eastAsia="仿宋_GB2312"/>
          <w:sz w:val="24"/>
        </w:rPr>
      </w:pPr>
      <w:r>
        <w:rPr>
          <w:rFonts w:hint="eastAsia" w:ascii="仿宋_GB2312" w:hAnsi="仿宋" w:eastAsia="仿宋_GB2312"/>
          <w:sz w:val="24"/>
        </w:rPr>
        <w:t>“负责人”系指法人企业的法定负责人，或其他组织为法律、行政法规规定代表单位行使职权的主要负责人，或自然人本人。</w:t>
      </w:r>
    </w:p>
    <w:p>
      <w:pPr>
        <w:numPr>
          <w:ilvl w:val="1"/>
          <w:numId w:val="14"/>
        </w:numPr>
        <w:spacing w:line="360" w:lineRule="auto"/>
        <w:ind w:left="10" w:firstLine="387"/>
        <w:rPr>
          <w:rFonts w:ascii="仿宋_GB2312" w:hAnsi="仿宋" w:eastAsia="仿宋_GB2312"/>
          <w:sz w:val="24"/>
        </w:rPr>
      </w:pPr>
      <w:r>
        <w:rPr>
          <w:rFonts w:hint="eastAsia" w:ascii="仿宋_GB2312" w:hAnsi="仿宋" w:eastAsia="仿宋_GB2312"/>
          <w:sz w:val="24"/>
        </w:rPr>
        <w:t>“成交人”系指经评审确定的成交供应商。</w:t>
      </w:r>
    </w:p>
    <w:p>
      <w:pPr>
        <w:numPr>
          <w:ilvl w:val="1"/>
          <w:numId w:val="14"/>
        </w:numPr>
        <w:spacing w:line="360" w:lineRule="auto"/>
        <w:ind w:left="10" w:firstLine="387"/>
        <w:rPr>
          <w:rFonts w:ascii="仿宋_GB2312" w:hAnsi="仿宋" w:eastAsia="仿宋_GB2312"/>
          <w:sz w:val="24"/>
        </w:rPr>
      </w:pPr>
      <w:r>
        <w:rPr>
          <w:rFonts w:hint="eastAsia" w:ascii="仿宋_GB2312" w:hAnsi="仿宋" w:eastAsia="仿宋_GB2312"/>
          <w:sz w:val="24"/>
        </w:rPr>
        <w:t>“响应文件”系指供应商提交的商务技术文件。供应商提交最后报价后，最后报价是供应商响应文件的有效组成部分。</w:t>
      </w:r>
    </w:p>
    <w:p>
      <w:pPr>
        <w:numPr>
          <w:ilvl w:val="1"/>
          <w:numId w:val="14"/>
        </w:numPr>
        <w:spacing w:line="360" w:lineRule="auto"/>
        <w:ind w:left="10" w:firstLine="387"/>
        <w:rPr>
          <w:rFonts w:ascii="仿宋_GB2312" w:hAnsi="仿宋" w:eastAsia="仿宋_GB2312"/>
          <w:sz w:val="24"/>
        </w:rPr>
      </w:pPr>
      <w:r>
        <w:rPr>
          <w:rFonts w:hint="eastAsia" w:ascii="仿宋_GB2312" w:hAnsi="仿宋" w:eastAsia="仿宋_GB2312"/>
          <w:sz w:val="24"/>
        </w:rPr>
        <w:t>“电子交易平台”是指本项目政府采购活动所依托的政府采购云平台（</w:t>
      </w:r>
      <w:r>
        <w:fldChar w:fldCharType="begin"/>
      </w:r>
      <w:r>
        <w:instrText xml:space="preserve"> HYPERLINK "https://www.zcygov.cn/" </w:instrText>
      </w:r>
      <w:r>
        <w:fldChar w:fldCharType="separate"/>
      </w:r>
      <w:r>
        <w:rPr>
          <w:rStyle w:val="69"/>
          <w:rFonts w:hint="eastAsia" w:ascii="仿宋_GB2312" w:hAnsi="仿宋" w:eastAsia="仿宋_GB2312" w:cs="Times New Roman"/>
          <w:snapToGrid/>
          <w:color w:val="auto"/>
          <w:kern w:val="2"/>
          <w:sz w:val="24"/>
          <w:szCs w:val="24"/>
        </w:rPr>
        <w:t>https://www.zcygov.cn/</w:t>
      </w:r>
      <w:r>
        <w:rPr>
          <w:rStyle w:val="69"/>
          <w:rFonts w:hint="eastAsia" w:ascii="仿宋_GB2312" w:hAnsi="仿宋" w:eastAsia="仿宋_GB2312" w:cs="Times New Roman"/>
          <w:snapToGrid/>
          <w:color w:val="auto"/>
          <w:kern w:val="2"/>
          <w:sz w:val="24"/>
          <w:szCs w:val="24"/>
        </w:rPr>
        <w:fldChar w:fldCharType="end"/>
      </w:r>
      <w:r>
        <w:rPr>
          <w:rFonts w:hint="eastAsia" w:ascii="仿宋_GB2312" w:hAnsi="仿宋" w:eastAsia="仿宋_GB2312"/>
          <w:sz w:val="24"/>
        </w:rPr>
        <w:t>）。</w:t>
      </w:r>
    </w:p>
    <w:p>
      <w:pPr>
        <w:numPr>
          <w:ilvl w:val="1"/>
          <w:numId w:val="14"/>
        </w:numPr>
        <w:spacing w:line="360" w:lineRule="auto"/>
        <w:ind w:left="10" w:firstLine="387"/>
        <w:rPr>
          <w:rFonts w:ascii="仿宋_GB2312" w:hAnsi="仿宋" w:eastAsia="仿宋_GB2312"/>
          <w:sz w:val="24"/>
        </w:rPr>
      </w:pPr>
      <w:r>
        <w:rPr>
          <w:rFonts w:hint="eastAsia" w:ascii="仿宋_GB2312" w:hAnsi="仿宋" w:eastAsia="仿宋_GB2312"/>
          <w:sz w:val="24"/>
        </w:rPr>
        <w:t>“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5）。</w:t>
      </w:r>
    </w:p>
    <w:p>
      <w:pPr>
        <w:numPr>
          <w:ilvl w:val="1"/>
          <w:numId w:val="14"/>
        </w:numPr>
        <w:spacing w:line="360" w:lineRule="auto"/>
        <w:ind w:left="10" w:firstLine="387"/>
        <w:rPr>
          <w:rFonts w:ascii="仿宋_GB2312" w:hAnsi="仿宋" w:eastAsia="仿宋_GB2312"/>
          <w:b/>
          <w:bCs/>
          <w:sz w:val="24"/>
        </w:rPr>
      </w:pPr>
      <w:r>
        <w:rPr>
          <w:rFonts w:hint="eastAsia" w:ascii="仿宋_GB2312" w:hAnsi="仿宋" w:eastAsia="仿宋_GB2312"/>
          <w:b/>
          <w:bCs/>
          <w:sz w:val="24"/>
        </w:rPr>
        <w:t>“▲”</w:t>
      </w:r>
      <w:r>
        <w:rPr>
          <w:rFonts w:ascii="仿宋_GB2312" w:hAnsi="仿宋" w:eastAsia="仿宋_GB2312"/>
          <w:b/>
          <w:bCs/>
          <w:sz w:val="24"/>
        </w:rPr>
        <w:t xml:space="preserve"> </w:t>
      </w:r>
      <w:r>
        <w:rPr>
          <w:rFonts w:hint="eastAsia" w:ascii="仿宋_GB2312" w:hAnsi="仿宋" w:eastAsia="仿宋_GB2312"/>
          <w:b/>
          <w:bCs/>
          <w:sz w:val="24"/>
        </w:rPr>
        <w:t>系指实质性要求条款，“</w:t>
      </w:r>
      <w:sdt>
        <w:sdtPr>
          <w:rPr>
            <w:rFonts w:hint="eastAsia" w:ascii="仿宋_GB2312" w:hAnsi="仿宋" w:eastAsia="仿宋_GB2312" w:cs="Arial"/>
            <w:b/>
            <w:bCs/>
            <w:kern w:val="0"/>
            <w:sz w:val="24"/>
          </w:rPr>
          <w:id w:val="512970236"/>
        </w:sdtPr>
        <w:sdtEndPr>
          <w:rPr>
            <w:rFonts w:hint="eastAsia" w:ascii="仿宋_GB2312" w:hAnsi="仿宋" w:eastAsia="仿宋_GB2312" w:cs="Arial"/>
            <w:b/>
            <w:bCs/>
            <w:kern w:val="0"/>
            <w:sz w:val="24"/>
          </w:rPr>
        </w:sdtEndPr>
        <w:sdtContent>
          <w:r>
            <w:rPr>
              <w:rFonts w:ascii="Wingdings" w:hAnsi="Wingdings" w:eastAsia="仿宋_GB2312" w:cs="Arial"/>
              <w:b/>
              <w:bCs/>
              <w:kern w:val="0"/>
              <w:sz w:val="24"/>
            </w:rPr>
            <w:t></w:t>
          </w:r>
        </w:sdtContent>
      </w:sdt>
      <w:r>
        <w:rPr>
          <w:rFonts w:hint="eastAsia" w:ascii="仿宋_GB2312" w:hAnsi="仿宋" w:eastAsia="仿宋_GB2312"/>
          <w:b/>
          <w:bCs/>
          <w:sz w:val="24"/>
        </w:rPr>
        <w:t>”</w:t>
      </w:r>
      <w:r>
        <w:rPr>
          <w:rFonts w:ascii="仿宋_GB2312" w:hAnsi="仿宋" w:eastAsia="仿宋_GB2312"/>
          <w:b/>
          <w:bCs/>
          <w:sz w:val="24"/>
        </w:rPr>
        <w:t xml:space="preserve"> </w:t>
      </w:r>
      <w:r>
        <w:rPr>
          <w:rFonts w:hint="eastAsia" w:ascii="仿宋_GB2312" w:hAnsi="仿宋" w:eastAsia="仿宋_GB2312"/>
          <w:b/>
          <w:bCs/>
          <w:sz w:val="24"/>
        </w:rPr>
        <w:t>系指适用本项目的要求，“</w:t>
      </w:r>
      <w:sdt>
        <w:sdtPr>
          <w:rPr>
            <w:rFonts w:hint="eastAsia" w:ascii="仿宋_GB2312" w:hAnsi="仿宋" w:eastAsia="仿宋_GB2312" w:cs="Arial"/>
            <w:b/>
            <w:bCs/>
            <w:kern w:val="0"/>
            <w:sz w:val="24"/>
          </w:rPr>
          <w:id w:val="404888855"/>
        </w:sdtPr>
        <w:sdtEndPr>
          <w:rPr>
            <w:rFonts w:hint="eastAsia" w:ascii="仿宋_GB2312" w:hAnsi="仿宋" w:eastAsia="仿宋_GB2312" w:cs="Arial"/>
            <w:b/>
            <w:bCs/>
            <w:kern w:val="0"/>
            <w:sz w:val="24"/>
          </w:rPr>
        </w:sdtEndPr>
        <w:sdtContent>
          <w:r>
            <w:rPr>
              <w:rFonts w:ascii="MS Gothic" w:hAnsi="MS Gothic" w:eastAsia="MS Gothic" w:cs="Arial"/>
              <w:b/>
              <w:bCs/>
              <w:kern w:val="0"/>
              <w:sz w:val="24"/>
            </w:rPr>
            <w:t>☐</w:t>
          </w:r>
        </w:sdtContent>
      </w:sdt>
      <w:r>
        <w:rPr>
          <w:rFonts w:hint="eastAsia" w:ascii="仿宋_GB2312" w:hAnsi="仿宋" w:eastAsia="仿宋_GB2312"/>
          <w:b/>
          <w:bCs/>
          <w:sz w:val="24"/>
        </w:rPr>
        <w:t>”</w:t>
      </w:r>
      <w:r>
        <w:rPr>
          <w:rFonts w:ascii="仿宋_GB2312" w:hAnsi="仿宋" w:eastAsia="仿宋_GB2312"/>
          <w:b/>
          <w:bCs/>
          <w:sz w:val="24"/>
        </w:rPr>
        <w:t xml:space="preserve"> </w:t>
      </w:r>
      <w:r>
        <w:rPr>
          <w:rFonts w:hint="eastAsia" w:ascii="仿宋_GB2312" w:hAnsi="仿宋" w:eastAsia="仿宋_GB2312"/>
          <w:b/>
          <w:bCs/>
          <w:sz w:val="24"/>
        </w:rPr>
        <w:t>系指不适用本项目的要求。</w:t>
      </w:r>
    </w:p>
    <w:p>
      <w:pPr>
        <w:pStyle w:val="3"/>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采购项目需要落实的政府采购政策</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支持绿色发展</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磋商文件要求提供相关产品认证证书。</w:t>
      </w:r>
    </w:p>
    <w:p>
      <w:pPr>
        <w:spacing w:line="360" w:lineRule="auto"/>
        <w:ind w:firstLine="420"/>
        <w:rPr>
          <w:rFonts w:ascii="仿宋_GB2312" w:hAnsi="仿宋" w:eastAsia="仿宋_GB2312"/>
          <w:b/>
          <w:sz w:val="24"/>
        </w:rPr>
      </w:pPr>
      <w:r>
        <w:rPr>
          <w:rFonts w:ascii="仿宋_GB2312" w:hAnsi="仿宋" w:eastAsia="仿宋_GB2312"/>
          <w:sz w:val="24"/>
        </w:rPr>
        <w:t>▲</w:t>
      </w:r>
      <w:r>
        <w:rPr>
          <w:rFonts w:hint="eastAsia" w:ascii="仿宋_GB2312" w:hAnsi="仿宋" w:eastAsia="仿宋_GB2312"/>
          <w:b/>
          <w:sz w:val="24"/>
        </w:rPr>
        <w:t>采购人拟采购的产品属于政府强制采购的节能产品品目清单范围的，供应商未按磋商文件要求提供国家确定的认证机构出具的、处于有效期之内的节能产品认证证书的，响应无效。</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修缮、装修类项目采购建材的，采购人应将绿色建筑和绿色建材性能、指标等作为实质性条件纳入磋商文件和合同。</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支持中小企业发展</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仿宋_GB2312" w:hAnsi="仿宋" w:eastAsia="仿宋_GB2312"/>
          <w:sz w:val="24"/>
        </w:rPr>
      </w:pPr>
      <w:r>
        <w:rPr>
          <w:rFonts w:ascii="仿宋_GB2312" w:hAnsi="仿宋" w:eastAsia="仿宋_GB2312"/>
          <w:sz w:val="24"/>
        </w:rPr>
        <w:t>符合中小企业划分标准的个体工商户，在政府采购活动中视同中小企业。</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在政府采购活动中，供应商提供的货物、工程或者服务符合下列情形的，享受中小企业扶持政策：</w:t>
      </w:r>
    </w:p>
    <w:p>
      <w:pPr>
        <w:widowControl/>
        <w:numPr>
          <w:ilvl w:val="3"/>
          <w:numId w:val="15"/>
        </w:numPr>
        <w:spacing w:line="360" w:lineRule="auto"/>
        <w:ind w:left="420" w:firstLine="347"/>
        <w:jc w:val="left"/>
        <w:rPr>
          <w:rFonts w:ascii="仿宋_GB2312" w:hAnsi="宋体" w:eastAsia="仿宋_GB2312" w:cs="宋体"/>
          <w:kern w:val="0"/>
          <w:sz w:val="24"/>
        </w:rPr>
      </w:pPr>
      <w:r>
        <w:rPr>
          <w:rFonts w:ascii="仿宋_GB2312" w:hAnsi="宋体" w:eastAsia="仿宋_GB2312" w:cs="宋体"/>
          <w:kern w:val="0"/>
          <w:sz w:val="24"/>
        </w:rPr>
        <w:t>在货物采购项目中，货物由中小企业制造，即货物由中小企业生产且使用该中小企业商号或者注册商标；</w:t>
      </w:r>
    </w:p>
    <w:p>
      <w:pPr>
        <w:widowControl/>
        <w:numPr>
          <w:ilvl w:val="3"/>
          <w:numId w:val="15"/>
        </w:numPr>
        <w:spacing w:line="360" w:lineRule="auto"/>
        <w:ind w:left="420" w:firstLine="347"/>
        <w:jc w:val="left"/>
        <w:rPr>
          <w:rFonts w:ascii="仿宋_GB2312" w:hAnsi="宋体" w:eastAsia="仿宋_GB2312" w:cs="宋体"/>
          <w:kern w:val="0"/>
          <w:sz w:val="24"/>
        </w:rPr>
      </w:pPr>
      <w:r>
        <w:rPr>
          <w:rFonts w:ascii="仿宋_GB2312" w:hAnsi="宋体" w:eastAsia="仿宋_GB2312" w:cs="宋体"/>
          <w:kern w:val="0"/>
          <w:sz w:val="24"/>
        </w:rPr>
        <w:t>在工程采购项目中，工程由中小企业承建，即工程施工单位为中小企业；</w:t>
      </w:r>
    </w:p>
    <w:p>
      <w:pPr>
        <w:widowControl/>
        <w:numPr>
          <w:ilvl w:val="3"/>
          <w:numId w:val="15"/>
        </w:numPr>
        <w:spacing w:line="360" w:lineRule="auto"/>
        <w:ind w:left="420" w:firstLine="347"/>
        <w:jc w:val="left"/>
        <w:rPr>
          <w:rFonts w:ascii="仿宋_GB2312" w:hAnsi="宋体" w:eastAsia="仿宋_GB2312" w:cs="宋体"/>
          <w:kern w:val="0"/>
          <w:sz w:val="24"/>
        </w:rPr>
      </w:pPr>
      <w:r>
        <w:rPr>
          <w:rFonts w:ascii="仿宋_GB2312" w:hAnsi="宋体" w:eastAsia="仿宋_GB2312" w:cs="宋体"/>
          <w:kern w:val="0"/>
          <w:sz w:val="24"/>
        </w:rPr>
        <w:t>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在货物采购项目中，供应商提供的货物既有中小企业制造货物，也有大型企业制造货物的，不享受中小企业扶持政策。</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以联合体形式参加政府采购活动，联合体各方均为中小企业的，联合体视同中小企业。其中，联合体各方均为小微企业的，联合体视同小微企业。</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对于未预留份额专门面向中小企业的政府采购货物或服务或工程项目，以及预留份额政府采购货物或服务项目中的非预留部分标项，对小型和微型企业的最后报价给予10%（工程项目为5%）的扣除，用扣除后的价格参与评审。接受大中型企业与小微企业组成联合体或者允许大中型企业向一家或者多家小微企业分包的政府采购货物或服务或工程项目，对于联合协议或者分包意向协议约定小微企业的合同份额占到合同总金额30%以上的，对联合体或者大中型企业的报价给予6%（工程项目为2%）的扣除，用扣除后的价格参加评审。组成联合体或者接受分包的小微企业与联合体内其他企业、分包企业之间存在直接控股、管理关系的，不享受价格扣除优惠政策。</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符合《关于促进残疾人就业政府采购政策的通知》（财库〔2017〕141号）规定的条件并提供《残疾人福利性单位声明函》（附件1）的残疾人福利性单位视同小型、微型企业；</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numPr>
          <w:ilvl w:val="2"/>
          <w:numId w:val="15"/>
        </w:numPr>
        <w:spacing w:line="360" w:lineRule="auto"/>
        <w:ind w:left="8" w:firstLine="632"/>
        <w:rPr>
          <w:rFonts w:ascii="仿宋_GB2312" w:hAnsi="仿宋" w:eastAsia="仿宋_GB2312"/>
          <w:sz w:val="24"/>
        </w:rPr>
      </w:pPr>
      <w:r>
        <w:rPr>
          <w:rFonts w:hint="eastAsia" w:ascii="仿宋_GB2312" w:hAnsi="仿宋" w:eastAsia="仿宋_GB2312"/>
          <w:sz w:val="24"/>
        </w:rPr>
        <w:t>中小企业享受扶持政策获得政府采购合同的，小微企业不得将合同分包给大中型企业，中型企业不得将合同分包给大型企业。</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支持创新发展</w:t>
      </w:r>
    </w:p>
    <w:p>
      <w:pPr>
        <w:spacing w:line="360" w:lineRule="auto"/>
        <w:ind w:firstLine="480" w:firstLineChars="200"/>
        <w:rPr>
          <w:rFonts w:ascii="仿宋_GB2312" w:hAnsi="仿宋" w:eastAsia="仿宋_GB2312"/>
          <w:sz w:val="24"/>
        </w:rPr>
      </w:pPr>
      <w:r>
        <w:rPr>
          <w:rFonts w:ascii="仿宋_GB2312" w:hAnsi="仿宋" w:eastAsia="仿宋_GB2312"/>
          <w:sz w:val="24"/>
        </w:rPr>
        <w:t>3.4.1 采购人优先采购被认定</w:t>
      </w:r>
      <w:r>
        <w:rPr>
          <w:rFonts w:hint="eastAsia" w:ascii="仿宋_GB2312" w:hAnsi="仿宋" w:eastAsia="仿宋_GB2312"/>
          <w:sz w:val="24"/>
        </w:rPr>
        <w:t>为首台套产品和“制造精品”的自主创新产品。</w:t>
      </w:r>
    </w:p>
    <w:p>
      <w:pPr>
        <w:spacing w:line="360" w:lineRule="auto"/>
        <w:ind w:firstLine="480" w:firstLineChars="200"/>
        <w:rPr>
          <w:rFonts w:ascii="仿宋_GB2312" w:hAnsi="仿宋" w:eastAsia="仿宋_GB2312"/>
          <w:sz w:val="24"/>
        </w:rPr>
      </w:pPr>
      <w:r>
        <w:rPr>
          <w:rFonts w:ascii="仿宋_GB2312" w:hAnsi="仿宋" w:eastAsia="仿宋_GB2312"/>
          <w:sz w:val="24"/>
        </w:rPr>
        <w:t>3.4.2</w:t>
      </w:r>
      <w:r>
        <w:rPr>
          <w:rFonts w:hint="eastAsia" w:ascii="仿宋_GB2312" w:hAnsi="仿宋" w:eastAsia="仿宋_GB2312"/>
          <w:sz w:val="24"/>
        </w:rPr>
        <w:t>对省级以上主管部门认定的首台套产品，自纳入《省推广应用指导目录》起三年内参加政府采购活动,视同已具备相应销售业绩,业绩分为满分。产品核心技术高于国内领先水平，并具有明晰自主知识产权的“制造精品”产品，自认定之日起2年内视同已具备相应销售业绩，参加政府采购活动时业绩分值为满分。</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中小企业信用融资</w:t>
      </w:r>
    </w:p>
    <w:p>
      <w:pPr>
        <w:spacing w:line="360" w:lineRule="auto"/>
        <w:ind w:firstLine="480" w:firstLineChars="200"/>
        <w:rPr>
          <w:rFonts w:ascii="仿宋_GB2312" w:hAnsi="仿宋" w:eastAsia="仿宋_GB2312"/>
          <w:sz w:val="24"/>
        </w:rPr>
      </w:pPr>
      <w:r>
        <w:rPr>
          <w:rFonts w:hint="eastAsia" w:ascii="仿宋_GB2312" w:hAnsi="仿宋" w:eastAsia="仿宋_GB2312"/>
          <w:sz w:val="24"/>
        </w:rPr>
        <w:t>为支持和促进中小企业发展，进一步发挥政府采购政策功能，供应商若有融资意向，详见《政府采购支持中小企业信用融资相关事项通知》，查看信用融资政策文件及各相关银行服务方案。</w:t>
      </w:r>
    </w:p>
    <w:p>
      <w:pPr>
        <w:numPr>
          <w:ilvl w:val="1"/>
          <w:numId w:val="15"/>
        </w:numPr>
        <w:spacing w:line="360" w:lineRule="auto"/>
        <w:ind w:left="10" w:firstLine="387"/>
        <w:rPr>
          <w:rFonts w:ascii="仿宋_GB2312" w:hAnsi="仿宋" w:eastAsia="仿宋_GB2312"/>
          <w:sz w:val="24"/>
        </w:rPr>
      </w:pPr>
      <w:r>
        <w:rPr>
          <w:rFonts w:hint="eastAsia" w:ascii="仿宋_GB2312" w:hAnsi="仿宋" w:eastAsia="仿宋_GB2312"/>
          <w:sz w:val="24"/>
        </w:rPr>
        <w:t>平等对待内外资企业和符合条件的破产重整企业</w:t>
      </w:r>
    </w:p>
    <w:p>
      <w:pPr>
        <w:spacing w:line="360" w:lineRule="auto"/>
        <w:ind w:firstLine="480" w:firstLineChars="200"/>
        <w:rPr>
          <w:rFonts w:ascii="仿宋_GB2312" w:hAnsi="仿宋" w:eastAsia="仿宋_GB2312"/>
          <w:sz w:val="24"/>
        </w:rPr>
      </w:pPr>
      <w:r>
        <w:rPr>
          <w:rFonts w:hint="eastAsia" w:ascii="仿宋_GB2312" w:hAnsi="仿宋" w:eastAsia="仿宋_GB2312"/>
          <w:sz w:val="24"/>
        </w:rPr>
        <w:t>平等对待内外资企业和符合条件的破产重整企业，切实保障企业公平竞争，平等维护企业的合法利益。</w:t>
      </w:r>
    </w:p>
    <w:p>
      <w:pPr>
        <w:pStyle w:val="60"/>
        <w:ind w:firstLine="420"/>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询问、质疑、投诉</w:t>
      </w:r>
    </w:p>
    <w:p>
      <w:pPr>
        <w:numPr>
          <w:ilvl w:val="1"/>
          <w:numId w:val="16"/>
        </w:numPr>
        <w:spacing w:line="360" w:lineRule="auto"/>
        <w:rPr>
          <w:rFonts w:ascii="仿宋_GB2312" w:hAnsi="仿宋" w:eastAsia="仿宋_GB2312"/>
          <w:bCs/>
          <w:sz w:val="24"/>
          <w:lang w:val="zh-CN"/>
        </w:rPr>
      </w:pPr>
      <w:r>
        <w:rPr>
          <w:rFonts w:hint="eastAsia" w:ascii="仿宋_GB2312" w:hAnsi="仿宋" w:eastAsia="仿宋_GB2312"/>
          <w:bCs/>
          <w:sz w:val="24"/>
          <w:lang w:val="zh-CN"/>
        </w:rPr>
        <w:t>供应商询问</w:t>
      </w:r>
    </w:p>
    <w:p>
      <w:pPr>
        <w:spacing w:line="360" w:lineRule="auto"/>
        <w:ind w:firstLine="480" w:firstLineChars="200"/>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供应商对政府采购活动事项有疑问的，可以提出询问，采购人或者采购代理机构应当在</w:t>
      </w:r>
      <w:r>
        <w:rPr>
          <w:rFonts w:ascii="仿宋_GB2312" w:hAnsi="仿宋" w:eastAsia="仿宋_GB2312" w:cs="微软雅黑"/>
          <w:kern w:val="0"/>
          <w:sz w:val="24"/>
          <w:lang w:val="zh-CN"/>
        </w:rPr>
        <w:t>3个工作日内对供应</w:t>
      </w:r>
      <w:r>
        <w:rPr>
          <w:rFonts w:hint="eastAsia" w:ascii="仿宋_GB2312" w:hAnsi="仿宋" w:eastAsia="仿宋_GB2312" w:cs="微软雅黑"/>
          <w:kern w:val="0"/>
          <w:sz w:val="24"/>
          <w:lang w:val="zh-CN"/>
        </w:rPr>
        <w:t>商依法提出的询问作出答复，但答复的内容不得涉及商业秘密。供应商提出的询问超出采购人对采购代理机构委托授权范围的，采购代理机构应当告知供应商向采购人提出。</w:t>
      </w:r>
    </w:p>
    <w:p>
      <w:pPr>
        <w:numPr>
          <w:ilvl w:val="1"/>
          <w:numId w:val="16"/>
        </w:numPr>
        <w:spacing w:line="360" w:lineRule="auto"/>
        <w:rPr>
          <w:rFonts w:ascii="仿宋_GB2312" w:hAnsi="仿宋" w:eastAsia="仿宋_GB2312"/>
          <w:bCs/>
          <w:sz w:val="24"/>
          <w:lang w:val="zh-CN"/>
        </w:rPr>
      </w:pPr>
      <w:r>
        <w:rPr>
          <w:rFonts w:hint="eastAsia" w:ascii="仿宋_GB2312" w:hAnsi="仿宋" w:eastAsia="仿宋_GB2312"/>
          <w:bCs/>
          <w:sz w:val="24"/>
          <w:lang w:val="zh-CN"/>
        </w:rPr>
        <w:t>供应商质疑</w:t>
      </w:r>
    </w:p>
    <w:p>
      <w:pPr>
        <w:pStyle w:val="33"/>
        <w:numPr>
          <w:ilvl w:val="2"/>
          <w:numId w:val="16"/>
        </w:numPr>
        <w:spacing w:line="360" w:lineRule="auto"/>
        <w:ind w:left="8" w:firstLine="632"/>
        <w:rPr>
          <w:rFonts w:ascii="仿宋_GB2312" w:hAnsi="仿宋" w:eastAsia="仿宋_GB2312"/>
          <w:sz w:val="24"/>
        </w:rPr>
      </w:pPr>
      <w:r>
        <w:rPr>
          <w:rFonts w:ascii="仿宋_GB2312" w:hAnsi="仿宋" w:eastAsia="仿宋_GB2312"/>
          <w:sz w:val="24"/>
        </w:rPr>
        <w:t>提出质疑的供应商应当是参与所质疑项目采购活动的供应商。潜在供应商已依法获取其可质疑的</w:t>
      </w:r>
      <w:r>
        <w:rPr>
          <w:rFonts w:hint="eastAsia" w:ascii="仿宋_GB2312" w:hAnsi="仿宋" w:eastAsia="仿宋_GB2312"/>
          <w:sz w:val="24"/>
        </w:rPr>
        <w:t>磋商文件</w:t>
      </w:r>
      <w:r>
        <w:rPr>
          <w:rFonts w:ascii="仿宋_GB2312" w:hAnsi="仿宋" w:eastAsia="仿宋_GB2312"/>
          <w:sz w:val="24"/>
        </w:rPr>
        <w:t>的，可以对该文件提出质疑。</w:t>
      </w:r>
    </w:p>
    <w:p>
      <w:pPr>
        <w:pStyle w:val="33"/>
        <w:numPr>
          <w:ilvl w:val="2"/>
          <w:numId w:val="16"/>
        </w:numPr>
        <w:spacing w:line="360" w:lineRule="auto"/>
        <w:ind w:left="8" w:firstLine="632"/>
        <w:rPr>
          <w:rFonts w:ascii="仿宋_GB2312" w:hAnsi="仿宋" w:eastAsia="仿宋_GB2312"/>
          <w:sz w:val="24"/>
        </w:rPr>
      </w:pPr>
      <w:r>
        <w:rPr>
          <w:rFonts w:ascii="仿宋_GB2312" w:hAnsi="仿宋" w:eastAsia="仿宋_GB2312"/>
          <w:sz w:val="24"/>
        </w:rPr>
        <w:t>供应商认为</w:t>
      </w:r>
      <w:r>
        <w:rPr>
          <w:rFonts w:hint="eastAsia" w:ascii="仿宋_GB2312" w:hAnsi="仿宋" w:eastAsia="仿宋_GB2312"/>
          <w:sz w:val="24"/>
        </w:rPr>
        <w:t>磋商文件</w:t>
      </w:r>
      <w:r>
        <w:rPr>
          <w:rFonts w:ascii="仿宋_GB2312" w:hAnsi="仿宋" w:eastAsia="仿宋_GB2312"/>
          <w:sz w:val="24"/>
        </w:rPr>
        <w:t>、采购过程和</w:t>
      </w:r>
      <w:r>
        <w:rPr>
          <w:rFonts w:hint="eastAsia" w:ascii="仿宋_GB2312" w:hAnsi="仿宋" w:eastAsia="仿宋_GB2312"/>
          <w:sz w:val="24"/>
        </w:rPr>
        <w:t>采购</w:t>
      </w:r>
      <w:r>
        <w:rPr>
          <w:rFonts w:ascii="仿宋_GB2312" w:hAnsi="仿宋" w:eastAsia="仿宋_GB2312"/>
          <w:sz w:val="24"/>
        </w:rPr>
        <w:t>结果使自己的权益受到损害的，可以在知道或者应知其权益受到损害之日起七个工作日内，以书面形式向采购人或者</w:t>
      </w:r>
      <w:r>
        <w:rPr>
          <w:rFonts w:hint="eastAsia" w:ascii="仿宋_GB2312" w:hAnsi="仿宋" w:eastAsia="仿宋_GB2312"/>
          <w:sz w:val="24"/>
        </w:rPr>
        <w:t>采购代理机构</w:t>
      </w:r>
      <w:r>
        <w:rPr>
          <w:rFonts w:ascii="仿宋_GB2312" w:hAnsi="仿宋" w:eastAsia="仿宋_GB2312"/>
          <w:sz w:val="24"/>
        </w:rPr>
        <w:t>提出质疑，否则，采购人或者</w:t>
      </w:r>
      <w:r>
        <w:rPr>
          <w:rFonts w:hint="eastAsia" w:ascii="仿宋_GB2312" w:hAnsi="仿宋" w:eastAsia="仿宋_GB2312"/>
          <w:sz w:val="24"/>
        </w:rPr>
        <w:t>采购代理机构</w:t>
      </w:r>
      <w:r>
        <w:rPr>
          <w:rFonts w:ascii="仿宋_GB2312" w:hAnsi="仿宋" w:eastAsia="仿宋_GB2312"/>
          <w:sz w:val="24"/>
        </w:rPr>
        <w:t>不予受理：</w:t>
      </w:r>
    </w:p>
    <w:p>
      <w:pPr>
        <w:pStyle w:val="17"/>
        <w:numPr>
          <w:ilvl w:val="3"/>
          <w:numId w:val="16"/>
        </w:numPr>
        <w:spacing w:line="360" w:lineRule="auto"/>
        <w:ind w:left="13" w:firstLine="627"/>
        <w:rPr>
          <w:rFonts w:ascii="仿宋_GB2312" w:hAnsi="仿宋" w:eastAsia="仿宋_GB2312"/>
          <w:snapToGrid/>
          <w:color w:val="auto"/>
          <w:kern w:val="2"/>
          <w:sz w:val="24"/>
        </w:rPr>
      </w:pPr>
      <w:r>
        <w:rPr>
          <w:rFonts w:ascii="仿宋_GB2312" w:hAnsi="仿宋" w:eastAsia="仿宋_GB2312"/>
          <w:snapToGrid/>
          <w:color w:val="auto"/>
          <w:kern w:val="2"/>
          <w:sz w:val="24"/>
        </w:rPr>
        <w:t>对</w:t>
      </w:r>
      <w:r>
        <w:rPr>
          <w:rFonts w:hint="eastAsia" w:ascii="仿宋_GB2312" w:hAnsi="仿宋" w:eastAsia="仿宋_GB2312"/>
          <w:snapToGrid/>
          <w:color w:val="auto"/>
          <w:kern w:val="2"/>
          <w:sz w:val="24"/>
        </w:rPr>
        <w:t>磋商文件</w:t>
      </w:r>
      <w:r>
        <w:rPr>
          <w:rFonts w:ascii="仿宋_GB2312" w:hAnsi="仿宋" w:eastAsia="仿宋_GB2312"/>
          <w:snapToGrid/>
          <w:color w:val="auto"/>
          <w:kern w:val="2"/>
          <w:sz w:val="24"/>
        </w:rPr>
        <w:t>提出质疑的，质疑期限为供应商获得</w:t>
      </w:r>
      <w:r>
        <w:rPr>
          <w:rFonts w:hint="eastAsia" w:ascii="仿宋_GB2312" w:hAnsi="仿宋" w:eastAsia="仿宋_GB2312"/>
          <w:snapToGrid/>
          <w:color w:val="auto"/>
          <w:kern w:val="2"/>
          <w:sz w:val="24"/>
        </w:rPr>
        <w:t>磋商文件</w:t>
      </w:r>
      <w:r>
        <w:rPr>
          <w:rFonts w:ascii="仿宋_GB2312" w:hAnsi="仿宋" w:eastAsia="仿宋_GB2312"/>
          <w:snapToGrid/>
          <w:color w:val="auto"/>
          <w:kern w:val="2"/>
          <w:sz w:val="24"/>
        </w:rPr>
        <w:t>之日或者</w:t>
      </w:r>
      <w:r>
        <w:rPr>
          <w:rFonts w:hint="eastAsia" w:ascii="仿宋_GB2312" w:hAnsi="仿宋" w:eastAsia="仿宋_GB2312"/>
          <w:snapToGrid/>
          <w:color w:val="auto"/>
          <w:kern w:val="2"/>
          <w:sz w:val="24"/>
        </w:rPr>
        <w:t>磋商</w:t>
      </w:r>
      <w:r>
        <w:rPr>
          <w:rFonts w:ascii="仿宋_GB2312" w:hAnsi="仿宋" w:eastAsia="仿宋_GB2312"/>
          <w:snapToGrid/>
          <w:color w:val="auto"/>
          <w:kern w:val="2"/>
          <w:sz w:val="24"/>
        </w:rPr>
        <w:t>公告期限届满之日起计算。</w:t>
      </w:r>
    </w:p>
    <w:p>
      <w:pPr>
        <w:pStyle w:val="33"/>
        <w:numPr>
          <w:ilvl w:val="3"/>
          <w:numId w:val="16"/>
        </w:numPr>
        <w:spacing w:line="360" w:lineRule="auto"/>
        <w:ind w:left="13" w:firstLine="627"/>
        <w:rPr>
          <w:rFonts w:ascii="仿宋_GB2312" w:hAnsi="仿宋" w:eastAsia="仿宋_GB2312"/>
          <w:sz w:val="24"/>
        </w:rPr>
      </w:pPr>
      <w:r>
        <w:rPr>
          <w:rFonts w:ascii="仿宋_GB2312" w:hAnsi="仿宋" w:eastAsia="仿宋_GB2312"/>
          <w:sz w:val="24"/>
        </w:rPr>
        <w:t>对采购过程提出质疑的，质疑期限为各采购程序环节结束之日起计算。</w:t>
      </w:r>
    </w:p>
    <w:p>
      <w:pPr>
        <w:pStyle w:val="33"/>
        <w:numPr>
          <w:ilvl w:val="3"/>
          <w:numId w:val="16"/>
        </w:numPr>
        <w:spacing w:line="360" w:lineRule="auto"/>
        <w:ind w:left="13" w:firstLine="627"/>
        <w:rPr>
          <w:rFonts w:ascii="仿宋_GB2312" w:hAnsi="仿宋" w:eastAsia="仿宋_GB2312"/>
          <w:sz w:val="24"/>
        </w:rPr>
      </w:pPr>
      <w:r>
        <w:rPr>
          <w:rFonts w:ascii="仿宋_GB2312" w:hAnsi="仿宋" w:eastAsia="仿宋_GB2312"/>
          <w:sz w:val="24"/>
        </w:rPr>
        <w:t>对</w:t>
      </w:r>
      <w:r>
        <w:rPr>
          <w:rFonts w:hint="eastAsia" w:ascii="仿宋_GB2312" w:hAnsi="仿宋" w:eastAsia="仿宋_GB2312"/>
          <w:sz w:val="24"/>
        </w:rPr>
        <w:t>采购</w:t>
      </w:r>
      <w:r>
        <w:rPr>
          <w:rFonts w:ascii="仿宋_GB2312" w:hAnsi="仿宋" w:eastAsia="仿宋_GB2312"/>
          <w:sz w:val="24"/>
        </w:rPr>
        <w:t>结果提出质疑的，质疑期限自采购结果公告期限届满之日起计算。</w:t>
      </w:r>
    </w:p>
    <w:p>
      <w:pPr>
        <w:pStyle w:val="33"/>
        <w:numPr>
          <w:ilvl w:val="2"/>
          <w:numId w:val="16"/>
        </w:numPr>
        <w:spacing w:line="360" w:lineRule="auto"/>
        <w:ind w:left="8" w:firstLine="632"/>
        <w:rPr>
          <w:rFonts w:ascii="仿宋_GB2312" w:hAnsi="仿宋" w:eastAsia="仿宋_GB2312"/>
          <w:sz w:val="24"/>
          <w:lang w:val="zh-CN"/>
        </w:rPr>
      </w:pPr>
      <w:r>
        <w:rPr>
          <w:rFonts w:hint="eastAsia" w:ascii="仿宋_GB2312" w:hAnsi="仿宋" w:eastAsia="仿宋_GB2312"/>
          <w:sz w:val="24"/>
        </w:rPr>
        <w:t>供应商提出质疑应当提交质疑函和必要的证明材料。质疑函应当包括下列内容：</w:t>
      </w:r>
    </w:p>
    <w:p>
      <w:pPr>
        <w:pStyle w:val="33"/>
        <w:numPr>
          <w:ilvl w:val="3"/>
          <w:numId w:val="16"/>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供应商的姓名或者名称、地址、邮编、联系人及联系电话；</w:t>
      </w:r>
    </w:p>
    <w:p>
      <w:pPr>
        <w:pStyle w:val="33"/>
        <w:numPr>
          <w:ilvl w:val="3"/>
          <w:numId w:val="16"/>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质疑项目的名称、编号；</w:t>
      </w:r>
    </w:p>
    <w:p>
      <w:pPr>
        <w:pStyle w:val="33"/>
        <w:numPr>
          <w:ilvl w:val="3"/>
          <w:numId w:val="16"/>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具体、明确的质疑事项和与质疑事项相关的请求；</w:t>
      </w:r>
    </w:p>
    <w:p>
      <w:pPr>
        <w:pStyle w:val="33"/>
        <w:numPr>
          <w:ilvl w:val="3"/>
          <w:numId w:val="16"/>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事实依据；</w:t>
      </w:r>
    </w:p>
    <w:p>
      <w:pPr>
        <w:pStyle w:val="33"/>
        <w:numPr>
          <w:ilvl w:val="3"/>
          <w:numId w:val="16"/>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必要的法律依据；</w:t>
      </w:r>
    </w:p>
    <w:p>
      <w:pPr>
        <w:pStyle w:val="33"/>
        <w:numPr>
          <w:ilvl w:val="3"/>
          <w:numId w:val="16"/>
        </w:numPr>
        <w:spacing w:line="360" w:lineRule="auto"/>
        <w:ind w:left="13" w:firstLine="627"/>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提出质疑的日期。</w:t>
      </w:r>
    </w:p>
    <w:p>
      <w:pPr>
        <w:pStyle w:val="618"/>
        <w:shd w:val="clear" w:color="auto" w:fill="FFFFFF"/>
        <w:snapToGrid w:val="0"/>
        <w:spacing w:after="240" w:afterAutospacing="0" w:line="360" w:lineRule="auto"/>
        <w:ind w:firstLine="400"/>
        <w:contextualSpacing/>
        <w:rPr>
          <w:rFonts w:ascii="仿宋_GB2312" w:hAnsi="仿宋" w:eastAsia="仿宋_GB2312"/>
        </w:rPr>
      </w:pPr>
      <w:r>
        <w:rPr>
          <w:rFonts w:hint="eastAsia" w:ascii="仿宋_GB2312" w:hAnsi="仿宋" w:eastAsia="仿宋_GB2312"/>
        </w:rPr>
        <w:t>供应商提交的质疑函需一式三份。供应商为自然人的，应当由本人签字；供应商为法人或者其他组织的，应当由法定代表人、主要负责人，或者其授权代表签字或者盖章，并加盖公章。</w:t>
      </w:r>
    </w:p>
    <w:p>
      <w:pPr>
        <w:pStyle w:val="618"/>
        <w:shd w:val="clear" w:color="auto" w:fill="FFFFFF"/>
        <w:snapToGrid w:val="0"/>
        <w:spacing w:after="240" w:afterAutospacing="0" w:line="360" w:lineRule="auto"/>
        <w:ind w:firstLine="420"/>
        <w:contextualSpacing/>
        <w:rPr>
          <w:rFonts w:ascii="仿宋_GB2312" w:hAnsi="仿宋" w:eastAsia="仿宋_GB2312"/>
        </w:rPr>
      </w:pPr>
      <w:r>
        <w:rPr>
          <w:rFonts w:hint="eastAsia" w:ascii="仿宋_GB2312" w:hAnsi="仿宋" w:eastAsia="仿宋_GB2312"/>
        </w:rPr>
        <w:t>质疑函范本及制作说明详见附件</w:t>
      </w:r>
      <w:r>
        <w:rPr>
          <w:rFonts w:ascii="仿宋_GB2312" w:hAnsi="仿宋" w:eastAsia="仿宋_GB2312"/>
        </w:rPr>
        <w:t>2。</w:t>
      </w:r>
    </w:p>
    <w:p>
      <w:pPr>
        <w:pStyle w:val="33"/>
        <w:numPr>
          <w:ilvl w:val="2"/>
          <w:numId w:val="16"/>
        </w:numPr>
        <w:spacing w:line="360" w:lineRule="auto"/>
        <w:ind w:left="8" w:firstLine="632"/>
        <w:rPr>
          <w:rFonts w:ascii="仿宋_GB2312" w:hAnsi="仿宋" w:eastAsia="仿宋_GB2312"/>
          <w:sz w:val="24"/>
          <w:lang w:val="zh-CN"/>
        </w:rPr>
      </w:pPr>
      <w:r>
        <w:rPr>
          <w:rFonts w:hint="eastAsia" w:ascii="仿宋_GB2312" w:hAnsi="仿宋" w:eastAsia="仿宋_GB2312"/>
          <w:sz w:val="24"/>
          <w:lang w:val="zh-CN"/>
        </w:rPr>
        <w:t>对同一采购程序环节的质疑，供应商须在法定质疑期内一次性提出。</w:t>
      </w:r>
    </w:p>
    <w:p>
      <w:pPr>
        <w:pStyle w:val="33"/>
        <w:numPr>
          <w:ilvl w:val="2"/>
          <w:numId w:val="16"/>
        </w:numPr>
        <w:spacing w:line="360" w:lineRule="auto"/>
        <w:ind w:left="8" w:firstLine="632"/>
        <w:rPr>
          <w:rFonts w:ascii="仿宋_GB2312" w:hAnsi="仿宋" w:eastAsia="仿宋_GB2312"/>
          <w:sz w:val="24"/>
        </w:rPr>
      </w:pPr>
      <w:r>
        <w:rPr>
          <w:rFonts w:hint="eastAsia" w:ascii="仿宋_GB2312" w:hAnsi="仿宋" w:eastAsia="仿宋_GB2312"/>
          <w:sz w:val="24"/>
        </w:rPr>
        <w:t>采购人或者采购代理机构应当在收到供应商的书面质疑后七个工作日内作出答复，并以书面形式通知质疑供应商和其他与质疑处理结果有利害关系的政府采购当事人，但答复的内容不得涉及商业秘密。</w:t>
      </w:r>
      <w:r>
        <w:rPr>
          <w:rFonts w:ascii="仿宋_GB2312" w:hAnsi="仿宋" w:eastAsia="仿宋_GB2312"/>
          <w:sz w:val="24"/>
        </w:rPr>
        <w:t>质疑</w:t>
      </w:r>
      <w:r>
        <w:rPr>
          <w:rFonts w:hint="eastAsia" w:ascii="仿宋_GB2312" w:hAnsi="仿宋" w:eastAsia="仿宋_GB2312"/>
          <w:sz w:val="24"/>
        </w:rPr>
        <w:t>函作为附件上传。</w:t>
      </w:r>
    </w:p>
    <w:p>
      <w:pPr>
        <w:pStyle w:val="33"/>
        <w:numPr>
          <w:ilvl w:val="2"/>
          <w:numId w:val="16"/>
        </w:numPr>
        <w:snapToGrid w:val="0"/>
        <w:spacing w:line="360" w:lineRule="auto"/>
        <w:ind w:left="6" w:firstLine="629"/>
        <w:rPr>
          <w:rFonts w:ascii="仿宋_GB2312" w:hAnsi="仿宋" w:eastAsia="仿宋_GB2312"/>
          <w:sz w:val="24"/>
        </w:rPr>
      </w:pPr>
      <w:r>
        <w:rPr>
          <w:rFonts w:ascii="仿宋_GB2312" w:hAnsi="仿宋" w:eastAsia="仿宋_GB2312"/>
          <w:sz w:val="24"/>
        </w:rPr>
        <w:t>询问或者质疑事项可能影响采购结果的，采购人应当暂停签订合同，已经签订合同的，应当中止履行合同。</w:t>
      </w:r>
    </w:p>
    <w:p>
      <w:pPr>
        <w:numPr>
          <w:ilvl w:val="1"/>
          <w:numId w:val="16"/>
        </w:numPr>
        <w:snapToGrid w:val="0"/>
        <w:spacing w:line="360" w:lineRule="auto"/>
        <w:rPr>
          <w:rFonts w:ascii="仿宋_GB2312" w:hAnsi="仿宋" w:eastAsia="仿宋_GB2312"/>
          <w:bCs/>
          <w:sz w:val="24"/>
          <w:lang w:val="zh-CN"/>
        </w:rPr>
      </w:pPr>
      <w:r>
        <w:rPr>
          <w:rFonts w:hint="eastAsia" w:ascii="仿宋_GB2312" w:hAnsi="仿宋" w:eastAsia="仿宋_GB2312"/>
          <w:bCs/>
          <w:sz w:val="24"/>
          <w:lang w:val="zh-CN"/>
        </w:rPr>
        <w:t>供应商投诉</w:t>
      </w:r>
    </w:p>
    <w:p>
      <w:pPr>
        <w:pStyle w:val="618"/>
        <w:numPr>
          <w:ilvl w:val="2"/>
          <w:numId w:val="17"/>
        </w:numPr>
        <w:shd w:val="clear" w:color="auto" w:fill="FFFFFF"/>
        <w:adjustRightInd w:val="0"/>
        <w:snapToGrid w:val="0"/>
        <w:spacing w:before="0" w:beforeAutospacing="0" w:after="0" w:afterAutospacing="0" w:line="360" w:lineRule="auto"/>
        <w:ind w:left="6" w:firstLine="629"/>
        <w:contextualSpacing/>
        <w:rPr>
          <w:rFonts w:ascii="仿宋_GB2312" w:hAnsi="仿宋" w:eastAsia="仿宋_GB2312"/>
        </w:rPr>
      </w:pPr>
      <w:r>
        <w:rPr>
          <w:rFonts w:ascii="仿宋_GB2312" w:hAnsi="仿宋" w:eastAsia="仿宋_GB2312"/>
        </w:rPr>
        <w:t>质疑供应商对采购人、</w:t>
      </w:r>
      <w:r>
        <w:rPr>
          <w:rFonts w:hint="eastAsia" w:ascii="仿宋_GB2312" w:hAnsi="仿宋" w:eastAsia="仿宋_GB2312"/>
        </w:rPr>
        <w:t>采购代理机构</w:t>
      </w:r>
      <w:r>
        <w:rPr>
          <w:rFonts w:ascii="仿宋_GB2312" w:hAnsi="仿宋" w:eastAsia="仿宋_GB2312"/>
        </w:rPr>
        <w:t>的答复不满意或者采购人、</w:t>
      </w:r>
      <w:r>
        <w:rPr>
          <w:rFonts w:hint="eastAsia" w:ascii="仿宋_GB2312" w:hAnsi="仿宋" w:eastAsia="仿宋_GB2312"/>
        </w:rPr>
        <w:t>采购代理机构</w:t>
      </w:r>
      <w:r>
        <w:rPr>
          <w:rFonts w:ascii="仿宋_GB2312" w:hAnsi="仿宋" w:eastAsia="仿宋_GB2312"/>
        </w:rPr>
        <w:t>未在规定的时间内</w:t>
      </w:r>
      <w:r>
        <w:rPr>
          <w:rFonts w:hint="eastAsia" w:ascii="仿宋_GB2312" w:hAnsi="仿宋" w:eastAsia="仿宋_GB2312"/>
        </w:rPr>
        <w:t>作出答复的，可以在答复期满后十五个工作日内向同级政府采购监督管理部门提出投诉。</w:t>
      </w:r>
    </w:p>
    <w:p>
      <w:pPr>
        <w:pStyle w:val="618"/>
        <w:numPr>
          <w:ilvl w:val="2"/>
          <w:numId w:val="17"/>
        </w:numPr>
        <w:shd w:val="clear" w:color="auto" w:fill="FFFFFF"/>
        <w:adjustRightInd w:val="0"/>
        <w:snapToGrid w:val="0"/>
        <w:spacing w:before="0" w:beforeAutospacing="0" w:after="0" w:afterAutospacing="0" w:line="360" w:lineRule="auto"/>
        <w:ind w:left="6" w:firstLine="629"/>
        <w:contextualSpacing/>
        <w:rPr>
          <w:rFonts w:ascii="仿宋_GB2312" w:hAnsi="仿宋" w:eastAsia="仿宋_GB2312"/>
        </w:rPr>
      </w:pPr>
      <w:r>
        <w:rPr>
          <w:rFonts w:hint="eastAsia" w:ascii="仿宋_GB2312" w:hAnsi="仿宋" w:eastAsia="仿宋_GB2312"/>
        </w:rPr>
        <w:t>供应商投诉的事项不得超出已质疑事项的范围，基于质疑答复内容提出的投诉事项除外。</w:t>
      </w:r>
    </w:p>
    <w:p>
      <w:pPr>
        <w:pStyle w:val="618"/>
        <w:numPr>
          <w:ilvl w:val="2"/>
          <w:numId w:val="17"/>
        </w:numPr>
        <w:shd w:val="clear" w:color="auto" w:fill="FFFFFF"/>
        <w:adjustRightInd w:val="0"/>
        <w:snapToGrid w:val="0"/>
        <w:spacing w:before="0" w:beforeAutospacing="0" w:after="0" w:afterAutospacing="0" w:line="360" w:lineRule="auto"/>
        <w:ind w:left="6" w:firstLine="629"/>
        <w:contextualSpacing/>
        <w:rPr>
          <w:rFonts w:ascii="仿宋_GB2312" w:hAnsi="仿宋" w:eastAsia="仿宋_GB2312"/>
        </w:rPr>
      </w:pPr>
      <w:r>
        <w:rPr>
          <w:rFonts w:ascii="仿宋_GB2312" w:hAnsi="仿宋" w:eastAsia="仿宋_GB2312"/>
        </w:rPr>
        <w:t>供应</w:t>
      </w:r>
      <w:r>
        <w:rPr>
          <w:rFonts w:hint="eastAsia" w:ascii="仿宋_GB2312" w:hAnsi="仿宋" w:eastAsia="仿宋_GB2312"/>
        </w:rPr>
        <w:t>商投诉应当有明确的请求和必要的证明材料。</w:t>
      </w:r>
    </w:p>
    <w:p>
      <w:pPr>
        <w:pStyle w:val="618"/>
        <w:numPr>
          <w:ilvl w:val="2"/>
          <w:numId w:val="17"/>
        </w:numPr>
        <w:shd w:val="clear" w:color="auto" w:fill="FFFFFF"/>
        <w:adjustRightInd w:val="0"/>
        <w:snapToGrid w:val="0"/>
        <w:spacing w:before="0" w:beforeAutospacing="0" w:after="0" w:afterAutospacing="0" w:line="360" w:lineRule="auto"/>
        <w:ind w:left="6" w:firstLine="629"/>
        <w:contextualSpacing/>
        <w:rPr>
          <w:rFonts w:ascii="仿宋_GB2312" w:hAnsi="仿宋" w:eastAsia="仿宋_GB2312"/>
        </w:rPr>
      </w:pPr>
      <w:r>
        <w:rPr>
          <w:rFonts w:hint="eastAsia" w:ascii="仿宋_GB2312" w:hAnsi="仿宋" w:eastAsia="仿宋_GB2312"/>
        </w:rPr>
        <w:t>以联合体形式参加政府采购活动的，其投诉应当由组成联合体的所有供应商共同提出。</w:t>
      </w:r>
    </w:p>
    <w:p>
      <w:pPr>
        <w:pStyle w:val="618"/>
        <w:shd w:val="clear" w:color="auto" w:fill="FFFFFF"/>
        <w:adjustRightInd w:val="0"/>
        <w:snapToGrid w:val="0"/>
        <w:spacing w:before="0" w:beforeAutospacing="0" w:after="0" w:afterAutospacing="0" w:line="360" w:lineRule="auto"/>
        <w:ind w:firstLine="480" w:firstLineChars="200"/>
        <w:contextualSpacing/>
        <w:rPr>
          <w:rFonts w:ascii="仿宋_GB2312" w:hAnsi="仿宋" w:eastAsia="仿宋_GB2312"/>
        </w:rPr>
      </w:pPr>
      <w:r>
        <w:rPr>
          <w:rFonts w:hint="eastAsia" w:ascii="仿宋_GB2312" w:hAnsi="仿宋" w:eastAsia="仿宋_GB2312"/>
        </w:rPr>
        <w:t>投诉书范本及制作说明详见附件</w:t>
      </w:r>
      <w:r>
        <w:rPr>
          <w:rFonts w:ascii="仿宋_GB2312" w:hAnsi="仿宋" w:eastAsia="仿宋_GB2312"/>
        </w:rPr>
        <w:t>3。</w:t>
      </w:r>
    </w:p>
    <w:p>
      <w:pPr>
        <w:adjustRightInd/>
        <w:spacing w:line="360" w:lineRule="auto"/>
        <w:jc w:val="center"/>
        <w:outlineLvl w:val="0"/>
        <w:rPr>
          <w:rFonts w:ascii="仿宋_GB2312" w:hAnsi="仿宋_GB2312" w:eastAsia="仿宋_GB2312" w:cs="仿宋_GB2312"/>
          <w:b/>
          <w:sz w:val="32"/>
          <w:szCs w:val="20"/>
        </w:rPr>
      </w:pPr>
      <w:bookmarkStart w:id="15" w:name="_Toc9095"/>
      <w:r>
        <w:rPr>
          <w:rFonts w:hint="eastAsia" w:ascii="仿宋_GB2312" w:hAnsi="仿宋_GB2312" w:eastAsia="仿宋_GB2312" w:cs="仿宋_GB2312"/>
          <w:b/>
          <w:sz w:val="32"/>
          <w:szCs w:val="20"/>
        </w:rPr>
        <w:t>三、磋商文件构成、修改、解释</w:t>
      </w:r>
      <w:bookmarkEnd w:id="15"/>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磋商文件的构成</w:t>
      </w:r>
    </w:p>
    <w:p>
      <w:pPr>
        <w:pStyle w:val="33"/>
        <w:numPr>
          <w:ilvl w:val="1"/>
          <w:numId w:val="18"/>
        </w:numPr>
        <w:spacing w:line="360" w:lineRule="auto"/>
        <w:rPr>
          <w:rFonts w:ascii="仿宋_GB2312" w:hAnsi="仿宋" w:eastAsia="仿宋_GB2312"/>
          <w:sz w:val="24"/>
          <w:szCs w:val="24"/>
        </w:rPr>
      </w:pPr>
      <w:r>
        <w:rPr>
          <w:rFonts w:hint="eastAsia" w:ascii="仿宋_GB2312" w:hAnsi="仿宋" w:eastAsia="仿宋_GB2312"/>
          <w:sz w:val="24"/>
          <w:szCs w:val="24"/>
        </w:rPr>
        <w:t>磋商文件包括下列文件及附件</w:t>
      </w:r>
    </w:p>
    <w:p>
      <w:pPr>
        <w:pStyle w:val="33"/>
        <w:numPr>
          <w:ilvl w:val="2"/>
          <w:numId w:val="18"/>
        </w:numPr>
        <w:spacing w:line="360" w:lineRule="auto"/>
        <w:rPr>
          <w:rFonts w:ascii="仿宋_GB2312" w:hAnsi="仿宋" w:eastAsia="仿宋_GB2312"/>
          <w:sz w:val="24"/>
          <w:szCs w:val="24"/>
        </w:rPr>
      </w:pPr>
      <w:r>
        <w:rPr>
          <w:rFonts w:hint="eastAsia" w:ascii="仿宋_GB2312" w:hAnsi="仿宋" w:eastAsia="仿宋_GB2312"/>
          <w:sz w:val="24"/>
          <w:szCs w:val="24"/>
        </w:rPr>
        <w:t>供应商邀请</w:t>
      </w:r>
    </w:p>
    <w:p>
      <w:pPr>
        <w:pStyle w:val="33"/>
        <w:numPr>
          <w:ilvl w:val="2"/>
          <w:numId w:val="18"/>
        </w:numPr>
        <w:spacing w:line="360" w:lineRule="auto"/>
        <w:rPr>
          <w:rFonts w:ascii="仿宋_GB2312" w:hAnsi="仿宋" w:eastAsia="仿宋_GB2312"/>
          <w:sz w:val="24"/>
          <w:szCs w:val="24"/>
        </w:rPr>
      </w:pPr>
      <w:r>
        <w:rPr>
          <w:rFonts w:hint="eastAsia" w:ascii="仿宋_GB2312" w:hAnsi="仿宋" w:eastAsia="仿宋_GB2312"/>
          <w:sz w:val="24"/>
          <w:szCs w:val="24"/>
        </w:rPr>
        <w:t>竞争性磋商流程</w:t>
      </w:r>
    </w:p>
    <w:p>
      <w:pPr>
        <w:pStyle w:val="33"/>
        <w:numPr>
          <w:ilvl w:val="2"/>
          <w:numId w:val="18"/>
        </w:numPr>
        <w:spacing w:line="360" w:lineRule="auto"/>
        <w:rPr>
          <w:rFonts w:ascii="仿宋_GB2312" w:hAnsi="仿宋" w:eastAsia="仿宋_GB2312"/>
          <w:sz w:val="24"/>
          <w:szCs w:val="24"/>
        </w:rPr>
      </w:pPr>
      <w:r>
        <w:rPr>
          <w:rFonts w:hint="eastAsia" w:ascii="仿宋_GB2312" w:hAnsi="仿宋" w:eastAsia="仿宋_GB2312"/>
          <w:sz w:val="24"/>
          <w:szCs w:val="24"/>
        </w:rPr>
        <w:t>供应商须知</w:t>
      </w:r>
    </w:p>
    <w:p>
      <w:pPr>
        <w:pStyle w:val="33"/>
        <w:numPr>
          <w:ilvl w:val="2"/>
          <w:numId w:val="18"/>
        </w:numPr>
        <w:spacing w:line="360" w:lineRule="auto"/>
        <w:rPr>
          <w:rFonts w:ascii="仿宋_GB2312" w:hAnsi="仿宋" w:eastAsia="仿宋_GB2312"/>
          <w:sz w:val="24"/>
          <w:szCs w:val="24"/>
        </w:rPr>
      </w:pPr>
      <w:r>
        <w:rPr>
          <w:rFonts w:hint="eastAsia" w:ascii="仿宋_GB2312" w:hAnsi="仿宋" w:eastAsia="仿宋_GB2312"/>
          <w:sz w:val="24"/>
          <w:szCs w:val="24"/>
        </w:rPr>
        <w:t>采购需求</w:t>
      </w:r>
    </w:p>
    <w:p>
      <w:pPr>
        <w:pStyle w:val="33"/>
        <w:numPr>
          <w:ilvl w:val="2"/>
          <w:numId w:val="18"/>
        </w:numPr>
        <w:spacing w:line="360" w:lineRule="auto"/>
        <w:rPr>
          <w:rFonts w:ascii="仿宋_GB2312" w:hAnsi="仿宋" w:eastAsia="仿宋_GB2312"/>
          <w:sz w:val="24"/>
          <w:szCs w:val="24"/>
        </w:rPr>
      </w:pPr>
      <w:r>
        <w:rPr>
          <w:rFonts w:hint="eastAsia" w:ascii="仿宋_GB2312" w:hAnsi="仿宋" w:eastAsia="仿宋_GB2312"/>
          <w:sz w:val="24"/>
          <w:szCs w:val="24"/>
        </w:rPr>
        <w:t>评审方法及评审标准</w:t>
      </w:r>
    </w:p>
    <w:p>
      <w:pPr>
        <w:pStyle w:val="33"/>
        <w:numPr>
          <w:ilvl w:val="2"/>
          <w:numId w:val="18"/>
        </w:numPr>
        <w:spacing w:line="360" w:lineRule="auto"/>
        <w:rPr>
          <w:rFonts w:ascii="仿宋_GB2312" w:hAnsi="仿宋" w:eastAsia="仿宋_GB2312"/>
          <w:sz w:val="24"/>
          <w:szCs w:val="24"/>
        </w:rPr>
      </w:pPr>
      <w:r>
        <w:rPr>
          <w:rFonts w:hint="eastAsia" w:ascii="仿宋_GB2312" w:hAnsi="仿宋" w:eastAsia="仿宋_GB2312"/>
          <w:sz w:val="24"/>
          <w:szCs w:val="24"/>
        </w:rPr>
        <w:t>拟签订的合同文本</w:t>
      </w:r>
    </w:p>
    <w:p>
      <w:pPr>
        <w:pStyle w:val="33"/>
        <w:numPr>
          <w:ilvl w:val="2"/>
          <w:numId w:val="18"/>
        </w:numPr>
        <w:spacing w:line="360" w:lineRule="auto"/>
        <w:rPr>
          <w:rFonts w:ascii="仿宋_GB2312" w:hAnsi="仿宋" w:eastAsia="仿宋_GB2312"/>
          <w:sz w:val="24"/>
          <w:szCs w:val="24"/>
        </w:rPr>
      </w:pPr>
      <w:r>
        <w:rPr>
          <w:rFonts w:hint="eastAsia" w:ascii="仿宋_GB2312" w:hAnsi="仿宋" w:eastAsia="仿宋_GB2312"/>
          <w:sz w:val="24"/>
          <w:szCs w:val="24"/>
        </w:rPr>
        <w:t>应提交的有关格式范例</w:t>
      </w:r>
    </w:p>
    <w:p>
      <w:pPr>
        <w:pStyle w:val="33"/>
        <w:numPr>
          <w:ilvl w:val="2"/>
          <w:numId w:val="18"/>
        </w:numPr>
        <w:spacing w:line="360" w:lineRule="auto"/>
        <w:rPr>
          <w:rFonts w:ascii="仿宋_GB2312" w:hAnsi="仿宋" w:eastAsia="仿宋_GB2312"/>
          <w:sz w:val="24"/>
          <w:szCs w:val="24"/>
        </w:rPr>
      </w:pPr>
      <w:r>
        <w:rPr>
          <w:rFonts w:hint="eastAsia" w:ascii="仿宋_GB2312" w:hAnsi="仿宋" w:eastAsia="仿宋_GB2312"/>
          <w:sz w:val="24"/>
          <w:szCs w:val="24"/>
        </w:rPr>
        <w:t>最后报价格式</w:t>
      </w:r>
    </w:p>
    <w:p>
      <w:pPr>
        <w:pStyle w:val="33"/>
        <w:numPr>
          <w:ilvl w:val="1"/>
          <w:numId w:val="18"/>
        </w:numPr>
        <w:spacing w:line="360" w:lineRule="auto"/>
        <w:rPr>
          <w:rFonts w:ascii="仿宋_GB2312" w:hAnsi="仿宋" w:eastAsia="仿宋_GB2312"/>
          <w:sz w:val="24"/>
          <w:szCs w:val="24"/>
        </w:rPr>
      </w:pPr>
      <w:r>
        <w:rPr>
          <w:rFonts w:hint="eastAsia" w:ascii="仿宋_GB2312" w:hAnsi="仿宋" w:eastAsia="仿宋_GB2312"/>
          <w:sz w:val="24"/>
          <w:szCs w:val="24"/>
        </w:rPr>
        <w:t>与本项目有关的澄清或者修改的内容为磋商文件的组成部分。</w:t>
      </w: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磋商文件的澄清、修改</w:t>
      </w:r>
    </w:p>
    <w:p>
      <w:pPr>
        <w:pStyle w:val="395"/>
        <w:numPr>
          <w:ilvl w:val="1"/>
          <w:numId w:val="19"/>
        </w:numPr>
        <w:snapToGrid w:val="0"/>
        <w:spacing w:before="0"/>
        <w:ind w:left="10" w:firstLine="387" w:firstLineChars="0"/>
        <w:rPr>
          <w:rFonts w:ascii="仿宋_GB2312" w:hAnsi="仿宋" w:eastAsia="仿宋_GB2312" w:cs="仿宋_GB2312"/>
        </w:rPr>
      </w:pPr>
      <w:r>
        <w:rPr>
          <w:rFonts w:hint="eastAsia" w:ascii="仿宋_GB2312" w:hAnsi="仿宋" w:eastAsia="仿宋_GB2312" w:cs="仿宋_GB2312"/>
        </w:rPr>
        <w:t>已获取磋商文件的潜在供应商，若有问题需要澄清，应于提交首次响应文件截止时间前，以书面形式向采购代理机构提出。</w:t>
      </w:r>
    </w:p>
    <w:p>
      <w:pPr>
        <w:pStyle w:val="395"/>
        <w:numPr>
          <w:ilvl w:val="1"/>
          <w:numId w:val="19"/>
        </w:numPr>
        <w:snapToGrid w:val="0"/>
        <w:spacing w:before="0"/>
        <w:ind w:left="10" w:firstLine="387" w:firstLineChars="0"/>
        <w:rPr>
          <w:rFonts w:ascii="仿宋_GB2312" w:hAnsi="仿宋" w:eastAsia="仿宋_GB2312"/>
        </w:rPr>
      </w:pPr>
      <w:r>
        <w:rPr>
          <w:rFonts w:hint="eastAsia" w:ascii="仿宋_GB2312" w:hAnsi="仿宋" w:eastAsia="仿宋_GB2312"/>
        </w:rPr>
        <w:t>采购代理机构如对已发出的磋商文件进行必要澄清或者修改的，将在发布磋商邀请公告的网站上发布更正（延期）公告，同时视情况延长提交首次响应文件截止时间和响应文件开启时间。该澄清或者修改的内容为磋商文件的组成部分。</w:t>
      </w:r>
    </w:p>
    <w:p>
      <w:pPr>
        <w:pStyle w:val="395"/>
        <w:numPr>
          <w:ilvl w:val="1"/>
          <w:numId w:val="19"/>
        </w:numPr>
        <w:snapToGrid w:val="0"/>
        <w:spacing w:before="0"/>
        <w:ind w:left="10" w:firstLine="387" w:firstLineChars="0"/>
        <w:rPr>
          <w:rFonts w:ascii="仿宋_GB2312" w:hAnsi="仿宋" w:eastAsia="仿宋_GB2312"/>
        </w:rPr>
      </w:pPr>
      <w:r>
        <w:rPr>
          <w:rFonts w:hint="eastAsia" w:ascii="仿宋_GB2312" w:hAnsi="仿宋" w:eastAsia="仿宋_GB2312"/>
        </w:rPr>
        <w:t>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pPr>
        <w:pStyle w:val="395"/>
        <w:snapToGrid w:val="0"/>
        <w:spacing w:before="0"/>
        <w:ind w:firstLine="482"/>
        <w:rPr>
          <w:rFonts w:ascii="仿宋_GB2312" w:hAnsi="仿宋" w:eastAsia="仿宋_GB2312"/>
        </w:rPr>
      </w:pPr>
      <w:r>
        <w:rPr>
          <w:rFonts w:hint="eastAsia" w:ascii="仿宋_GB2312" w:hAnsi="仿宋" w:eastAsia="仿宋_GB2312"/>
          <w:b/>
        </w:rPr>
        <w:t>▲</w:t>
      </w:r>
      <w:r>
        <w:rPr>
          <w:rFonts w:hint="eastAsia" w:ascii="仿宋_GB2312" w:hAnsi="仿宋" w:eastAsia="仿宋_GB2312" w:cs="仿宋_GB2312"/>
          <w:b/>
          <w:szCs w:val="21"/>
        </w:rPr>
        <w:t>响应文件未按磋商文件的澄清、修改的内容编制，又不符合实质性要求的，响应无效。</w:t>
      </w:r>
    </w:p>
    <w:p>
      <w:pPr>
        <w:pStyle w:val="3"/>
        <w:rPr>
          <w:rFonts w:ascii="仿宋_GB2312" w:hAnsi="仿宋_GB2312" w:eastAsia="仿宋_GB2312" w:cs="仿宋_GB2312"/>
          <w:sz w:val="18"/>
          <w:szCs w:val="18"/>
          <w:lang w:val="en-US"/>
        </w:rPr>
      </w:pPr>
      <w:r>
        <w:rPr>
          <w:rFonts w:hint="eastAsia" w:ascii="仿宋_GB2312" w:hAnsi="仿宋_GB2312" w:eastAsia="仿宋_GB2312" w:cs="仿宋_GB2312"/>
          <w:szCs w:val="24"/>
          <w:lang w:val="en-US"/>
        </w:rPr>
        <w:t xml:space="preserve">    </w:t>
      </w:r>
    </w:p>
    <w:p>
      <w:pPr>
        <w:adjustRightInd/>
        <w:spacing w:line="360" w:lineRule="auto"/>
        <w:jc w:val="center"/>
        <w:outlineLvl w:val="0"/>
        <w:rPr>
          <w:rFonts w:ascii="仿宋_GB2312" w:hAnsi="仿宋_GB2312" w:eastAsia="仿宋_GB2312" w:cs="仿宋_GB2312"/>
          <w:b/>
          <w:sz w:val="32"/>
          <w:szCs w:val="20"/>
        </w:rPr>
      </w:pPr>
      <w:bookmarkStart w:id="16" w:name="_Toc25694"/>
      <w:r>
        <w:rPr>
          <w:rFonts w:hint="eastAsia" w:ascii="仿宋_GB2312" w:hAnsi="仿宋_GB2312" w:eastAsia="仿宋_GB2312" w:cs="仿宋_GB2312"/>
          <w:b/>
          <w:sz w:val="32"/>
          <w:szCs w:val="20"/>
        </w:rPr>
        <w:t>四、响应文件的编制</w:t>
      </w:r>
      <w:bookmarkEnd w:id="16"/>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磋商文件的获取</w:t>
      </w:r>
    </w:p>
    <w:p>
      <w:pPr>
        <w:spacing w:line="360" w:lineRule="auto"/>
        <w:ind w:firstLine="420"/>
        <w:rPr>
          <w:rFonts w:ascii="仿宋_GB2312" w:hAnsi="仿宋" w:eastAsia="仿宋_GB2312" w:cs="仿宋_GB2312"/>
          <w:snapToGrid w:val="0"/>
          <w:kern w:val="28"/>
          <w:sz w:val="24"/>
        </w:rPr>
      </w:pPr>
      <w:r>
        <w:rPr>
          <w:rFonts w:hint="eastAsia" w:ascii="仿宋_GB2312" w:hAnsi="仿宋" w:eastAsia="仿宋_GB2312" w:cs="仿宋_GB2312"/>
          <w:snapToGrid w:val="0"/>
          <w:kern w:val="28"/>
          <w:sz w:val="24"/>
        </w:rPr>
        <w:t>详见竞争性磋商邀请公告中获取磋商文件的时间期限、地点、方式。</w:t>
      </w: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磋商前答疑会或现场考察</w:t>
      </w:r>
    </w:p>
    <w:p>
      <w:pPr>
        <w:pStyle w:val="33"/>
        <w:spacing w:line="360" w:lineRule="auto"/>
        <w:ind w:firstLine="420"/>
        <w:rPr>
          <w:rFonts w:ascii="仿宋_GB2312" w:hAnsi="仿宋" w:eastAsia="仿宋_GB2312"/>
          <w:sz w:val="24"/>
          <w:szCs w:val="24"/>
        </w:rPr>
      </w:pPr>
      <w:r>
        <w:rPr>
          <w:rFonts w:hint="eastAsia" w:ascii="仿宋_GB2312" w:hAnsi="仿宋" w:eastAsia="仿宋_GB2312"/>
          <w:sz w:val="24"/>
          <w:szCs w:val="24"/>
        </w:rPr>
        <w:t>采购人组织潜在供应商现场考察或者召开磋商前答疑会的，潜在供应商按第三部分供应商须知前附表的规定参加现场考察或者开标前答疑会。</w:t>
      </w: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磋商保证金</w:t>
      </w:r>
    </w:p>
    <w:p>
      <w:pPr>
        <w:pStyle w:val="17"/>
        <w:spacing w:line="360" w:lineRule="auto"/>
        <w:ind w:firstLine="470" w:firstLineChars="196"/>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按第三部分供应商须知前附表的规定</w:t>
      </w:r>
      <w:r>
        <w:rPr>
          <w:rFonts w:hint="eastAsia" w:ascii="仿宋_GB2312" w:hAnsi="仿宋" w:eastAsia="仿宋_GB2312" w:cs="仿宋_GB2312"/>
          <w:color w:val="auto"/>
          <w:sz w:val="24"/>
          <w:highlight w:val="none"/>
          <w:lang w:eastAsia="zh-CN"/>
        </w:rPr>
        <w:t>缴纳</w:t>
      </w:r>
      <w:r>
        <w:rPr>
          <w:rFonts w:hint="eastAsia" w:ascii="仿宋_GB2312" w:hAnsi="仿宋" w:eastAsia="仿宋_GB2312" w:cs="仿宋_GB2312"/>
          <w:color w:val="auto"/>
          <w:sz w:val="24"/>
          <w:highlight w:val="none"/>
        </w:rPr>
        <w:t>。</w:t>
      </w: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响应文件的语言</w:t>
      </w:r>
    </w:p>
    <w:p>
      <w:pPr>
        <w:pStyle w:val="33"/>
        <w:spacing w:line="360" w:lineRule="auto"/>
        <w:ind w:firstLine="480" w:firstLineChars="200"/>
        <w:rPr>
          <w:rFonts w:ascii="仿宋_GB2312" w:hAnsi="仿宋_GB2312" w:eastAsia="仿宋_GB2312" w:cs="仿宋_GB2312"/>
          <w:b/>
          <w:sz w:val="24"/>
          <w:szCs w:val="24"/>
        </w:rPr>
      </w:pPr>
      <w:r>
        <w:rPr>
          <w:rFonts w:hint="eastAsia" w:ascii="仿宋_GB2312" w:hAnsi="仿宋" w:eastAsia="仿宋_GB2312"/>
          <w:sz w:val="24"/>
        </w:rPr>
        <w:t>响应文件及供应商与采购有关的来往通知、函件和文件均应使用中文。</w:t>
      </w: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响应文件的组成</w:t>
      </w:r>
    </w:p>
    <w:p>
      <w:pPr>
        <w:pStyle w:val="33"/>
        <w:spacing w:line="360" w:lineRule="auto"/>
        <w:ind w:firstLine="480" w:firstLineChars="200"/>
        <w:rPr>
          <w:rFonts w:ascii="仿宋_GB2312" w:hAnsi="仿宋_GB2312" w:eastAsia="仿宋_GB2312" w:cs="仿宋_GB2312"/>
          <w:b/>
          <w:sz w:val="24"/>
          <w:szCs w:val="24"/>
        </w:rPr>
      </w:pPr>
      <w:r>
        <w:rPr>
          <w:rFonts w:hint="eastAsia" w:ascii="仿宋_GB2312" w:hAnsi="仿宋" w:eastAsia="仿宋_GB2312"/>
          <w:sz w:val="24"/>
        </w:rPr>
        <w:t>响应文件应当包括以下主要内容：</w:t>
      </w:r>
    </w:p>
    <w:p>
      <w:pPr>
        <w:numPr>
          <w:ilvl w:val="1"/>
          <w:numId w:val="20"/>
        </w:numPr>
        <w:snapToGrid w:val="0"/>
        <w:spacing w:line="360" w:lineRule="auto"/>
        <w:rPr>
          <w:rFonts w:ascii="仿宋_GB2312" w:hAnsi="仿宋" w:eastAsia="仿宋_GB2312" w:cs="仿宋_GB2312"/>
          <w:b/>
          <w:sz w:val="24"/>
        </w:rPr>
      </w:pPr>
      <w:r>
        <w:rPr>
          <w:rFonts w:hint="eastAsia" w:ascii="仿宋_GB2312" w:hAnsi="仿宋" w:eastAsia="仿宋_GB2312" w:cs="仿宋_GB2312"/>
          <w:b/>
          <w:sz w:val="24"/>
        </w:rPr>
        <w:t>资格文件：</w:t>
      </w:r>
    </w:p>
    <w:p>
      <w:pPr>
        <w:numPr>
          <w:ilvl w:val="2"/>
          <w:numId w:val="21"/>
        </w:numPr>
        <w:snapToGrid w:val="0"/>
        <w:spacing w:line="360" w:lineRule="auto"/>
        <w:rPr>
          <w:rFonts w:ascii="仿宋_GB2312" w:hAnsi="仿宋" w:eastAsia="仿宋_GB2312" w:cs="仿宋_GB2312"/>
          <w:sz w:val="24"/>
        </w:rPr>
      </w:pPr>
      <w:r>
        <w:rPr>
          <w:rFonts w:ascii="仿宋_GB2312" w:hAnsi="仿宋" w:eastAsia="仿宋_GB2312" w:cs="仿宋_GB2312"/>
          <w:sz w:val="24"/>
        </w:rPr>
        <w:t>符合参加政府采购活动应当具备的一般条件的承诺函；</w:t>
      </w:r>
    </w:p>
    <w:p>
      <w:pPr>
        <w:numPr>
          <w:ilvl w:val="2"/>
          <w:numId w:val="21"/>
        </w:numPr>
        <w:snapToGrid w:val="0"/>
        <w:spacing w:line="360" w:lineRule="auto"/>
        <w:rPr>
          <w:rFonts w:ascii="仿宋_GB2312" w:hAnsi="仿宋" w:eastAsia="仿宋_GB2312" w:cs="仿宋_GB2312"/>
          <w:sz w:val="24"/>
        </w:rPr>
      </w:pPr>
      <w:r>
        <w:rPr>
          <w:rFonts w:ascii="仿宋_GB2312" w:hAnsi="仿宋" w:eastAsia="仿宋_GB2312" w:cs="仿宋_GB2312"/>
          <w:sz w:val="24"/>
        </w:rPr>
        <w:t>落实政府采购政策需满足的资格要求；</w:t>
      </w:r>
    </w:p>
    <w:p>
      <w:pPr>
        <w:numPr>
          <w:ilvl w:val="2"/>
          <w:numId w:val="21"/>
        </w:numPr>
        <w:snapToGrid w:val="0"/>
        <w:spacing w:line="360" w:lineRule="auto"/>
        <w:rPr>
          <w:rFonts w:ascii="仿宋_GB2312" w:hAnsi="仿宋" w:eastAsia="仿宋_GB2312" w:cs="仿宋_GB2312"/>
          <w:sz w:val="24"/>
        </w:rPr>
      </w:pPr>
      <w:r>
        <w:rPr>
          <w:rFonts w:ascii="仿宋_GB2312" w:hAnsi="仿宋" w:eastAsia="仿宋_GB2312" w:cs="仿宋_GB2312"/>
          <w:sz w:val="24"/>
        </w:rPr>
        <w:t>本项目的特定资格要求</w:t>
      </w:r>
      <w:r>
        <w:rPr>
          <w:rFonts w:hint="eastAsia" w:ascii="仿宋_GB2312" w:hAnsi="仿宋" w:eastAsia="仿宋_GB2312" w:cs="仿宋_GB2312"/>
          <w:sz w:val="24"/>
        </w:rPr>
        <w:t>；（本项目不适用）</w:t>
      </w:r>
    </w:p>
    <w:p>
      <w:pPr>
        <w:numPr>
          <w:ilvl w:val="2"/>
          <w:numId w:val="21"/>
        </w:num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联合协议。（如有）</w:t>
      </w:r>
    </w:p>
    <w:p>
      <w:pPr>
        <w:numPr>
          <w:ilvl w:val="1"/>
          <w:numId w:val="20"/>
        </w:numPr>
        <w:snapToGrid w:val="0"/>
        <w:spacing w:line="360" w:lineRule="auto"/>
        <w:rPr>
          <w:rFonts w:ascii="仿宋_GB2312" w:hAnsi="仿宋" w:eastAsia="仿宋_GB2312" w:cs="仿宋_GB2312"/>
          <w:b/>
          <w:sz w:val="24"/>
          <w:lang w:val="zh-CN"/>
        </w:rPr>
      </w:pPr>
      <w:r>
        <w:rPr>
          <w:rFonts w:hint="eastAsia" w:ascii="仿宋_GB2312" w:hAnsi="仿宋" w:eastAsia="仿宋_GB2312" w:cs="仿宋_GB2312"/>
          <w:b/>
          <w:sz w:val="24"/>
        </w:rPr>
        <w:t>商务技术</w:t>
      </w:r>
      <w:r>
        <w:rPr>
          <w:rFonts w:hint="eastAsia" w:ascii="仿宋_GB2312" w:hAnsi="仿宋" w:eastAsia="仿宋_GB2312" w:cs="仿宋_GB2312"/>
          <w:b/>
          <w:sz w:val="24"/>
          <w:lang w:val="zh-CN"/>
        </w:rPr>
        <w:t>文件：</w:t>
      </w:r>
    </w:p>
    <w:p>
      <w:pPr>
        <w:numPr>
          <w:ilvl w:val="2"/>
          <w:numId w:val="22"/>
        </w:num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响应</w:t>
      </w:r>
      <w:r>
        <w:rPr>
          <w:rFonts w:ascii="仿宋_GB2312" w:hAnsi="仿宋" w:eastAsia="仿宋_GB2312" w:cs="仿宋_GB2312"/>
          <w:sz w:val="24"/>
        </w:rPr>
        <w:t>函；</w:t>
      </w:r>
      <w:r>
        <w:rPr>
          <w:rFonts w:ascii="仿宋_GB2312" w:hAnsi="仿宋" w:eastAsia="仿宋_GB2312" w:cs="仿宋_GB2312"/>
          <w:sz w:val="24"/>
          <w:lang w:val="zh-CN"/>
        </w:rPr>
        <w:t xml:space="preserve"> </w:t>
      </w:r>
    </w:p>
    <w:p>
      <w:pPr>
        <w:numPr>
          <w:ilvl w:val="2"/>
          <w:numId w:val="22"/>
        </w:numPr>
        <w:snapToGrid w:val="0"/>
        <w:spacing w:line="360" w:lineRule="auto"/>
        <w:rPr>
          <w:rFonts w:ascii="仿宋_GB2312" w:hAnsi="仿宋" w:eastAsia="仿宋_GB2312" w:cs="仿宋_GB2312"/>
          <w:sz w:val="24"/>
        </w:rPr>
      </w:pPr>
      <w:r>
        <w:rPr>
          <w:rFonts w:ascii="仿宋_GB2312" w:hAnsi="仿宋" w:eastAsia="仿宋_GB2312" w:cs="仿宋_GB2312"/>
          <w:sz w:val="24"/>
        </w:rPr>
        <w:t>授权委托书或法定代表人（单位负责人、自然人本人）身份证明；</w:t>
      </w:r>
    </w:p>
    <w:p>
      <w:pPr>
        <w:numPr>
          <w:ilvl w:val="2"/>
          <w:numId w:val="22"/>
        </w:numPr>
        <w:snapToGrid w:val="0"/>
        <w:spacing w:line="360" w:lineRule="auto"/>
        <w:rPr>
          <w:rFonts w:ascii="仿宋_GB2312" w:hAnsi="仿宋" w:eastAsia="仿宋_GB2312" w:cs="仿宋_GB2312"/>
          <w:sz w:val="24"/>
        </w:rPr>
      </w:pPr>
      <w:r>
        <w:rPr>
          <w:rFonts w:ascii="仿宋_GB2312" w:hAnsi="仿宋" w:eastAsia="仿宋_GB2312" w:cs="仿宋_GB2312"/>
          <w:sz w:val="24"/>
        </w:rPr>
        <w:t>分包意向协议；</w:t>
      </w:r>
      <w:r>
        <w:rPr>
          <w:rFonts w:hint="eastAsia" w:ascii="仿宋_GB2312" w:hAnsi="仿宋" w:eastAsia="仿宋_GB2312"/>
          <w:bCs/>
          <w:sz w:val="24"/>
        </w:rPr>
        <w:t>（如有）</w:t>
      </w:r>
    </w:p>
    <w:p>
      <w:pPr>
        <w:numPr>
          <w:ilvl w:val="2"/>
          <w:numId w:val="22"/>
        </w:numPr>
        <w:snapToGrid w:val="0"/>
        <w:spacing w:line="360" w:lineRule="auto"/>
        <w:rPr>
          <w:rFonts w:ascii="仿宋_GB2312" w:hAnsi="仿宋" w:eastAsia="仿宋_GB2312" w:cs="仿宋_GB2312"/>
          <w:sz w:val="24"/>
        </w:rPr>
      </w:pPr>
      <w:r>
        <w:rPr>
          <w:rFonts w:ascii="仿宋_GB2312" w:hAnsi="仿宋" w:eastAsia="仿宋_GB2312" w:cs="仿宋_GB2312"/>
          <w:sz w:val="24"/>
        </w:rPr>
        <w:t>符合性审查资料；</w:t>
      </w:r>
    </w:p>
    <w:p>
      <w:pPr>
        <w:numPr>
          <w:ilvl w:val="2"/>
          <w:numId w:val="22"/>
        </w:numPr>
        <w:snapToGrid w:val="0"/>
        <w:spacing w:line="360" w:lineRule="auto"/>
        <w:rPr>
          <w:rFonts w:ascii="仿宋_GB2312" w:hAnsi="仿宋" w:eastAsia="仿宋_GB2312" w:cs="仿宋_GB2312"/>
          <w:sz w:val="24"/>
        </w:rPr>
      </w:pPr>
      <w:r>
        <w:rPr>
          <w:rFonts w:ascii="仿宋_GB2312" w:hAnsi="仿宋" w:eastAsia="仿宋_GB2312" w:cs="仿宋_GB2312"/>
          <w:sz w:val="24"/>
        </w:rPr>
        <w:t>评标标准相应的商务技术资料；</w:t>
      </w:r>
    </w:p>
    <w:p>
      <w:pPr>
        <w:numPr>
          <w:ilvl w:val="2"/>
          <w:numId w:val="22"/>
        </w:num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标的清单；</w:t>
      </w:r>
    </w:p>
    <w:p>
      <w:pPr>
        <w:numPr>
          <w:ilvl w:val="2"/>
          <w:numId w:val="22"/>
        </w:numPr>
        <w:snapToGrid w:val="0"/>
        <w:spacing w:line="360" w:lineRule="auto"/>
        <w:rPr>
          <w:rFonts w:ascii="仿宋_GB2312" w:hAnsi="仿宋" w:eastAsia="仿宋_GB2312" w:cs="仿宋_GB2312"/>
          <w:sz w:val="24"/>
        </w:rPr>
      </w:pPr>
      <w:r>
        <w:rPr>
          <w:rFonts w:ascii="仿宋_GB2312" w:hAnsi="仿宋" w:eastAsia="仿宋_GB2312" w:cs="仿宋_GB2312"/>
          <w:sz w:val="24"/>
        </w:rPr>
        <w:t>商务技术偏离表；</w:t>
      </w:r>
    </w:p>
    <w:p>
      <w:pPr>
        <w:numPr>
          <w:ilvl w:val="2"/>
          <w:numId w:val="22"/>
        </w:numPr>
        <w:snapToGrid w:val="0"/>
        <w:spacing w:line="360" w:lineRule="auto"/>
        <w:rPr>
          <w:rFonts w:ascii="仿宋_GB2312" w:hAnsi="仿宋" w:eastAsia="仿宋_GB2312" w:cs="仿宋_GB2312"/>
          <w:sz w:val="24"/>
          <w:lang w:val="zh-CN"/>
        </w:rPr>
      </w:pPr>
      <w:r>
        <w:rPr>
          <w:rFonts w:hint="eastAsia" w:ascii="仿宋_GB2312" w:hAnsi="仿宋" w:eastAsia="仿宋_GB2312" w:cs="仿宋_GB2312"/>
          <w:sz w:val="24"/>
          <w:lang w:val="zh-CN"/>
        </w:rPr>
        <w:t>政府采购供应商廉洁自律承诺书。</w:t>
      </w:r>
    </w:p>
    <w:p>
      <w:pPr>
        <w:numPr>
          <w:ilvl w:val="1"/>
          <w:numId w:val="20"/>
        </w:numPr>
        <w:snapToGrid w:val="0"/>
        <w:spacing w:line="360" w:lineRule="auto"/>
        <w:rPr>
          <w:rFonts w:ascii="仿宋_GB2312" w:hAnsi="仿宋" w:eastAsia="仿宋_GB2312" w:cs="仿宋_GB2312"/>
          <w:b/>
          <w:sz w:val="24"/>
          <w:lang w:val="zh-CN"/>
        </w:rPr>
      </w:pPr>
      <w:r>
        <w:rPr>
          <w:rFonts w:hint="eastAsia" w:ascii="仿宋_GB2312" w:hAnsi="仿宋" w:eastAsia="仿宋_GB2312" w:cs="仿宋_GB2312"/>
          <w:b/>
          <w:sz w:val="24"/>
          <w:lang w:val="zh-CN"/>
        </w:rPr>
        <w:t xml:space="preserve">报价文件： </w:t>
      </w:r>
    </w:p>
    <w:p>
      <w:pPr>
        <w:numPr>
          <w:ilvl w:val="2"/>
          <w:numId w:val="23"/>
        </w:num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初始报价一览表；</w:t>
      </w:r>
    </w:p>
    <w:p>
      <w:pPr>
        <w:numPr>
          <w:ilvl w:val="2"/>
          <w:numId w:val="23"/>
        </w:num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报价明细表。</w:t>
      </w:r>
    </w:p>
    <w:p>
      <w:pPr>
        <w:spacing w:line="360" w:lineRule="auto"/>
        <w:ind w:firstLine="420"/>
        <w:rPr>
          <w:rFonts w:ascii="仿宋_GB2312" w:hAnsi="仿宋" w:eastAsia="仿宋_GB2312"/>
          <w:b/>
          <w:sz w:val="24"/>
        </w:rPr>
      </w:pPr>
      <w:r>
        <w:rPr>
          <w:rFonts w:hint="eastAsia" w:ascii="仿宋_GB2312" w:hAnsi="仿宋" w:eastAsia="仿宋_GB2312"/>
          <w:b/>
          <w:sz w:val="24"/>
        </w:rPr>
        <w:t>响应文件含有采购人不能接受的附加条件的，磋商无效；</w:t>
      </w:r>
    </w:p>
    <w:p>
      <w:pPr>
        <w:spacing w:line="360" w:lineRule="auto"/>
        <w:ind w:firstLine="420"/>
        <w:rPr>
          <w:rFonts w:ascii="仿宋_GB2312" w:hAnsi="仿宋" w:eastAsia="仿宋_GB2312"/>
          <w:b/>
          <w:sz w:val="24"/>
        </w:rPr>
      </w:pPr>
      <w:r>
        <w:rPr>
          <w:rFonts w:hint="eastAsia" w:ascii="仿宋_GB2312" w:hAnsi="仿宋" w:eastAsia="仿宋_GB2312"/>
          <w:b/>
          <w:sz w:val="24"/>
        </w:rPr>
        <w:t>供应商提供虚假材料响应的，磋商无效。</w:t>
      </w:r>
    </w:p>
    <w:p>
      <w:pPr>
        <w:pStyle w:val="3"/>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响应文件的编制</w:t>
      </w:r>
    </w:p>
    <w:p>
      <w:pPr>
        <w:numPr>
          <w:ilvl w:val="1"/>
          <w:numId w:val="24"/>
        </w:numPr>
        <w:spacing w:line="360" w:lineRule="auto"/>
        <w:ind w:left="10" w:firstLine="387"/>
        <w:rPr>
          <w:rFonts w:ascii="仿宋_GB2312" w:hAnsi="仿宋" w:eastAsia="仿宋_GB2312" w:cs="仿宋_GB2312"/>
          <w:b/>
          <w:sz w:val="24"/>
        </w:rPr>
      </w:pPr>
      <w:r>
        <w:rPr>
          <w:rFonts w:hint="eastAsia" w:ascii="仿宋_GB2312" w:hAnsi="仿宋" w:eastAsia="仿宋_GB2312" w:cs="仿宋_GB2312"/>
          <w:kern w:val="0"/>
          <w:sz w:val="24"/>
          <w:lang w:val="zh-CN"/>
        </w:rPr>
        <w:t>响应文件分为资格文件、商务技术文件、报价文件三部分。各供应商在编制响应文件时请按照磋商文件第七部分规定的格式进行，混乱的编排导致响应文件被误读或磋商小组查找不到有效文件是供应商的风险。</w:t>
      </w:r>
    </w:p>
    <w:p>
      <w:pPr>
        <w:numPr>
          <w:ilvl w:val="1"/>
          <w:numId w:val="24"/>
        </w:numPr>
        <w:spacing w:line="360" w:lineRule="auto"/>
        <w:ind w:left="10" w:firstLine="387"/>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供应商进行电子交易应安装客户端软件—“政采云电子交易客户端”，并按照磋商文件和电子交易平台的要求编制并加密响应文件。供应商未按规定加密的响应文件，电子交易平台将拒收并提示。</w:t>
      </w:r>
    </w:p>
    <w:p>
      <w:pPr>
        <w:numPr>
          <w:ilvl w:val="1"/>
          <w:numId w:val="24"/>
        </w:numPr>
        <w:spacing w:line="360" w:lineRule="auto"/>
        <w:ind w:left="10" w:firstLine="387"/>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使用“政采云电子交易客户端”需要提前申领CA数字证书，申领流程请自行前往“新疆政府采购网-下载专区-电子交易客户端-CA驱动和申领流程”进行查阅。</w:t>
      </w:r>
    </w:p>
    <w:p>
      <w:pPr>
        <w:pStyle w:val="3"/>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响应文件的签署、盖章</w:t>
      </w:r>
    </w:p>
    <w:p>
      <w:pPr>
        <w:pStyle w:val="395"/>
        <w:numPr>
          <w:ilvl w:val="1"/>
          <w:numId w:val="25"/>
        </w:numPr>
        <w:snapToGrid w:val="0"/>
        <w:spacing w:before="0"/>
        <w:ind w:firstLineChars="0"/>
        <w:rPr>
          <w:rFonts w:ascii="仿宋_GB2312" w:hAnsi="仿宋" w:eastAsia="仿宋_GB2312" w:cs="仿宋_GB2312"/>
        </w:rPr>
      </w:pPr>
      <w:r>
        <w:rPr>
          <w:rFonts w:hint="eastAsia" w:ascii="仿宋_GB2312" w:hAnsi="仿宋" w:eastAsia="仿宋_GB2312" w:cs="仿宋_GB2312"/>
          <w:szCs w:val="24"/>
        </w:rPr>
        <w:t>响应</w:t>
      </w:r>
      <w:r>
        <w:rPr>
          <w:rFonts w:ascii="仿宋_GB2312" w:hAnsi="仿宋" w:eastAsia="仿宋_GB2312" w:cs="仿宋_GB2312"/>
          <w:szCs w:val="24"/>
        </w:rPr>
        <w:t>文件按照</w:t>
      </w:r>
      <w:r>
        <w:rPr>
          <w:rFonts w:hint="eastAsia" w:ascii="仿宋_GB2312" w:hAnsi="仿宋" w:eastAsia="仿宋_GB2312" w:cs="仿宋_GB2312"/>
          <w:szCs w:val="24"/>
        </w:rPr>
        <w:t>磋商</w:t>
      </w:r>
      <w:r>
        <w:rPr>
          <w:rFonts w:ascii="仿宋_GB2312" w:hAnsi="仿宋" w:eastAsia="仿宋_GB2312" w:cs="仿宋_GB2312"/>
          <w:szCs w:val="24"/>
        </w:rPr>
        <w:t>文件第</w:t>
      </w:r>
      <w:r>
        <w:rPr>
          <w:rFonts w:hint="eastAsia" w:ascii="仿宋_GB2312" w:hAnsi="仿宋" w:eastAsia="仿宋_GB2312" w:cs="仿宋_GB2312"/>
          <w:szCs w:val="24"/>
        </w:rPr>
        <w:t>七</w:t>
      </w:r>
      <w:r>
        <w:rPr>
          <w:rFonts w:ascii="仿宋_GB2312" w:hAnsi="仿宋" w:eastAsia="仿宋_GB2312" w:cs="仿宋_GB2312"/>
          <w:szCs w:val="24"/>
        </w:rPr>
        <w:t>部分格式要</w:t>
      </w:r>
      <w:r>
        <w:rPr>
          <w:rFonts w:hint="eastAsia" w:ascii="仿宋_GB2312" w:hAnsi="仿宋" w:eastAsia="仿宋_GB2312" w:cs="仿宋_GB2312"/>
        </w:rPr>
        <w:t>求进行签署、盖章。</w:t>
      </w:r>
    </w:p>
    <w:p>
      <w:pPr>
        <w:pStyle w:val="395"/>
        <w:snapToGrid w:val="0"/>
        <w:spacing w:before="0"/>
        <w:ind w:firstLine="482"/>
        <w:rPr>
          <w:rFonts w:ascii="仿宋_GB2312" w:hAnsi="仿宋" w:eastAsia="仿宋_GB2312" w:cs="仿宋_GB2312"/>
          <w:b/>
        </w:rPr>
      </w:pPr>
      <w:r>
        <w:rPr>
          <w:rFonts w:hint="eastAsia" w:ascii="仿宋_GB2312" w:hAnsi="仿宋" w:eastAsia="仿宋_GB2312"/>
          <w:b/>
        </w:rPr>
        <w:t>▲</w:t>
      </w:r>
      <w:r>
        <w:rPr>
          <w:rFonts w:hint="eastAsia" w:ascii="仿宋_GB2312" w:hAnsi="仿宋" w:eastAsia="仿宋_GB2312" w:cs="仿宋_GB2312"/>
          <w:b/>
        </w:rPr>
        <w:t>供应商的响应文件未按照磋商文件要求签署、盖章的，其磋商无效</w:t>
      </w:r>
      <w:r>
        <w:rPr>
          <w:rFonts w:hint="eastAsia" w:ascii="仿宋_GB2312" w:hAnsi="仿宋" w:eastAsia="仿宋_GB2312" w:cs="仿宋_GB2312"/>
          <w:szCs w:val="24"/>
        </w:rPr>
        <w:t>。</w:t>
      </w:r>
    </w:p>
    <w:p>
      <w:pPr>
        <w:pStyle w:val="395"/>
        <w:numPr>
          <w:ilvl w:val="1"/>
          <w:numId w:val="25"/>
        </w:numPr>
        <w:snapToGrid w:val="0"/>
        <w:spacing w:before="0"/>
        <w:ind w:left="10" w:firstLine="387" w:firstLineChars="0"/>
        <w:rPr>
          <w:rFonts w:ascii="仿宋_GB2312" w:hAnsi="仿宋" w:eastAsia="仿宋_GB2312" w:cs="仿宋_GB2312"/>
          <w:szCs w:val="24"/>
        </w:rPr>
      </w:pPr>
      <w:r>
        <w:rPr>
          <w:rFonts w:hint="eastAsia" w:ascii="仿宋_GB2312" w:hAnsi="仿宋" w:eastAsia="仿宋_GB2312" w:cs="仿宋_GB2312"/>
          <w:szCs w:val="24"/>
        </w:rPr>
        <w:t>为确保网上操作合法、有效和安全，供应商应当在响应截止时间前完成在“政府采购云平台”的身份认证，确保在电子交易过程中能够对相关数据电文进行加密和使用电子签名。</w:t>
      </w:r>
    </w:p>
    <w:p>
      <w:pPr>
        <w:pStyle w:val="395"/>
        <w:numPr>
          <w:ilvl w:val="1"/>
          <w:numId w:val="25"/>
        </w:numPr>
        <w:snapToGrid w:val="0"/>
        <w:spacing w:before="0"/>
        <w:ind w:left="10" w:firstLine="387" w:firstLineChars="0"/>
        <w:rPr>
          <w:lang w:val="zh-CN"/>
        </w:rPr>
      </w:pPr>
      <w:r>
        <w:rPr>
          <w:rFonts w:hint="eastAsia" w:ascii="仿宋_GB2312" w:hAnsi="仿宋" w:eastAsia="仿宋_GB2312" w:cs="仿宋_GB2312"/>
          <w:szCs w:val="24"/>
        </w:rPr>
        <w:t>磋商文件对响应文件签署、盖章的要求适用于电子签名。</w:t>
      </w:r>
    </w:p>
    <w:p/>
    <w:p>
      <w:pPr>
        <w:adjustRightInd/>
        <w:spacing w:line="360" w:lineRule="auto"/>
        <w:jc w:val="center"/>
        <w:outlineLvl w:val="0"/>
        <w:rPr>
          <w:rFonts w:ascii="仿宋_GB2312" w:hAnsi="仿宋_GB2312" w:eastAsia="仿宋_GB2312" w:cs="仿宋_GB2312"/>
          <w:b/>
          <w:sz w:val="32"/>
          <w:szCs w:val="20"/>
        </w:rPr>
      </w:pPr>
      <w:bookmarkStart w:id="17" w:name="_Toc28341"/>
      <w:r>
        <w:rPr>
          <w:rFonts w:hint="eastAsia" w:ascii="仿宋_GB2312" w:hAnsi="仿宋_GB2312" w:eastAsia="仿宋_GB2312" w:cs="仿宋_GB2312"/>
          <w:b/>
          <w:sz w:val="32"/>
          <w:szCs w:val="20"/>
        </w:rPr>
        <w:t>五、</w:t>
      </w:r>
      <w:r>
        <w:rPr>
          <w:rFonts w:hint="eastAsia" w:ascii="仿宋_GB2312" w:hAnsi="仿宋" w:eastAsia="仿宋_GB2312"/>
          <w:b/>
          <w:sz w:val="32"/>
          <w:szCs w:val="32"/>
        </w:rPr>
        <w:t>响应</w:t>
      </w:r>
      <w:r>
        <w:rPr>
          <w:rFonts w:hint="eastAsia" w:ascii="仿宋_GB2312" w:hAnsi="仿宋_GB2312" w:eastAsia="仿宋_GB2312" w:cs="仿宋_GB2312"/>
          <w:b/>
          <w:sz w:val="32"/>
          <w:szCs w:val="20"/>
        </w:rPr>
        <w:t>文件的提交和备份</w:t>
      </w:r>
      <w:bookmarkEnd w:id="17"/>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响应文件的提交、补充、修改、撤回</w:t>
      </w:r>
    </w:p>
    <w:p>
      <w:pPr>
        <w:pStyle w:val="395"/>
        <w:numPr>
          <w:ilvl w:val="1"/>
          <w:numId w:val="26"/>
        </w:numPr>
        <w:ind w:left="10" w:firstLine="387" w:firstLineChars="0"/>
        <w:rPr>
          <w:rFonts w:ascii="仿宋_GB2312" w:hAnsi="仿宋" w:eastAsia="仿宋_GB2312" w:cs="仿宋_GB2312"/>
          <w:szCs w:val="24"/>
        </w:rPr>
      </w:pPr>
      <w:r>
        <w:rPr>
          <w:rFonts w:hint="eastAsia" w:ascii="仿宋_GB2312" w:hAnsi="仿宋" w:eastAsia="仿宋_GB2312" w:cs="仿宋_GB2312"/>
          <w:szCs w:val="24"/>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将拒收。</w:t>
      </w:r>
    </w:p>
    <w:p>
      <w:pPr>
        <w:pStyle w:val="395"/>
        <w:numPr>
          <w:ilvl w:val="1"/>
          <w:numId w:val="26"/>
        </w:numPr>
        <w:ind w:left="10" w:firstLine="387" w:firstLineChars="0"/>
        <w:rPr>
          <w:rFonts w:ascii="仿宋_GB2312" w:hAnsi="仿宋" w:eastAsia="仿宋_GB2312" w:cs="仿宋_GB2312"/>
          <w:szCs w:val="24"/>
        </w:rPr>
      </w:pPr>
      <w:r>
        <w:rPr>
          <w:rFonts w:hint="eastAsia" w:ascii="仿宋_GB2312" w:hAnsi="仿宋" w:eastAsia="仿宋_GB2312"/>
        </w:rPr>
        <w:t>在提交“最后报价一览表”后，供应商不能退出磋商。</w:t>
      </w:r>
    </w:p>
    <w:p>
      <w:pPr>
        <w:numPr>
          <w:ilvl w:val="1"/>
          <w:numId w:val="26"/>
        </w:numPr>
        <w:spacing w:line="360" w:lineRule="auto"/>
        <w:ind w:left="10" w:firstLine="387"/>
        <w:rPr>
          <w:rFonts w:ascii="仿宋_GB2312" w:hAnsi="仿宋" w:eastAsia="仿宋_GB2312"/>
          <w:sz w:val="24"/>
        </w:rPr>
      </w:pPr>
      <w:r>
        <w:rPr>
          <w:rFonts w:hint="eastAsia" w:ascii="仿宋_GB2312" w:hAnsi="仿宋" w:eastAsia="仿宋_GB2312"/>
          <w:sz w:val="24"/>
        </w:rPr>
        <w:t>电子交易平台收到响应文件，将妥善保存并即时向供应商发出确认回执通知。在响应截止时间前，除供应商补充、修改或者撤回响应文件外，任何单位和个人不得解密或提取响应文件。</w:t>
      </w:r>
    </w:p>
    <w:p>
      <w:pPr>
        <w:pStyle w:val="395"/>
        <w:numPr>
          <w:ilvl w:val="1"/>
          <w:numId w:val="26"/>
        </w:numPr>
        <w:spacing w:before="0"/>
        <w:ind w:left="10" w:firstLine="387" w:firstLineChars="0"/>
        <w:rPr>
          <w:rFonts w:ascii="仿宋_GB2312" w:hAnsi="仿宋" w:eastAsia="仿宋_GB2312" w:cs="仿宋_GB2312"/>
          <w:szCs w:val="24"/>
        </w:rPr>
      </w:pPr>
      <w:r>
        <w:rPr>
          <w:rFonts w:ascii="仿宋_GB2312" w:hAnsi="仿宋" w:eastAsia="仿宋_GB2312" w:cs="仿宋_GB2312"/>
          <w:szCs w:val="24"/>
        </w:rPr>
        <w:t>采购人、</w:t>
      </w:r>
      <w:r>
        <w:rPr>
          <w:rFonts w:hint="eastAsia" w:ascii="仿宋_GB2312" w:hAnsi="仿宋" w:eastAsia="仿宋_GB2312" w:cs="仿宋_GB2312"/>
          <w:szCs w:val="24"/>
        </w:rPr>
        <w:t>采购代理机构</w:t>
      </w:r>
      <w:r>
        <w:rPr>
          <w:rFonts w:ascii="仿宋_GB2312" w:hAnsi="仿宋" w:eastAsia="仿宋_GB2312" w:cs="仿宋_GB2312"/>
          <w:szCs w:val="24"/>
        </w:rPr>
        <w:t>可以视情况延长</w:t>
      </w:r>
      <w:r>
        <w:rPr>
          <w:rFonts w:hint="eastAsia" w:ascii="仿宋_GB2312" w:hAnsi="仿宋" w:eastAsia="仿宋_GB2312" w:cs="仿宋_GB2312"/>
          <w:szCs w:val="24"/>
        </w:rPr>
        <w:t>响应</w:t>
      </w:r>
      <w:r>
        <w:rPr>
          <w:rFonts w:ascii="仿宋_GB2312" w:hAnsi="仿宋" w:eastAsia="仿宋_GB2312" w:cs="仿宋_GB2312"/>
          <w:szCs w:val="24"/>
        </w:rPr>
        <w:t>文件提交的截止时间。在上述情况下，</w:t>
      </w:r>
      <w:r>
        <w:rPr>
          <w:rFonts w:hint="eastAsia" w:ascii="仿宋_GB2312" w:hAnsi="仿宋" w:eastAsia="仿宋_GB2312" w:cs="仿宋_GB2312"/>
          <w:szCs w:val="24"/>
        </w:rPr>
        <w:t>采购代理机构</w:t>
      </w:r>
      <w:r>
        <w:rPr>
          <w:rFonts w:ascii="仿宋_GB2312" w:hAnsi="仿宋" w:eastAsia="仿宋_GB2312" w:cs="仿宋_GB2312"/>
          <w:szCs w:val="24"/>
        </w:rPr>
        <w:t>与</w:t>
      </w:r>
      <w:r>
        <w:rPr>
          <w:rFonts w:hint="eastAsia" w:ascii="仿宋_GB2312" w:hAnsi="仿宋" w:eastAsia="仿宋_GB2312" w:cs="仿宋_GB2312"/>
          <w:szCs w:val="24"/>
        </w:rPr>
        <w:t>供应商</w:t>
      </w:r>
      <w:r>
        <w:rPr>
          <w:rFonts w:ascii="仿宋_GB2312" w:hAnsi="仿宋" w:eastAsia="仿宋_GB2312" w:cs="仿宋_GB2312"/>
          <w:szCs w:val="24"/>
        </w:rPr>
        <w:t>以前在</w:t>
      </w:r>
      <w:r>
        <w:rPr>
          <w:rFonts w:hint="eastAsia" w:ascii="仿宋_GB2312" w:hAnsi="仿宋" w:eastAsia="仿宋_GB2312" w:cs="仿宋_GB2312"/>
          <w:szCs w:val="24"/>
        </w:rPr>
        <w:t>响应</w:t>
      </w:r>
      <w:r>
        <w:rPr>
          <w:rFonts w:ascii="仿宋_GB2312" w:hAnsi="仿宋" w:eastAsia="仿宋_GB2312" w:cs="仿宋_GB2312"/>
          <w:szCs w:val="24"/>
        </w:rPr>
        <w:t>截止期方面的全部权利、责任和义务，将适用于延长至新的</w:t>
      </w:r>
      <w:r>
        <w:rPr>
          <w:rFonts w:hint="eastAsia" w:ascii="仿宋_GB2312" w:hAnsi="仿宋" w:eastAsia="仿宋_GB2312" w:cs="仿宋_GB2312"/>
          <w:szCs w:val="24"/>
        </w:rPr>
        <w:t>响应</w:t>
      </w:r>
      <w:r>
        <w:rPr>
          <w:rFonts w:ascii="仿宋_GB2312" w:hAnsi="仿宋" w:eastAsia="仿宋_GB2312" w:cs="仿宋_GB2312"/>
          <w:szCs w:val="24"/>
        </w:rPr>
        <w:t>截止期。</w:t>
      </w:r>
    </w:p>
    <w:p>
      <w:pPr>
        <w:pStyle w:val="395"/>
        <w:spacing w:before="0"/>
        <w:ind w:left="397" w:firstLine="0" w:firstLineChars="0"/>
        <w:rPr>
          <w:rFonts w:ascii="仿宋_GB2312" w:hAnsi="仿宋" w:eastAsia="仿宋_GB2312" w:cs="仿宋_GB2312"/>
          <w:szCs w:val="24"/>
        </w:rPr>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备份响应文件（如有需要时）</w:t>
      </w:r>
    </w:p>
    <w:p>
      <w:pPr>
        <w:pStyle w:val="33"/>
        <w:numPr>
          <w:ilvl w:val="1"/>
          <w:numId w:val="27"/>
        </w:numPr>
        <w:spacing w:line="360" w:lineRule="auto"/>
        <w:ind w:left="10" w:firstLine="387"/>
        <w:rPr>
          <w:rFonts w:ascii="仿宋_GB2312" w:hAnsi="仿宋" w:eastAsia="仿宋_GB2312" w:cs="仿宋_GB2312"/>
          <w:b/>
          <w:bCs/>
          <w:sz w:val="24"/>
          <w:szCs w:val="24"/>
        </w:rPr>
      </w:pPr>
      <w:r>
        <w:rPr>
          <w:rFonts w:hint="eastAsia" w:ascii="仿宋_GB2312" w:hAnsi="仿宋" w:eastAsia="仿宋_GB2312" w:cs="仿宋_GB2312"/>
          <w:sz w:val="24"/>
          <w:szCs w:val="24"/>
        </w:rPr>
        <w:t>供应商在电子交易平台传输提交响应文件后，还可以在响应截止时间前直接提交或者以邮政快递方式递交备份响应文件1份，</w:t>
      </w:r>
      <w:r>
        <w:rPr>
          <w:rFonts w:hint="eastAsia" w:ascii="仿宋_GB2312" w:hAnsi="仿宋" w:eastAsia="仿宋_GB2312" w:cs="仿宋_GB2312"/>
          <w:b/>
          <w:bCs/>
          <w:sz w:val="24"/>
          <w:szCs w:val="24"/>
        </w:rPr>
        <w:t>但采购人、采购代理机构不强制或变相强制供应商提交备份响应文件。</w:t>
      </w:r>
    </w:p>
    <w:p>
      <w:pPr>
        <w:pStyle w:val="33"/>
        <w:numPr>
          <w:ilvl w:val="1"/>
          <w:numId w:val="27"/>
        </w:numPr>
        <w:spacing w:line="360" w:lineRule="auto"/>
        <w:ind w:left="10" w:firstLine="387"/>
        <w:rPr>
          <w:rFonts w:ascii="仿宋_GB2312" w:hAnsi="仿宋" w:eastAsia="仿宋_GB2312" w:cs="仿宋_GB2312"/>
          <w:b/>
          <w:bCs/>
          <w:sz w:val="24"/>
          <w:szCs w:val="24"/>
        </w:rPr>
      </w:pPr>
      <w:r>
        <w:rPr>
          <w:rFonts w:hint="eastAsia" w:ascii="仿宋_GB2312" w:hAnsi="仿宋" w:eastAsia="仿宋_GB2312" w:cs="仿宋_GB2312"/>
          <w:sz w:val="24"/>
          <w:szCs w:val="24"/>
        </w:rPr>
        <w:t>备份响应文件须在“政采云投标客户端”制作生成，并储存在DVD光盘或U盘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仿宋_GB2312" w:hAnsi="仿宋" w:eastAsia="仿宋_GB2312"/>
          <w:b/>
          <w:bCs/>
          <w:sz w:val="24"/>
        </w:rPr>
        <w:t>不符合上述制作、</w:t>
      </w:r>
      <w:r>
        <w:rPr>
          <w:rFonts w:hint="eastAsia" w:ascii="仿宋_GB2312" w:hAnsi="仿宋" w:eastAsia="仿宋_GB2312" w:cs="仿宋_GB2312"/>
          <w:b/>
          <w:bCs/>
          <w:sz w:val="24"/>
          <w:szCs w:val="24"/>
        </w:rPr>
        <w:t>存储、密封规定的备份响应文件将被视为无效或者被拒绝接收。</w:t>
      </w:r>
    </w:p>
    <w:p>
      <w:pPr>
        <w:pStyle w:val="33"/>
        <w:numPr>
          <w:ilvl w:val="1"/>
          <w:numId w:val="27"/>
        </w:numPr>
        <w:spacing w:line="360" w:lineRule="auto"/>
        <w:ind w:left="10" w:firstLine="387"/>
        <w:rPr>
          <w:rFonts w:ascii="仿宋_GB2312" w:hAnsi="仿宋" w:eastAsia="仿宋_GB2312" w:cs="仿宋_GB2312"/>
          <w:sz w:val="24"/>
          <w:szCs w:val="24"/>
        </w:rPr>
      </w:pPr>
      <w:r>
        <w:rPr>
          <w:rFonts w:hint="eastAsia" w:ascii="仿宋_GB2312" w:hAnsi="仿宋" w:eastAsia="仿宋_GB2312" w:cs="仿宋_GB2312"/>
          <w:sz w:val="24"/>
          <w:szCs w:val="24"/>
        </w:rPr>
        <w:t>直接提交备份响应文件的，供应商应于响应截止时间前在磋商公告中载明的开启响应文件的地点将备份响应文件提交给采购代理机构，采购代理机构将拒绝接受逾期送达的备份响应文件。</w:t>
      </w:r>
    </w:p>
    <w:p>
      <w:pPr>
        <w:pStyle w:val="33"/>
        <w:numPr>
          <w:ilvl w:val="1"/>
          <w:numId w:val="27"/>
        </w:numPr>
        <w:spacing w:line="360" w:lineRule="auto"/>
        <w:ind w:left="10" w:firstLine="387"/>
        <w:rPr>
          <w:rFonts w:ascii="仿宋_GB2312" w:hAnsi="仿宋" w:eastAsia="仿宋_GB2312" w:cs="仿宋_GB2312"/>
          <w:sz w:val="24"/>
          <w:szCs w:val="24"/>
        </w:rPr>
      </w:pPr>
      <w:r>
        <w:rPr>
          <w:rFonts w:hint="eastAsia" w:ascii="仿宋_GB2312" w:hAnsi="仿宋" w:eastAsia="仿宋_GB2312" w:cs="仿宋_GB2312"/>
          <w:sz w:val="24"/>
          <w:szCs w:val="24"/>
        </w:rPr>
        <w:t>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pPr>
        <w:pStyle w:val="33"/>
        <w:numPr>
          <w:ilvl w:val="1"/>
          <w:numId w:val="27"/>
        </w:numPr>
        <w:spacing w:line="360" w:lineRule="auto"/>
        <w:ind w:left="10" w:firstLine="387"/>
        <w:rPr>
          <w:rFonts w:ascii="仿宋_GB2312" w:hAnsi="仿宋" w:eastAsia="仿宋_GB2312" w:cs="仿宋_GB2312"/>
          <w:sz w:val="24"/>
          <w:szCs w:val="24"/>
        </w:rPr>
      </w:pPr>
      <w:r>
        <w:rPr>
          <w:rFonts w:hint="eastAsia" w:ascii="仿宋_GB2312" w:hAnsi="仿宋" w:eastAsia="仿宋_GB2312" w:cs="仿宋_GB2312"/>
          <w:sz w:val="24"/>
          <w:szCs w:val="24"/>
        </w:rPr>
        <w:t>供应商仅提交备份响应文件，未在电子交易平台传输提交响应文件的，响应无效。</w:t>
      </w:r>
    </w:p>
    <w:p>
      <w:pPr>
        <w:pStyle w:val="33"/>
        <w:spacing w:line="360" w:lineRule="auto"/>
        <w:ind w:left="397"/>
        <w:rPr>
          <w:rFonts w:ascii="仿宋_GB2312" w:hAnsi="仿宋" w:eastAsia="仿宋_GB2312" w:cs="仿宋_GB2312"/>
          <w:sz w:val="24"/>
          <w:szCs w:val="24"/>
        </w:rPr>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响应文件的无效处理</w:t>
      </w:r>
    </w:p>
    <w:p>
      <w:pPr>
        <w:pStyle w:val="25"/>
        <w:spacing w:line="360" w:lineRule="auto"/>
        <w:ind w:firstLine="360" w:firstLineChars="150"/>
        <w:rPr>
          <w:rFonts w:ascii="仿宋_GB2312" w:hAnsi="仿宋" w:eastAsia="仿宋_GB2312" w:cs="仿宋_GB2312"/>
          <w:szCs w:val="21"/>
        </w:rPr>
      </w:pPr>
      <w:r>
        <w:rPr>
          <w:rFonts w:hint="eastAsia" w:ascii="仿宋_GB2312" w:hAnsi="仿宋" w:eastAsia="仿宋_GB2312" w:cs="仿宋_GB2312"/>
          <w:szCs w:val="21"/>
        </w:rPr>
        <w:t>有磋商文件第五部分</w:t>
      </w:r>
      <w:r>
        <w:rPr>
          <w:rFonts w:hint="eastAsia" w:ascii="仿宋_GB2312" w:hAnsi="仿宋" w:eastAsia="仿宋_GB2312"/>
        </w:rPr>
        <w:t>第6.3</w:t>
      </w:r>
      <w:r>
        <w:rPr>
          <w:rFonts w:ascii="仿宋_GB2312" w:hAnsi="仿宋" w:eastAsia="仿宋_GB2312"/>
        </w:rPr>
        <w:t>项规定</w:t>
      </w:r>
      <w:r>
        <w:rPr>
          <w:rFonts w:hint="eastAsia" w:ascii="仿宋_GB2312" w:hAnsi="仿宋" w:eastAsia="仿宋_GB2312" w:cs="仿宋_GB2312"/>
          <w:szCs w:val="21"/>
        </w:rPr>
        <w:t>的情形之一的，响应无效。</w:t>
      </w:r>
    </w:p>
    <w:p>
      <w:pPr>
        <w:pStyle w:val="395"/>
        <w:spacing w:before="0"/>
        <w:ind w:firstLine="0" w:firstLineChars="0"/>
        <w:rPr>
          <w:rFonts w:ascii="仿宋_GB2312" w:hAnsi="仿宋" w:eastAsia="仿宋_GB2312" w:cs="仿宋_GB2312"/>
          <w:b/>
          <w:szCs w:val="24"/>
        </w:rPr>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响应有效期</w:t>
      </w:r>
    </w:p>
    <w:p>
      <w:pPr>
        <w:numPr>
          <w:ilvl w:val="1"/>
          <w:numId w:val="28"/>
        </w:numPr>
        <w:spacing w:line="360" w:lineRule="auto"/>
        <w:rPr>
          <w:rFonts w:ascii="仿宋_GB2312" w:hAnsi="仿宋" w:eastAsia="仿宋_GB2312" w:cs="仿宋_GB2312"/>
          <w:sz w:val="24"/>
          <w:szCs w:val="20"/>
        </w:rPr>
      </w:pPr>
      <w:r>
        <w:rPr>
          <w:rFonts w:hint="eastAsia" w:ascii="仿宋_GB2312" w:hAnsi="仿宋" w:eastAsia="仿宋_GB2312" w:cs="仿宋_GB2312"/>
          <w:sz w:val="24"/>
          <w:szCs w:val="20"/>
        </w:rPr>
        <w:t>响应</w:t>
      </w:r>
      <w:r>
        <w:rPr>
          <w:rFonts w:ascii="仿宋_GB2312" w:hAnsi="仿宋" w:eastAsia="仿宋_GB2312" w:cs="仿宋_GB2312"/>
          <w:sz w:val="24"/>
          <w:szCs w:val="20"/>
        </w:rPr>
        <w:t>有效期为从提交</w:t>
      </w:r>
      <w:r>
        <w:rPr>
          <w:rFonts w:hint="eastAsia" w:ascii="仿宋_GB2312" w:hAnsi="仿宋" w:eastAsia="仿宋_GB2312" w:cs="仿宋_GB2312"/>
          <w:sz w:val="24"/>
          <w:szCs w:val="20"/>
        </w:rPr>
        <w:t>响应</w:t>
      </w:r>
      <w:r>
        <w:rPr>
          <w:rFonts w:ascii="仿宋_GB2312" w:hAnsi="仿宋" w:eastAsia="仿宋_GB2312" w:cs="仿宋_GB2312"/>
          <w:sz w:val="24"/>
          <w:szCs w:val="20"/>
        </w:rPr>
        <w:t>文件的截止之日起90天。</w:t>
      </w:r>
    </w:p>
    <w:p>
      <w:pPr>
        <w:spacing w:line="360" w:lineRule="auto"/>
        <w:ind w:firstLine="480" w:firstLineChars="200"/>
        <w:rPr>
          <w:rFonts w:ascii="仿宋_GB2312" w:hAnsi="仿宋" w:eastAsia="仿宋_GB2312" w:cs="仿宋_GB2312"/>
          <w:b/>
          <w:sz w:val="24"/>
          <w:szCs w:val="21"/>
        </w:rPr>
      </w:pPr>
      <w:r>
        <w:rPr>
          <w:rFonts w:ascii="仿宋_GB2312" w:hAnsi="仿宋" w:eastAsia="仿宋_GB2312" w:cs="仿宋_GB2312"/>
          <w:sz w:val="24"/>
          <w:szCs w:val="20"/>
        </w:rPr>
        <w:t>▲</w:t>
      </w:r>
      <w:r>
        <w:rPr>
          <w:rFonts w:hint="eastAsia" w:ascii="仿宋_GB2312" w:hAnsi="仿宋" w:eastAsia="仿宋_GB2312" w:cs="仿宋_GB2312"/>
          <w:b/>
          <w:sz w:val="24"/>
          <w:szCs w:val="20"/>
        </w:rPr>
        <w:t>供应商的响应文件中承</w:t>
      </w:r>
      <w:r>
        <w:rPr>
          <w:rFonts w:hint="eastAsia" w:ascii="仿宋_GB2312" w:hAnsi="仿宋" w:eastAsia="仿宋_GB2312" w:cs="仿宋_GB2312"/>
          <w:b/>
          <w:sz w:val="24"/>
          <w:szCs w:val="21"/>
        </w:rPr>
        <w:t>诺的响应有效期少于磋商文件中载明的响应有效期的，响应无效。</w:t>
      </w:r>
    </w:p>
    <w:p>
      <w:pPr>
        <w:numPr>
          <w:ilvl w:val="1"/>
          <w:numId w:val="28"/>
        </w:numPr>
        <w:spacing w:line="360" w:lineRule="auto"/>
        <w:ind w:left="10" w:firstLine="387"/>
        <w:rPr>
          <w:rFonts w:ascii="仿宋_GB2312" w:hAnsi="仿宋" w:eastAsia="仿宋_GB2312" w:cs="仿宋_GB2312"/>
          <w:sz w:val="24"/>
          <w:szCs w:val="20"/>
        </w:rPr>
      </w:pPr>
      <w:r>
        <w:rPr>
          <w:rFonts w:hint="eastAsia" w:ascii="仿宋_GB2312" w:hAnsi="仿宋" w:eastAsia="仿宋_GB2312" w:cs="仿宋_GB2312"/>
          <w:sz w:val="24"/>
          <w:szCs w:val="20"/>
        </w:rPr>
        <w:t>响应文件合格投递后，自响应截止日期起，在响应有效期内有效。</w:t>
      </w:r>
    </w:p>
    <w:p>
      <w:pPr>
        <w:numPr>
          <w:ilvl w:val="1"/>
          <w:numId w:val="28"/>
        </w:numPr>
        <w:spacing w:line="360" w:lineRule="auto"/>
        <w:ind w:left="10" w:firstLine="387"/>
        <w:rPr>
          <w:rFonts w:ascii="仿宋_GB2312" w:hAnsi="仿宋" w:eastAsia="仿宋_GB2312" w:cs="仿宋_GB2312"/>
          <w:sz w:val="24"/>
          <w:szCs w:val="20"/>
        </w:rPr>
      </w:pPr>
      <w:r>
        <w:rPr>
          <w:rFonts w:hint="eastAsia" w:ascii="仿宋_GB2312" w:hAnsi="仿宋" w:eastAsia="仿宋_GB2312" w:cs="仿宋_GB2312"/>
          <w:sz w:val="24"/>
          <w:szCs w:val="20"/>
        </w:rPr>
        <w:t>在原定响应有效期满之前，如果出现特殊情况，采购代理机构可以以书面形式通知供应商延长响应有效期。供应商同意延长的，不得要求或被允许修改其响应文件，供应商拒绝延长的，其响应无效。拒绝延长磋商有效期的供应商不得再参与该项目后续采购活动。</w:t>
      </w:r>
    </w:p>
    <w:p/>
    <w:p>
      <w:pPr>
        <w:adjustRightInd/>
        <w:spacing w:line="360" w:lineRule="auto"/>
        <w:jc w:val="center"/>
        <w:outlineLvl w:val="0"/>
        <w:rPr>
          <w:rFonts w:ascii="仿宋_GB2312" w:hAnsi="仿宋_GB2312" w:eastAsia="仿宋_GB2312" w:cs="仿宋_GB2312"/>
          <w:b/>
          <w:sz w:val="32"/>
          <w:szCs w:val="20"/>
        </w:rPr>
      </w:pPr>
      <w:bookmarkStart w:id="18" w:name="_Toc11464"/>
      <w:r>
        <w:rPr>
          <w:rFonts w:hint="eastAsia" w:ascii="仿宋_GB2312" w:hAnsi="仿宋_GB2312" w:eastAsia="仿宋_GB2312" w:cs="仿宋_GB2312"/>
          <w:b/>
          <w:sz w:val="32"/>
          <w:szCs w:val="20"/>
        </w:rPr>
        <w:t>六、</w:t>
      </w:r>
      <w:r>
        <w:rPr>
          <w:rFonts w:hint="eastAsia" w:ascii="仿宋_GB2312" w:hAnsi="仿宋" w:eastAsia="仿宋_GB2312"/>
          <w:b/>
          <w:sz w:val="32"/>
          <w:szCs w:val="32"/>
        </w:rPr>
        <w:t>开启响应文件、资格审查与信用信息查询</w:t>
      </w:r>
      <w:bookmarkEnd w:id="18"/>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开启响应文件</w:t>
      </w:r>
    </w:p>
    <w:p>
      <w:pPr>
        <w:pStyle w:val="33"/>
        <w:numPr>
          <w:ilvl w:val="1"/>
          <w:numId w:val="29"/>
        </w:numPr>
        <w:spacing w:line="360" w:lineRule="auto"/>
        <w:ind w:left="10" w:firstLine="387"/>
        <w:rPr>
          <w:rFonts w:ascii="仿宋_GB2312" w:hAnsi="仿宋" w:eastAsia="仿宋_GB2312" w:cs="仿宋_GB2312"/>
          <w:sz w:val="24"/>
          <w:szCs w:val="24"/>
        </w:rPr>
      </w:pPr>
      <w:r>
        <w:rPr>
          <w:rFonts w:hint="eastAsia" w:ascii="仿宋_GB2312" w:hAnsi="仿宋" w:eastAsia="仿宋_GB2312" w:cs="仿宋_GB2312"/>
          <w:sz w:val="24"/>
          <w:szCs w:val="24"/>
        </w:rPr>
        <w:t>采购代理机构按照磋商文件规定的时间通过电子交易平台组织响应文件开启，所有供应商均应当准时在线参加。</w:t>
      </w:r>
      <w:r>
        <w:rPr>
          <w:rFonts w:hint="eastAsia" w:ascii="仿宋_GB2312" w:hAnsi="仿宋" w:eastAsia="仿宋_GB2312" w:cs="仿宋_GB2312"/>
          <w:b/>
          <w:sz w:val="24"/>
          <w:szCs w:val="24"/>
        </w:rPr>
        <w:t>供应商数量不符合规定的，不得开启响应文件。</w:t>
      </w:r>
    </w:p>
    <w:p>
      <w:pPr>
        <w:pStyle w:val="33"/>
        <w:numPr>
          <w:ilvl w:val="1"/>
          <w:numId w:val="29"/>
        </w:numPr>
        <w:spacing w:line="360" w:lineRule="auto"/>
        <w:ind w:left="10" w:firstLine="387"/>
        <w:rPr>
          <w:rFonts w:ascii="仿宋_GB2312" w:hAnsi="仿宋" w:eastAsia="仿宋_GB2312" w:cs="仿宋_GB2312"/>
          <w:sz w:val="24"/>
          <w:szCs w:val="24"/>
        </w:rPr>
      </w:pPr>
      <w:r>
        <w:rPr>
          <w:rFonts w:hint="eastAsia" w:ascii="仿宋_GB2312" w:hAnsi="仿宋" w:eastAsia="仿宋_GB2312" w:cs="仿宋_GB2312"/>
          <w:sz w:val="24"/>
          <w:szCs w:val="24"/>
        </w:rPr>
        <w:t>开启响应文件时，电子交易平台按开启响应文件时间自动提取所有响应文件。采购代理机构依托电子交易平台发起开始解密指令，供应商按照平台提示和磋商文件的规定在半小时内完成在线解密。</w:t>
      </w:r>
    </w:p>
    <w:p>
      <w:pPr>
        <w:pStyle w:val="33"/>
        <w:numPr>
          <w:ilvl w:val="1"/>
          <w:numId w:val="29"/>
        </w:numPr>
        <w:spacing w:line="360" w:lineRule="auto"/>
        <w:ind w:left="10" w:firstLine="387"/>
        <w:rPr>
          <w:rFonts w:ascii="仿宋_GB2312" w:hAnsi="仿宋" w:eastAsia="仿宋_GB2312" w:cs="仿宋_GB2312"/>
          <w:b/>
          <w:bCs/>
          <w:sz w:val="24"/>
          <w:szCs w:val="24"/>
        </w:rPr>
      </w:pPr>
      <w:r>
        <w:rPr>
          <w:rFonts w:hint="eastAsia" w:ascii="仿宋_GB2312" w:hAnsi="仿宋" w:eastAsia="仿宋_GB2312" w:cs="仿宋_GB2312"/>
          <w:b/>
          <w:bCs/>
          <w:sz w:val="24"/>
          <w:szCs w:val="24"/>
        </w:rPr>
        <w:t>响应文件未在规定时间内成功解密的供应商，如提交了备份响应文件的，以备份响应文件作为依据，否则视为响应文件撤回。响应文件解密成功的供应商，其备份响应文件自动失效。</w:t>
      </w:r>
    </w:p>
    <w:p>
      <w:pPr>
        <w:pStyle w:val="33"/>
        <w:spacing w:line="360" w:lineRule="auto"/>
        <w:ind w:left="397"/>
        <w:rPr>
          <w:rFonts w:ascii="仿宋_GB2312" w:hAnsi="仿宋" w:eastAsia="仿宋_GB2312" w:cs="仿宋_GB2312"/>
          <w:b/>
          <w:bCs/>
          <w:sz w:val="24"/>
          <w:szCs w:val="24"/>
        </w:rPr>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资格审查</w:t>
      </w:r>
    </w:p>
    <w:p>
      <w:pPr>
        <w:pStyle w:val="395"/>
        <w:numPr>
          <w:ilvl w:val="1"/>
          <w:numId w:val="30"/>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响应截止</w:t>
      </w:r>
      <w:r>
        <w:rPr>
          <w:rFonts w:ascii="仿宋_GB2312" w:hAnsi="仿宋" w:eastAsia="仿宋_GB2312" w:cs="Arial"/>
          <w:kern w:val="0"/>
          <w:szCs w:val="24"/>
        </w:rPr>
        <w:t>后，采购人或</w:t>
      </w:r>
      <w:r>
        <w:rPr>
          <w:rFonts w:hint="eastAsia" w:ascii="仿宋_GB2312" w:hAnsi="仿宋" w:eastAsia="仿宋_GB2312" w:cs="Arial"/>
          <w:kern w:val="0"/>
          <w:szCs w:val="24"/>
        </w:rPr>
        <w:t>采购代理机构</w:t>
      </w:r>
      <w:r>
        <w:rPr>
          <w:rFonts w:ascii="仿宋_GB2312" w:hAnsi="仿宋" w:eastAsia="仿宋_GB2312" w:cs="Arial"/>
          <w:kern w:val="0"/>
          <w:szCs w:val="24"/>
        </w:rPr>
        <w:t>将依法对</w:t>
      </w:r>
      <w:r>
        <w:rPr>
          <w:rFonts w:hint="eastAsia" w:ascii="仿宋_GB2312" w:hAnsi="仿宋" w:eastAsia="仿宋_GB2312" w:cs="Arial"/>
          <w:kern w:val="0"/>
          <w:szCs w:val="24"/>
        </w:rPr>
        <w:t>供应商</w:t>
      </w:r>
      <w:r>
        <w:rPr>
          <w:rFonts w:ascii="仿宋_GB2312" w:hAnsi="仿宋" w:eastAsia="仿宋_GB2312" w:cs="Arial"/>
          <w:kern w:val="0"/>
          <w:szCs w:val="24"/>
        </w:rPr>
        <w:t>的资格进行审查。</w:t>
      </w:r>
    </w:p>
    <w:p>
      <w:pPr>
        <w:numPr>
          <w:ilvl w:val="1"/>
          <w:numId w:val="30"/>
        </w:numPr>
        <w:snapToGrid w:val="0"/>
        <w:spacing w:line="360" w:lineRule="auto"/>
        <w:ind w:left="10" w:firstLine="387"/>
        <w:rPr>
          <w:rFonts w:ascii="仿宋_GB2312" w:hAnsi="仿宋" w:eastAsia="仿宋_GB2312" w:cs="仿宋_GB2312"/>
          <w:sz w:val="24"/>
        </w:rPr>
      </w:pPr>
      <w:r>
        <w:rPr>
          <w:rFonts w:hint="eastAsia" w:ascii="仿宋_GB2312" w:hAnsi="仿宋" w:eastAsia="仿宋_GB2312" w:cs="仿宋_GB2312"/>
          <w:sz w:val="24"/>
        </w:rPr>
        <w:t>采购人或采购代理机构依据法律法规和磋商文件的规定，对供应商的基本资格条件、特定资格条件进行审查。</w:t>
      </w:r>
    </w:p>
    <w:p>
      <w:pPr>
        <w:pStyle w:val="395"/>
        <w:numPr>
          <w:ilvl w:val="1"/>
          <w:numId w:val="30"/>
        </w:numPr>
        <w:spacing w:before="0"/>
        <w:ind w:left="10" w:firstLine="387" w:firstLineChars="0"/>
        <w:rPr>
          <w:rFonts w:ascii="仿宋_GB2312" w:hAnsi="仿宋" w:eastAsia="仿宋_GB2312" w:cs="仿宋_GB2312"/>
        </w:rPr>
      </w:pPr>
      <w:r>
        <w:rPr>
          <w:rFonts w:hint="eastAsia" w:ascii="仿宋_GB2312" w:hAnsi="仿宋" w:eastAsia="仿宋_GB2312" w:cs="Arial"/>
          <w:kern w:val="0"/>
          <w:szCs w:val="24"/>
        </w:rPr>
        <w:t>供应商</w:t>
      </w:r>
      <w:r>
        <w:rPr>
          <w:rFonts w:ascii="仿宋_GB2312" w:hAnsi="仿宋" w:eastAsia="仿宋_GB2312" w:cs="Arial"/>
          <w:kern w:val="0"/>
          <w:szCs w:val="24"/>
        </w:rPr>
        <w:t>未按照</w:t>
      </w:r>
      <w:r>
        <w:rPr>
          <w:rFonts w:hint="eastAsia" w:ascii="仿宋_GB2312" w:hAnsi="仿宋" w:eastAsia="仿宋_GB2312" w:cs="Arial"/>
          <w:kern w:val="0"/>
          <w:szCs w:val="24"/>
        </w:rPr>
        <w:t>磋商</w:t>
      </w:r>
      <w:r>
        <w:rPr>
          <w:rFonts w:ascii="仿宋_GB2312" w:hAnsi="仿宋" w:eastAsia="仿宋_GB2312" w:cs="Arial"/>
          <w:kern w:val="0"/>
          <w:szCs w:val="24"/>
        </w:rPr>
        <w:t>文件要求提供与</w:t>
      </w:r>
      <w:r>
        <w:rPr>
          <w:rFonts w:hint="eastAsia" w:ascii="仿宋_GB2312" w:hAnsi="仿宋" w:eastAsia="仿宋_GB2312" w:cs="仿宋_GB2312"/>
        </w:rPr>
        <w:t>基本资格条件、特定资格条件相应的</w:t>
      </w:r>
      <w:r>
        <w:rPr>
          <w:rFonts w:hint="eastAsia" w:ascii="仿宋_GB2312" w:hAnsi="仿宋" w:eastAsia="仿宋_GB2312" w:cs="Arial"/>
          <w:kern w:val="0"/>
          <w:szCs w:val="24"/>
        </w:rPr>
        <w:t>有效资格证明材料的，视为</w:t>
      </w:r>
      <w:r>
        <w:rPr>
          <w:rFonts w:hint="eastAsia" w:ascii="仿宋_GB2312" w:hAnsi="仿宋" w:eastAsia="仿宋_GB2312" w:cs="仿宋_GB2312"/>
        </w:rPr>
        <w:t>供应商不具备磋商文件中规定的资格要求，其响应无效。</w:t>
      </w:r>
    </w:p>
    <w:p>
      <w:pPr>
        <w:pStyle w:val="395"/>
        <w:numPr>
          <w:ilvl w:val="1"/>
          <w:numId w:val="30"/>
        </w:numPr>
        <w:spacing w:before="0"/>
        <w:ind w:left="10" w:firstLine="387" w:firstLineChars="0"/>
        <w:rPr>
          <w:rFonts w:ascii="仿宋_GB2312" w:hAnsi="仿宋" w:eastAsia="仿宋_GB2312" w:cs="仿宋_GB2312"/>
        </w:rPr>
      </w:pPr>
      <w:r>
        <w:rPr>
          <w:rFonts w:ascii="仿宋_GB2312" w:hAnsi="仿宋" w:eastAsia="仿宋_GB2312" w:cs="仿宋_GB2312"/>
        </w:rPr>
        <w:t>对未通过资格审查的</w:t>
      </w:r>
      <w:r>
        <w:rPr>
          <w:rFonts w:hint="eastAsia" w:ascii="仿宋_GB2312" w:hAnsi="仿宋" w:eastAsia="仿宋_GB2312" w:cs="仿宋_GB2312"/>
        </w:rPr>
        <w:t>供应商</w:t>
      </w:r>
      <w:r>
        <w:rPr>
          <w:rFonts w:ascii="仿宋_GB2312" w:hAnsi="仿宋" w:eastAsia="仿宋_GB2312" w:cs="仿宋_GB2312"/>
        </w:rPr>
        <w:t>，采购人或</w:t>
      </w:r>
      <w:r>
        <w:rPr>
          <w:rFonts w:hint="eastAsia" w:ascii="仿宋_GB2312" w:hAnsi="仿宋" w:eastAsia="仿宋_GB2312" w:cs="仿宋_GB2312"/>
        </w:rPr>
        <w:t>采购代理机构</w:t>
      </w:r>
      <w:r>
        <w:rPr>
          <w:rFonts w:ascii="仿宋_GB2312" w:hAnsi="仿宋" w:eastAsia="仿宋_GB2312" w:cs="仿宋_GB2312"/>
        </w:rPr>
        <w:t>告知其未通过的原因。</w:t>
      </w:r>
    </w:p>
    <w:p>
      <w:pPr>
        <w:pStyle w:val="3"/>
        <w:numPr>
          <w:ilvl w:val="1"/>
          <w:numId w:val="30"/>
        </w:numPr>
        <w:ind w:left="10" w:firstLine="387"/>
      </w:pPr>
      <w:r>
        <w:rPr>
          <w:rFonts w:ascii="仿宋_GB2312" w:hAnsi="仿宋" w:eastAsia="仿宋_GB2312" w:cs="仿宋_GB2312"/>
        </w:rPr>
        <w:t>合格</w:t>
      </w:r>
      <w:r>
        <w:rPr>
          <w:rFonts w:hint="eastAsia" w:ascii="仿宋_GB2312" w:hAnsi="仿宋" w:eastAsia="仿宋_GB2312" w:cs="仿宋_GB2312"/>
        </w:rPr>
        <w:t>供应商</w:t>
      </w:r>
      <w:r>
        <w:rPr>
          <w:rFonts w:ascii="仿宋_GB2312" w:hAnsi="仿宋" w:eastAsia="仿宋_GB2312" w:cs="仿宋_GB2312"/>
        </w:rPr>
        <w:t>不足</w:t>
      </w:r>
      <w:r>
        <w:rPr>
          <w:rFonts w:hint="eastAsia" w:ascii="仿宋_GB2312" w:hAnsi="仿宋" w:eastAsia="仿宋_GB2312" w:cs="仿宋_GB2312"/>
          <w:lang w:val="en-US" w:eastAsia="zh-CN"/>
        </w:rPr>
        <w:t>2</w:t>
      </w:r>
      <w:r>
        <w:rPr>
          <w:rFonts w:ascii="仿宋_GB2312" w:hAnsi="仿宋" w:eastAsia="仿宋_GB2312" w:cs="仿宋_GB2312"/>
        </w:rPr>
        <w:t>家的，不再</w:t>
      </w:r>
      <w:r>
        <w:rPr>
          <w:rFonts w:hint="eastAsia" w:ascii="仿宋_GB2312" w:hAnsi="仿宋" w:eastAsia="仿宋_GB2312" w:cs="仿宋_GB2312"/>
        </w:rPr>
        <w:t>磋商</w:t>
      </w:r>
      <w:r>
        <w:rPr>
          <w:rFonts w:ascii="仿宋_GB2312" w:hAnsi="仿宋" w:eastAsia="仿宋_GB2312" w:cs="仿宋_GB2312"/>
        </w:rPr>
        <w:t>。</w:t>
      </w:r>
    </w:p>
    <w:tbl>
      <w:tblPr>
        <w:tblStyle w:val="61"/>
        <w:tblW w:w="9258" w:type="dxa"/>
        <w:tblInd w:w="0" w:type="dxa"/>
        <w:tblLayout w:type="autofit"/>
        <w:tblCellMar>
          <w:top w:w="0" w:type="dxa"/>
          <w:left w:w="108" w:type="dxa"/>
          <w:bottom w:w="0" w:type="dxa"/>
          <w:right w:w="108" w:type="dxa"/>
        </w:tblCellMar>
      </w:tblPr>
      <w:tblGrid>
        <w:gridCol w:w="964"/>
        <w:gridCol w:w="1995"/>
        <w:gridCol w:w="6299"/>
      </w:tblGrid>
      <w:tr>
        <w:tblPrEx>
          <w:tblCellMar>
            <w:top w:w="0" w:type="dxa"/>
            <w:left w:w="108" w:type="dxa"/>
            <w:bottom w:w="0" w:type="dxa"/>
            <w:right w:w="108" w:type="dxa"/>
          </w:tblCellMar>
        </w:tblPrEx>
        <w:trPr>
          <w:trHeight w:val="850" w:hRule="atLeast"/>
        </w:trPr>
        <w:tc>
          <w:tcPr>
            <w:tcW w:w="96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19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资格要求</w:t>
            </w:r>
          </w:p>
        </w:tc>
        <w:tc>
          <w:tcPr>
            <w:tcW w:w="629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评审内容</w:t>
            </w:r>
          </w:p>
        </w:tc>
      </w:tr>
      <w:tr>
        <w:tblPrEx>
          <w:tblCellMar>
            <w:top w:w="0" w:type="dxa"/>
            <w:left w:w="108" w:type="dxa"/>
            <w:bottom w:w="0" w:type="dxa"/>
            <w:right w:w="108" w:type="dxa"/>
          </w:tblCellMar>
        </w:tblPrEx>
        <w:trPr>
          <w:trHeight w:val="409"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仿宋" w:hAnsi="仿宋" w:eastAsia="仿宋" w:cs="仿宋"/>
                <w:color w:val="000000"/>
                <w:kern w:val="0"/>
                <w:sz w:val="24"/>
                <w:szCs w:val="24"/>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仿宋" w:hAnsi="仿宋" w:eastAsia="仿宋" w:cs="仿宋"/>
                <w:color w:val="000000"/>
                <w:kern w:val="0"/>
                <w:sz w:val="24"/>
                <w:szCs w:val="24"/>
              </w:rPr>
            </w:pPr>
          </w:p>
        </w:tc>
        <w:tc>
          <w:tcPr>
            <w:tcW w:w="62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具有独立承担民事责任的能力</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（1）供应商是企业（包括合伙企业），提供有效的营业执照。</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（2）供应商是事业单位，提供有效的事业单位法人证书。</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（3）供应商是非企业专业服务机构的，提供有效的执业许可证等证明文件。</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（4）供应商是个体工商户，提供有效的个体工商户营业执照。</w:t>
            </w:r>
          </w:p>
          <w:p>
            <w:pPr>
              <w:widowControl/>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以上提供任意一项内容即可。</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具有良好的商业信誉和健全的财务会计制度</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（1）供应商是法人且成立一年或以上的,提供上一年度经审计的财务报告（上市公司或大型企业上一年度经审计的财务报告未完成的，提供投标截止日前六个月中任意</w:t>
            </w:r>
            <w:r>
              <w:rPr>
                <w:rFonts w:hint="eastAsia" w:ascii="仿宋" w:hAnsi="仿宋" w:eastAsia="仿宋" w:cs="仿宋"/>
                <w:sz w:val="24"/>
                <w:szCs w:val="24"/>
                <w:lang w:eastAsia="zh-CN"/>
              </w:rPr>
              <w:t>一</w:t>
            </w:r>
            <w:r>
              <w:rPr>
                <w:rFonts w:hint="eastAsia" w:ascii="仿宋" w:hAnsi="仿宋" w:eastAsia="仿宋" w:cs="仿宋"/>
                <w:sz w:val="24"/>
                <w:szCs w:val="24"/>
              </w:rPr>
              <w:t>个月的财务报告，财务报告至少应包含：资产负债表、利润表、现金流量表及附注等）；成立未满一年的，提供成立之日后的财务报告。财务报告至少应包含：资产负债表、利润表、现金流量表及附注等。（复印件加盖公章）。</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（2）无法按第（1）条提供财务报告的供应商可以提供银行出具的资信证明。</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（3）供应商也可以提供财政部门认可的政府采购专业担保机构出具的投标担保函（原件），代替财务状况报告。</w:t>
            </w:r>
          </w:p>
          <w:p>
            <w:pPr>
              <w:widowControl/>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以上提供任意一项内容即可。</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具有履行合同所必需的设备和专业技术能力</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提供具备足够数量的设施设备及技术人员的证明材料或承诺。</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有依法缴纳税收的良好记录</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有依法缴纳税收的良好记录，由供应商对以下内容提供书面承诺及声明，或提供相应证明材料。</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（1） 供应商依法交纳税收的证明材料：本项目公告发布时间前</w:t>
            </w:r>
            <w:r>
              <w:rPr>
                <w:rFonts w:hint="eastAsia" w:ascii="仿宋" w:hAnsi="仿宋" w:eastAsia="仿宋" w:cs="仿宋"/>
                <w:sz w:val="24"/>
                <w:szCs w:val="24"/>
                <w:lang w:eastAsia="zh-CN"/>
              </w:rPr>
              <w:t>六</w:t>
            </w:r>
            <w:r>
              <w:rPr>
                <w:rFonts w:hint="eastAsia" w:ascii="仿宋" w:hAnsi="仿宋" w:eastAsia="仿宋" w:cs="仿宋"/>
                <w:sz w:val="24"/>
                <w:szCs w:val="24"/>
              </w:rPr>
              <w:t>个月内（至少提供</w:t>
            </w:r>
            <w:r>
              <w:rPr>
                <w:rFonts w:hint="eastAsia" w:ascii="仿宋" w:hAnsi="仿宋" w:eastAsia="仿宋" w:cs="仿宋"/>
                <w:sz w:val="24"/>
                <w:szCs w:val="24"/>
                <w:lang w:eastAsia="zh-CN"/>
              </w:rPr>
              <w:t>一</w:t>
            </w:r>
            <w:r>
              <w:rPr>
                <w:rFonts w:hint="eastAsia" w:ascii="仿宋" w:hAnsi="仿宋" w:eastAsia="仿宋" w:cs="仿宋"/>
                <w:sz w:val="24"/>
                <w:szCs w:val="24"/>
              </w:rPr>
              <w:t>个月）交纳增值税、企业所得税的凭据（完税证、缴款书、印花税票、银行代扣（代缴）转账凭证等均可）；</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（2） 供应商为其他组织或自然人的，也需要按此项规定提供交纳税收的凭据；</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（3） 依法免税的供应商，应提供相应文件证明其依法免税；</w:t>
            </w:r>
          </w:p>
          <w:p>
            <w:pPr>
              <w:widowControl/>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以上提供任意一项内容即可。</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有依法缴纳社会保障资金的良好记录</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有依法缴纳社会保障资金的良好记录，由供应商对以下内容提供书面承诺及声明，或提供相应证明材料。</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（1） 供应商依法交纳社会保障资金的证明材料： 本项目公告发布时间前6 个月内（至少提供1 个月） 交纳社会保险的凭据（专用收据或社会保险交纳清单）；</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（2） 供应商为其他组织或自然人的，也需要按此项规定提供交纳社会保险的凭据；</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（3） 依法不需要交纳社会保障资金的供应商，应提供相应文件证明其依法不需要交纳社会保障资金。</w:t>
            </w:r>
          </w:p>
          <w:p>
            <w:pPr>
              <w:widowControl/>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以上提供任意一项内容即可。</w:t>
            </w:r>
          </w:p>
        </w:tc>
      </w:tr>
      <w:tr>
        <w:tblPrEx>
          <w:tblCellMar>
            <w:top w:w="0" w:type="dxa"/>
            <w:left w:w="108" w:type="dxa"/>
            <w:bottom w:w="0" w:type="dxa"/>
            <w:right w:w="108" w:type="dxa"/>
          </w:tblCellMar>
        </w:tblPrEx>
        <w:trPr>
          <w:trHeight w:val="474" w:hRule="atLeast"/>
        </w:trPr>
        <w:tc>
          <w:tcPr>
            <w:tcW w:w="9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参加政府采购活动前三年内，在经营活动中没有重大违法记录</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按照采购文件响应文件格式附件的格式要求，根据相关法规规定，提交书面声明。</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法律、行政法规规定的其他条件</w:t>
            </w:r>
          </w:p>
        </w:tc>
        <w:tc>
          <w:tcPr>
            <w:tcW w:w="6299" w:type="dxa"/>
            <w:tcBorders>
              <w:top w:val="nil"/>
              <w:left w:val="nil"/>
              <w:bottom w:val="single" w:color="auto" w:sz="4" w:space="0"/>
              <w:right w:val="single" w:color="auto" w:sz="4" w:space="0"/>
            </w:tcBorders>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如国家对提供相关服务有专门法律、行政法规规定的，须提供相关许可的证明材料。</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color w:val="000000"/>
                <w:kern w:val="0"/>
                <w:sz w:val="24"/>
                <w:szCs w:val="24"/>
                <w:highlight w:val="none"/>
              </w:rPr>
              <w:t>资质要求</w:t>
            </w:r>
          </w:p>
        </w:tc>
        <w:tc>
          <w:tcPr>
            <w:tcW w:w="6299" w:type="dxa"/>
            <w:tcBorders>
              <w:top w:val="nil"/>
              <w:left w:val="nil"/>
              <w:bottom w:val="single" w:color="auto" w:sz="4" w:space="0"/>
              <w:right w:val="single" w:color="auto" w:sz="4" w:space="0"/>
            </w:tcBorders>
            <w:vAlign w:val="center"/>
          </w:tcPr>
          <w:p>
            <w:pPr>
              <w:pStyle w:val="57"/>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right="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①供应商应具备装修装饰工程专业承包二级以上资质；</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②供应商应具备有效的安全生产许可证；</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③项目负责人须具备建筑工程专业壹级或贰级注册建造师资格，并取得有效的安全生产考核合格证书。</w:t>
            </w:r>
          </w:p>
        </w:tc>
      </w:tr>
      <w:tr>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color w:val="000000"/>
                <w:kern w:val="0"/>
                <w:sz w:val="24"/>
                <w:szCs w:val="24"/>
                <w:highlight w:val="none"/>
              </w:rPr>
              <w:t>落实政府采购政策需满足的资格要求</w:t>
            </w:r>
          </w:p>
        </w:tc>
        <w:tc>
          <w:tcPr>
            <w:tcW w:w="6299" w:type="dxa"/>
            <w:tcBorders>
              <w:top w:val="nil"/>
              <w:left w:val="nil"/>
              <w:bottom w:val="single" w:color="auto" w:sz="4" w:space="0"/>
              <w:right w:val="single" w:color="auto" w:sz="4" w:space="0"/>
            </w:tcBorders>
            <w:vAlign w:val="center"/>
          </w:tcPr>
          <w:p>
            <w:pPr>
              <w:widowControl/>
              <w:spacing w:line="360" w:lineRule="auto"/>
              <w:rPr>
                <w:rFonts w:hint="eastAsia" w:ascii="仿宋" w:hAnsi="仿宋" w:eastAsia="仿宋" w:cs="仿宋"/>
                <w:sz w:val="24"/>
                <w:szCs w:val="24"/>
              </w:rPr>
            </w:pPr>
            <w:r>
              <w:rPr>
                <w:rFonts w:hint="eastAsia" w:ascii="仿宋" w:hAnsi="仿宋" w:eastAsia="仿宋" w:cs="仿宋"/>
                <w:color w:val="000000"/>
                <w:kern w:val="0"/>
                <w:sz w:val="24"/>
                <w:szCs w:val="24"/>
                <w:highlight w:val="none"/>
              </w:rPr>
              <w:t>供应商为小微企业</w:t>
            </w:r>
            <w:r>
              <w:rPr>
                <w:rFonts w:hint="eastAsia" w:ascii="仿宋" w:hAnsi="仿宋" w:eastAsia="仿宋" w:cs="仿宋"/>
                <w:color w:val="000000"/>
                <w:kern w:val="0"/>
                <w:sz w:val="24"/>
                <w:szCs w:val="24"/>
                <w:highlight w:val="none"/>
                <w:lang w:eastAsia="zh-CN"/>
              </w:rPr>
              <w:t>。提供相关声明函。</w:t>
            </w:r>
          </w:p>
        </w:tc>
      </w:tr>
      <w:tr>
        <w:tblPrEx>
          <w:tblCellMar>
            <w:top w:w="0" w:type="dxa"/>
            <w:left w:w="108" w:type="dxa"/>
            <w:bottom w:w="0" w:type="dxa"/>
            <w:right w:w="108" w:type="dxa"/>
          </w:tblCellMar>
        </w:tblPrEx>
        <w:trPr>
          <w:trHeight w:val="850" w:hRule="atLeast"/>
        </w:trPr>
        <w:tc>
          <w:tcPr>
            <w:tcW w:w="925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结论：是否通过评审（注：供应商有一项未通过不得参与下阶段评审，视为废标。）</w:t>
            </w:r>
          </w:p>
        </w:tc>
      </w:tr>
    </w:tbl>
    <w:p>
      <w:pPr>
        <w:spacing w:line="360" w:lineRule="auto"/>
        <w:ind w:firstLine="472" w:firstLineChars="196"/>
        <w:rPr>
          <w:rFonts w:ascii="仿宋_GB2312" w:hAnsi="仿宋" w:eastAsia="仿宋_GB2312" w:cs="Arial"/>
          <w:b/>
          <w:kern w:val="0"/>
          <w:sz w:val="24"/>
        </w:rPr>
      </w:pPr>
    </w:p>
    <w:p>
      <w:pPr>
        <w:spacing w:line="360" w:lineRule="auto"/>
        <w:ind w:firstLine="472" w:firstLineChars="196"/>
        <w:rPr>
          <w:rFonts w:ascii="仿宋_GB2312" w:hAnsi="仿宋" w:eastAsia="仿宋_GB2312" w:cs="Arial"/>
          <w:b/>
          <w:kern w:val="0"/>
          <w:sz w:val="24"/>
        </w:rPr>
      </w:pPr>
    </w:p>
    <w:p>
      <w:pPr>
        <w:spacing w:line="360" w:lineRule="auto"/>
        <w:ind w:firstLine="472" w:firstLineChars="196"/>
        <w:rPr>
          <w:rFonts w:ascii="仿宋_GB2312" w:hAnsi="仿宋" w:eastAsia="仿宋_GB2312" w:cs="Arial"/>
          <w:kern w:val="0"/>
          <w:sz w:val="24"/>
        </w:rPr>
      </w:pPr>
      <w:r>
        <w:rPr>
          <w:rFonts w:ascii="仿宋_GB2312" w:hAnsi="仿宋" w:eastAsia="仿宋_GB2312" w:cs="Arial"/>
          <w:b/>
          <w:kern w:val="0"/>
          <w:sz w:val="24"/>
        </w:rPr>
        <w:t>符合性审查。</w:t>
      </w:r>
      <w:r>
        <w:rPr>
          <w:rFonts w:ascii="仿宋_GB2312" w:hAnsi="仿宋" w:eastAsia="仿宋_GB2312" w:cs="Arial"/>
          <w:kern w:val="0"/>
          <w:sz w:val="24"/>
        </w:rPr>
        <w:t>评标委员会应当对符合资格的</w:t>
      </w:r>
      <w:r>
        <w:rPr>
          <w:rFonts w:hint="eastAsia" w:ascii="仿宋_GB2312" w:hAnsi="仿宋" w:eastAsia="仿宋_GB2312" w:cs="Arial"/>
          <w:kern w:val="0"/>
          <w:sz w:val="24"/>
          <w:lang w:eastAsia="zh-CN"/>
        </w:rPr>
        <w:t>供应商</w:t>
      </w:r>
      <w:r>
        <w:rPr>
          <w:rFonts w:ascii="仿宋_GB2312" w:hAnsi="仿宋" w:eastAsia="仿宋_GB2312" w:cs="Arial"/>
          <w:kern w:val="0"/>
          <w:sz w:val="24"/>
        </w:rPr>
        <w:t>的投标文件进行符合性审查，以确定其是否满足</w:t>
      </w:r>
      <w:r>
        <w:rPr>
          <w:rFonts w:hint="eastAsia" w:ascii="仿宋_GB2312" w:hAnsi="仿宋" w:eastAsia="仿宋_GB2312" w:cs="Arial"/>
          <w:kern w:val="0"/>
          <w:sz w:val="24"/>
          <w:lang w:eastAsia="zh-CN"/>
        </w:rPr>
        <w:t>采购文件</w:t>
      </w:r>
      <w:r>
        <w:rPr>
          <w:rFonts w:ascii="仿宋_GB2312" w:hAnsi="仿宋" w:eastAsia="仿宋_GB2312" w:cs="Arial"/>
          <w:kern w:val="0"/>
          <w:sz w:val="24"/>
        </w:rPr>
        <w:t>的实质性要求。</w:t>
      </w:r>
      <w:r>
        <w:rPr>
          <w:rFonts w:hint="eastAsia" w:ascii="仿宋_GB2312" w:hAnsi="仿宋" w:eastAsia="仿宋_GB2312" w:cs="Arial"/>
          <w:kern w:val="0"/>
          <w:sz w:val="24"/>
        </w:rPr>
        <w:t>不</w:t>
      </w:r>
      <w:r>
        <w:rPr>
          <w:rFonts w:ascii="仿宋_GB2312" w:hAnsi="仿宋" w:eastAsia="仿宋_GB2312" w:cs="Arial"/>
          <w:kern w:val="0"/>
          <w:sz w:val="24"/>
        </w:rPr>
        <w:t>满足</w:t>
      </w:r>
      <w:r>
        <w:rPr>
          <w:rFonts w:hint="eastAsia" w:ascii="仿宋_GB2312" w:hAnsi="仿宋" w:eastAsia="仿宋_GB2312" w:cs="Arial"/>
          <w:kern w:val="0"/>
          <w:sz w:val="24"/>
          <w:lang w:eastAsia="zh-CN"/>
        </w:rPr>
        <w:t>采购文件</w:t>
      </w:r>
      <w:r>
        <w:rPr>
          <w:rFonts w:ascii="仿宋_GB2312" w:hAnsi="仿宋" w:eastAsia="仿宋_GB2312" w:cs="Arial"/>
          <w:kern w:val="0"/>
          <w:sz w:val="24"/>
        </w:rPr>
        <w:t>的实质性要求</w:t>
      </w:r>
      <w:r>
        <w:rPr>
          <w:rFonts w:hint="eastAsia" w:ascii="仿宋_GB2312" w:hAnsi="仿宋" w:eastAsia="仿宋_GB2312" w:cs="Arial"/>
          <w:kern w:val="0"/>
          <w:sz w:val="24"/>
        </w:rPr>
        <w:t>的，投标无效。</w:t>
      </w:r>
    </w:p>
    <w:p>
      <w:pPr>
        <w:widowControl/>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符合性审查表</w:t>
      </w:r>
    </w:p>
    <w:tbl>
      <w:tblPr>
        <w:tblStyle w:val="61"/>
        <w:tblW w:w="4997" w:type="pct"/>
        <w:tblInd w:w="0" w:type="dxa"/>
        <w:tblLayout w:type="autofit"/>
        <w:tblCellMar>
          <w:top w:w="0" w:type="dxa"/>
          <w:left w:w="108" w:type="dxa"/>
          <w:bottom w:w="0" w:type="dxa"/>
          <w:right w:w="108" w:type="dxa"/>
        </w:tblCellMar>
      </w:tblPr>
      <w:tblGrid>
        <w:gridCol w:w="939"/>
        <w:gridCol w:w="1907"/>
        <w:gridCol w:w="6096"/>
      </w:tblGrid>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b/>
                <w:bCs/>
                <w:color w:val="000000"/>
                <w:kern w:val="0"/>
              </w:rPr>
            </w:pPr>
            <w:r>
              <w:rPr>
                <w:rFonts w:hint="eastAsia" w:ascii="仿宋" w:hAnsi="仿宋" w:eastAsia="仿宋" w:cs="仿宋"/>
                <w:b/>
                <w:bCs/>
                <w:color w:val="000000"/>
                <w:kern w:val="0"/>
              </w:rPr>
              <w:t>序号</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b/>
                <w:bCs/>
                <w:color w:val="000000"/>
                <w:kern w:val="0"/>
              </w:rPr>
            </w:pPr>
            <w:r>
              <w:rPr>
                <w:rFonts w:hint="eastAsia" w:ascii="仿宋" w:hAnsi="仿宋" w:eastAsia="仿宋" w:cs="仿宋"/>
                <w:b/>
                <w:bCs/>
                <w:color w:val="000000"/>
                <w:kern w:val="0"/>
              </w:rPr>
              <w:t>审查事项</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b/>
                <w:bCs/>
                <w:color w:val="000000"/>
                <w:kern w:val="0"/>
              </w:rPr>
            </w:pPr>
            <w:r>
              <w:rPr>
                <w:rFonts w:hint="eastAsia" w:ascii="仿宋" w:hAnsi="仿宋" w:eastAsia="仿宋" w:cs="仿宋"/>
                <w:b/>
                <w:bCs/>
                <w:color w:val="000000"/>
                <w:kern w:val="0"/>
              </w:rPr>
              <w:t>审查内容</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响应函</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响应函是否按规定格式填写，且投标有效期满足</w:t>
            </w:r>
            <w:r>
              <w:rPr>
                <w:rFonts w:hint="eastAsia" w:ascii="仿宋" w:hAnsi="仿宋" w:eastAsia="仿宋" w:cs="仿宋"/>
                <w:color w:val="000000"/>
                <w:kern w:val="0"/>
                <w:sz w:val="24"/>
                <w:lang w:eastAsia="zh-CN"/>
              </w:rPr>
              <w:t>采购</w:t>
            </w:r>
            <w:r>
              <w:rPr>
                <w:rFonts w:hint="eastAsia" w:ascii="仿宋" w:hAnsi="仿宋" w:eastAsia="仿宋" w:cs="仿宋"/>
                <w:color w:val="000000"/>
                <w:kern w:val="0"/>
                <w:sz w:val="24"/>
              </w:rPr>
              <w:t>文件要求；</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投标保证金</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保证金按</w:t>
            </w:r>
            <w:r>
              <w:rPr>
                <w:rFonts w:hint="eastAsia" w:ascii="仿宋" w:hAnsi="仿宋" w:eastAsia="仿宋" w:cs="仿宋"/>
                <w:color w:val="000000"/>
                <w:kern w:val="0"/>
                <w:sz w:val="24"/>
                <w:lang w:eastAsia="zh-CN"/>
              </w:rPr>
              <w:t>采购</w:t>
            </w:r>
            <w:r>
              <w:rPr>
                <w:rFonts w:hint="eastAsia" w:ascii="仿宋" w:hAnsi="仿宋" w:eastAsia="仿宋" w:cs="仿宋"/>
                <w:color w:val="000000"/>
                <w:kern w:val="0"/>
                <w:sz w:val="24"/>
              </w:rPr>
              <w:t>文件要求递交</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授权委托书</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按要求提供法定代表人身份证明或法定代表人授权委托书；</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lang w:eastAsia="zh-CN"/>
              </w:rPr>
              <w:t>响应</w:t>
            </w:r>
            <w:r>
              <w:rPr>
                <w:rFonts w:hint="eastAsia" w:ascii="仿宋" w:hAnsi="仿宋" w:eastAsia="仿宋" w:cs="仿宋"/>
                <w:color w:val="000000"/>
                <w:kern w:val="0"/>
                <w:sz w:val="24"/>
              </w:rPr>
              <w:t>文件签字盖章</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响应</w:t>
            </w:r>
            <w:r>
              <w:rPr>
                <w:rFonts w:hint="eastAsia" w:ascii="仿宋" w:hAnsi="仿宋" w:eastAsia="仿宋" w:cs="仿宋"/>
                <w:color w:val="000000"/>
                <w:kern w:val="0"/>
                <w:sz w:val="24"/>
              </w:rPr>
              <w:t>文件按要求签字</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盖章</w:t>
            </w:r>
            <w:r>
              <w:rPr>
                <w:rFonts w:hint="eastAsia" w:ascii="仿宋" w:hAnsi="仿宋" w:eastAsia="仿宋" w:cs="仿宋"/>
                <w:color w:val="000000"/>
                <w:kern w:val="0"/>
                <w:sz w:val="24"/>
                <w:lang w:eastAsia="zh-CN"/>
              </w:rPr>
              <w:t>；</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6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有效报价</w:t>
            </w:r>
          </w:p>
        </w:tc>
        <w:tc>
          <w:tcPr>
            <w:tcW w:w="34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按照</w:t>
            </w:r>
            <w:r>
              <w:rPr>
                <w:rFonts w:hint="eastAsia" w:ascii="仿宋" w:hAnsi="仿宋" w:eastAsia="仿宋" w:cs="仿宋"/>
                <w:color w:val="000000"/>
                <w:kern w:val="0"/>
                <w:sz w:val="24"/>
                <w:lang w:eastAsia="zh-CN"/>
              </w:rPr>
              <w:t>采购文件</w:t>
            </w:r>
            <w:r>
              <w:rPr>
                <w:rFonts w:hint="eastAsia" w:ascii="仿宋" w:hAnsi="仿宋" w:eastAsia="仿宋" w:cs="仿宋"/>
                <w:color w:val="000000"/>
                <w:kern w:val="0"/>
                <w:sz w:val="24"/>
              </w:rPr>
              <w:t>要求进行有效报价，不存在高于最高限价或低于成本价，不存在恶意报价损害采购人利益的行为；</w:t>
            </w:r>
          </w:p>
        </w:tc>
      </w:tr>
      <w:tr>
        <w:tblPrEx>
          <w:tblCellMar>
            <w:top w:w="0" w:type="dxa"/>
            <w:left w:w="108" w:type="dxa"/>
            <w:bottom w:w="0" w:type="dxa"/>
            <w:right w:w="108" w:type="dxa"/>
          </w:tblCellMar>
        </w:tblPrEx>
        <w:trPr>
          <w:trHeight w:val="6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其他</w:t>
            </w:r>
          </w:p>
        </w:tc>
        <w:tc>
          <w:tcPr>
            <w:tcW w:w="3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1.不存在串通投标、弄虚作假、行贿等违法行为；</w:t>
            </w:r>
          </w:p>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2.符合国家及</w:t>
            </w:r>
            <w:r>
              <w:rPr>
                <w:rFonts w:hint="eastAsia" w:ascii="仿宋" w:hAnsi="仿宋" w:eastAsia="仿宋" w:cs="仿宋"/>
                <w:color w:val="000000"/>
                <w:kern w:val="0"/>
                <w:sz w:val="24"/>
                <w:lang w:eastAsia="zh-CN"/>
              </w:rPr>
              <w:t>采购文件</w:t>
            </w:r>
            <w:r>
              <w:rPr>
                <w:rFonts w:hint="eastAsia" w:ascii="仿宋" w:hAnsi="仿宋" w:eastAsia="仿宋" w:cs="仿宋"/>
                <w:color w:val="000000"/>
                <w:kern w:val="0"/>
                <w:sz w:val="24"/>
              </w:rPr>
              <w:t>规定的其他要求；</w:t>
            </w:r>
          </w:p>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3.不存在单位负责人为同一人或者存在直接控股、管理关系的不同</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w:t>
            </w:r>
          </w:p>
          <w:p>
            <w:pPr>
              <w:widowControl/>
              <w:spacing w:line="360" w:lineRule="auto"/>
              <w:rPr>
                <w:rFonts w:ascii="仿宋" w:hAnsi="仿宋" w:eastAsia="仿宋" w:cs="仿宋"/>
                <w:color w:val="000000"/>
                <w:kern w:val="0"/>
                <w:sz w:val="24"/>
              </w:rPr>
            </w:pPr>
            <w:r>
              <w:rPr>
                <w:rFonts w:hint="eastAsia" w:ascii="仿宋" w:hAnsi="仿宋" w:eastAsia="仿宋" w:cs="仿宋"/>
                <w:color w:val="000000"/>
                <w:kern w:val="0"/>
                <w:sz w:val="24"/>
              </w:rPr>
              <w:t>4.未出现采购人不能接受的附加条件。</w:t>
            </w:r>
          </w:p>
        </w:tc>
      </w:tr>
    </w:tbl>
    <w:p>
      <w:pPr>
        <w:pStyle w:val="3"/>
        <w:ind w:left="397"/>
      </w:pPr>
    </w:p>
    <w:p>
      <w:pPr>
        <w:numPr>
          <w:ilvl w:val="0"/>
          <w:numId w:val="13"/>
        </w:numPr>
        <w:snapToGrid w:val="0"/>
        <w:spacing w:line="360" w:lineRule="auto"/>
        <w:jc w:val="left"/>
        <w:outlineLvl w:val="1"/>
        <w:rPr>
          <w:rFonts w:ascii="仿宋_GB2312" w:hAnsi="仿宋" w:eastAsia="仿宋_GB2312"/>
          <w:b/>
          <w:sz w:val="24"/>
        </w:rPr>
      </w:pPr>
      <w:r>
        <w:rPr>
          <w:rFonts w:hint="eastAsia" w:ascii="仿宋_GB2312" w:hAnsi="仿宋" w:eastAsia="仿宋_GB2312"/>
          <w:b/>
          <w:sz w:val="24"/>
        </w:rPr>
        <w:t>信用信息查询</w:t>
      </w:r>
    </w:p>
    <w:p>
      <w:pPr>
        <w:pStyle w:val="395"/>
        <w:numPr>
          <w:ilvl w:val="1"/>
          <w:numId w:val="31"/>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信用信息查询渠道及截止时间：采购代理机构将通过“信用中国”网站(</w:t>
      </w:r>
      <w:r>
        <w:fldChar w:fldCharType="begin"/>
      </w:r>
      <w:r>
        <w:instrText xml:space="preserve"> HYPERLINK "http://www.creditchina.gov.cn" </w:instrText>
      </w:r>
      <w:r>
        <w:fldChar w:fldCharType="separate"/>
      </w:r>
      <w:r>
        <w:rPr>
          <w:rStyle w:val="69"/>
          <w:rFonts w:hint="eastAsia" w:ascii="仿宋_GB2312" w:hAnsi="仿宋" w:eastAsia="仿宋_GB2312"/>
          <w:snapToGrid/>
          <w:color w:val="auto"/>
          <w:sz w:val="24"/>
          <w:szCs w:val="24"/>
        </w:rPr>
        <w:t>www.creditchina.gov.cn</w:t>
      </w:r>
      <w:r>
        <w:rPr>
          <w:rStyle w:val="69"/>
          <w:rFonts w:hint="eastAsia" w:ascii="仿宋_GB2312" w:hAnsi="仿宋" w:eastAsia="仿宋_GB2312"/>
          <w:snapToGrid/>
          <w:color w:val="auto"/>
          <w:sz w:val="24"/>
          <w:szCs w:val="24"/>
        </w:rPr>
        <w:fldChar w:fldCharType="end"/>
      </w:r>
      <w:r>
        <w:rPr>
          <w:rFonts w:hint="eastAsia" w:ascii="仿宋_GB2312" w:hAnsi="仿宋" w:eastAsia="仿宋_GB2312" w:cs="Arial"/>
          <w:kern w:val="0"/>
          <w:szCs w:val="24"/>
        </w:rPr>
        <w:t>)、中国政府采购网(www.ccgp.gov.cn)渠道查询供应商响应截止时间前的信用记录。</w:t>
      </w:r>
    </w:p>
    <w:p>
      <w:pPr>
        <w:pStyle w:val="395"/>
        <w:numPr>
          <w:ilvl w:val="1"/>
          <w:numId w:val="31"/>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信用信息查询记录和证据留存的具体方式：现场查询的供应商的信用记录、查询结果经确认后将与磋商文件一起存档。</w:t>
      </w:r>
    </w:p>
    <w:p>
      <w:pPr>
        <w:pStyle w:val="395"/>
        <w:numPr>
          <w:ilvl w:val="1"/>
          <w:numId w:val="31"/>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信用信息的使用规则：经查询列入失信被执行人名单、重大税收违法案件当事人名单、政府采购严重违法失信行为记录名单的供应商将被拒绝参与政府采购活动。</w:t>
      </w:r>
    </w:p>
    <w:p>
      <w:pPr>
        <w:pStyle w:val="395"/>
        <w:numPr>
          <w:ilvl w:val="1"/>
          <w:numId w:val="31"/>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3"/>
        <w:spacing w:line="360" w:lineRule="auto"/>
        <w:rPr>
          <w:rFonts w:ascii="仿宋_GB2312" w:hAnsi="仿宋_GB2312" w:eastAsia="仿宋_GB2312" w:cs="仿宋_GB2312"/>
          <w:b/>
          <w:sz w:val="24"/>
          <w:szCs w:val="24"/>
        </w:rPr>
      </w:pPr>
    </w:p>
    <w:p>
      <w:pPr>
        <w:adjustRightInd/>
        <w:spacing w:line="360" w:lineRule="auto"/>
        <w:jc w:val="center"/>
        <w:outlineLvl w:val="0"/>
        <w:rPr>
          <w:rFonts w:ascii="仿宋_GB2312" w:hAnsi="仿宋" w:eastAsia="仿宋_GB2312"/>
          <w:b/>
          <w:sz w:val="32"/>
          <w:szCs w:val="32"/>
        </w:rPr>
      </w:pPr>
      <w:bookmarkStart w:id="19" w:name="_Toc20533"/>
      <w:r>
        <w:rPr>
          <w:rFonts w:hint="eastAsia" w:ascii="仿宋_GB2312" w:hAnsi="仿宋_GB2312" w:eastAsia="仿宋_GB2312" w:cs="仿宋_GB2312"/>
          <w:b/>
          <w:sz w:val="32"/>
        </w:rPr>
        <w:t>七</w:t>
      </w:r>
      <w:r>
        <w:rPr>
          <w:rFonts w:hint="eastAsia" w:ascii="仿宋_GB2312" w:hAnsi="仿宋_GB2312" w:eastAsia="仿宋_GB2312" w:cs="仿宋_GB2312"/>
          <w:b/>
          <w:sz w:val="32"/>
          <w:szCs w:val="20"/>
        </w:rPr>
        <w:t>、提交</w:t>
      </w:r>
      <w:r>
        <w:rPr>
          <w:rFonts w:hint="eastAsia" w:ascii="仿宋_GB2312" w:hAnsi="仿宋" w:eastAsia="仿宋_GB2312"/>
          <w:b/>
          <w:sz w:val="32"/>
          <w:szCs w:val="32"/>
        </w:rPr>
        <w:t>最后报价</w:t>
      </w:r>
      <w:bookmarkEnd w:id="19"/>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提交最后报价</w:t>
      </w:r>
    </w:p>
    <w:p>
      <w:pPr>
        <w:pStyle w:val="33"/>
        <w:snapToGrid w:val="0"/>
        <w:spacing w:line="360" w:lineRule="auto"/>
        <w:ind w:firstLine="480" w:firstLineChars="200"/>
        <w:rPr>
          <w:rFonts w:ascii="仿宋_GB2312" w:hAnsi="仿宋" w:eastAsia="仿宋_GB2312" w:cs="仿宋_GB2312"/>
          <w:sz w:val="24"/>
          <w:szCs w:val="24"/>
        </w:rPr>
      </w:pPr>
      <w:r>
        <w:rPr>
          <w:rFonts w:hint="eastAsia" w:ascii="仿宋_GB2312" w:hAnsi="仿宋" w:eastAsia="仿宋_GB2312" w:cs="Arial"/>
          <w:kern w:val="0"/>
          <w:sz w:val="24"/>
          <w:szCs w:val="24"/>
          <w:lang w:val="zh-CN"/>
        </w:rPr>
        <w:t>供应商应在规定时间内提交最后报价一览表。</w:t>
      </w:r>
    </w:p>
    <w:p/>
    <w:p>
      <w:pPr>
        <w:adjustRightInd/>
        <w:spacing w:line="360" w:lineRule="auto"/>
        <w:jc w:val="center"/>
        <w:outlineLvl w:val="0"/>
        <w:rPr>
          <w:rFonts w:ascii="仿宋_GB2312" w:hAnsi="仿宋_GB2312" w:eastAsia="仿宋_GB2312" w:cs="仿宋_GB2312"/>
          <w:b/>
          <w:sz w:val="32"/>
        </w:rPr>
      </w:pPr>
      <w:bookmarkStart w:id="20" w:name="_Toc11819"/>
      <w:r>
        <w:rPr>
          <w:rFonts w:hint="eastAsia" w:ascii="仿宋_GB2312" w:hAnsi="仿宋_GB2312" w:eastAsia="仿宋_GB2312" w:cs="仿宋_GB2312"/>
          <w:b/>
          <w:sz w:val="32"/>
          <w:szCs w:val="20"/>
        </w:rPr>
        <w:t>八、</w:t>
      </w:r>
      <w:r>
        <w:rPr>
          <w:rFonts w:hint="eastAsia" w:ascii="仿宋_GB2312" w:hAnsi="仿宋" w:eastAsia="仿宋_GB2312"/>
          <w:b/>
          <w:sz w:val="32"/>
          <w:szCs w:val="32"/>
        </w:rPr>
        <w:t>评审</w:t>
      </w:r>
      <w:bookmarkEnd w:id="20"/>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评审</w:t>
      </w:r>
    </w:p>
    <w:p>
      <w:pPr>
        <w:autoSpaceDE w:val="0"/>
        <w:autoSpaceDN w:val="0"/>
        <w:spacing w:line="360" w:lineRule="auto"/>
        <w:ind w:firstLine="480" w:firstLineChars="200"/>
        <w:rPr>
          <w:rFonts w:ascii="仿宋_GB2312" w:hAnsi="仿宋" w:eastAsia="仿宋_GB2312"/>
        </w:rPr>
      </w:pPr>
      <w:r>
        <w:rPr>
          <w:rFonts w:hint="eastAsia" w:ascii="仿宋_GB2312" w:hAnsi="仿宋" w:eastAsia="仿宋_GB2312" w:cs="仿宋_GB2312"/>
          <w:sz w:val="24"/>
        </w:rPr>
        <w:t>磋商小组将根据磋商文件和有关规定，履行评标工作职责，并按照评标方法及评分标准，全面衡量各供应商对磋商文件的响应情况。对实质上响应磋商文件的供应商，按照评审因素的量化指标排出推荐成交的供应商的先后顺序，并按顺序提出授标建议。</w:t>
      </w:r>
      <w:r>
        <w:rPr>
          <w:rFonts w:hint="eastAsia" w:ascii="仿宋_GB2312" w:hAnsi="仿宋" w:eastAsia="仿宋_GB2312" w:cs="仿宋_GB2312"/>
          <w:b/>
          <w:sz w:val="24"/>
        </w:rPr>
        <w:t>详见磋商文件第五部分评审方法及评审标准。</w:t>
      </w:r>
    </w:p>
    <w:p/>
    <w:p>
      <w:pPr>
        <w:adjustRightInd/>
        <w:spacing w:line="360" w:lineRule="auto"/>
        <w:jc w:val="center"/>
        <w:outlineLvl w:val="0"/>
        <w:rPr>
          <w:rFonts w:ascii="仿宋_GB2312" w:hAnsi="仿宋_GB2312" w:eastAsia="仿宋_GB2312" w:cs="仿宋_GB2312"/>
          <w:b/>
          <w:sz w:val="32"/>
          <w:szCs w:val="20"/>
        </w:rPr>
      </w:pPr>
      <w:bookmarkStart w:id="21" w:name="_Toc22532"/>
      <w:r>
        <w:rPr>
          <w:rFonts w:hint="eastAsia" w:ascii="仿宋_GB2312" w:hAnsi="仿宋_GB2312" w:eastAsia="仿宋_GB2312" w:cs="仿宋_GB2312"/>
          <w:b/>
          <w:sz w:val="32"/>
          <w:szCs w:val="20"/>
        </w:rPr>
        <w:t>九、</w:t>
      </w:r>
      <w:r>
        <w:rPr>
          <w:rFonts w:hint="eastAsia" w:ascii="仿宋_GB2312" w:hAnsi="仿宋" w:eastAsia="仿宋_GB2312"/>
          <w:b/>
          <w:sz w:val="32"/>
          <w:szCs w:val="32"/>
        </w:rPr>
        <w:t>成交</w:t>
      </w:r>
      <w:bookmarkEnd w:id="21"/>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推荐成交候选供应商</w:t>
      </w:r>
    </w:p>
    <w:p>
      <w:pPr>
        <w:spacing w:line="360" w:lineRule="auto"/>
        <w:ind w:firstLine="465" w:firstLineChars="194"/>
        <w:rPr>
          <w:rFonts w:ascii="仿宋_GB2312" w:hAnsi="仿宋" w:eastAsia="仿宋_GB2312"/>
          <w:sz w:val="24"/>
          <w:szCs w:val="21"/>
        </w:rPr>
      </w:pPr>
      <w:r>
        <w:rPr>
          <w:rFonts w:hint="eastAsia" w:ascii="仿宋_GB2312" w:hAnsi="仿宋" w:eastAsia="仿宋_GB2312"/>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确定成交供应商</w:t>
      </w:r>
    </w:p>
    <w:p>
      <w:pPr>
        <w:spacing w:line="360" w:lineRule="auto"/>
        <w:ind w:firstLine="360" w:firstLineChars="150"/>
        <w:rPr>
          <w:rFonts w:ascii="仿宋_GB2312" w:hAnsi="仿宋" w:eastAsia="仿宋_GB2312"/>
          <w:sz w:val="24"/>
          <w:szCs w:val="21"/>
        </w:rPr>
      </w:pPr>
      <w:r>
        <w:rPr>
          <w:rFonts w:hint="eastAsia" w:ascii="仿宋_GB2312" w:hAnsi="仿宋" w:eastAsia="仿宋_GB2312"/>
          <w:sz w:val="24"/>
          <w:szCs w:val="21"/>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通过电子交易平台，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成交通知及成交结果公告</w:t>
      </w:r>
    </w:p>
    <w:p>
      <w:pPr>
        <w:pStyle w:val="395"/>
        <w:numPr>
          <w:ilvl w:val="1"/>
          <w:numId w:val="32"/>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代理机构将在自成交人确定之日起2个工作日内，通过电子交易平台向成交人发出成交通知书，向未成交人发出成交结果通知书，同时在省级以上财政部门指定的政府采购信息发布媒体上公告成交结果。成交结果公告内容包括采购人及其委托的采购代理机构的名称、地址、联系方式，项目名称和项目编号，成交人名称、地址和成交金额，主要成交标的的名称、规格型号、数量、单价、服务要求，成交公告期限以及评审专家名单、评分汇总及明细等。采购代理机构也可以以纸质形式进行成交通知。</w:t>
      </w:r>
    </w:p>
    <w:p>
      <w:pPr>
        <w:pStyle w:val="395"/>
        <w:numPr>
          <w:ilvl w:val="1"/>
          <w:numId w:val="32"/>
        </w:numPr>
        <w:spacing w:before="0"/>
        <w:ind w:left="10" w:firstLine="387" w:firstLineChars="0"/>
        <w:rPr>
          <w:rFonts w:ascii="仿宋_GB2312" w:hAnsi="仿宋" w:eastAsia="仿宋_GB2312"/>
          <w:szCs w:val="21"/>
        </w:rPr>
      </w:pPr>
      <w:r>
        <w:rPr>
          <w:rFonts w:hint="eastAsia" w:ascii="仿宋_GB2312" w:hAnsi="仿宋" w:eastAsia="仿宋_GB2312" w:cs="Arial"/>
          <w:kern w:val="0"/>
          <w:szCs w:val="24"/>
        </w:rPr>
        <w:t>公告期限为1个工作日。</w:t>
      </w:r>
    </w:p>
    <w:p/>
    <w:p>
      <w:pPr>
        <w:snapToGrid w:val="0"/>
        <w:spacing w:line="360" w:lineRule="auto"/>
        <w:jc w:val="center"/>
        <w:outlineLvl w:val="0"/>
        <w:rPr>
          <w:rFonts w:ascii="仿宋_GB2312" w:hAnsi="仿宋_GB2312" w:eastAsia="仿宋_GB2312" w:cs="仿宋_GB2312"/>
          <w:b/>
          <w:sz w:val="36"/>
          <w:szCs w:val="36"/>
        </w:rPr>
      </w:pPr>
      <w:bookmarkStart w:id="22" w:name="_Toc31224"/>
      <w:r>
        <w:rPr>
          <w:rFonts w:hint="eastAsia" w:ascii="仿宋_GB2312" w:hAnsi="仿宋_GB2312" w:eastAsia="仿宋_GB2312" w:cs="仿宋_GB2312"/>
          <w:b/>
          <w:sz w:val="36"/>
          <w:szCs w:val="36"/>
        </w:rPr>
        <w:t>十二、合同授予</w:t>
      </w:r>
      <w:bookmarkEnd w:id="22"/>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合同授予</w:t>
      </w:r>
    </w:p>
    <w:p>
      <w:pPr>
        <w:pStyle w:val="3"/>
        <w:ind w:firstLine="480" w:firstLineChars="200"/>
        <w:rPr>
          <w:rFonts w:ascii="仿宋_GB2312" w:hAnsi="仿宋" w:eastAsia="仿宋_GB2312" w:cs="仿宋_GB2312"/>
        </w:rPr>
      </w:pPr>
      <w:r>
        <w:rPr>
          <w:rFonts w:hint="eastAsia" w:ascii="仿宋_GB2312" w:hAnsi="仿宋" w:eastAsia="仿宋_GB2312" w:cs="仿宋_GB2312"/>
        </w:rPr>
        <w:t>合同主要条款详见第六部分拟签订的合同文本。</w:t>
      </w:r>
    </w:p>
    <w:p>
      <w:pPr>
        <w:pStyle w:val="3"/>
        <w:ind w:firstLine="480" w:firstLineChars="200"/>
        <w:rPr>
          <w:rFonts w:ascii="仿宋_GB2312" w:hAnsi="仿宋" w:eastAsia="仿宋_GB2312" w:cs="仿宋_GB2312"/>
        </w:rPr>
      </w:pPr>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合同的签订</w:t>
      </w:r>
    </w:p>
    <w:p>
      <w:pPr>
        <w:pStyle w:val="395"/>
        <w:numPr>
          <w:ilvl w:val="1"/>
          <w:numId w:val="33"/>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人与成交供应商应当通过电子交易平台在成交通知书发出之日起三十日内，按照磋商文件确定的事项签订政府采购合同，并在签订之日起2个工作日内将政府采购合同在新疆政府采购网上公告。鼓励有条件的采购人视情缩减采购合同签订时限，提高采购效率，杜绝“冷、硬、横、推”等不当行为。除不可抗力等特殊情况外，原则上应当在成交通知书发出之日起10个工作日内，与成交供应商按照磋商文件确定的事项签订政府采购合同。</w:t>
      </w:r>
    </w:p>
    <w:p>
      <w:pPr>
        <w:pStyle w:val="395"/>
        <w:numPr>
          <w:ilvl w:val="1"/>
          <w:numId w:val="33"/>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成交供应商按规定的日期、时间、地点，由法定代表人或其授权代表与采购人代表签订合同。如成交供应商为联合体的，由联合体成员各方法定代表人或其授权代表与采购人代表签订合同。</w:t>
      </w:r>
    </w:p>
    <w:p>
      <w:pPr>
        <w:pStyle w:val="395"/>
        <w:numPr>
          <w:ilvl w:val="1"/>
          <w:numId w:val="33"/>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如签订合同并生效后，供应商无故拒绝或延期，除按照合同条款处理外，列入不良行为记录一次，并给予通报。</w:t>
      </w:r>
    </w:p>
    <w:p>
      <w:pPr>
        <w:pStyle w:val="395"/>
        <w:numPr>
          <w:ilvl w:val="1"/>
          <w:numId w:val="33"/>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395"/>
        <w:numPr>
          <w:ilvl w:val="1"/>
          <w:numId w:val="33"/>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pStyle w:val="395"/>
        <w:numPr>
          <w:ilvl w:val="1"/>
          <w:numId w:val="33"/>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采购合同由采购人与成交供应商根据磋商文件、响应文件等内容通过政府采购电子交易平台在线签订，自动备案。</w:t>
      </w:r>
    </w:p>
    <w:p>
      <w:pPr>
        <w:pStyle w:val="395"/>
        <w:spacing w:before="0"/>
        <w:ind w:left="397" w:firstLine="0" w:firstLineChars="0"/>
        <w:rPr>
          <w:rFonts w:ascii="仿宋_GB2312" w:hAnsi="仿宋" w:eastAsia="仿宋_GB2312" w:cs="Arial"/>
          <w:kern w:val="0"/>
          <w:szCs w:val="24"/>
        </w:rPr>
      </w:pPr>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履约保证金</w:t>
      </w:r>
    </w:p>
    <w:p>
      <w:pPr>
        <w:tabs>
          <w:tab w:val="left" w:pos="0"/>
        </w:tabs>
        <w:spacing w:line="360" w:lineRule="auto"/>
        <w:ind w:firstLine="480"/>
        <w:rPr>
          <w:rFonts w:ascii="仿宋_GB2312" w:hAnsi="Helvetica" w:eastAsia="仿宋_GB2312" w:cs="Helvetica"/>
          <w:b/>
          <w:bCs/>
          <w:kern w:val="0"/>
          <w:sz w:val="24"/>
        </w:rPr>
      </w:pPr>
      <w:r>
        <w:rPr>
          <w:rFonts w:hint="eastAsia" w:ascii="仿宋_GB2312" w:hAnsi="Helvetica" w:eastAsia="仿宋_GB2312" w:cs="Helvetica"/>
          <w:kern w:val="0"/>
          <w:sz w:val="24"/>
        </w:rPr>
        <w:t>拟签订的合同文本要求中标供应商提交履约保证金的，供应商应当以支票、汇票、本票或者金融机构、担保机构出具的保函等非现金形式提交。履约保证金的数额不得超过政府采购合同金额的10%。鼓励和支持供应商以银行、保险公司出具的保函形式提供履约保证金。</w:t>
      </w:r>
      <w:r>
        <w:rPr>
          <w:rFonts w:hint="eastAsia" w:ascii="仿宋_GB2312" w:hAnsi="Helvetica" w:eastAsia="仿宋_GB2312" w:cs="Helvetica"/>
          <w:b/>
          <w:bCs/>
          <w:kern w:val="0"/>
          <w:sz w:val="24"/>
        </w:rPr>
        <w:t>采购人不得拒收履约保函。</w:t>
      </w:r>
      <w:r>
        <w:rPr>
          <w:rFonts w:hint="eastAsia" w:ascii="仿宋_GB2312" w:hAnsi="仿宋" w:eastAsia="仿宋_GB2312"/>
          <w:bCs/>
          <w:sz w:val="24"/>
          <w:lang w:val="zh-CN"/>
        </w:rPr>
        <w:t>项目验收结束后应及时退还，延迟退还的，应当按照合同约定和法律规定承担相应的赔偿责任。</w:t>
      </w:r>
    </w:p>
    <w:p>
      <w:pPr>
        <w:tabs>
          <w:tab w:val="left" w:pos="0"/>
        </w:tabs>
        <w:spacing w:line="360" w:lineRule="auto"/>
        <w:ind w:firstLine="480"/>
        <w:rPr>
          <w:rFonts w:ascii="仿宋_GB2312" w:hAnsi="Helvetica" w:eastAsia="仿宋_GB2312" w:cs="Helvetica"/>
          <w:kern w:val="0"/>
          <w:sz w:val="24"/>
        </w:rPr>
      </w:pPr>
      <w:r>
        <w:rPr>
          <w:rFonts w:hint="eastAsia" w:ascii="仿宋_GB2312" w:hAnsi="Helvetica" w:eastAsia="仿宋_GB2312" w:cs="Helvetica"/>
          <w:kern w:val="0"/>
          <w:sz w:val="24"/>
        </w:rPr>
        <w:tab/>
      </w:r>
    </w:p>
    <w:p>
      <w:pPr>
        <w:snapToGrid w:val="0"/>
        <w:spacing w:line="360" w:lineRule="auto"/>
        <w:jc w:val="center"/>
        <w:outlineLvl w:val="0"/>
        <w:rPr>
          <w:rFonts w:ascii="仿宋_GB2312" w:hAnsi="仿宋" w:eastAsia="仿宋_GB2312" w:cs="仿宋_GB2312"/>
          <w:b/>
          <w:sz w:val="36"/>
          <w:szCs w:val="36"/>
        </w:rPr>
      </w:pPr>
      <w:bookmarkStart w:id="23" w:name="_Toc13710"/>
      <w:r>
        <w:rPr>
          <w:rFonts w:hint="eastAsia" w:ascii="仿宋_GB2312" w:hAnsi="仿宋_GB2312" w:eastAsia="仿宋_GB2312" w:cs="仿宋_GB2312"/>
          <w:b/>
          <w:sz w:val="36"/>
          <w:szCs w:val="36"/>
        </w:rPr>
        <w:t>十三、电子交易活动的中止</w:t>
      </w:r>
      <w:bookmarkEnd w:id="23"/>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电子交易活动的中止。</w:t>
      </w:r>
    </w:p>
    <w:p>
      <w:pPr>
        <w:pStyle w:val="395"/>
        <w:snapToGrid w:val="0"/>
        <w:spacing w:before="0"/>
        <w:ind w:firstLine="480"/>
        <w:rPr>
          <w:rFonts w:ascii="仿宋_GB2312" w:hAnsi="仿宋" w:eastAsia="仿宋_GB2312" w:cs="仿宋_GB2312"/>
        </w:rPr>
      </w:pPr>
      <w:r>
        <w:rPr>
          <w:rFonts w:hint="eastAsia" w:ascii="仿宋_GB2312" w:hAnsi="仿宋" w:eastAsia="仿宋_GB2312" w:cs="仿宋_GB2312"/>
        </w:rPr>
        <w:t>采购过程中出现以下情形，导致电子交易平台无法正常运行，或者无法保证电子交易的公平、公正和安全时，采购代理机构可中止电子交易活动：</w:t>
      </w:r>
    </w:p>
    <w:p>
      <w:pPr>
        <w:pStyle w:val="395"/>
        <w:numPr>
          <w:ilvl w:val="1"/>
          <w:numId w:val="34"/>
        </w:numPr>
        <w:spacing w:before="0"/>
        <w:ind w:firstLineChars="0"/>
        <w:rPr>
          <w:rFonts w:ascii="仿宋_GB2312" w:hAnsi="仿宋" w:eastAsia="仿宋_GB2312" w:cs="Arial"/>
          <w:kern w:val="0"/>
          <w:szCs w:val="24"/>
        </w:rPr>
      </w:pPr>
      <w:r>
        <w:rPr>
          <w:rFonts w:hint="eastAsia" w:ascii="仿宋_GB2312" w:hAnsi="仿宋" w:eastAsia="仿宋_GB2312" w:cs="Arial"/>
          <w:kern w:val="0"/>
          <w:szCs w:val="24"/>
        </w:rPr>
        <w:t xml:space="preserve">电子交易平台发生故障而无法登录访问的； </w:t>
      </w:r>
    </w:p>
    <w:p>
      <w:pPr>
        <w:pStyle w:val="395"/>
        <w:numPr>
          <w:ilvl w:val="1"/>
          <w:numId w:val="34"/>
        </w:numPr>
        <w:spacing w:before="0"/>
        <w:ind w:firstLineChars="0"/>
        <w:rPr>
          <w:rFonts w:ascii="仿宋_GB2312" w:hAnsi="仿宋" w:eastAsia="仿宋_GB2312" w:cs="Arial"/>
          <w:kern w:val="0"/>
          <w:szCs w:val="24"/>
        </w:rPr>
      </w:pPr>
      <w:r>
        <w:rPr>
          <w:rFonts w:hint="eastAsia" w:ascii="仿宋_GB2312" w:hAnsi="仿宋" w:eastAsia="仿宋_GB2312" w:cs="Arial"/>
          <w:kern w:val="0"/>
          <w:szCs w:val="24"/>
        </w:rPr>
        <w:t>电子交易平台应用或数据库出现错误，不能进行正常操作的；</w:t>
      </w:r>
    </w:p>
    <w:p>
      <w:pPr>
        <w:pStyle w:val="395"/>
        <w:numPr>
          <w:ilvl w:val="1"/>
          <w:numId w:val="34"/>
        </w:numPr>
        <w:spacing w:before="0"/>
        <w:ind w:firstLineChars="0"/>
        <w:rPr>
          <w:rFonts w:ascii="仿宋_GB2312" w:hAnsi="仿宋" w:eastAsia="仿宋_GB2312" w:cs="Arial"/>
          <w:kern w:val="0"/>
          <w:szCs w:val="24"/>
        </w:rPr>
      </w:pPr>
      <w:r>
        <w:rPr>
          <w:rFonts w:hint="eastAsia" w:ascii="仿宋_GB2312" w:hAnsi="仿宋" w:eastAsia="仿宋_GB2312" w:cs="Arial"/>
          <w:kern w:val="0"/>
          <w:szCs w:val="24"/>
        </w:rPr>
        <w:t>电子交易平台发现严重安全漏洞，有潜在泄密危险的；</w:t>
      </w:r>
    </w:p>
    <w:p>
      <w:pPr>
        <w:pStyle w:val="395"/>
        <w:numPr>
          <w:ilvl w:val="1"/>
          <w:numId w:val="34"/>
        </w:numPr>
        <w:spacing w:before="0"/>
        <w:ind w:firstLineChars="0"/>
        <w:rPr>
          <w:rFonts w:ascii="仿宋_GB2312" w:hAnsi="仿宋" w:eastAsia="仿宋_GB2312" w:cs="Arial"/>
          <w:kern w:val="0"/>
          <w:szCs w:val="24"/>
        </w:rPr>
      </w:pPr>
      <w:r>
        <w:rPr>
          <w:rFonts w:hint="eastAsia" w:ascii="仿宋_GB2312" w:hAnsi="仿宋" w:eastAsia="仿宋_GB2312" w:cs="Arial"/>
          <w:kern w:val="0"/>
          <w:szCs w:val="24"/>
        </w:rPr>
        <w:t xml:space="preserve">病毒发作导致不能进行正常操作的； </w:t>
      </w:r>
    </w:p>
    <w:p>
      <w:pPr>
        <w:pStyle w:val="395"/>
        <w:numPr>
          <w:ilvl w:val="1"/>
          <w:numId w:val="34"/>
        </w:numPr>
        <w:spacing w:before="0"/>
        <w:ind w:firstLineChars="0"/>
        <w:rPr>
          <w:rFonts w:ascii="仿宋_GB2312" w:hAnsi="仿宋" w:eastAsia="仿宋_GB2312" w:cs="仿宋_GB2312"/>
        </w:rPr>
      </w:pPr>
      <w:r>
        <w:rPr>
          <w:rFonts w:hint="eastAsia" w:ascii="仿宋_GB2312" w:hAnsi="仿宋" w:eastAsia="仿宋_GB2312" w:cs="Arial"/>
          <w:kern w:val="0"/>
          <w:szCs w:val="24"/>
        </w:rPr>
        <w:t>其他无法保证电子交易的公平、公正和安全的情况。</w:t>
      </w:r>
    </w:p>
    <w:p>
      <w:pPr>
        <w:numPr>
          <w:ilvl w:val="0"/>
          <w:numId w:val="13"/>
        </w:numPr>
        <w:snapToGrid w:val="0"/>
        <w:spacing w:line="360" w:lineRule="auto"/>
        <w:ind w:left="11" w:firstLine="15"/>
        <w:jc w:val="left"/>
        <w:outlineLvl w:val="1"/>
        <w:rPr>
          <w:rFonts w:ascii="仿宋_GB2312" w:hAnsi="仿宋" w:eastAsia="仿宋_GB2312"/>
          <w:b/>
          <w:sz w:val="24"/>
          <w:lang w:val="zh-CN"/>
        </w:rPr>
      </w:pPr>
      <w:r>
        <w:rPr>
          <w:rFonts w:hint="eastAsia" w:ascii="仿宋_GB2312" w:hAnsi="仿宋" w:eastAsia="仿宋_GB2312"/>
          <w:b/>
          <w:sz w:val="24"/>
          <w:lang w:val="zh-CN"/>
        </w:rPr>
        <w:t>出现以上情形，不影响采购公平、公正性的，采购组织机构可以待上述情形消除后继续组织电子交易活动，也可以决定某些环节以纸质形式进行；影响或可能影响采购公平、公正性的，应当重新采购。</w:t>
      </w:r>
    </w:p>
    <w:p/>
    <w:p>
      <w:pPr>
        <w:snapToGrid w:val="0"/>
        <w:spacing w:line="360" w:lineRule="auto"/>
        <w:jc w:val="center"/>
        <w:outlineLvl w:val="0"/>
        <w:rPr>
          <w:rFonts w:ascii="仿宋_GB2312" w:hAnsi="仿宋_GB2312" w:eastAsia="仿宋_GB2312" w:cs="仿宋_GB2312"/>
          <w:b/>
          <w:sz w:val="36"/>
          <w:szCs w:val="36"/>
        </w:rPr>
      </w:pPr>
      <w:bookmarkStart w:id="24" w:name="_Toc24231"/>
      <w:r>
        <w:rPr>
          <w:rFonts w:hint="eastAsia" w:ascii="仿宋_GB2312" w:hAnsi="仿宋_GB2312" w:eastAsia="仿宋_GB2312" w:cs="仿宋_GB2312"/>
          <w:b/>
          <w:sz w:val="36"/>
          <w:szCs w:val="36"/>
        </w:rPr>
        <w:t>十四、验收</w:t>
      </w:r>
      <w:bookmarkEnd w:id="24"/>
    </w:p>
    <w:p>
      <w:pPr>
        <w:numPr>
          <w:ilvl w:val="0"/>
          <w:numId w:val="13"/>
        </w:numPr>
        <w:snapToGrid w:val="0"/>
        <w:spacing w:line="360" w:lineRule="auto"/>
        <w:jc w:val="left"/>
        <w:outlineLvl w:val="1"/>
        <w:rPr>
          <w:rFonts w:ascii="仿宋_GB2312" w:hAnsi="仿宋" w:eastAsia="仿宋_GB2312"/>
          <w:b/>
          <w:sz w:val="24"/>
          <w:lang w:val="zh-CN"/>
        </w:rPr>
      </w:pPr>
      <w:r>
        <w:rPr>
          <w:rFonts w:hint="eastAsia" w:ascii="仿宋_GB2312" w:hAnsi="仿宋" w:eastAsia="仿宋_GB2312"/>
          <w:b/>
          <w:sz w:val="24"/>
          <w:lang w:val="zh-CN"/>
        </w:rPr>
        <w:t>验收</w:t>
      </w:r>
    </w:p>
    <w:p>
      <w:pPr>
        <w:pStyle w:val="395"/>
        <w:numPr>
          <w:ilvl w:val="1"/>
          <w:numId w:val="35"/>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pStyle w:val="395"/>
        <w:numPr>
          <w:ilvl w:val="1"/>
          <w:numId w:val="35"/>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采购人可以邀请参加本项目的其他供应商或者第三方机构参与验收。参与验收的供应商或者第三方机构的意见作为验收书的参考资料一并存档。</w:t>
      </w:r>
    </w:p>
    <w:p>
      <w:pPr>
        <w:pStyle w:val="395"/>
        <w:numPr>
          <w:ilvl w:val="1"/>
          <w:numId w:val="35"/>
        </w:numPr>
        <w:spacing w:before="0"/>
        <w:ind w:left="10" w:firstLine="387" w:firstLineChars="0"/>
        <w:rPr>
          <w:rFonts w:ascii="仿宋_GB2312" w:hAnsi="仿宋" w:eastAsia="仿宋_GB2312" w:cs="Arial"/>
          <w:kern w:val="0"/>
          <w:szCs w:val="24"/>
        </w:rPr>
      </w:pPr>
      <w:r>
        <w:rPr>
          <w:rFonts w:hint="eastAsia" w:ascii="仿宋_GB2312" w:hAnsi="仿宋" w:eastAsia="仿宋_GB2312" w:cs="Arial"/>
          <w:kern w:val="0"/>
          <w:szCs w:val="24"/>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pStyle w:val="395"/>
        <w:numPr>
          <w:ilvl w:val="1"/>
          <w:numId w:val="35"/>
        </w:numPr>
        <w:spacing w:before="0"/>
        <w:ind w:left="10" w:firstLine="387" w:firstLineChars="0"/>
        <w:rPr>
          <w:rFonts w:ascii="仿宋_GB2312" w:hAnsi="Helvetica" w:eastAsia="仿宋_GB2312" w:cs="Helvetica"/>
          <w:kern w:val="0"/>
        </w:rPr>
      </w:pPr>
      <w:r>
        <w:rPr>
          <w:rFonts w:hint="eastAsia" w:ascii="仿宋_GB2312" w:hAnsi="仿宋" w:eastAsia="仿宋_GB2312" w:cs="Arial"/>
          <w:kern w:val="0"/>
          <w:szCs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9"/>
    <w:p>
      <w:pPr>
        <w:widowControl/>
        <w:adjustRightInd/>
        <w:jc w:val="left"/>
        <w:rPr>
          <w:rFonts w:ascii="仿宋_GB2312" w:hAnsi="仿宋_GB2312" w:eastAsia="仿宋_GB2312" w:cs="仿宋_GB2312"/>
          <w:b/>
          <w:sz w:val="36"/>
          <w:szCs w:val="36"/>
        </w:rPr>
      </w:pPr>
      <w:bookmarkStart w:id="25" w:name="_Hlt75236290"/>
      <w:bookmarkEnd w:id="25"/>
      <w:bookmarkStart w:id="26" w:name="_Hlt75236101"/>
      <w:bookmarkEnd w:id="26"/>
      <w:bookmarkStart w:id="27" w:name="_Hlt75236011"/>
      <w:bookmarkEnd w:id="27"/>
      <w:bookmarkStart w:id="28" w:name="_Hlt74730295"/>
      <w:bookmarkEnd w:id="28"/>
      <w:bookmarkStart w:id="29" w:name="_Hlt68072990"/>
      <w:bookmarkEnd w:id="29"/>
      <w:bookmarkStart w:id="30" w:name="_Hlt74714665"/>
      <w:bookmarkEnd w:id="30"/>
      <w:bookmarkStart w:id="31" w:name="_Hlt74729768"/>
      <w:bookmarkEnd w:id="31"/>
      <w:bookmarkStart w:id="32" w:name="_Hlt68057669"/>
      <w:bookmarkEnd w:id="32"/>
      <w:bookmarkStart w:id="33" w:name="_Hlt74707468"/>
      <w:bookmarkEnd w:id="33"/>
      <w:bookmarkStart w:id="34" w:name="第三部分"/>
      <w:bookmarkStart w:id="35" w:name="_Toc164416483"/>
      <w:r>
        <w:rPr>
          <w:rFonts w:ascii="仿宋_GB2312" w:hAnsi="仿宋_GB2312" w:eastAsia="仿宋_GB2312" w:cs="仿宋_GB2312"/>
          <w:b/>
          <w:sz w:val="36"/>
          <w:szCs w:val="36"/>
        </w:rPr>
        <w:br w:type="page"/>
      </w:r>
    </w:p>
    <w:p>
      <w:pPr>
        <w:adjustRightInd/>
        <w:spacing w:line="360" w:lineRule="auto"/>
        <w:jc w:val="center"/>
        <w:outlineLvl w:val="0"/>
        <w:rPr>
          <w:rFonts w:ascii="仿宋_GB2312" w:hAnsi="仿宋_GB2312" w:eastAsia="仿宋_GB2312" w:cs="仿宋_GB2312"/>
          <w:b/>
          <w:sz w:val="36"/>
          <w:szCs w:val="36"/>
        </w:rPr>
      </w:pPr>
      <w:bookmarkStart w:id="36" w:name="_Toc20290"/>
      <w:r>
        <w:rPr>
          <w:rFonts w:hint="eastAsia" w:ascii="仿宋_GB2312" w:hAnsi="仿宋_GB2312" w:eastAsia="仿宋_GB2312" w:cs="仿宋_GB2312"/>
          <w:b/>
          <w:sz w:val="36"/>
          <w:szCs w:val="36"/>
        </w:rPr>
        <w:t>第四部分  采购需求</w:t>
      </w:r>
      <w:bookmarkEnd w:id="36"/>
    </w:p>
    <w:p>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详</w:t>
      </w:r>
      <w:r>
        <w:rPr>
          <w:rFonts w:hint="eastAsia" w:ascii="仿宋" w:hAnsi="仿宋" w:eastAsia="仿宋" w:cs="仿宋"/>
          <w:kern w:val="0"/>
          <w:sz w:val="24"/>
          <w:szCs w:val="24"/>
        </w:rPr>
        <w:t>见工程量清单</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bCs/>
          <w:sz w:val="24"/>
          <w:szCs w:val="24"/>
        </w:rPr>
      </w:pPr>
      <w:r>
        <w:rPr>
          <w:rFonts w:hint="eastAsia" w:ascii="仿宋" w:hAnsi="仿宋" w:eastAsia="仿宋" w:cs="仿宋"/>
          <w:b/>
          <w:bCs/>
          <w:sz w:val="24"/>
          <w:szCs w:val="24"/>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rPr>
      </w:pPr>
      <w:r>
        <w:rPr>
          <w:rFonts w:hint="eastAsia" w:ascii="仿宋" w:hAnsi="仿宋" w:eastAsia="仿宋" w:cs="仿宋"/>
          <w:sz w:val="24"/>
          <w:szCs w:val="24"/>
        </w:rPr>
        <w:t xml:space="preserve">  1、工程地点：</w:t>
      </w:r>
      <w:r>
        <w:rPr>
          <w:rFonts w:hint="eastAsia" w:ascii="仿宋" w:hAnsi="仿宋" w:eastAsia="仿宋" w:cs="仿宋"/>
          <w:sz w:val="24"/>
          <w:szCs w:val="24"/>
          <w:lang w:eastAsia="zh-CN"/>
        </w:rPr>
        <w:t>乌鲁木齐市</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rPr>
      </w:pPr>
      <w:r>
        <w:rPr>
          <w:rFonts w:hint="eastAsia" w:ascii="仿宋" w:hAnsi="仿宋" w:eastAsia="仿宋" w:cs="仿宋"/>
          <w:sz w:val="24"/>
          <w:szCs w:val="24"/>
        </w:rPr>
        <w:t xml:space="preserve">  2、工程概况：地下一二层装修工程。</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bCs/>
          <w:sz w:val="24"/>
          <w:szCs w:val="24"/>
        </w:rPr>
      </w:pPr>
      <w:r>
        <w:rPr>
          <w:rFonts w:hint="eastAsia" w:ascii="仿宋" w:hAnsi="仿宋" w:eastAsia="仿宋" w:cs="仿宋"/>
          <w:b/>
          <w:bCs/>
          <w:sz w:val="24"/>
          <w:szCs w:val="24"/>
        </w:rPr>
        <w:t>二、招标范围</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rPr>
      </w:pPr>
      <w:r>
        <w:rPr>
          <w:rFonts w:hint="eastAsia" w:ascii="仿宋" w:hAnsi="仿宋" w:eastAsia="仿宋" w:cs="仿宋"/>
          <w:sz w:val="24"/>
          <w:szCs w:val="24"/>
        </w:rPr>
        <w:t>1、本次招标范围为</w:t>
      </w:r>
      <w:r>
        <w:rPr>
          <w:rFonts w:hint="eastAsia" w:ascii="仿宋" w:hAnsi="仿宋" w:eastAsia="仿宋" w:cs="仿宋"/>
          <w:sz w:val="24"/>
          <w:szCs w:val="24"/>
          <w:lang w:eastAsia="zh-CN"/>
        </w:rPr>
        <w:t>天山牧歌二期31号楼地下一二层装修工程</w:t>
      </w:r>
      <w:r>
        <w:rPr>
          <w:rFonts w:hint="eastAsia" w:ascii="仿宋" w:hAnsi="仿宋" w:eastAsia="仿宋" w:cs="仿宋"/>
          <w:sz w:val="24"/>
          <w:szCs w:val="24"/>
        </w:rPr>
        <w:t>范围内的全部内容，主要包括：电气设备安装工程</w:t>
      </w:r>
      <w:r>
        <w:rPr>
          <w:rFonts w:hint="eastAsia" w:ascii="仿宋" w:hAnsi="仿宋" w:eastAsia="仿宋" w:cs="仿宋"/>
          <w:sz w:val="24"/>
          <w:szCs w:val="24"/>
          <w:lang w:eastAsia="zh-CN"/>
        </w:rPr>
        <w:t>、</w:t>
      </w:r>
      <w:r>
        <w:rPr>
          <w:rFonts w:hint="eastAsia" w:ascii="仿宋" w:hAnsi="仿宋" w:eastAsia="仿宋" w:cs="仿宋"/>
          <w:sz w:val="24"/>
          <w:szCs w:val="24"/>
        </w:rPr>
        <w:t>给排水工程</w:t>
      </w:r>
      <w:r>
        <w:rPr>
          <w:rFonts w:hint="eastAsia" w:ascii="仿宋" w:hAnsi="仿宋" w:eastAsia="仿宋" w:cs="仿宋"/>
          <w:sz w:val="24"/>
          <w:szCs w:val="24"/>
          <w:lang w:eastAsia="zh-CN"/>
        </w:rPr>
        <w:t>、</w:t>
      </w:r>
      <w:r>
        <w:rPr>
          <w:rFonts w:hint="eastAsia" w:ascii="仿宋" w:hAnsi="仿宋" w:eastAsia="仿宋" w:cs="仿宋"/>
          <w:sz w:val="24"/>
          <w:szCs w:val="24"/>
        </w:rPr>
        <w:t>建筑与装饰工程</w:t>
      </w:r>
      <w:r>
        <w:rPr>
          <w:rFonts w:hint="eastAsia" w:ascii="仿宋" w:hAnsi="仿宋" w:eastAsia="仿宋" w:cs="仿宋"/>
          <w:sz w:val="24"/>
          <w:szCs w:val="24"/>
          <w:lang w:eastAsia="zh-CN"/>
        </w:rPr>
        <w:t>、</w:t>
      </w:r>
      <w:r>
        <w:rPr>
          <w:rFonts w:hint="eastAsia" w:ascii="仿宋" w:hAnsi="仿宋" w:eastAsia="仿宋" w:cs="仿宋"/>
          <w:sz w:val="24"/>
          <w:szCs w:val="24"/>
        </w:rPr>
        <w:t>消防工程等各专业，具体参见甲方提供的工程量清单。</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rPr>
      </w:pPr>
      <w:r>
        <w:rPr>
          <w:rFonts w:hint="eastAsia" w:ascii="仿宋" w:hAnsi="仿宋" w:eastAsia="仿宋" w:cs="仿宋"/>
          <w:sz w:val="24"/>
          <w:szCs w:val="24"/>
        </w:rPr>
        <w:t>2、工期要求：</w:t>
      </w:r>
      <w:r>
        <w:rPr>
          <w:rFonts w:hint="eastAsia" w:ascii="仿宋" w:hAnsi="仿宋" w:eastAsia="仿宋" w:cs="仿宋"/>
          <w:sz w:val="24"/>
          <w:szCs w:val="24"/>
          <w:lang w:val="en-US" w:eastAsia="zh-CN"/>
        </w:rPr>
        <w:t>40日历日</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rPr>
      </w:pPr>
      <w:r>
        <w:rPr>
          <w:rFonts w:hint="eastAsia" w:ascii="仿宋" w:hAnsi="仿宋" w:eastAsia="仿宋" w:cs="仿宋"/>
          <w:sz w:val="24"/>
          <w:szCs w:val="24"/>
        </w:rPr>
        <w:t>3、施工现场实际情况、交通运输情况、自然地理要求：自行勘察。</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bCs/>
          <w:sz w:val="24"/>
          <w:szCs w:val="24"/>
        </w:rPr>
      </w:pPr>
      <w:r>
        <w:rPr>
          <w:rFonts w:hint="eastAsia" w:ascii="仿宋" w:hAnsi="仿宋" w:eastAsia="仿宋" w:cs="仿宋"/>
          <w:b/>
          <w:bCs/>
          <w:sz w:val="24"/>
          <w:szCs w:val="24"/>
        </w:rPr>
        <w:t>三、工程量清单编制依据</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rPr>
      </w:pPr>
      <w:r>
        <w:rPr>
          <w:rFonts w:hint="eastAsia" w:ascii="仿宋" w:hAnsi="仿宋" w:eastAsia="仿宋" w:cs="仿宋"/>
          <w:sz w:val="24"/>
          <w:szCs w:val="24"/>
        </w:rPr>
        <w:t xml:space="preserve"> 1、中华人民共和国国家标准GB50854-2013《建设工程工程量清单计价规范》。</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  2、与本工程有关的资料。</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四、相关说明</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1、本工程属于增值税模式的计税工程项目。</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2、土方的运输施工根据合理、经济的施工方案自行考虑。</w:t>
      </w:r>
      <w:r>
        <w:rPr>
          <w:rFonts w:hint="eastAsia" w:ascii="仿宋" w:hAnsi="仿宋" w:eastAsia="仿宋" w:cs="仿宋"/>
          <w:kern w:val="0"/>
          <w:sz w:val="24"/>
          <w:szCs w:val="24"/>
          <w:lang w:val="en-US" w:eastAsia="zh-CN" w:bidi="ar-SA"/>
        </w:rPr>
        <w:tab/>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3、本工程相应专业规费及不可竞争费费率按招标文件及工程量清单相关所列费率填报，结算时根据政府有关部门颁发的文件执行。</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4、本工程为室内维修改造项目。</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5、其他未尽事项详见招标文件、设计图纸、相关规范及业主其他书面要求。</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五、施工技术要求</w:t>
      </w:r>
    </w:p>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eastAsia" w:ascii="仿宋" w:hAnsi="仿宋" w:eastAsia="仿宋" w:cs="仿宋"/>
          <w:b/>
          <w:color w:val="auto"/>
          <w:sz w:val="24"/>
          <w:szCs w:val="24"/>
          <w:lang w:val="zh-CN" w:eastAsia="zh-CN"/>
        </w:rPr>
      </w:pPr>
      <w:r>
        <w:rPr>
          <w:rFonts w:hint="eastAsia" w:ascii="仿宋" w:hAnsi="仿宋" w:eastAsia="仿宋" w:cs="仿宋"/>
          <w:b/>
          <w:color w:val="auto"/>
          <w:sz w:val="24"/>
          <w:szCs w:val="24"/>
          <w:lang w:val="en-US" w:eastAsia="zh-CN"/>
        </w:rPr>
        <w:t>室内</w:t>
      </w:r>
      <w:r>
        <w:rPr>
          <w:rFonts w:hint="eastAsia" w:ascii="仿宋" w:hAnsi="仿宋" w:eastAsia="仿宋" w:cs="仿宋"/>
          <w:b/>
          <w:color w:val="auto"/>
          <w:sz w:val="24"/>
          <w:szCs w:val="24"/>
          <w:lang w:val="zh-CN" w:eastAsia="zh-CN"/>
        </w:rPr>
        <w:t>墙面饰面板部分</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b/>
          <w:color w:val="auto"/>
          <w:sz w:val="24"/>
          <w:szCs w:val="24"/>
          <w:lang w:val="zh-CN" w:eastAsia="zh-CN"/>
        </w:rPr>
      </w:pPr>
      <w:r>
        <w:rPr>
          <w:rFonts w:hint="eastAsia" w:ascii="仿宋" w:hAnsi="仿宋" w:eastAsia="仿宋" w:cs="仿宋"/>
          <w:color w:val="auto"/>
          <w:sz w:val="24"/>
          <w:szCs w:val="24"/>
        </w:rPr>
        <w:t>工序/ 工艺 质量控制要点：</w:t>
      </w:r>
    </w:p>
    <w:p>
      <w:pPr>
        <w:keepNext w:val="0"/>
        <w:keepLines w:val="0"/>
        <w:pageBreakBefore w:val="0"/>
        <w:widowControl w:val="0"/>
        <w:numPr>
          <w:ilvl w:val="0"/>
          <w:numId w:val="36"/>
        </w:numPr>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墙面罩面板的安装工艺：基层防潮处理→放线→骨架连接件固定→固定龙骨→基层板安装→安装饰面板。</w:t>
      </w:r>
    </w:p>
    <w:p>
      <w:pPr>
        <w:keepNext w:val="0"/>
        <w:keepLines w:val="0"/>
        <w:pageBreakBefore w:val="0"/>
        <w:widowControl w:val="0"/>
        <w:numPr>
          <w:ilvl w:val="0"/>
          <w:numId w:val="36"/>
        </w:numPr>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若隔断墙内有管线安装则应在封罩面板之前完成。隔断墙上有插座等物件，则应在相应位置设加强垫木。</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rPr>
        <w:t>基层板和木饰面板的安装</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）基层防潮处理</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为了防止墙面的潮气使夹板产生翘曲，墙面应采取防潮措施。其方法有两种：一种在基层上先做防潮砂浆抹灰，干燥后再涂一道防水涂料如1mm涂膜橡胶；另一种是在墙面比较干燥的情况下，采用护墙面板与墙面之间通气，即在罩面板的上、下留透气孔，保证墙龙骨、罩面板干燥。</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本工程采取防潮砂浆抹灰来进行防潮处理，并采取在龙骨、基层板两面刷涂防火涂料来保证木结构基层、龙骨的防火要求。</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放线</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放线前要检查墙面的质量情况，弹出竖筋和横筋的龙骨装钉垂直线和水平线。其墙筋的间距应参照罩面板的长、宽规格尺寸确定，本工程设计要求间距为400mm。</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木骨架固定</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墙体内预埋木砖或嵌入木楔，或者用射钉枪射钉将竖向墙筋钉入墙面上。横竖墙筋的间距按放线钉好。</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安装夹板基层</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龙骨安装完成后,将基层夹板按照龙骨间距并根据基层板的规格进行排板,并用铁钉进行安装固定,要求固定牢固,钉帽要隐入板内不得漏出钉头。要求衬板表面无翘曲、起皮现象，表面平整、清洁。板与板之间缝隙应在竖木筋处。</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安装饰面板</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将饰面夹板好面朝外，按墙筋间距、拼缝要求进行排板，并将加工后的饰面板试铺后，用粘贴、钉、上螺丝等方法固定在墙筋上。所用的钉子钉头应隐入饰面板内不的露头。</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饰面板接点处理</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rPr>
        <w:t>木饰面板安装时的细部接点处理是木装修效果及质量的重要影响因素。通常细部处理有：板与板的拼接处理方法：斜缝、平缝、压条等。</w:t>
      </w:r>
    </w:p>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仿宋" w:hAnsi="仿宋" w:eastAsia="仿宋" w:cs="仿宋"/>
          <w:b/>
          <w:color w:val="auto"/>
          <w:sz w:val="24"/>
          <w:szCs w:val="24"/>
          <w:lang w:val="zh-CN" w:eastAsia="zh-CN"/>
        </w:rPr>
      </w:pPr>
      <w:r>
        <w:rPr>
          <w:rFonts w:hint="eastAsia" w:ascii="仿宋" w:hAnsi="仿宋" w:eastAsia="仿宋" w:cs="仿宋"/>
          <w:b/>
          <w:color w:val="auto"/>
          <w:sz w:val="24"/>
          <w:szCs w:val="24"/>
          <w:lang w:val="zh-CN" w:eastAsia="zh-CN"/>
        </w:rPr>
        <w:t>室内吊顶部分</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b/>
          <w:color w:val="auto"/>
          <w:sz w:val="24"/>
          <w:szCs w:val="24"/>
          <w:lang w:val="zh-CN" w:eastAsia="zh-CN"/>
        </w:rPr>
      </w:pPr>
      <w:r>
        <w:rPr>
          <w:rFonts w:hint="eastAsia" w:ascii="仿宋" w:hAnsi="仿宋" w:eastAsia="仿宋" w:cs="仿宋"/>
          <w:color w:val="auto"/>
          <w:sz w:val="24"/>
          <w:szCs w:val="24"/>
        </w:rPr>
        <w:t>工序/ 工艺 质量控制要点：</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1、</w:t>
      </w:r>
      <w:r>
        <w:rPr>
          <w:rFonts w:hint="eastAsia" w:ascii="仿宋" w:hAnsi="仿宋" w:eastAsia="仿宋" w:cs="仿宋"/>
          <w:snapToGrid w:val="0"/>
          <w:color w:val="auto"/>
          <w:kern w:val="0"/>
          <w:sz w:val="24"/>
          <w:szCs w:val="24"/>
        </w:rPr>
        <w:t>暗龙</w:t>
      </w:r>
      <w:r>
        <w:rPr>
          <w:rFonts w:hint="eastAsia" w:ascii="仿宋" w:hAnsi="仿宋" w:eastAsia="仿宋" w:cs="仿宋"/>
          <w:snapToGrid w:val="0"/>
          <w:color w:val="auto"/>
          <w:kern w:val="0"/>
          <w:sz w:val="24"/>
          <w:szCs w:val="24"/>
          <w:lang w:eastAsia="zh-CN"/>
        </w:rPr>
        <w:t>、明龙</w:t>
      </w:r>
      <w:r>
        <w:rPr>
          <w:rFonts w:hint="eastAsia" w:ascii="仿宋" w:hAnsi="仿宋" w:eastAsia="仿宋" w:cs="仿宋"/>
          <w:snapToGrid w:val="0"/>
          <w:color w:val="auto"/>
          <w:kern w:val="0"/>
          <w:sz w:val="24"/>
          <w:szCs w:val="24"/>
        </w:rPr>
        <w:t xml:space="preserve">骨吊顶工程   质量要求符合《建筑装饰装修工程施工质量验收规范》的规定。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2、工序：</w:t>
      </w:r>
      <w:r>
        <w:rPr>
          <w:rFonts w:hint="eastAsia" w:ascii="仿宋" w:hAnsi="仿宋" w:eastAsia="仿宋" w:cs="仿宋"/>
          <w:snapToGrid w:val="0"/>
          <w:color w:val="auto"/>
          <w:kern w:val="0"/>
          <w:sz w:val="24"/>
          <w:szCs w:val="24"/>
        </w:rPr>
        <w:t xml:space="preserve">弹顶棚标高水平线--画龙骨分档线--安装主龙骨吊杆--安装主龙骨--安装边龙骨--安装次龙骨--安装---清理--分项--检验批验收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3、</w:t>
      </w:r>
      <w:r>
        <w:rPr>
          <w:rFonts w:hint="eastAsia" w:ascii="仿宋" w:hAnsi="仿宋" w:eastAsia="仿宋" w:cs="仿宋"/>
          <w:snapToGrid w:val="0"/>
          <w:color w:val="auto"/>
          <w:kern w:val="0"/>
          <w:sz w:val="24"/>
          <w:szCs w:val="24"/>
        </w:rPr>
        <w:t>弹顶棚水平线：根据设计标高，沿墙四周弹顶棚标高水平线，并沿顶棚的标高水平线，在墙上画好龙骨分档位置线。</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4、</w:t>
      </w:r>
      <w:r>
        <w:rPr>
          <w:rFonts w:hint="eastAsia" w:ascii="仿宋" w:hAnsi="仿宋" w:eastAsia="仿宋" w:cs="仿宋"/>
          <w:snapToGrid w:val="0"/>
          <w:color w:val="auto"/>
          <w:kern w:val="0"/>
          <w:sz w:val="24"/>
          <w:szCs w:val="24"/>
        </w:rPr>
        <w:t xml:space="preserve">安装主龙骨吊杆：在弹好顶棚标高水平线及龙位置线后，确定吊杆下端头的标高，安装8mm吊杆。直安装选用膨胀螺栓固定到结构顶棚上。吊杆选 用规格符合设计要求，间距小于1200mm。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5、</w:t>
      </w:r>
      <w:r>
        <w:rPr>
          <w:rFonts w:hint="eastAsia" w:ascii="仿宋" w:hAnsi="仿宋" w:eastAsia="仿宋" w:cs="仿宋"/>
          <w:snapToGrid w:val="0"/>
          <w:color w:val="auto"/>
          <w:kern w:val="0"/>
          <w:sz w:val="24"/>
          <w:szCs w:val="24"/>
        </w:rPr>
        <w:t xml:space="preserve">安装主龙骨：主龙间距为900~1200mm主龙骨用与之配套的龙吊件与吊杆相连。   </w:t>
      </w:r>
      <w:r>
        <w:rPr>
          <w:rFonts w:hint="eastAsia" w:ascii="仿宋" w:hAnsi="仿宋" w:eastAsia="仿宋" w:cs="仿宋"/>
          <w:snapToGrid w:val="0"/>
          <w:color w:val="auto"/>
          <w:kern w:val="0"/>
          <w:sz w:val="24"/>
          <w:szCs w:val="24"/>
          <w:lang w:val="en-US" w:eastAsia="zh-CN"/>
        </w:rPr>
        <w:t>6、</w:t>
      </w:r>
      <w:r>
        <w:rPr>
          <w:rFonts w:hint="eastAsia" w:ascii="仿宋" w:hAnsi="仿宋" w:eastAsia="仿宋" w:cs="仿宋"/>
          <w:snapToGrid w:val="0"/>
          <w:color w:val="auto"/>
          <w:kern w:val="0"/>
          <w:sz w:val="24"/>
          <w:szCs w:val="24"/>
        </w:rPr>
        <w:t xml:space="preserve">安装次龙骨：次龙骨间距为500mm～600mm采用次挂件与主龙骨连接。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 xml:space="preserve">刷防锈漆：轻钢骨架罩面板顶棚吊杆固定吊杆铁件，在封罩面板前应刷防锈漆。   </w:t>
      </w:r>
      <w:r>
        <w:rPr>
          <w:rFonts w:hint="eastAsia" w:ascii="仿宋" w:hAnsi="仿宋" w:eastAsia="仿宋" w:cs="仿宋"/>
          <w:snapToGrid w:val="0"/>
          <w:color w:val="auto"/>
          <w:kern w:val="0"/>
          <w:sz w:val="24"/>
          <w:szCs w:val="24"/>
          <w:lang w:val="en-US" w:eastAsia="zh-CN"/>
        </w:rPr>
        <w:t>7、</w:t>
      </w:r>
      <w:r>
        <w:rPr>
          <w:rFonts w:hint="eastAsia" w:ascii="仿宋" w:hAnsi="仿宋" w:eastAsia="仿宋" w:cs="仿宋"/>
          <w:snapToGrid w:val="0"/>
          <w:color w:val="auto"/>
          <w:kern w:val="0"/>
          <w:sz w:val="24"/>
          <w:szCs w:val="24"/>
        </w:rPr>
        <w:t xml:space="preserve">安装石膏板：石膏板与轻钢骨架固定的方式采用自攻螺钉固定法，在已装好并经验收轻钢骨架下面（即做隐蔽验收工作）安装9.5mm厚反。安装石膏板用自攻螺丝固定，固定间距板边为200mm板中为300mm自攻螺丝固定后点刷防锈漆。   </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snapToGrid w:val="0"/>
          <w:color w:val="auto"/>
          <w:kern w:val="0"/>
          <w:sz w:val="24"/>
          <w:szCs w:val="24"/>
        </w:rPr>
        <w:t xml:space="preserve">接缝处理：在板缝间采用粘贴纸带嵌缝膏进行嵌缝处理。 </w:t>
      </w:r>
    </w:p>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仿宋" w:hAnsi="仿宋" w:eastAsia="仿宋" w:cs="仿宋"/>
          <w:b/>
          <w:color w:val="auto"/>
          <w:sz w:val="24"/>
          <w:szCs w:val="24"/>
          <w:lang w:val="zh-CN" w:eastAsia="zh-CN"/>
        </w:rPr>
      </w:pPr>
      <w:r>
        <w:rPr>
          <w:rFonts w:hint="eastAsia" w:ascii="仿宋" w:hAnsi="仿宋" w:eastAsia="仿宋" w:cs="仿宋"/>
          <w:b/>
          <w:color w:val="auto"/>
          <w:sz w:val="24"/>
          <w:szCs w:val="24"/>
          <w:lang w:val="zh-CN" w:eastAsia="zh-CN"/>
        </w:rPr>
        <w:t>室内电气安装部分</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工序/ 工艺 质量控制要点：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eastAsia="zh-CN"/>
        </w:rPr>
        <w:t>（一）</w:t>
      </w:r>
      <w:r>
        <w:rPr>
          <w:rFonts w:hint="eastAsia" w:ascii="仿宋" w:hAnsi="仿宋" w:eastAsia="仿宋" w:cs="仿宋"/>
          <w:snapToGrid w:val="0"/>
          <w:color w:val="auto"/>
          <w:kern w:val="0"/>
          <w:sz w:val="24"/>
          <w:szCs w:val="24"/>
        </w:rPr>
        <w:t>、管线敷设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1、电线管、钢管敷设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⑴ 设计选用电线管、钢管暗敷，施工按照电线管、钢管敷设分项工程施工工艺标准进行。要严把电线管、钢管进货关，接线盒、灯头盒、开关盒等均要有产品合格证。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⑵ 预埋管要与土建施工密切配合，首先满足水管的布置，其次安排电气配管位置。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⑶ 暗配管应沿最近线路敷设并减少弯曲，弯曲半径不应小于管外径的10倍，与建筑物表面的距离不应小于15mm，进入落地式配电箱管口应高出基础面50～80mm，进入盒、箱管口应高出基础面50～80mm，进入盒、箱管口宜高出内壁3～5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2、穿线</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⑴ 管内穿线要严把电线进货关，电线的规格型号必须符合设计要求，并有出厂合格证，到货后检查绝缘电阻、线芯直径、材质和每卷的重量是否符合要求。应按管径的大小选择相应规格的护口，尼龙压线帽、接线鼻子等规格和材质均要符合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⑵ 管内穿线应在建筑结构及土建施工作业完成后进行，选穿带线，用φ1.2～φ2.0铁丝，两端留10～15cm的余量，然后清扫管道、开关盒、插座盒等的泥土、灰尘。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⑶ 穿线时注意同一交流回路的导线必须穿于同一管内，不同回路、不同电压的交流与直线的导线不得穿入同一管内，但以下几种情况除外：标准电压为50V以下的回路；同一设备或同一流水作业设备的电力回路和无特殊防干扰要求的控制回路；同一花灯的几个回路；同类照明的几个回路，但管内的导管总数不应多于8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⑷ 导线预留长度：接线盒、开关盒、插座盒及灯头盒为15cm，配电箱内为箱体周长的1/2。</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eastAsia="zh-CN"/>
        </w:rPr>
        <w:t>（二）、</w:t>
      </w:r>
      <w:r>
        <w:rPr>
          <w:rFonts w:hint="eastAsia" w:ascii="仿宋" w:hAnsi="仿宋" w:eastAsia="仿宋" w:cs="仿宋"/>
          <w:snapToGrid w:val="0"/>
          <w:color w:val="auto"/>
          <w:kern w:val="0"/>
          <w:sz w:val="24"/>
          <w:szCs w:val="24"/>
        </w:rPr>
        <w:t>配电柜（箱）安装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⑴ 开箱检查。柜（箱）到达现场应与业主、监理共同进行开箱检查、验收。柜（箱）包装及密封应良好，制造厂的技术文件应齐全，型号、规格应符合设计要求，附件备件齐全。主体外观应无损及变形，油漆完好无损，柜内原器件及附件齐全，无损伤等缺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⑵ 柜（箱）的固定。先按图纸规定的顺序将柜做好标记，然后放置到安装位置上固定。盘面每米高的垂直度应小于1.5mm，相邻两盘顶部的水平偏差应小于2mm。柜（箱）安装要求牢固、连接紧密。柜（箱）固定好后，应进行内部清扫，用抹布将各种设备擦干净，柜内不应有杂物。</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⑶ 母线安装。柜（箱）的电源及母线的连接要按规范及国际通行相位色杯表示，相位应正确一致，保证进线电源的相序正确。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⑷ 二次回路检查，送电及功能测试。检查电气回路、信号回路接线牢固可靠，进行送电前的绝缘电阻检查应符合有关规定。按前后调试的顺序送电分别模拟试验、连锁、操作继电保护和信号动作，应正确无误、灵活可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⑸ 安装完毕，应对接地干线和各支线的外露部分以及电气设备的接地部分进行外观检查，检查电气设备是否按接地的要求接有接地线，各接地线的螺丝连接是否接妥，螺丝连接是否使用了弹簧垫圈。接地电阻应小于4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bCs/>
          <w:snapToGrid w:val="0"/>
          <w:color w:val="auto"/>
          <w:kern w:val="0"/>
          <w:sz w:val="24"/>
          <w:szCs w:val="24"/>
        </w:rPr>
      </w:pPr>
      <w:r>
        <w:rPr>
          <w:rFonts w:hint="eastAsia" w:ascii="仿宋" w:hAnsi="仿宋" w:eastAsia="仿宋" w:cs="仿宋"/>
          <w:b/>
          <w:bCs/>
          <w:snapToGrid w:val="0"/>
          <w:color w:val="auto"/>
          <w:kern w:val="0"/>
          <w:sz w:val="24"/>
          <w:szCs w:val="24"/>
        </w:rPr>
        <w:t>灯具、开关安装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1、灯具安装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⑴ 灯具、光源按设计要求采用，所用灯具应有产品合格证，灯内配线严禁外露，灯具配件齐全。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⑵ 根据安装场所检查灯具（庭园灯）是否符合要求，检查灯内配线。灯具安装必须牢固，位置正确，整齐美观，接线正确无误。3kg以上的灯具，必须用镁吊钩或螺栓，低于2.4m灯具的金属外壳应做好接地。</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⑶ 安装完毕，测得各条支路的绝缘电阻合格后，方允许通电运行。通电后应仔细检查灯具的控制是否灵活，开关与灯具控制顺序是否相对应。如发现问题必须先断电，然后查找原因进行修复。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2、开关插座安装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⑴ 各种开关、插座的规格型号必须符合设计要求，并有产品合格证。安装开关插座的面板应端正、严密并与墙面平、成排安装的开关高度应一致。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⑵ 开关接线应由开关控制相线，同一场所的开关切断位置应一致，且操作灵活，接点接触可靠。插座接线注意单相两孔插座左零右相或下零上相。单相三孔及三相四孔的接地线均应在上方。交、直流或不同电压的插座安装在同一场所时，应有明显区别，且其插座配套、均不能互相代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eastAsia="zh-CN"/>
        </w:rPr>
        <w:t>（四）</w:t>
      </w:r>
      <w:r>
        <w:rPr>
          <w:rFonts w:hint="eastAsia" w:ascii="仿宋" w:hAnsi="仿宋" w:eastAsia="仿宋" w:cs="仿宋"/>
          <w:snapToGrid w:val="0"/>
          <w:color w:val="auto"/>
          <w:kern w:val="0"/>
          <w:sz w:val="24"/>
          <w:szCs w:val="24"/>
        </w:rPr>
        <w:t>、接地安装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施工时按照接地分项工程施工工艺标准《电气装置安装工程接地装置施工及验收规范》（GB50169-2006）和《利用建筑物金属体做防雷及接地装置安装标准图集》（03D501-3）进行施工。土建结构施工时，严格按照规范和设计要求对结构钢筋进行焊接，钢筋搭接长度双面焊接不小于8cm，单面焊接不小于16cm。特别注意按设计要求做好等电位连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eastAsia="zh-CN"/>
        </w:rPr>
        <w:t>（五）</w:t>
      </w:r>
      <w:r>
        <w:rPr>
          <w:rFonts w:hint="eastAsia" w:ascii="仿宋" w:hAnsi="仿宋" w:eastAsia="仿宋" w:cs="仿宋"/>
          <w:snapToGrid w:val="0"/>
          <w:color w:val="auto"/>
          <w:kern w:val="0"/>
          <w:sz w:val="24"/>
          <w:szCs w:val="24"/>
        </w:rPr>
        <w:t>、电气调试</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⑴ 电气设备安装结束后，对电气设备、配电系统及控制保护装置进行调整试验，调试项目和标准应按国家施工验收规范电气交接试验标准执行。</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⑵ 电气设备和线路经调试合格后，动力设备才能进行单体试车。单体试车结束后可会同建设单位进行联动试车，并做好记录。</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⑶ 照明工程的线路，应按电路进行绝缘电阻的测试，并作好记录。</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⑷ 接地装置要进行电阻测试并作好测试记录。</w:t>
      </w:r>
    </w:p>
    <w:p>
      <w:pPr>
        <w:bidi w:val="0"/>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六、其他说明事项</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rPr>
      </w:pPr>
      <w:r>
        <w:rPr>
          <w:rFonts w:hint="eastAsia" w:ascii="仿宋" w:hAnsi="仿宋" w:eastAsia="仿宋" w:cs="仿宋"/>
          <w:sz w:val="24"/>
          <w:szCs w:val="24"/>
        </w:rPr>
        <w:t>1、 环境保护要求：执行省、市及当地政府对环境保护的相关要求和规定；</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rPr>
      </w:pPr>
      <w:r>
        <w:rPr>
          <w:rFonts w:hint="eastAsia" w:ascii="仿宋" w:hAnsi="仿宋" w:eastAsia="仿宋" w:cs="仿宋"/>
          <w:sz w:val="24"/>
          <w:szCs w:val="24"/>
        </w:rPr>
        <w:t>2、工程量清单中的每一个项目都需填入综合单价及合价，对于没有填入综合单价及合价的项目，不同单项及单位工程中的分部分项工程量清单中相同项目（项目特征及工作内容相同）的报价应统一，如有差异，按最低一个报价进行结算；</w:t>
      </w:r>
    </w:p>
    <w:p>
      <w:pPr>
        <w:keepNext w:val="0"/>
        <w:keepLines w:val="0"/>
        <w:pageBreakBefore w:val="0"/>
        <w:widowControl w:val="0"/>
        <w:kinsoku/>
        <w:wordWrap/>
        <w:overflowPunct/>
        <w:topLinePunct w:val="0"/>
        <w:autoSpaceDE/>
        <w:autoSpaceDN/>
        <w:bidi w:val="0"/>
        <w:snapToGrid/>
        <w:spacing w:line="360" w:lineRule="auto"/>
        <w:ind w:firstLine="480"/>
        <w:textAlignment w:val="auto"/>
        <w:rPr>
          <w:rFonts w:hint="eastAsia" w:ascii="仿宋" w:hAnsi="仿宋" w:eastAsia="仿宋" w:cs="仿宋"/>
          <w:sz w:val="24"/>
          <w:szCs w:val="24"/>
        </w:rPr>
      </w:pPr>
      <w:r>
        <w:rPr>
          <w:rFonts w:hint="eastAsia" w:ascii="仿宋" w:hAnsi="仿宋" w:eastAsia="仿宋" w:cs="仿宋"/>
          <w:sz w:val="24"/>
          <w:szCs w:val="24"/>
        </w:rPr>
        <w:t>3、本工程清单中的分部分项工程量及措施项目工程量均是根据甲方提供的工程量清单进行计算的，仅作为施工企业投标报价的共同基础，不能作为最终结算与支付价款的依据，工程量的变化调整以业主与承包商签字的合同约定为准，或按《建设工程工程量清单计价规范》有关规定执行；</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rPr>
      </w:pPr>
      <w:r>
        <w:rPr>
          <w:rFonts w:hint="eastAsia" w:ascii="仿宋" w:hAnsi="仿宋" w:eastAsia="仿宋" w:cs="仿宋"/>
          <w:sz w:val="24"/>
          <w:szCs w:val="24"/>
        </w:rPr>
        <w:t>4、工程量清单及其计价格式中的任何内容不得随意删除或涂改，若有错误，在招标答疑时及时提出，以“补遗”资料为准；</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rPr>
      </w:pPr>
      <w:r>
        <w:rPr>
          <w:rFonts w:hint="eastAsia" w:ascii="仿宋" w:hAnsi="仿宋" w:eastAsia="仿宋" w:cs="仿宋"/>
          <w:sz w:val="24"/>
          <w:szCs w:val="24"/>
        </w:rPr>
        <w:t>5、分部分项工程量清单中对工程项目的项目特征及具体做法只作重点描述，详细情况见施工图设计、技术说明及相关标准图集。组价时应结合投标人现场勘查情况包括完成所有工序工作内容的全部费用；</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rPr>
      </w:pPr>
      <w:r>
        <w:rPr>
          <w:rFonts w:hint="eastAsia" w:ascii="仿宋" w:hAnsi="仿宋" w:eastAsia="仿宋" w:cs="仿宋"/>
          <w:sz w:val="24"/>
          <w:szCs w:val="24"/>
        </w:rPr>
        <w:t>6、投标人应充分考虑施工现场周边的实际情况对施工的影响，编制施工方案，并作出报价；</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4"/>
          <w:szCs w:val="24"/>
        </w:rPr>
        <w:sectPr>
          <w:pgSz w:w="11907" w:h="16840"/>
          <w:pgMar w:top="1304" w:right="1588" w:bottom="1304" w:left="1588" w:header="720" w:footer="720" w:gutter="0"/>
          <w:cols w:space="720" w:num="1"/>
          <w:docGrid w:linePitch="285" w:charSpace="0"/>
        </w:sectPr>
      </w:pPr>
      <w:r>
        <w:rPr>
          <w:rFonts w:hint="eastAsia" w:ascii="仿宋" w:hAnsi="仿宋" w:eastAsia="仿宋" w:cs="仿宋"/>
          <w:sz w:val="24"/>
          <w:szCs w:val="24"/>
        </w:rPr>
        <w:t>7、本工程未尽事项，以计价规范、工程量计算规范、计价管理办法、招标文件以及有关的法律、法规、建设行政主管部门颁发的文件为准。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b/>
          <w:sz w:val="36"/>
          <w:szCs w:val="36"/>
        </w:rPr>
      </w:pPr>
      <w:bookmarkStart w:id="37" w:name="_Toc31602"/>
      <w:r>
        <w:rPr>
          <w:rFonts w:hint="eastAsia" w:ascii="仿宋_GB2312" w:hAnsi="仿宋_GB2312" w:eastAsia="仿宋_GB2312" w:cs="仿宋_GB2312"/>
          <w:b/>
          <w:sz w:val="36"/>
          <w:szCs w:val="36"/>
        </w:rPr>
        <w:t xml:space="preserve">第五部分  </w:t>
      </w:r>
      <w:bookmarkEnd w:id="34"/>
      <w:bookmarkEnd w:id="35"/>
      <w:bookmarkStart w:id="38" w:name="第四部分"/>
      <w:r>
        <w:rPr>
          <w:rFonts w:hint="eastAsia" w:ascii="仿宋_GB2312" w:hAnsi="仿宋_GB2312" w:eastAsia="仿宋_GB2312" w:cs="仿宋_GB2312"/>
          <w:b/>
          <w:sz w:val="36"/>
          <w:szCs w:val="36"/>
        </w:rPr>
        <w:t>评审方法及评审标准</w:t>
      </w:r>
      <w:bookmarkEnd w:id="37"/>
    </w:p>
    <w:p>
      <w:pPr>
        <w:snapToGrid w:val="0"/>
        <w:spacing w:before="120" w:beforeLines="50" w:after="120" w:afterLines="50" w:line="360" w:lineRule="auto"/>
        <w:jc w:val="center"/>
        <w:outlineLvl w:val="0"/>
        <w:rPr>
          <w:rFonts w:ascii="仿宋_GB2312" w:hAnsi="仿宋" w:eastAsia="仿宋_GB2312" w:cs="仿宋_GB2312"/>
          <w:b/>
          <w:sz w:val="28"/>
          <w:szCs w:val="28"/>
        </w:rPr>
      </w:pPr>
      <w:bookmarkStart w:id="39" w:name="_Toc30667"/>
      <w:r>
        <w:rPr>
          <w:rFonts w:hint="eastAsia" w:ascii="仿宋_GB2312" w:hAnsi="仿宋" w:eastAsia="仿宋_GB2312" w:cs="仿宋_GB2312"/>
          <w:b/>
          <w:sz w:val="28"/>
          <w:szCs w:val="28"/>
        </w:rPr>
        <w:t>评标办法前附表</w:t>
      </w:r>
      <w:bookmarkEnd w:id="39"/>
    </w:p>
    <w:tbl>
      <w:tblPr>
        <w:tblStyle w:val="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280"/>
        <w:gridCol w:w="810"/>
        <w:gridCol w:w="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Borders>
              <w:bottom w:val="single" w:color="auto" w:sz="4" w:space="0"/>
            </w:tcBorders>
            <w:noWrap w:val="0"/>
            <w:vAlign w:val="center"/>
          </w:tcPr>
          <w:p>
            <w:pPr>
              <w:keepNext w:val="0"/>
              <w:keepLines w:val="0"/>
              <w:pageBreakBefore w:val="0"/>
              <w:kinsoku/>
              <w:wordWrap/>
              <w:overflowPunct/>
              <w:topLinePunct w:val="0"/>
              <w:autoSpaceDE/>
              <w:autoSpaceDN/>
              <w:bidi w:val="0"/>
              <w:spacing w:line="360" w:lineRule="auto"/>
              <w:ind w:firstLine="480" w:firstLineChars="20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商务标评审标准</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15分</w:t>
            </w:r>
            <w:r>
              <w:rPr>
                <w:rFonts w:hint="eastAsia" w:ascii="仿宋" w:hAnsi="仿宋" w:eastAsia="仿宋" w:cs="仿宋"/>
                <w:b/>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tcBorders>
              <w:bottom w:val="single" w:color="auto" w:sz="4" w:space="0"/>
            </w:tcBorders>
            <w:noWrap w:val="0"/>
            <w:vAlign w:val="center"/>
          </w:tcPr>
          <w:p>
            <w:pPr>
              <w:keepNext w:val="0"/>
              <w:keepLines w:val="0"/>
              <w:pageBreakBefore w:val="0"/>
              <w:tabs>
                <w:tab w:val="left" w:pos="749"/>
                <w:tab w:val="left" w:pos="3346"/>
                <w:tab w:val="left" w:pos="3873"/>
                <w:tab w:val="left" w:pos="9611"/>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708" w:type="pct"/>
            <w:tcBorders>
              <w:bottom w:val="single" w:color="auto" w:sz="4" w:space="0"/>
            </w:tcBorders>
            <w:noWrap w:val="0"/>
            <w:vAlign w:val="center"/>
          </w:tcPr>
          <w:p>
            <w:pPr>
              <w:keepNext w:val="0"/>
              <w:keepLines w:val="0"/>
              <w:pageBreakBefore w:val="0"/>
              <w:tabs>
                <w:tab w:val="left" w:pos="749"/>
                <w:tab w:val="left" w:pos="3346"/>
                <w:tab w:val="left" w:pos="3873"/>
                <w:tab w:val="left" w:pos="9611"/>
              </w:tabs>
              <w:kinsoku/>
              <w:wordWrap/>
              <w:overflowPunct/>
              <w:topLinePunct w:val="0"/>
              <w:autoSpaceDE/>
              <w:autoSpaceDN/>
              <w:bidi w:val="0"/>
              <w:spacing w:line="360" w:lineRule="auto"/>
              <w:ind w:left="227"/>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评审项目</w:t>
            </w:r>
          </w:p>
        </w:tc>
        <w:tc>
          <w:tcPr>
            <w:tcW w:w="448" w:type="pct"/>
            <w:tcBorders>
              <w:bottom w:val="single" w:color="auto" w:sz="4" w:space="0"/>
            </w:tcBorders>
            <w:noWrap w:val="0"/>
            <w:vAlign w:val="center"/>
          </w:tcPr>
          <w:p>
            <w:pPr>
              <w:keepNext w:val="0"/>
              <w:keepLines w:val="0"/>
              <w:pageBreakBefore w:val="0"/>
              <w:tabs>
                <w:tab w:val="left" w:pos="761"/>
                <w:tab w:val="left" w:pos="1662"/>
                <w:tab w:val="left" w:pos="3363"/>
                <w:tab w:val="left" w:pos="3887"/>
                <w:tab w:val="left" w:pos="9649"/>
              </w:tabs>
              <w:kinsoku/>
              <w:wordWrap/>
              <w:overflowPunct/>
              <w:topLinePunct w:val="0"/>
              <w:autoSpaceDE/>
              <w:autoSpaceDN/>
              <w:bidi w:val="0"/>
              <w:spacing w:line="360" w:lineRule="auto"/>
              <w:ind w:left="43"/>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标准分</w:t>
            </w:r>
          </w:p>
        </w:tc>
        <w:tc>
          <w:tcPr>
            <w:tcW w:w="3462" w:type="pct"/>
            <w:tcBorders>
              <w:bottom w:val="single" w:color="auto" w:sz="4" w:space="0"/>
            </w:tcBorders>
            <w:noWrap w:val="0"/>
            <w:vAlign w:val="center"/>
          </w:tcPr>
          <w:p>
            <w:pPr>
              <w:keepNext w:val="0"/>
              <w:keepLines w:val="0"/>
              <w:pageBreakBefore w:val="0"/>
              <w:tabs>
                <w:tab w:val="left" w:pos="761"/>
                <w:tab w:val="left" w:pos="1662"/>
                <w:tab w:val="left" w:pos="3363"/>
                <w:tab w:val="left" w:pos="3887"/>
                <w:tab w:val="left" w:pos="9649"/>
              </w:tabs>
              <w:kinsoku/>
              <w:wordWrap/>
              <w:overflowPunct/>
              <w:topLinePunct w:val="0"/>
              <w:autoSpaceDE/>
              <w:autoSpaceDN/>
              <w:bidi w:val="0"/>
              <w:spacing w:line="360" w:lineRule="auto"/>
              <w:ind w:left="43"/>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tcBorders>
              <w:bottom w:val="single" w:color="auto" w:sz="4" w:space="0"/>
            </w:tcBorders>
            <w:noWrap w:val="0"/>
            <w:vAlign w:val="center"/>
          </w:tcPr>
          <w:p>
            <w:pPr>
              <w:keepNext w:val="0"/>
              <w:keepLines w:val="0"/>
              <w:pageBreakBefore w:val="0"/>
              <w:tabs>
                <w:tab w:val="left" w:pos="761"/>
                <w:tab w:val="left" w:pos="1662"/>
                <w:tab w:val="left" w:pos="3363"/>
                <w:tab w:val="left" w:pos="3887"/>
                <w:tab w:val="left" w:pos="9649"/>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08" w:type="pct"/>
            <w:tcBorders>
              <w:bottom w:val="single" w:color="auto" w:sz="4" w:space="0"/>
            </w:tcBorders>
            <w:noWrap w:val="0"/>
            <w:vAlign w:val="center"/>
          </w:tcPr>
          <w:p>
            <w:pPr>
              <w:keepNext w:val="0"/>
              <w:keepLines w:val="0"/>
              <w:pageBreakBefore w:val="0"/>
              <w:tabs>
                <w:tab w:val="left" w:pos="761"/>
                <w:tab w:val="left" w:pos="1662"/>
                <w:tab w:val="left" w:pos="3363"/>
                <w:tab w:val="left" w:pos="3887"/>
                <w:tab w:val="left" w:pos="9649"/>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经理</w:t>
            </w:r>
          </w:p>
        </w:tc>
        <w:tc>
          <w:tcPr>
            <w:tcW w:w="448" w:type="pct"/>
            <w:tcBorders>
              <w:bottom w:val="single" w:color="auto" w:sz="4" w:space="0"/>
            </w:tcBorders>
            <w:noWrap w:val="0"/>
            <w:vAlign w:val="center"/>
          </w:tcPr>
          <w:p>
            <w:pPr>
              <w:keepNext w:val="0"/>
              <w:keepLines w:val="0"/>
              <w:pageBreakBefore w:val="0"/>
              <w:tabs>
                <w:tab w:val="left" w:pos="761"/>
                <w:tab w:val="left" w:pos="1662"/>
                <w:tab w:val="left" w:pos="3363"/>
                <w:tab w:val="left" w:pos="3887"/>
                <w:tab w:val="left" w:pos="9649"/>
              </w:tabs>
              <w:kinsoku/>
              <w:wordWrap/>
              <w:overflowPunct/>
              <w:topLinePunct w:val="0"/>
              <w:autoSpaceDE/>
              <w:autoSpaceDN/>
              <w:bidi w:val="0"/>
              <w:spacing w:line="360" w:lineRule="auto"/>
              <w:ind w:left="43"/>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3462" w:type="pct"/>
            <w:tcBorders>
              <w:bottom w:val="single" w:color="auto" w:sz="4" w:space="0"/>
            </w:tcBorders>
            <w:noWrap w:val="0"/>
            <w:vAlign w:val="center"/>
          </w:tcPr>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项目经理具有类似业绩，有一项得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分，最高</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分，无不得分。</w:t>
            </w:r>
          </w:p>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附已完工程中标通知书和合同协议书或工程竣工验收证明材料。未提供的，本项不得分；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tabs>
                <w:tab w:val="left" w:pos="741"/>
                <w:tab w:val="left" w:pos="1642"/>
                <w:tab w:val="left" w:pos="3363"/>
                <w:tab w:val="left" w:pos="3887"/>
                <w:tab w:val="left" w:pos="9649"/>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08" w:type="pct"/>
            <w:noWrap w:val="0"/>
            <w:vAlign w:val="center"/>
          </w:tcPr>
          <w:p>
            <w:pPr>
              <w:keepNext w:val="0"/>
              <w:keepLines w:val="0"/>
              <w:pageBreakBefore w:val="0"/>
              <w:tabs>
                <w:tab w:val="left" w:pos="741"/>
                <w:tab w:val="left" w:pos="1642"/>
                <w:tab w:val="left" w:pos="3363"/>
                <w:tab w:val="left" w:pos="3887"/>
                <w:tab w:val="left" w:pos="9649"/>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项目管理人员</w:t>
            </w:r>
          </w:p>
        </w:tc>
        <w:tc>
          <w:tcPr>
            <w:tcW w:w="448" w:type="pct"/>
            <w:noWrap w:val="0"/>
            <w:vAlign w:val="center"/>
          </w:tcPr>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462" w:type="pct"/>
            <w:noWrap w:val="0"/>
            <w:vAlign w:val="center"/>
          </w:tcPr>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项目工程师、质量管理员、安全管理员、材料管理员、计划管理员、施工资料管理员等要配备齐全，其中项目工程师须附职称证书，其他人员如果有上岗证复印件也应附带。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tabs>
                <w:tab w:val="left" w:pos="741"/>
                <w:tab w:val="left" w:pos="1642"/>
                <w:tab w:val="left" w:pos="3363"/>
                <w:tab w:val="left" w:pos="3887"/>
                <w:tab w:val="left" w:pos="9649"/>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708" w:type="pct"/>
            <w:noWrap w:val="0"/>
            <w:vAlign w:val="center"/>
          </w:tcPr>
          <w:p>
            <w:pPr>
              <w:keepNext w:val="0"/>
              <w:keepLines w:val="0"/>
              <w:pageBreakBefore w:val="0"/>
              <w:tabs>
                <w:tab w:val="left" w:pos="741"/>
                <w:tab w:val="left" w:pos="1642"/>
                <w:tab w:val="left" w:pos="3363"/>
                <w:tab w:val="left" w:pos="3887"/>
                <w:tab w:val="left" w:pos="9649"/>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业绩</w:t>
            </w:r>
          </w:p>
        </w:tc>
        <w:tc>
          <w:tcPr>
            <w:tcW w:w="448" w:type="pct"/>
            <w:noWrap w:val="0"/>
            <w:vAlign w:val="center"/>
          </w:tcPr>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3462" w:type="pct"/>
            <w:noWrap w:val="0"/>
            <w:vAlign w:val="center"/>
          </w:tcPr>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近三年已完成的（20</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7月1日</w:t>
            </w:r>
            <w:r>
              <w:rPr>
                <w:rFonts w:hint="eastAsia" w:ascii="仿宋" w:hAnsi="仿宋" w:eastAsia="仿宋" w:cs="仿宋"/>
                <w:color w:val="auto"/>
                <w:sz w:val="24"/>
                <w:szCs w:val="24"/>
                <w:highlight w:val="none"/>
                <w:lang w:val="zh-CN"/>
              </w:rPr>
              <w:t>至今）类似工程业绩，</w:t>
            </w:r>
            <w:r>
              <w:rPr>
                <w:rFonts w:hint="eastAsia" w:ascii="仿宋" w:hAnsi="仿宋" w:eastAsia="仿宋" w:cs="仿宋"/>
                <w:color w:val="auto"/>
                <w:sz w:val="24"/>
                <w:szCs w:val="24"/>
                <w:highlight w:val="none"/>
              </w:rPr>
              <w:t>每有一项得1分</w:t>
            </w:r>
            <w:r>
              <w:rPr>
                <w:rFonts w:hint="eastAsia" w:ascii="仿宋" w:hAnsi="仿宋" w:eastAsia="仿宋" w:cs="仿宋"/>
                <w:color w:val="auto"/>
                <w:sz w:val="24"/>
                <w:szCs w:val="24"/>
                <w:highlight w:val="none"/>
                <w:lang w:eastAsia="zh-CN"/>
              </w:rPr>
              <w:t>，最高得</w:t>
            </w:r>
            <w:r>
              <w:rPr>
                <w:rFonts w:hint="eastAsia" w:ascii="仿宋" w:hAnsi="仿宋" w:eastAsia="仿宋" w:cs="仿宋"/>
                <w:color w:val="auto"/>
                <w:sz w:val="24"/>
                <w:szCs w:val="24"/>
                <w:highlight w:val="none"/>
                <w:lang w:val="en-US" w:eastAsia="zh-CN"/>
              </w:rPr>
              <w:t>5分。</w:t>
            </w:r>
            <w:r>
              <w:rPr>
                <w:rFonts w:hint="eastAsia" w:ascii="仿宋" w:hAnsi="仿宋" w:eastAsia="仿宋" w:cs="仿宋"/>
                <w:color w:val="auto"/>
                <w:sz w:val="24"/>
                <w:szCs w:val="24"/>
                <w:highlight w:val="none"/>
                <w:lang w:val="zh-CN"/>
              </w:rPr>
              <w:t>须提供中标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val="zh-CN"/>
              </w:rPr>
              <w:t>通知书</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lang w:val="zh-CN"/>
              </w:rPr>
              <w:t>施工合同</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lang w:val="zh-CN"/>
              </w:rPr>
              <w:t>竣工验收表。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pPr>
              <w:keepNext w:val="0"/>
              <w:keepLines w:val="0"/>
              <w:pageBreakBefore w:val="0"/>
              <w:tabs>
                <w:tab w:val="left" w:pos="741"/>
                <w:tab w:val="left" w:pos="1642"/>
                <w:tab w:val="left" w:pos="3363"/>
                <w:tab w:val="left" w:pos="3887"/>
                <w:tab w:val="left" w:pos="9649"/>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708" w:type="pct"/>
            <w:noWrap w:val="0"/>
            <w:vAlign w:val="center"/>
          </w:tcPr>
          <w:p>
            <w:pPr>
              <w:keepNext w:val="0"/>
              <w:keepLines w:val="0"/>
              <w:pageBreakBefore w:val="0"/>
              <w:tabs>
                <w:tab w:val="left" w:pos="741"/>
                <w:tab w:val="left" w:pos="1642"/>
                <w:tab w:val="left" w:pos="3363"/>
                <w:tab w:val="left" w:pos="3887"/>
                <w:tab w:val="left" w:pos="9649"/>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lang w:val="zh-CN"/>
              </w:rPr>
            </w:pPr>
            <w:r>
              <w:rPr>
                <w:rStyle w:val="642"/>
                <w:rFonts w:hint="eastAsia" w:ascii="仿宋" w:hAnsi="仿宋" w:eastAsia="仿宋" w:cs="仿宋"/>
                <w:sz w:val="24"/>
                <w:szCs w:val="24"/>
              </w:rPr>
              <w:t>企业信用</w:t>
            </w:r>
          </w:p>
        </w:tc>
        <w:tc>
          <w:tcPr>
            <w:tcW w:w="448" w:type="pct"/>
            <w:noWrap w:val="0"/>
            <w:vAlign w:val="center"/>
          </w:tcPr>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3462" w:type="pct"/>
            <w:noWrap w:val="0"/>
            <w:vAlign w:val="center"/>
          </w:tcPr>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具有质量管理体系认证证书、环境管理体系认证证书、职业健康管理体系认证证书、企业信用等级证书、资信等级证书等，每有一项得1分。最多得3分。</w:t>
            </w:r>
          </w:p>
          <w:p>
            <w:pPr>
              <w:keepNext w:val="0"/>
              <w:keepLines w:val="0"/>
              <w:pageBreakBefore w:val="0"/>
              <w:tabs>
                <w:tab w:val="left" w:pos="1642"/>
                <w:tab w:val="left" w:pos="3363"/>
                <w:tab w:val="left" w:pos="3887"/>
                <w:tab w:val="left" w:pos="9649"/>
              </w:tabs>
              <w:kinsoku/>
              <w:wordWrap/>
              <w:overflowPunct/>
              <w:topLinePunct w:val="0"/>
              <w:autoSpaceDE/>
              <w:autoSpaceDN/>
              <w:bidi w:val="0"/>
              <w:spacing w:line="360" w:lineRule="auto"/>
              <w:ind w:left="43"/>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gridSpan w:val="4"/>
            <w:noWrap w:val="0"/>
            <w:vAlign w:val="center"/>
          </w:tcPr>
          <w:p>
            <w:pPr>
              <w:keepNext w:val="0"/>
              <w:keepLines w:val="0"/>
              <w:pageBreakBefore w:val="0"/>
              <w:tabs>
                <w:tab w:val="center" w:pos="4832"/>
                <w:tab w:val="left" w:pos="7140"/>
              </w:tabs>
              <w:kinsoku/>
              <w:wordWrap/>
              <w:overflowPunct/>
              <w:topLinePunct w:val="0"/>
              <w:autoSpaceDE/>
              <w:autoSpaceDN/>
              <w:bidi w:val="0"/>
              <w:spacing w:line="360" w:lineRule="auto"/>
              <w:jc w:val="center"/>
              <w:textAlignment w:val="auto"/>
              <w:outlineLvl w:val="1"/>
              <w:rPr>
                <w:rFonts w:hint="eastAsia" w:ascii="仿宋" w:hAnsi="仿宋" w:eastAsia="仿宋" w:cs="仿宋"/>
                <w:bCs/>
                <w:color w:val="auto"/>
                <w:kern w:val="0"/>
                <w:sz w:val="24"/>
                <w:szCs w:val="24"/>
                <w:highlight w:val="none"/>
                <w:lang w:eastAsia="zh-CN"/>
              </w:rPr>
            </w:pPr>
            <w:r>
              <w:rPr>
                <w:rFonts w:hint="eastAsia" w:ascii="仿宋" w:hAnsi="仿宋" w:eastAsia="仿宋" w:cs="仿宋"/>
                <w:b/>
                <w:color w:val="auto"/>
                <w:sz w:val="24"/>
                <w:szCs w:val="24"/>
                <w:highlight w:val="none"/>
              </w:rPr>
              <w:t>技术标评审标准</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50分</w:t>
            </w:r>
            <w:r>
              <w:rPr>
                <w:rFonts w:hint="eastAsia" w:ascii="仿宋" w:hAnsi="仿宋" w:eastAsia="仿宋" w:cs="仿宋"/>
                <w:b/>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序号</w:t>
            </w:r>
          </w:p>
        </w:tc>
        <w:tc>
          <w:tcPr>
            <w:tcW w:w="708" w:type="pct"/>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评审项目</w:t>
            </w:r>
          </w:p>
        </w:tc>
        <w:tc>
          <w:tcPr>
            <w:tcW w:w="448" w:type="pct"/>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标准分</w:t>
            </w:r>
          </w:p>
        </w:tc>
        <w:tc>
          <w:tcPr>
            <w:tcW w:w="3462" w:type="pct"/>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w:t>
            </w:r>
          </w:p>
        </w:tc>
        <w:tc>
          <w:tcPr>
            <w:tcW w:w="70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施工方案</w:t>
            </w:r>
          </w:p>
        </w:tc>
        <w:tc>
          <w:tcPr>
            <w:tcW w:w="44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default" w:ascii="仿宋" w:hAnsi="仿宋" w:eastAsia="仿宋" w:cs="仿宋"/>
                <w:bCs/>
                <w:color w:val="auto"/>
                <w:kern w:val="0"/>
                <w:sz w:val="24"/>
                <w:szCs w:val="24"/>
                <w:highlight w:val="none"/>
                <w:lang w:val="en-US"/>
              </w:rPr>
            </w:pPr>
            <w:r>
              <w:rPr>
                <w:rFonts w:hint="eastAsia" w:ascii="仿宋" w:hAnsi="仿宋" w:eastAsia="仿宋" w:cs="仿宋"/>
                <w:bCs/>
                <w:color w:val="auto"/>
                <w:kern w:val="0"/>
                <w:sz w:val="24"/>
                <w:szCs w:val="24"/>
                <w:highlight w:val="none"/>
                <w:lang w:val="en-US" w:eastAsia="zh-CN"/>
              </w:rPr>
              <w:t>10</w:t>
            </w:r>
          </w:p>
        </w:tc>
        <w:tc>
          <w:tcPr>
            <w:tcW w:w="3462"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评审小组根据供应商针对本项目提供的项目施工方案进行评审，方案内容至少包含：</w:t>
            </w:r>
          </w:p>
          <w:p>
            <w:pPr>
              <w:keepNext w:val="0"/>
              <w:keepLines w:val="0"/>
              <w:pageBreakBefore w:val="0"/>
              <w:widowControl/>
              <w:numPr>
                <w:ilvl w:val="0"/>
                <w:numId w:val="0"/>
              </w:numPr>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项目部各职能机构设置（2）本项目施工的具体方法与流程（3）施工环节的注意事项及施工现场管控措施（4）施工组织管理体系（5）针对本项目施工过程的重难点分析及应对措施</w:t>
            </w:r>
            <w:r>
              <w:rPr>
                <w:rFonts w:hint="eastAsia" w:ascii="仿宋" w:hAnsi="仿宋" w:eastAsia="仿宋" w:cs="仿宋"/>
                <w:bCs/>
                <w:color w:val="auto"/>
                <w:kern w:val="0"/>
                <w:sz w:val="24"/>
                <w:szCs w:val="24"/>
                <w:highlight w:val="none"/>
                <w:lang w:eastAsia="zh-CN"/>
              </w:rPr>
              <w:t>。施工</w:t>
            </w:r>
            <w:r>
              <w:rPr>
                <w:rFonts w:hint="eastAsia" w:ascii="仿宋" w:hAnsi="仿宋" w:eastAsia="仿宋" w:cs="仿宋"/>
                <w:bCs/>
                <w:color w:val="auto"/>
                <w:kern w:val="0"/>
                <w:sz w:val="24"/>
                <w:szCs w:val="24"/>
                <w:highlight w:val="none"/>
              </w:rPr>
              <w:t>方案完整包含以上内容且满足本项目要求得</w:t>
            </w:r>
            <w:r>
              <w:rPr>
                <w:rFonts w:hint="eastAsia" w:ascii="仿宋" w:hAnsi="仿宋" w:eastAsia="仿宋" w:cs="仿宋"/>
                <w:bCs/>
                <w:color w:val="auto"/>
                <w:kern w:val="0"/>
                <w:sz w:val="24"/>
                <w:szCs w:val="24"/>
                <w:highlight w:val="none"/>
                <w:lang w:val="en-US" w:eastAsia="zh-CN"/>
              </w:rPr>
              <w:t>10</w:t>
            </w:r>
            <w:r>
              <w:rPr>
                <w:rFonts w:hint="eastAsia" w:ascii="仿宋" w:hAnsi="仿宋" w:eastAsia="仿宋" w:cs="仿宋"/>
                <w:bCs/>
                <w:color w:val="auto"/>
                <w:kern w:val="0"/>
                <w:sz w:val="24"/>
                <w:szCs w:val="24"/>
                <w:highlight w:val="none"/>
              </w:rPr>
              <w:t>分</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每缺一项扣</w:t>
            </w: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rPr>
              <w:t>分</w:t>
            </w:r>
            <w:r>
              <w:rPr>
                <w:rFonts w:hint="eastAsia" w:ascii="仿宋" w:hAnsi="仿宋" w:eastAsia="仿宋" w:cs="仿宋"/>
                <w:bCs/>
                <w:color w:val="auto"/>
                <w:kern w:val="0"/>
                <w:sz w:val="24"/>
                <w:szCs w:val="24"/>
                <w:highlight w:val="none"/>
                <w:lang w:eastAsia="zh-CN"/>
              </w:rPr>
              <w:t>，满分</w:t>
            </w:r>
            <w:r>
              <w:rPr>
                <w:rFonts w:hint="eastAsia" w:ascii="仿宋" w:hAnsi="仿宋" w:eastAsia="仿宋" w:cs="仿宋"/>
                <w:bCs/>
                <w:color w:val="auto"/>
                <w:kern w:val="0"/>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p>
        </w:tc>
        <w:tc>
          <w:tcPr>
            <w:tcW w:w="70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质量保证措施</w:t>
            </w:r>
          </w:p>
        </w:tc>
        <w:tc>
          <w:tcPr>
            <w:tcW w:w="44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10</w:t>
            </w:r>
          </w:p>
        </w:tc>
        <w:tc>
          <w:tcPr>
            <w:tcW w:w="3462"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评审小组根据供应商针对本项目提供的质量保证措施进行评审，措施内容至少包含：（1）质量管理目标（2）质量管理体系（3）施工原材料质量保证措施（4）工程施工的质量保证措施。 方案完整包含以上内容且满足本项目要求得10分，每缺一项扣2.5分，每有一处不符合本项目特点或实际采购需求的扣</w:t>
            </w: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rPr>
              <w:t>.5分，本项最多扣10分。 备注：不符合本项目特点或实际采购需求指：项目名称、实施地点、涉及的规范、标准与本项目要求不一致</w:t>
            </w:r>
            <w:r>
              <w:rPr>
                <w:rFonts w:hint="eastAsia" w:ascii="仿宋" w:hAnsi="仿宋" w:eastAsia="仿宋" w:cs="仿宋"/>
                <w:bCs/>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p>
        </w:tc>
        <w:tc>
          <w:tcPr>
            <w:tcW w:w="70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安全管理体系与措施</w:t>
            </w:r>
          </w:p>
        </w:tc>
        <w:tc>
          <w:tcPr>
            <w:tcW w:w="44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8</w:t>
            </w:r>
          </w:p>
        </w:tc>
        <w:tc>
          <w:tcPr>
            <w:tcW w:w="3462"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评审小组根据供应商针对本项目提供的安全管理体系与措施进行评审，内容至少包含：（1）安全生产管理目标（2）安全管理体系及职责划分（3）安全技术措施（4）安全应急救援预案。 方案完整包含以上内容且满足本项目要求得</w:t>
            </w:r>
            <w:r>
              <w:rPr>
                <w:rFonts w:hint="eastAsia" w:ascii="仿宋" w:hAnsi="仿宋" w:eastAsia="仿宋" w:cs="仿宋"/>
                <w:bCs/>
                <w:color w:val="auto"/>
                <w:kern w:val="0"/>
                <w:sz w:val="24"/>
                <w:szCs w:val="24"/>
                <w:highlight w:val="none"/>
                <w:lang w:val="en-US" w:eastAsia="zh-CN"/>
              </w:rPr>
              <w:t>8</w:t>
            </w:r>
            <w:r>
              <w:rPr>
                <w:rFonts w:hint="eastAsia" w:ascii="仿宋" w:hAnsi="仿宋" w:eastAsia="仿宋" w:cs="仿宋"/>
                <w:bCs/>
                <w:color w:val="auto"/>
                <w:kern w:val="0"/>
                <w:sz w:val="24"/>
                <w:szCs w:val="24"/>
                <w:highlight w:val="none"/>
              </w:rPr>
              <w:t>分，每缺一项扣</w:t>
            </w: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rPr>
              <w:t>分，每有一处不符合本项目特点或实际采购需求的扣</w:t>
            </w: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rPr>
              <w:t>分，本项最多扣</w:t>
            </w:r>
            <w:r>
              <w:rPr>
                <w:rFonts w:hint="eastAsia" w:ascii="仿宋" w:hAnsi="仿宋" w:eastAsia="仿宋" w:cs="仿宋"/>
                <w:bCs/>
                <w:color w:val="auto"/>
                <w:kern w:val="0"/>
                <w:sz w:val="24"/>
                <w:szCs w:val="24"/>
                <w:highlight w:val="none"/>
                <w:lang w:val="en-US" w:eastAsia="zh-CN"/>
              </w:rPr>
              <w:t>8</w:t>
            </w:r>
            <w:r>
              <w:rPr>
                <w:rFonts w:hint="eastAsia" w:ascii="仿宋" w:hAnsi="仿宋" w:eastAsia="仿宋" w:cs="仿宋"/>
                <w:bCs/>
                <w:color w:val="auto"/>
                <w:kern w:val="0"/>
                <w:sz w:val="24"/>
                <w:szCs w:val="24"/>
                <w:highlight w:val="none"/>
              </w:rPr>
              <w:t>分。 备注：不符合本项目特点或实际采购需求指：项目名称、实施地点、涉及的规范、标准与本项目要求不一致。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p>
        </w:tc>
        <w:tc>
          <w:tcPr>
            <w:tcW w:w="70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环保和文明施工措施</w:t>
            </w:r>
          </w:p>
        </w:tc>
        <w:tc>
          <w:tcPr>
            <w:tcW w:w="44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4</w:t>
            </w:r>
          </w:p>
        </w:tc>
        <w:tc>
          <w:tcPr>
            <w:tcW w:w="3462"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评审小组根据供应商针对本项目提供的环保和文明施工措施进行评审，方案内容至少包含：（1）环境保护管理目标（2）噪音控制管理措施（3）扬尘管理措施（4）施工现场环境管理和污染物处理及排放措施。 方案完整包含以上内容且满足本项目要求得</w:t>
            </w:r>
            <w:r>
              <w:rPr>
                <w:rFonts w:hint="eastAsia" w:ascii="仿宋" w:hAnsi="仿宋" w:eastAsia="仿宋" w:cs="仿宋"/>
                <w:bCs/>
                <w:color w:val="auto"/>
                <w:kern w:val="0"/>
                <w:sz w:val="24"/>
                <w:szCs w:val="24"/>
                <w:highlight w:val="none"/>
                <w:lang w:val="en-US" w:eastAsia="zh-CN"/>
              </w:rPr>
              <w:t>4</w:t>
            </w:r>
            <w:r>
              <w:rPr>
                <w:rFonts w:hint="eastAsia" w:ascii="仿宋" w:hAnsi="仿宋" w:eastAsia="仿宋" w:cs="仿宋"/>
                <w:bCs/>
                <w:color w:val="auto"/>
                <w:kern w:val="0"/>
                <w:sz w:val="24"/>
                <w:szCs w:val="24"/>
                <w:highlight w:val="none"/>
              </w:rPr>
              <w:t>分，每缺一项扣</w:t>
            </w: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auto"/>
                <w:kern w:val="0"/>
                <w:sz w:val="24"/>
                <w:szCs w:val="24"/>
                <w:highlight w:val="none"/>
              </w:rPr>
              <w:t>分，每有一处不符合本项目特点或实际采购需求的扣1分，本项最多扣</w:t>
            </w:r>
            <w:r>
              <w:rPr>
                <w:rFonts w:hint="eastAsia" w:ascii="仿宋" w:hAnsi="仿宋" w:eastAsia="仿宋" w:cs="仿宋"/>
                <w:bCs/>
                <w:color w:val="auto"/>
                <w:kern w:val="0"/>
                <w:sz w:val="24"/>
                <w:szCs w:val="24"/>
                <w:highlight w:val="none"/>
                <w:lang w:val="en-US" w:eastAsia="zh-CN"/>
              </w:rPr>
              <w:t>4</w:t>
            </w:r>
            <w:r>
              <w:rPr>
                <w:rFonts w:hint="eastAsia" w:ascii="仿宋" w:hAnsi="仿宋" w:eastAsia="仿宋" w:cs="仿宋"/>
                <w:bCs/>
                <w:color w:val="auto"/>
                <w:kern w:val="0"/>
                <w:sz w:val="24"/>
                <w:szCs w:val="24"/>
                <w:highlight w:val="none"/>
              </w:rPr>
              <w:t>分。 备注：不符合本项目特点或实际采购需求指：项目名称、实施地点、涉及的规范、标准与本项目要求不一致。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p>
        </w:tc>
        <w:tc>
          <w:tcPr>
            <w:tcW w:w="70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工程进度计划</w:t>
            </w:r>
          </w:p>
        </w:tc>
        <w:tc>
          <w:tcPr>
            <w:tcW w:w="44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6</w:t>
            </w:r>
          </w:p>
        </w:tc>
        <w:tc>
          <w:tcPr>
            <w:tcW w:w="3462" w:type="pct"/>
            <w:tcBorders>
              <w:bottom w:val="single" w:color="auto" w:sz="4" w:space="0"/>
            </w:tcBorders>
            <w:noWrap w:val="0"/>
            <w:vAlign w:val="top"/>
          </w:tcPr>
          <w:p>
            <w:pPr>
              <w:keepNext w:val="0"/>
              <w:keepLines w:val="0"/>
              <w:pageBreakBefore w:val="0"/>
              <w:widowControl/>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lang w:val="en-US" w:eastAsia="zh-Hans"/>
              </w:rPr>
            </w:pPr>
            <w:r>
              <w:rPr>
                <w:rFonts w:hint="eastAsia" w:ascii="仿宋" w:hAnsi="仿宋" w:eastAsia="仿宋" w:cs="仿宋"/>
                <w:bCs/>
                <w:color w:val="auto"/>
                <w:kern w:val="0"/>
                <w:sz w:val="24"/>
                <w:szCs w:val="24"/>
                <w:highlight w:val="none"/>
              </w:rPr>
              <w:t>评审小组根据供应商针对本项目提供的工程进度计划方案进行评审，方案内容至少包含：（1）工程进度计划时间安排及计划（2）影响工程施工的因素分析及解决措施（3）进度保障措施。 方案完整包含以上内容且满足本项目要求得</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分，每缺一项扣</w:t>
            </w: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rPr>
              <w:t>分，每有一处不符合本项目特点或实际采购需求的扣</w:t>
            </w: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rPr>
              <w:t>分，本项最多扣</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分。 备注：不符合本项目特点或实际采购需求指：项目名称、实施地点、涉及的规范、标准与本项目要求不一致。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p>
        </w:tc>
        <w:tc>
          <w:tcPr>
            <w:tcW w:w="70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应急预案</w:t>
            </w:r>
          </w:p>
        </w:tc>
        <w:tc>
          <w:tcPr>
            <w:tcW w:w="44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6</w:t>
            </w:r>
          </w:p>
        </w:tc>
        <w:tc>
          <w:tcPr>
            <w:tcW w:w="3462"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评审小组根据供应商针对本项目提供的应急预案进行评审，方案内容至少包含：（1）应急预案的方针与原则（2）应急保证措施（3）应急事故发生处理流程（4）应急设备配置。 方案完整包含以上内容且满足本项目要求得</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分，每缺一项扣</w:t>
            </w:r>
            <w:r>
              <w:rPr>
                <w:rFonts w:hint="eastAsia" w:ascii="仿宋" w:hAnsi="仿宋" w:eastAsia="仿宋" w:cs="仿宋"/>
                <w:bCs/>
                <w:color w:val="auto"/>
                <w:kern w:val="0"/>
                <w:sz w:val="24"/>
                <w:szCs w:val="24"/>
                <w:highlight w:val="none"/>
                <w:lang w:val="en-US" w:eastAsia="zh-CN"/>
              </w:rPr>
              <w:t>1.5</w:t>
            </w:r>
            <w:r>
              <w:rPr>
                <w:rFonts w:hint="eastAsia" w:ascii="仿宋" w:hAnsi="仿宋" w:eastAsia="仿宋" w:cs="仿宋"/>
                <w:bCs/>
                <w:color w:val="auto"/>
                <w:kern w:val="0"/>
                <w:sz w:val="24"/>
                <w:szCs w:val="24"/>
                <w:highlight w:val="none"/>
              </w:rPr>
              <w:t>分，每有一处不符合本项目特点或实际采购需求的扣</w:t>
            </w:r>
            <w:r>
              <w:rPr>
                <w:rFonts w:hint="eastAsia" w:ascii="仿宋" w:hAnsi="仿宋" w:eastAsia="仿宋" w:cs="仿宋"/>
                <w:bCs/>
                <w:color w:val="auto"/>
                <w:kern w:val="0"/>
                <w:sz w:val="24"/>
                <w:szCs w:val="24"/>
                <w:highlight w:val="none"/>
                <w:lang w:val="en-US" w:eastAsia="zh-CN"/>
              </w:rPr>
              <w:t>1.5</w:t>
            </w:r>
            <w:r>
              <w:rPr>
                <w:rFonts w:hint="eastAsia" w:ascii="仿宋" w:hAnsi="仿宋" w:eastAsia="仿宋" w:cs="仿宋"/>
                <w:bCs/>
                <w:color w:val="auto"/>
                <w:kern w:val="0"/>
                <w:sz w:val="24"/>
                <w:szCs w:val="24"/>
                <w:highlight w:val="none"/>
              </w:rPr>
              <w:t>分，本项最多扣</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分。 备注：不符合本项目特点或实际采购需求指：项目名称、实施地点、涉及的规范、标准与本项目要求不一致。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p>
        </w:tc>
        <w:tc>
          <w:tcPr>
            <w:tcW w:w="70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后续服务</w:t>
            </w:r>
          </w:p>
        </w:tc>
        <w:tc>
          <w:tcPr>
            <w:tcW w:w="44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6</w:t>
            </w:r>
          </w:p>
        </w:tc>
        <w:tc>
          <w:tcPr>
            <w:tcW w:w="3462"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评审小组根据供应商针对本项目提供的后续服务方案进行评审，方案内容至少包含：（1）质保期内外服务措施（2）响应时间及问题处理措施（3）后续服务质量保障措施（4）针对本项目提供的后续服务人员配备方案及服务承诺。 方案完整包含以上内容且满足本项目要求得</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分，每缺一项扣</w:t>
            </w:r>
            <w:r>
              <w:rPr>
                <w:rFonts w:hint="eastAsia" w:ascii="仿宋" w:hAnsi="仿宋" w:eastAsia="仿宋" w:cs="仿宋"/>
                <w:bCs/>
                <w:color w:val="auto"/>
                <w:kern w:val="0"/>
                <w:sz w:val="24"/>
                <w:szCs w:val="24"/>
                <w:highlight w:val="none"/>
                <w:lang w:val="en-US" w:eastAsia="zh-CN"/>
              </w:rPr>
              <w:t>1.5</w:t>
            </w:r>
            <w:r>
              <w:rPr>
                <w:rFonts w:hint="eastAsia" w:ascii="仿宋" w:hAnsi="仿宋" w:eastAsia="仿宋" w:cs="仿宋"/>
                <w:bCs/>
                <w:color w:val="auto"/>
                <w:kern w:val="0"/>
                <w:sz w:val="24"/>
                <w:szCs w:val="24"/>
                <w:highlight w:val="none"/>
              </w:rPr>
              <w:t>分，每有一处不符合本项目特点或实际采购需求的扣</w:t>
            </w:r>
            <w:r>
              <w:rPr>
                <w:rFonts w:hint="eastAsia" w:ascii="仿宋" w:hAnsi="仿宋" w:eastAsia="仿宋" w:cs="仿宋"/>
                <w:bCs/>
                <w:color w:val="auto"/>
                <w:kern w:val="0"/>
                <w:sz w:val="24"/>
                <w:szCs w:val="24"/>
                <w:highlight w:val="none"/>
                <w:lang w:val="en-US" w:eastAsia="zh-CN"/>
              </w:rPr>
              <w:t>1.5</w:t>
            </w:r>
            <w:r>
              <w:rPr>
                <w:rFonts w:hint="eastAsia" w:ascii="仿宋" w:hAnsi="仿宋" w:eastAsia="仿宋" w:cs="仿宋"/>
                <w:bCs/>
                <w:color w:val="auto"/>
                <w:kern w:val="0"/>
                <w:sz w:val="24"/>
                <w:szCs w:val="24"/>
                <w:highlight w:val="none"/>
              </w:rPr>
              <w:t>分，本项最多扣</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分。 备注：不符合本项目特点或实际采购需求指：项目名称、实施地点、涉及的规范、标准与本项目要求不一致。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gridSpan w:val="4"/>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
                <w:color w:val="auto"/>
                <w:sz w:val="24"/>
                <w:szCs w:val="24"/>
                <w:highlight w:val="none"/>
                <w:lang w:eastAsia="zh-CN"/>
              </w:rPr>
              <w:t>价格</w:t>
            </w:r>
            <w:r>
              <w:rPr>
                <w:rFonts w:hint="eastAsia" w:ascii="仿宋" w:hAnsi="仿宋" w:eastAsia="仿宋" w:cs="仿宋"/>
                <w:b/>
                <w:color w:val="auto"/>
                <w:sz w:val="24"/>
                <w:szCs w:val="24"/>
                <w:highlight w:val="none"/>
              </w:rPr>
              <w:t>评审标准</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35分</w:t>
            </w:r>
            <w:r>
              <w:rPr>
                <w:rFonts w:hint="eastAsia" w:ascii="仿宋" w:hAnsi="仿宋" w:eastAsia="仿宋" w:cs="仿宋"/>
                <w:b/>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0"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p>
        </w:tc>
        <w:tc>
          <w:tcPr>
            <w:tcW w:w="70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sz w:val="24"/>
                <w:szCs w:val="24"/>
              </w:rPr>
              <w:t>供应商报价</w:t>
            </w:r>
          </w:p>
        </w:tc>
        <w:tc>
          <w:tcPr>
            <w:tcW w:w="448" w:type="pct"/>
            <w:tcBorders>
              <w:bottom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snapToGrid w:val="0"/>
              <w:spacing w:line="360" w:lineRule="auto"/>
              <w:jc w:val="center"/>
              <w:textAlignment w:val="auto"/>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35</w:t>
            </w:r>
          </w:p>
        </w:tc>
        <w:tc>
          <w:tcPr>
            <w:tcW w:w="3462" w:type="pct"/>
            <w:tcBorders>
              <w:bottom w:val="single" w:color="auto" w:sz="4" w:space="0"/>
            </w:tcBorders>
            <w:noWrap w:val="0"/>
            <w:vAlign w:val="center"/>
          </w:tcPr>
          <w:p>
            <w:pPr>
              <w:pStyle w:val="407"/>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Cs/>
                <w:color w:val="auto"/>
                <w:kern w:val="0"/>
                <w:sz w:val="24"/>
                <w:szCs w:val="24"/>
                <w:highlight w:val="none"/>
              </w:rPr>
            </w:pPr>
            <w:r>
              <w:rPr>
                <w:rFonts w:hint="eastAsia" w:ascii="仿宋" w:hAnsi="仿宋" w:eastAsia="仿宋" w:cs="仿宋"/>
                <w:sz w:val="24"/>
                <w:szCs w:val="24"/>
              </w:rPr>
              <w:t>在满足磋商文件要求的前提下，取各供应商有效报价的最低价作为评标基准价,满分为</w:t>
            </w:r>
            <w:r>
              <w:rPr>
                <w:rFonts w:hint="eastAsia" w:ascii="仿宋" w:hAnsi="仿宋" w:eastAsia="仿宋" w:cs="仿宋"/>
                <w:sz w:val="24"/>
                <w:szCs w:val="24"/>
                <w:lang w:val="en-US" w:eastAsia="zh-CN"/>
              </w:rPr>
              <w:t>35</w:t>
            </w:r>
            <w:r>
              <w:rPr>
                <w:rFonts w:hint="eastAsia" w:ascii="仿宋" w:hAnsi="仿宋" w:eastAsia="仿宋" w:cs="仿宋"/>
                <w:sz w:val="24"/>
                <w:szCs w:val="24"/>
              </w:rPr>
              <w:t>分；价格分的计算响应报价得分=(评标基准价／响应报价)×0.</w:t>
            </w:r>
            <w:r>
              <w:rPr>
                <w:rFonts w:hint="eastAsia" w:ascii="仿宋" w:hAnsi="仿宋" w:eastAsia="仿宋" w:cs="仿宋"/>
                <w:sz w:val="24"/>
                <w:szCs w:val="24"/>
                <w:lang w:val="en-US" w:eastAsia="zh-CN"/>
              </w:rPr>
              <w:t>35</w:t>
            </w:r>
            <w:r>
              <w:rPr>
                <w:rFonts w:hint="eastAsia" w:ascii="仿宋" w:hAnsi="仿宋" w:eastAsia="仿宋" w:cs="仿宋"/>
                <w:sz w:val="24"/>
                <w:szCs w:val="24"/>
              </w:rPr>
              <w:t>×100 。（计算分值时，百分比按四舍五入原则，保留小数点后二位数）</w:t>
            </w:r>
          </w:p>
        </w:tc>
      </w:tr>
    </w:tbl>
    <w:p>
      <w:pPr>
        <w:snapToGrid w:val="0"/>
        <w:spacing w:line="360" w:lineRule="auto"/>
        <w:rPr>
          <w:rFonts w:ascii="仿宋" w:hAnsi="仿宋" w:eastAsia="仿宋" w:cs="仿宋_GB2312"/>
          <w:sz w:val="22"/>
          <w:szCs w:val="22"/>
        </w:rPr>
      </w:pPr>
      <w:r>
        <w:rPr>
          <w:rFonts w:ascii="Arial" w:hAnsi="Arial" w:cs="Arial"/>
          <w:sz w:val="18"/>
          <w:szCs w:val="18"/>
          <w:shd w:val="clear" w:color="auto" w:fill="FFFFFF"/>
        </w:rPr>
        <w:t> *</w:t>
      </w:r>
      <w:r>
        <w:rPr>
          <w:rFonts w:hint="eastAsia" w:ascii="仿宋" w:hAnsi="仿宋" w:eastAsia="仿宋" w:cs="仿宋_GB2312"/>
          <w:b/>
          <w:sz w:val="22"/>
          <w:szCs w:val="22"/>
        </w:rPr>
        <w:t>备注：</w:t>
      </w:r>
      <w:r>
        <w:rPr>
          <w:rFonts w:hint="eastAsia" w:ascii="仿宋" w:hAnsi="仿宋" w:eastAsia="仿宋" w:cs="仿宋_GB2312"/>
          <w:sz w:val="22"/>
          <w:szCs w:val="22"/>
        </w:rPr>
        <w:t>供应商编制响应文件（商务技术文件部分）时，建议按此目录（序号和内容）提供评标标准相应的商务技术资料。</w:t>
      </w:r>
      <w:r>
        <w:rPr>
          <w:rFonts w:ascii="仿宋" w:hAnsi="仿宋" w:eastAsia="仿宋" w:cs="仿宋_GB2312"/>
          <w:sz w:val="22"/>
          <w:szCs w:val="22"/>
        </w:rPr>
        <w:t> </w:t>
      </w:r>
    </w:p>
    <w:p>
      <w:pPr>
        <w:rPr>
          <w:rFonts w:ascii="仿宋_GB2312" w:hAnsi="仿宋" w:eastAsia="仿宋_GB2312" w:cs="仿宋_GB2312"/>
          <w:b/>
          <w:sz w:val="32"/>
        </w:rPr>
      </w:pPr>
    </w:p>
    <w:p>
      <w:pPr>
        <w:rPr>
          <w:rFonts w:ascii="仿宋_GB2312" w:hAnsi="仿宋" w:eastAsia="仿宋_GB2312" w:cs="仿宋_GB2312"/>
          <w:b/>
          <w:sz w:val="28"/>
          <w:szCs w:val="28"/>
        </w:rPr>
      </w:pPr>
      <w:bookmarkStart w:id="40" w:name="_Toc20273"/>
      <w:r>
        <w:rPr>
          <w:rFonts w:hint="eastAsia" w:ascii="仿宋_GB2312" w:hAnsi="仿宋" w:eastAsia="仿宋_GB2312" w:cs="仿宋_GB2312"/>
          <w:b/>
          <w:sz w:val="28"/>
          <w:szCs w:val="28"/>
        </w:rPr>
        <w:br w:type="page"/>
      </w:r>
    </w:p>
    <w:p>
      <w:pPr>
        <w:keepNext w:val="0"/>
        <w:keepLines w:val="0"/>
        <w:pageBreakBefore w:val="0"/>
        <w:widowControl w:val="0"/>
        <w:numPr>
          <w:ilvl w:val="0"/>
          <w:numId w:val="37"/>
        </w:numPr>
        <w:kinsoku/>
        <w:wordWrap/>
        <w:overflowPunct/>
        <w:topLinePunct w:val="0"/>
        <w:autoSpaceDE/>
        <w:autoSpaceDN/>
        <w:bidi w:val="0"/>
        <w:snapToGrid w:val="0"/>
        <w:spacing w:before="120" w:beforeLines="50" w:after="120" w:afterLines="50" w:line="360" w:lineRule="auto"/>
        <w:ind w:firstLine="0"/>
        <w:jc w:val="left"/>
        <w:textAlignment w:val="auto"/>
        <w:outlineLvl w:val="0"/>
        <w:rPr>
          <w:rFonts w:ascii="仿宋_GB2312" w:hAnsi="仿宋" w:eastAsia="仿宋_GB2312" w:cs="仿宋_GB2312"/>
          <w:b/>
          <w:sz w:val="28"/>
          <w:szCs w:val="28"/>
        </w:rPr>
      </w:pPr>
      <w:r>
        <w:rPr>
          <w:rFonts w:hint="eastAsia" w:ascii="仿宋_GB2312" w:hAnsi="仿宋" w:eastAsia="仿宋_GB2312" w:cs="仿宋_GB2312"/>
          <w:b/>
          <w:sz w:val="28"/>
          <w:szCs w:val="28"/>
        </w:rPr>
        <w:t>评审方法</w:t>
      </w:r>
      <w:bookmarkEnd w:id="40"/>
    </w:p>
    <w:p>
      <w:pPr>
        <w:keepNext w:val="0"/>
        <w:keepLines w:val="0"/>
        <w:pageBreakBefore w:val="0"/>
        <w:widowControl w:val="0"/>
        <w:numPr>
          <w:ilvl w:val="0"/>
          <w:numId w:val="38"/>
        </w:numPr>
        <w:kinsoku/>
        <w:wordWrap/>
        <w:overflowPunct/>
        <w:topLinePunct w:val="0"/>
        <w:autoSpaceDE/>
        <w:autoSpaceDN/>
        <w:bidi w:val="0"/>
        <w:adjustRightInd/>
        <w:spacing w:line="360" w:lineRule="auto"/>
        <w:ind w:left="5" w:firstLine="415"/>
        <w:textAlignment w:val="auto"/>
        <w:rPr>
          <w:rFonts w:ascii="仿宋_GB2312" w:hAnsi="仿宋" w:eastAsia="仿宋_GB2312" w:cs="Arial"/>
          <w:kern w:val="0"/>
          <w:sz w:val="24"/>
        </w:rPr>
      </w:pPr>
      <w:r>
        <w:rPr>
          <w:rFonts w:hint="eastAsia" w:ascii="仿宋_GB2312" w:hAnsi="仿宋" w:eastAsia="仿宋_GB2312" w:cs="Arial"/>
          <w:b/>
          <w:kern w:val="0"/>
          <w:sz w:val="24"/>
        </w:rPr>
        <w:t>本项目采用综合评分法。</w:t>
      </w:r>
      <w:r>
        <w:rPr>
          <w:rFonts w:hint="eastAsia" w:ascii="仿宋_GB2312" w:hAnsi="仿宋" w:eastAsia="仿宋_GB2312" w:cs="Arial"/>
          <w:kern w:val="0"/>
          <w:sz w:val="24"/>
        </w:rPr>
        <w:t>综合评分法，是指响应文件满足磋商文件全部实质性要求，且按照评审因素的量化指标评审得分最高的供应商为成交候选人的评审方法。</w:t>
      </w:r>
    </w:p>
    <w:p>
      <w:pPr>
        <w:keepNext w:val="0"/>
        <w:keepLines w:val="0"/>
        <w:pageBreakBefore w:val="0"/>
        <w:widowControl w:val="0"/>
        <w:numPr>
          <w:ilvl w:val="0"/>
          <w:numId w:val="37"/>
        </w:numPr>
        <w:kinsoku/>
        <w:wordWrap/>
        <w:overflowPunct/>
        <w:topLinePunct w:val="0"/>
        <w:autoSpaceDE/>
        <w:autoSpaceDN/>
        <w:bidi w:val="0"/>
        <w:snapToGrid w:val="0"/>
        <w:spacing w:before="120" w:beforeLines="50" w:after="120" w:afterLines="50" w:line="360" w:lineRule="auto"/>
        <w:ind w:firstLine="0"/>
        <w:jc w:val="left"/>
        <w:textAlignment w:val="auto"/>
        <w:outlineLvl w:val="0"/>
        <w:rPr>
          <w:rFonts w:ascii="仿宋_GB2312" w:hAnsi="仿宋" w:eastAsia="仿宋_GB2312" w:cs="仿宋_GB2312"/>
          <w:b/>
          <w:sz w:val="28"/>
          <w:szCs w:val="28"/>
        </w:rPr>
      </w:pPr>
      <w:bookmarkStart w:id="41" w:name="_Toc13850"/>
      <w:r>
        <w:rPr>
          <w:rFonts w:hint="eastAsia" w:ascii="仿宋_GB2312" w:hAnsi="仿宋" w:eastAsia="仿宋_GB2312" w:cs="仿宋_GB2312"/>
          <w:b/>
          <w:sz w:val="28"/>
          <w:szCs w:val="28"/>
        </w:rPr>
        <w:t>评标标准</w:t>
      </w:r>
      <w:bookmarkEnd w:id="41"/>
    </w:p>
    <w:p>
      <w:pPr>
        <w:keepNext w:val="0"/>
        <w:keepLines w:val="0"/>
        <w:pageBreakBefore w:val="0"/>
        <w:widowControl w:val="0"/>
        <w:numPr>
          <w:ilvl w:val="0"/>
          <w:numId w:val="38"/>
        </w:numPr>
        <w:kinsoku/>
        <w:wordWrap/>
        <w:overflowPunct/>
        <w:topLinePunct w:val="0"/>
        <w:autoSpaceDE/>
        <w:autoSpaceDN/>
        <w:bidi w:val="0"/>
        <w:adjustRightInd/>
        <w:spacing w:line="360" w:lineRule="auto"/>
        <w:ind w:left="5" w:firstLine="415"/>
        <w:textAlignment w:val="auto"/>
        <w:rPr>
          <w:rFonts w:ascii="仿宋_GB2312" w:hAnsi="仿宋" w:eastAsia="仿宋_GB2312" w:cs="Arial"/>
          <w:kern w:val="0"/>
          <w:sz w:val="24"/>
        </w:rPr>
      </w:pPr>
      <w:r>
        <w:rPr>
          <w:rFonts w:hint="eastAsia" w:ascii="仿宋_GB2312" w:hAnsi="仿宋" w:eastAsia="仿宋_GB2312" w:cs="Arial"/>
          <w:b/>
          <w:bCs/>
          <w:kern w:val="0"/>
          <w:sz w:val="24"/>
        </w:rPr>
        <w:t>评标标准：</w:t>
      </w:r>
      <w:r>
        <w:rPr>
          <w:rFonts w:hint="eastAsia" w:ascii="仿宋_GB2312" w:hAnsi="仿宋" w:eastAsia="仿宋_GB2312" w:cs="Arial"/>
          <w:kern w:val="0"/>
          <w:sz w:val="24"/>
        </w:rPr>
        <w:t>见评标办法前附表。</w:t>
      </w:r>
    </w:p>
    <w:p>
      <w:pPr>
        <w:keepNext w:val="0"/>
        <w:keepLines w:val="0"/>
        <w:pageBreakBefore w:val="0"/>
        <w:widowControl w:val="0"/>
        <w:numPr>
          <w:ilvl w:val="0"/>
          <w:numId w:val="37"/>
        </w:numPr>
        <w:kinsoku/>
        <w:wordWrap/>
        <w:overflowPunct/>
        <w:topLinePunct w:val="0"/>
        <w:autoSpaceDE/>
        <w:autoSpaceDN/>
        <w:bidi w:val="0"/>
        <w:snapToGrid w:val="0"/>
        <w:spacing w:before="120" w:beforeLines="50" w:after="120" w:afterLines="50" w:line="360" w:lineRule="auto"/>
        <w:ind w:firstLine="0"/>
        <w:jc w:val="left"/>
        <w:textAlignment w:val="auto"/>
        <w:outlineLvl w:val="0"/>
        <w:rPr>
          <w:rFonts w:ascii="仿宋_GB2312" w:hAnsi="仿宋" w:eastAsia="仿宋_GB2312" w:cs="仿宋_GB2312"/>
          <w:b/>
          <w:sz w:val="28"/>
          <w:szCs w:val="28"/>
        </w:rPr>
      </w:pPr>
      <w:bookmarkStart w:id="42" w:name="_Toc704"/>
      <w:r>
        <w:rPr>
          <w:rFonts w:hint="eastAsia" w:ascii="仿宋_GB2312" w:hAnsi="仿宋" w:eastAsia="仿宋_GB2312" w:cs="仿宋_GB2312"/>
          <w:b/>
          <w:sz w:val="28"/>
          <w:szCs w:val="28"/>
        </w:rPr>
        <w:t>磋商小组的组成</w:t>
      </w:r>
      <w:bookmarkEnd w:id="42"/>
    </w:p>
    <w:p>
      <w:pPr>
        <w:pStyle w:val="395"/>
        <w:keepNext w:val="0"/>
        <w:keepLines w:val="0"/>
        <w:pageBreakBefore w:val="0"/>
        <w:widowControl w:val="0"/>
        <w:numPr>
          <w:ilvl w:val="1"/>
          <w:numId w:val="39"/>
        </w:numPr>
        <w:kinsoku/>
        <w:wordWrap/>
        <w:overflowPunct/>
        <w:topLinePunct w:val="0"/>
        <w:autoSpaceDE/>
        <w:autoSpaceDN/>
        <w:bidi w:val="0"/>
        <w:spacing w:before="0"/>
        <w:ind w:firstLineChars="0"/>
        <w:textAlignment w:val="auto"/>
        <w:rPr>
          <w:rFonts w:ascii="仿宋_GB2312" w:hAnsi="仿宋" w:eastAsia="仿宋_GB2312" w:cs="Arial"/>
          <w:b/>
          <w:kern w:val="0"/>
        </w:rPr>
      </w:pPr>
      <w:r>
        <w:rPr>
          <w:rFonts w:hint="eastAsia" w:ascii="仿宋_GB2312" w:hAnsi="仿宋" w:eastAsia="仿宋_GB2312" w:cs="Arial"/>
          <w:b/>
          <w:kern w:val="0"/>
        </w:rPr>
        <w:t>磋商小组的组成。</w:t>
      </w:r>
    </w:p>
    <w:p>
      <w:pPr>
        <w:pStyle w:val="395"/>
        <w:keepNext w:val="0"/>
        <w:keepLines w:val="0"/>
        <w:pageBreakBefore w:val="0"/>
        <w:widowControl w:val="0"/>
        <w:kinsoku/>
        <w:wordWrap/>
        <w:overflowPunct/>
        <w:topLinePunct w:val="0"/>
        <w:autoSpaceDE/>
        <w:autoSpaceDN/>
        <w:bidi w:val="0"/>
        <w:spacing w:before="0"/>
        <w:ind w:firstLine="480"/>
        <w:textAlignment w:val="auto"/>
        <w:rPr>
          <w:rFonts w:ascii="仿宋_GB2312" w:hAnsi="仿宋" w:eastAsia="仿宋_GB2312"/>
        </w:rPr>
      </w:pPr>
      <w:r>
        <w:rPr>
          <w:rFonts w:hint="eastAsia" w:ascii="仿宋_GB2312" w:hAnsi="仿宋" w:eastAsia="仿宋_GB2312"/>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395"/>
        <w:keepNext w:val="0"/>
        <w:keepLines w:val="0"/>
        <w:pageBreakBefore w:val="0"/>
        <w:widowControl w:val="0"/>
        <w:kinsoku/>
        <w:wordWrap/>
        <w:overflowPunct/>
        <w:topLinePunct w:val="0"/>
        <w:autoSpaceDE/>
        <w:autoSpaceDN/>
        <w:bidi w:val="0"/>
        <w:spacing w:before="0"/>
        <w:ind w:firstLine="480"/>
        <w:textAlignment w:val="auto"/>
        <w:rPr>
          <w:rFonts w:ascii="仿宋_GB2312" w:hAnsi="仿宋" w:eastAsia="仿宋_GB2312"/>
        </w:rPr>
      </w:pPr>
      <w:r>
        <w:rPr>
          <w:rFonts w:hint="eastAsia" w:ascii="仿宋_GB2312" w:hAnsi="仿宋" w:eastAsia="仿宋_GB2312"/>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pStyle w:val="395"/>
        <w:keepNext w:val="0"/>
        <w:keepLines w:val="0"/>
        <w:pageBreakBefore w:val="0"/>
        <w:widowControl w:val="0"/>
        <w:numPr>
          <w:ilvl w:val="1"/>
          <w:numId w:val="39"/>
        </w:numPr>
        <w:kinsoku/>
        <w:wordWrap/>
        <w:overflowPunct/>
        <w:topLinePunct w:val="0"/>
        <w:autoSpaceDE/>
        <w:autoSpaceDN/>
        <w:bidi w:val="0"/>
        <w:spacing w:before="0"/>
        <w:ind w:firstLineChars="0"/>
        <w:textAlignment w:val="auto"/>
        <w:rPr>
          <w:rFonts w:ascii="仿宋_GB2312" w:hAnsi="仿宋" w:eastAsia="仿宋_GB2312" w:cs="Arial"/>
          <w:b/>
          <w:kern w:val="0"/>
        </w:rPr>
      </w:pPr>
      <w:r>
        <w:rPr>
          <w:rFonts w:hint="eastAsia" w:ascii="仿宋_GB2312" w:hAnsi="仿宋" w:eastAsia="仿宋_GB2312" w:cs="Arial"/>
          <w:b/>
          <w:kern w:val="0"/>
        </w:rPr>
        <w:t>磋商小组的组成人员的回避。</w:t>
      </w:r>
    </w:p>
    <w:p>
      <w:pPr>
        <w:pStyle w:val="395"/>
        <w:keepNext w:val="0"/>
        <w:keepLines w:val="0"/>
        <w:pageBreakBefore w:val="0"/>
        <w:widowControl w:val="0"/>
        <w:kinsoku/>
        <w:wordWrap/>
        <w:overflowPunct/>
        <w:topLinePunct w:val="0"/>
        <w:autoSpaceDE/>
        <w:autoSpaceDN/>
        <w:bidi w:val="0"/>
        <w:spacing w:before="0"/>
        <w:ind w:firstLine="480"/>
        <w:textAlignment w:val="auto"/>
        <w:rPr>
          <w:rFonts w:ascii="仿宋_GB2312" w:hAnsi="仿宋" w:eastAsia="仿宋_GB2312"/>
        </w:rPr>
      </w:pPr>
      <w:r>
        <w:rPr>
          <w:rFonts w:hint="eastAsia" w:ascii="仿宋_GB2312" w:hAnsi="仿宋" w:eastAsia="仿宋_GB2312"/>
        </w:rPr>
        <w:t>在政府采购活动中，磋商小组的组成人员与供应商有下列利害关系之一的，应当回避：</w:t>
      </w:r>
    </w:p>
    <w:p>
      <w:pPr>
        <w:pStyle w:val="395"/>
        <w:keepNext w:val="0"/>
        <w:keepLines w:val="0"/>
        <w:pageBreakBefore w:val="0"/>
        <w:widowControl w:val="0"/>
        <w:numPr>
          <w:ilvl w:val="2"/>
          <w:numId w:val="39"/>
        </w:numPr>
        <w:kinsoku/>
        <w:wordWrap/>
        <w:overflowPunct/>
        <w:topLinePunct w:val="0"/>
        <w:autoSpaceDE/>
        <w:autoSpaceDN/>
        <w:bidi w:val="0"/>
        <w:spacing w:before="0"/>
        <w:ind w:firstLineChars="0"/>
        <w:textAlignment w:val="auto"/>
        <w:rPr>
          <w:rFonts w:ascii="仿宋_GB2312" w:hAnsi="仿宋" w:eastAsia="仿宋_GB2312" w:cs="Arial"/>
          <w:kern w:val="0"/>
        </w:rPr>
      </w:pPr>
      <w:r>
        <w:rPr>
          <w:rFonts w:hint="eastAsia" w:ascii="仿宋_GB2312" w:hAnsi="仿宋" w:eastAsia="仿宋_GB2312" w:cs="Arial"/>
          <w:kern w:val="0"/>
        </w:rPr>
        <w:t>参加采购活动前3年内与供应商存在劳动关系；</w:t>
      </w:r>
    </w:p>
    <w:p>
      <w:pPr>
        <w:pStyle w:val="395"/>
        <w:keepNext w:val="0"/>
        <w:keepLines w:val="0"/>
        <w:pageBreakBefore w:val="0"/>
        <w:widowControl w:val="0"/>
        <w:numPr>
          <w:ilvl w:val="2"/>
          <w:numId w:val="39"/>
        </w:numPr>
        <w:kinsoku/>
        <w:wordWrap/>
        <w:overflowPunct/>
        <w:topLinePunct w:val="0"/>
        <w:autoSpaceDE/>
        <w:autoSpaceDN/>
        <w:bidi w:val="0"/>
        <w:spacing w:before="0"/>
        <w:ind w:firstLineChars="0"/>
        <w:textAlignment w:val="auto"/>
        <w:rPr>
          <w:rFonts w:ascii="仿宋_GB2312" w:hAnsi="仿宋" w:eastAsia="仿宋_GB2312" w:cs="Arial"/>
          <w:kern w:val="0"/>
        </w:rPr>
      </w:pPr>
      <w:r>
        <w:rPr>
          <w:rFonts w:hint="eastAsia" w:ascii="仿宋_GB2312" w:hAnsi="仿宋" w:eastAsia="仿宋_GB2312" w:cs="Arial"/>
          <w:kern w:val="0"/>
        </w:rPr>
        <w:t>参加采购活动前3年内担任供应商的董事、监事；</w:t>
      </w:r>
    </w:p>
    <w:p>
      <w:pPr>
        <w:pStyle w:val="395"/>
        <w:keepNext w:val="0"/>
        <w:keepLines w:val="0"/>
        <w:pageBreakBefore w:val="0"/>
        <w:widowControl w:val="0"/>
        <w:numPr>
          <w:ilvl w:val="2"/>
          <w:numId w:val="39"/>
        </w:numPr>
        <w:kinsoku/>
        <w:wordWrap/>
        <w:overflowPunct/>
        <w:topLinePunct w:val="0"/>
        <w:autoSpaceDE/>
        <w:autoSpaceDN/>
        <w:bidi w:val="0"/>
        <w:spacing w:before="0"/>
        <w:ind w:firstLineChars="0"/>
        <w:textAlignment w:val="auto"/>
        <w:rPr>
          <w:rFonts w:ascii="仿宋_GB2312" w:hAnsi="仿宋" w:eastAsia="仿宋_GB2312" w:cs="Arial"/>
          <w:kern w:val="0"/>
        </w:rPr>
      </w:pPr>
      <w:r>
        <w:rPr>
          <w:rFonts w:hint="eastAsia" w:ascii="仿宋_GB2312" w:hAnsi="仿宋" w:eastAsia="仿宋_GB2312" w:cs="Arial"/>
          <w:kern w:val="0"/>
        </w:rPr>
        <w:t>参加采购活动前3年内是供应商的控股股东或者实际控制人；</w:t>
      </w:r>
    </w:p>
    <w:p>
      <w:pPr>
        <w:pStyle w:val="395"/>
        <w:keepNext w:val="0"/>
        <w:keepLines w:val="0"/>
        <w:pageBreakBefore w:val="0"/>
        <w:widowControl w:val="0"/>
        <w:numPr>
          <w:ilvl w:val="2"/>
          <w:numId w:val="39"/>
        </w:numPr>
        <w:kinsoku/>
        <w:wordWrap/>
        <w:overflowPunct/>
        <w:topLinePunct w:val="0"/>
        <w:autoSpaceDE/>
        <w:autoSpaceDN/>
        <w:bidi w:val="0"/>
        <w:spacing w:before="0"/>
        <w:ind w:left="8" w:firstLine="792" w:firstLineChars="0"/>
        <w:textAlignment w:val="auto"/>
        <w:rPr>
          <w:rFonts w:ascii="仿宋_GB2312" w:hAnsi="仿宋" w:eastAsia="仿宋_GB2312" w:cs="Arial"/>
          <w:kern w:val="0"/>
        </w:rPr>
      </w:pPr>
      <w:r>
        <w:rPr>
          <w:rFonts w:hint="eastAsia" w:ascii="仿宋_GB2312" w:hAnsi="仿宋" w:eastAsia="仿宋_GB2312" w:cs="Arial"/>
          <w:kern w:val="0"/>
        </w:rPr>
        <w:t>与供应商的法定代表人或者负责人有夫妻、直系血亲、三代以内旁系血亲或者近姻亲关系；</w:t>
      </w:r>
    </w:p>
    <w:p>
      <w:pPr>
        <w:pStyle w:val="395"/>
        <w:keepNext w:val="0"/>
        <w:keepLines w:val="0"/>
        <w:pageBreakBefore w:val="0"/>
        <w:widowControl w:val="0"/>
        <w:numPr>
          <w:ilvl w:val="2"/>
          <w:numId w:val="39"/>
        </w:numPr>
        <w:kinsoku/>
        <w:wordWrap/>
        <w:overflowPunct/>
        <w:topLinePunct w:val="0"/>
        <w:autoSpaceDE/>
        <w:autoSpaceDN/>
        <w:bidi w:val="0"/>
        <w:spacing w:before="0"/>
        <w:ind w:firstLineChars="0"/>
        <w:textAlignment w:val="auto"/>
        <w:rPr>
          <w:rFonts w:ascii="仿宋_GB2312" w:hAnsi="仿宋" w:eastAsia="仿宋_GB2312" w:cs="Arial"/>
          <w:kern w:val="0"/>
        </w:rPr>
      </w:pPr>
      <w:r>
        <w:rPr>
          <w:rFonts w:hint="eastAsia" w:ascii="仿宋_GB2312" w:hAnsi="仿宋" w:eastAsia="仿宋_GB2312" w:cs="Arial"/>
          <w:kern w:val="0"/>
        </w:rPr>
        <w:t>与供应商有其他可能影响政府采购活动公平、公正进行的关系。</w:t>
      </w:r>
    </w:p>
    <w:p>
      <w:pPr>
        <w:numPr>
          <w:ilvl w:val="0"/>
          <w:numId w:val="37"/>
        </w:numPr>
        <w:snapToGrid w:val="0"/>
        <w:spacing w:before="120" w:beforeLines="50" w:after="120" w:afterLines="50" w:line="360" w:lineRule="auto"/>
        <w:ind w:firstLine="0"/>
        <w:jc w:val="left"/>
        <w:outlineLvl w:val="0"/>
        <w:rPr>
          <w:rFonts w:ascii="仿宋_GB2312" w:hAnsi="仿宋" w:eastAsia="仿宋_GB2312" w:cs="仿宋_GB2312"/>
          <w:b/>
          <w:sz w:val="28"/>
          <w:szCs w:val="28"/>
        </w:rPr>
      </w:pPr>
      <w:bookmarkStart w:id="43" w:name="_Toc32413"/>
      <w:r>
        <w:rPr>
          <w:rFonts w:hint="eastAsia" w:ascii="仿宋_GB2312" w:hAnsi="仿宋" w:eastAsia="仿宋_GB2312" w:cs="仿宋_GB2312"/>
          <w:b/>
          <w:sz w:val="28"/>
          <w:szCs w:val="28"/>
        </w:rPr>
        <w:t>磋商小组的职责</w:t>
      </w:r>
      <w:bookmarkEnd w:id="43"/>
    </w:p>
    <w:p>
      <w:pPr>
        <w:pStyle w:val="395"/>
        <w:numPr>
          <w:ilvl w:val="1"/>
          <w:numId w:val="40"/>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磋商小组负责具体评审事务，并独立履行下列职责：</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对响应文件的有效性、完整性和响应程度进行审查；</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审查、评价响应文件是否符合磋商文件的商务、技术等实质性要求；</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要求供应商对响应文件有关事项作出澄清、说明或者更正；</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磋商小组集中与单一供应商分别进行磋商；</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确定磋商文件的变动情况，并确定提交最后报价的供应商；</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根据磋商文件确定的评审办法及评审标准对提交最后报价的供应商的响应文件和最后报价采用综合评分法进行综合评分；</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编制评审报告，确定成交候选人名单，以及根据采购人委托直接确定成交人；</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向采购人、采购代理机构或者有关部门报告评审中发现的违法行为；</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法律、法规、规章、磋商文件等规定的其它事项。</w:t>
      </w:r>
    </w:p>
    <w:p>
      <w:pPr>
        <w:pStyle w:val="395"/>
        <w:numPr>
          <w:ilvl w:val="1"/>
          <w:numId w:val="40"/>
        </w:numPr>
        <w:spacing w:before="0"/>
        <w:ind w:left="10" w:firstLine="387" w:firstLineChars="0"/>
        <w:rPr>
          <w:rFonts w:ascii="仿宋_GB2312" w:hAnsi="仿宋" w:eastAsia="仿宋_GB2312"/>
          <w:szCs w:val="24"/>
        </w:rPr>
      </w:pPr>
      <w:r>
        <w:rPr>
          <w:rFonts w:hint="eastAsia" w:ascii="仿宋_GB2312" w:hAnsi="仿宋" w:eastAsia="仿宋_GB2312"/>
          <w:szCs w:val="24"/>
        </w:rPr>
        <w:t>磋商小组及其成员不得有下列行为：</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确定参与本项目至评审结束前私自接触供应商；</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 xml:space="preserve">接受供应商提出的“超出响应文件的范围或者改变响应文件的实质性内容”的澄清、说明或者更正； </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违反评审纪律发表倾向性意见或者征询采购人的倾向性意见；</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对需要专业判断的主观评审因素协商评分；</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在评审过程中擅离职守，影响评审程序正常进行的；</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记录、复制或者带走任何评审资料；</w:t>
      </w:r>
    </w:p>
    <w:p>
      <w:pPr>
        <w:pStyle w:val="395"/>
        <w:numPr>
          <w:ilvl w:val="2"/>
          <w:numId w:val="40"/>
        </w:numPr>
        <w:spacing w:before="0"/>
        <w:ind w:left="8" w:firstLine="792" w:firstLineChars="0"/>
        <w:rPr>
          <w:rFonts w:ascii="仿宋_GB2312" w:hAnsi="仿宋" w:eastAsia="仿宋_GB2312"/>
        </w:rPr>
      </w:pPr>
      <w:r>
        <w:rPr>
          <w:rFonts w:hint="eastAsia" w:ascii="仿宋_GB2312" w:hAnsi="仿宋" w:eastAsia="仿宋_GB2312"/>
        </w:rPr>
        <w:t>其他不遵守评审纪律的行为。</w:t>
      </w:r>
    </w:p>
    <w:p>
      <w:pPr>
        <w:pStyle w:val="395"/>
        <w:spacing w:before="0"/>
        <w:ind w:firstLine="480"/>
        <w:rPr>
          <w:rFonts w:ascii="仿宋_GB2312" w:hAnsi="仿宋" w:eastAsia="仿宋_GB2312"/>
        </w:rPr>
      </w:pPr>
      <w:r>
        <w:rPr>
          <w:rFonts w:hint="eastAsia" w:ascii="仿宋_GB2312" w:hAnsi="仿宋" w:eastAsia="仿宋_GB2312"/>
        </w:rPr>
        <w:t>磋商小组成员有2.1-2.5行为之一的，其评审意见无效，并不得获取评审劳务报酬和报销异地评审差旅费。</w:t>
      </w:r>
    </w:p>
    <w:p>
      <w:pPr>
        <w:numPr>
          <w:ilvl w:val="0"/>
          <w:numId w:val="37"/>
        </w:numPr>
        <w:snapToGrid w:val="0"/>
        <w:spacing w:before="120" w:beforeLines="50" w:after="120" w:afterLines="50" w:line="360" w:lineRule="auto"/>
        <w:ind w:firstLine="0"/>
        <w:jc w:val="left"/>
        <w:outlineLvl w:val="0"/>
        <w:rPr>
          <w:rFonts w:ascii="仿宋_GB2312" w:hAnsi="仿宋" w:eastAsia="仿宋_GB2312" w:cs="仿宋_GB2312"/>
          <w:b/>
          <w:sz w:val="28"/>
          <w:szCs w:val="28"/>
        </w:rPr>
      </w:pPr>
      <w:bookmarkStart w:id="44" w:name="_Toc29645"/>
      <w:r>
        <w:rPr>
          <w:rFonts w:hint="eastAsia" w:ascii="仿宋_GB2312" w:hAnsi="仿宋" w:eastAsia="仿宋_GB2312" w:cs="仿宋_GB2312"/>
          <w:b/>
          <w:sz w:val="28"/>
          <w:szCs w:val="28"/>
        </w:rPr>
        <w:t>评审程序</w:t>
      </w:r>
      <w:bookmarkEnd w:id="44"/>
    </w:p>
    <w:p>
      <w:pPr>
        <w:pStyle w:val="395"/>
        <w:spacing w:before="0"/>
        <w:ind w:firstLine="470" w:firstLineChars="196"/>
        <w:rPr>
          <w:rFonts w:ascii="仿宋_GB2312" w:hAnsi="仿宋" w:eastAsia="仿宋_GB2312"/>
          <w:b/>
        </w:rPr>
      </w:pPr>
      <w:r>
        <w:rPr>
          <w:rFonts w:hint="eastAsia" w:ascii="仿宋_GB2312" w:hAnsi="仿宋" w:eastAsia="仿宋_GB2312"/>
          <w:b/>
        </w:rPr>
        <w:t>详见磋商文件“第二部分 竞争性磋商流程”。</w:t>
      </w:r>
    </w:p>
    <w:p>
      <w:pPr>
        <w:numPr>
          <w:ilvl w:val="0"/>
          <w:numId w:val="37"/>
        </w:numPr>
        <w:snapToGrid w:val="0"/>
        <w:spacing w:before="120" w:beforeLines="50" w:after="120" w:afterLines="50" w:line="360" w:lineRule="auto"/>
        <w:ind w:firstLine="0"/>
        <w:jc w:val="left"/>
        <w:outlineLvl w:val="0"/>
        <w:rPr>
          <w:rFonts w:ascii="仿宋_GB2312" w:hAnsi="仿宋" w:eastAsia="仿宋_GB2312" w:cs="仿宋_GB2312"/>
          <w:b/>
          <w:sz w:val="28"/>
          <w:szCs w:val="28"/>
        </w:rPr>
      </w:pPr>
      <w:bookmarkStart w:id="45" w:name="_Toc28505"/>
      <w:r>
        <w:rPr>
          <w:rFonts w:hint="eastAsia" w:ascii="仿宋_GB2312" w:hAnsi="仿宋" w:eastAsia="仿宋_GB2312" w:cs="仿宋_GB2312"/>
          <w:b/>
          <w:sz w:val="28"/>
          <w:szCs w:val="28"/>
        </w:rPr>
        <w:t>评标中的其他事项</w:t>
      </w:r>
      <w:bookmarkEnd w:id="45"/>
    </w:p>
    <w:p>
      <w:pPr>
        <w:pStyle w:val="395"/>
        <w:numPr>
          <w:ilvl w:val="1"/>
          <w:numId w:val="41"/>
        </w:numPr>
        <w:spacing w:before="0"/>
        <w:ind w:firstLineChars="0"/>
        <w:rPr>
          <w:rFonts w:ascii="仿宋_GB2312" w:hAnsi="仿宋_GB2312" w:eastAsia="仿宋_GB2312" w:cs="仿宋_GB2312"/>
          <w:b/>
          <w:szCs w:val="24"/>
        </w:rPr>
      </w:pPr>
      <w:r>
        <w:rPr>
          <w:rFonts w:hint="eastAsia" w:ascii="仿宋_GB2312" w:hAnsi="仿宋" w:eastAsia="仿宋_GB2312"/>
          <w:b/>
          <w:szCs w:val="24"/>
        </w:rPr>
        <w:t>响应文件的澄清</w:t>
      </w:r>
    </w:p>
    <w:p>
      <w:pPr>
        <w:spacing w:line="360" w:lineRule="auto"/>
        <w:ind w:firstLine="480"/>
        <w:rPr>
          <w:rFonts w:ascii="仿宋_GB2312" w:hAnsi="仿宋" w:eastAsia="仿宋_GB2312"/>
          <w:sz w:val="24"/>
        </w:rPr>
      </w:pPr>
      <w:r>
        <w:rPr>
          <w:rFonts w:hint="eastAsia" w:ascii="仿宋_GB2312" w:hAnsi="仿宋" w:eastAsia="仿宋_GB2312"/>
          <w:sz w:val="24"/>
        </w:rPr>
        <w:t>对于响应文件中含义不明确、同类问题表述不一致或者有明显文字和计算错误的内容需要供应商作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5"/>
        <w:numPr>
          <w:ilvl w:val="1"/>
          <w:numId w:val="41"/>
        </w:numPr>
        <w:spacing w:before="0"/>
        <w:ind w:firstLineChars="0"/>
        <w:rPr>
          <w:rFonts w:ascii="仿宋_GB2312" w:hAnsi="仿宋" w:eastAsia="仿宋_GB2312"/>
          <w:b/>
          <w:szCs w:val="24"/>
        </w:rPr>
      </w:pPr>
      <w:r>
        <w:rPr>
          <w:rFonts w:hint="eastAsia" w:ascii="仿宋_GB2312" w:hAnsi="仿宋" w:eastAsia="仿宋_GB2312"/>
          <w:b/>
          <w:szCs w:val="24"/>
        </w:rPr>
        <w:t>最后报价的修正原则</w:t>
      </w:r>
    </w:p>
    <w:p>
      <w:pPr>
        <w:spacing w:line="360" w:lineRule="auto"/>
        <w:ind w:firstLine="480"/>
        <w:rPr>
          <w:rFonts w:ascii="仿宋_GB2312" w:hAnsi="仿宋" w:eastAsia="仿宋_GB2312"/>
          <w:sz w:val="24"/>
        </w:rPr>
      </w:pPr>
      <w:r>
        <w:rPr>
          <w:rFonts w:hint="eastAsia" w:ascii="仿宋_GB2312" w:hAnsi="仿宋" w:eastAsia="仿宋_GB2312"/>
          <w:sz w:val="24"/>
        </w:rPr>
        <w:t>磋商小组对响应文件的最后报价进行审核，对发现计算、书写等错误的，按以下原则进行修正：</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《最后报价一览表》内容与响应文件中响应内容不一致的，以《最后报价一览表》为准;</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大写金额和小写金额不一致的，以大写金额为准;</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单价金额小数点或者百分比有明显错位的，以《最后报价一览表》的总价为准，并修改单价;</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总价金额与按单价汇总金额不一致的，以单价金额计算结果为准。</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同时出现两种以上不一致的，按照前款规定的顺序修正。</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以修正后的总价作为最后报价。</w:t>
      </w:r>
    </w:p>
    <w:p>
      <w:pPr>
        <w:spacing w:line="360" w:lineRule="auto"/>
        <w:ind w:firstLine="480" w:firstLineChars="200"/>
        <w:rPr>
          <w:rFonts w:ascii="仿宋_GB2312" w:hAnsi="仿宋" w:eastAsia="仿宋_GB2312" w:cs="仿宋_GB2312"/>
          <w:b/>
          <w:bCs/>
          <w:sz w:val="24"/>
        </w:rPr>
      </w:pPr>
      <w:r>
        <w:rPr>
          <w:rFonts w:hint="eastAsia" w:ascii="仿宋_GB2312" w:hAnsi="仿宋" w:eastAsia="仿宋_GB2312" w:cs="仿宋_GB2312"/>
          <w:bCs/>
          <w:sz w:val="24"/>
        </w:rPr>
        <w:t>▲</w:t>
      </w:r>
      <w:r>
        <w:rPr>
          <w:rFonts w:hint="eastAsia" w:ascii="仿宋_GB2312" w:hAnsi="仿宋" w:eastAsia="仿宋_GB2312" w:cs="仿宋_GB2312"/>
          <w:b/>
          <w:bCs/>
          <w:sz w:val="24"/>
        </w:rPr>
        <w:t>供应商对根据修正原则修正后的最后报价不确认的，响应无效。</w:t>
      </w:r>
    </w:p>
    <w:p>
      <w:pPr>
        <w:pStyle w:val="395"/>
        <w:numPr>
          <w:ilvl w:val="1"/>
          <w:numId w:val="41"/>
        </w:numPr>
        <w:spacing w:before="0"/>
        <w:ind w:firstLineChars="0"/>
        <w:rPr>
          <w:rFonts w:ascii="仿宋_GB2312" w:hAnsi="仿宋" w:eastAsia="仿宋_GB2312"/>
          <w:b/>
          <w:szCs w:val="24"/>
        </w:rPr>
      </w:pPr>
      <w:r>
        <w:rPr>
          <w:rFonts w:hint="eastAsia" w:ascii="仿宋_GB2312" w:hAnsi="仿宋" w:eastAsia="仿宋_GB2312"/>
          <w:b/>
          <w:szCs w:val="24"/>
        </w:rPr>
        <w:t>响应无效</w:t>
      </w:r>
    </w:p>
    <w:p>
      <w:pPr>
        <w:pStyle w:val="25"/>
        <w:spacing w:line="360" w:lineRule="auto"/>
        <w:ind w:firstLine="600" w:firstLineChars="250"/>
        <w:rPr>
          <w:rFonts w:ascii="仿宋_GB2312" w:hAnsi="仿宋" w:eastAsia="仿宋_GB2312"/>
          <w:szCs w:val="21"/>
        </w:rPr>
      </w:pPr>
      <w:r>
        <w:rPr>
          <w:rFonts w:hint="eastAsia" w:ascii="仿宋_GB2312" w:hAnsi="仿宋" w:eastAsia="仿宋_GB2312" w:cs="仿宋_GB2312"/>
          <w:szCs w:val="21"/>
        </w:rPr>
        <w:t>有下列情况之一的，响应无效</w:t>
      </w:r>
      <w:r>
        <w:rPr>
          <w:rFonts w:hint="eastAsia" w:ascii="仿宋_GB2312" w:hAnsi="仿宋" w:eastAsia="仿宋_GB2312"/>
          <w:szCs w:val="21"/>
        </w:rPr>
        <w:t>：</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供应商不具备磋商文件中规定的资格要求的（供应商未提供有效的资格证明文件的，视为供应商不具备磋商文件中规定的资格要求）；</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响应文件未按照磋商文件要求签署、盖章的；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 xml:space="preserve">采购人拟采购的产品属于政府强制采购的节能产品品目清单范围的，供应商未按磋商文件要求提供国家确定的认证机构出具的、处于有效期之内的节能产品认证证书的； </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响应文件含有采购人不能接受的附加条件的；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响应文件中承诺的响应有效期少于磋商文件中载明的响应有效期的；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所提交的《最后报价一览表》中出现不是唯一的、有选择性的报价的;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最后报价高于本项目采购预算或者最高限价的;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最后报价明显低于其他供应商的最后报价，有可能影响产品质量或者不能诚信履约的，未能按要求提供书面说明或者提交相关证明材料，不能证明其报价合理性的;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《最后报价一览表》填写不完整或字迹不能辨认或有漏项的；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供应商对根据修正原则修正后的最后报价不确认的；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供应商提供虚假材料响应的（包括但不限于以下情节）；</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供应商有恶意串通、妨碍其他供应商的竞争行为、损害采购人或者其他供应商的合法权益情形的。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供应商仅提交备份响应文件，没有在电子交易平台传输提交响应文件的，响应无效；</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cs="Arial"/>
          <w:b/>
          <w:bCs/>
          <w:kern w:val="0"/>
        </w:rPr>
        <w:t>响应文件不满足磋商文件的其它实质性要求的；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法律、法规、规章（适用本市的）及省级以上规范性文件（适用本市的）规定的其他无效情形。</w:t>
      </w:r>
    </w:p>
    <w:p>
      <w:pPr>
        <w:pStyle w:val="395"/>
        <w:numPr>
          <w:ilvl w:val="1"/>
          <w:numId w:val="41"/>
        </w:numPr>
        <w:spacing w:before="0"/>
        <w:ind w:firstLineChars="0"/>
        <w:rPr>
          <w:rFonts w:ascii="仿宋_GB2312" w:hAnsi="仿宋" w:eastAsia="仿宋_GB2312"/>
          <w:b/>
          <w:szCs w:val="24"/>
        </w:rPr>
      </w:pPr>
      <w:r>
        <w:rPr>
          <w:rFonts w:hint="eastAsia" w:ascii="仿宋_GB2312" w:hAnsi="仿宋" w:eastAsia="仿宋_GB2312"/>
          <w:b/>
          <w:szCs w:val="24"/>
        </w:rPr>
        <w:t>重新开展采购活动</w:t>
      </w:r>
    </w:p>
    <w:p>
      <w:pPr>
        <w:spacing w:line="360" w:lineRule="auto"/>
        <w:ind w:firstLine="407" w:firstLineChars="194"/>
        <w:rPr>
          <w:rFonts w:ascii="仿宋_GB2312" w:hAnsi="仿宋" w:eastAsia="仿宋_GB2312"/>
          <w:sz w:val="24"/>
          <w:szCs w:val="21"/>
        </w:rPr>
      </w:pPr>
      <w:r>
        <w:rPr>
          <w:rFonts w:hint="eastAsia" w:ascii="仿宋_GB2312" w:hAnsi="仿宋" w:eastAsia="仿宋_GB2312" w:cs="Arial"/>
          <w:szCs w:val="21"/>
        </w:rPr>
        <w:t xml:space="preserve"> </w:t>
      </w:r>
      <w:r>
        <w:rPr>
          <w:rFonts w:hint="eastAsia" w:ascii="仿宋_GB2312" w:hAnsi="仿宋" w:eastAsia="仿宋_GB2312"/>
          <w:sz w:val="24"/>
          <w:szCs w:val="21"/>
        </w:rPr>
        <w:t>出现下列情形之一的，采购代理机构应当终止竞争性磋商采购活动，通过电子交易平台发布项目终止公告并说明原因，重新开展采购活动：</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因情况变化，不再符合规定的竞争性磋商采购方式适用情形的；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出现影响采购公正的违法、违规行为的；</w:t>
      </w:r>
    </w:p>
    <w:p>
      <w:pPr>
        <w:pStyle w:val="395"/>
        <w:numPr>
          <w:ilvl w:val="2"/>
          <w:numId w:val="41"/>
        </w:numPr>
        <w:spacing w:before="0"/>
        <w:ind w:left="8" w:firstLine="792" w:firstLineChars="0"/>
        <w:rPr>
          <w:rFonts w:ascii="仿宋_GB2312" w:hAnsi="仿宋" w:eastAsia="仿宋_GB2312"/>
          <w:b/>
          <w:szCs w:val="24"/>
        </w:rPr>
      </w:pPr>
      <w:r>
        <w:rPr>
          <w:rFonts w:hint="eastAsia" w:ascii="仿宋_GB2312" w:hAnsi="仿宋" w:eastAsia="仿宋_GB2312"/>
          <w:b/>
          <w:szCs w:val="24"/>
        </w:rPr>
        <w:t>在采购过程中符合要求的供应商或者最后报价未超过采购预算的供应商不足</w:t>
      </w:r>
      <w:r>
        <w:rPr>
          <w:rFonts w:hint="eastAsia" w:ascii="仿宋_GB2312" w:hAnsi="仿宋" w:eastAsia="仿宋_GB2312"/>
          <w:b/>
          <w:szCs w:val="24"/>
          <w:lang w:val="en-US" w:eastAsia="zh-CN"/>
        </w:rPr>
        <w:t>2</w:t>
      </w:r>
      <w:r>
        <w:rPr>
          <w:rFonts w:hint="eastAsia" w:ascii="仿宋_GB2312" w:hAnsi="仿宋" w:eastAsia="仿宋_GB2312"/>
          <w:b/>
          <w:szCs w:val="24"/>
        </w:rPr>
        <w:t>家的（有特殊规定的从其规定）。</w:t>
      </w:r>
    </w:p>
    <w:p>
      <w:pPr>
        <w:pStyle w:val="395"/>
        <w:numPr>
          <w:ilvl w:val="1"/>
          <w:numId w:val="41"/>
        </w:numPr>
        <w:spacing w:before="0"/>
        <w:ind w:firstLineChars="0"/>
        <w:rPr>
          <w:rFonts w:ascii="仿宋_GB2312" w:hAnsi="仿宋" w:eastAsia="仿宋_GB2312"/>
          <w:b/>
          <w:szCs w:val="24"/>
        </w:rPr>
      </w:pPr>
      <w:r>
        <w:rPr>
          <w:rFonts w:hint="eastAsia" w:ascii="仿宋_GB2312" w:hAnsi="仿宋" w:eastAsia="仿宋_GB2312"/>
          <w:b/>
          <w:szCs w:val="24"/>
        </w:rPr>
        <w:t>终止采购活动</w:t>
      </w:r>
    </w:p>
    <w:p>
      <w:pPr>
        <w:spacing w:line="360" w:lineRule="auto"/>
        <w:ind w:firstLine="465" w:firstLineChars="194"/>
        <w:rPr>
          <w:rFonts w:ascii="仿宋_GB2312" w:hAnsi="仿宋" w:eastAsia="仿宋_GB2312"/>
          <w:sz w:val="24"/>
          <w:szCs w:val="21"/>
        </w:rPr>
      </w:pPr>
      <w:r>
        <w:rPr>
          <w:rFonts w:hint="eastAsia" w:ascii="仿宋_GB2312" w:hAnsi="仿宋" w:eastAsia="仿宋_GB2312"/>
          <w:sz w:val="24"/>
          <w:szCs w:val="21"/>
        </w:rPr>
        <w:t>在采购活动中因重大变故，采购任务取消的，采购代理机构将终止采购活动，通过电子交易平台通知所有参加采购活动的供应商，并将项目实施情况和采购任务取消原因报送本级财政部门。</w:t>
      </w:r>
    </w:p>
    <w:p>
      <w:pPr>
        <w:pStyle w:val="395"/>
        <w:numPr>
          <w:ilvl w:val="1"/>
          <w:numId w:val="41"/>
        </w:numPr>
        <w:spacing w:before="0"/>
        <w:ind w:left="10" w:firstLine="387" w:firstLineChars="0"/>
        <w:rPr>
          <w:rFonts w:ascii="仿宋_GB2312" w:hAnsi="仿宋" w:eastAsia="仿宋_GB2312"/>
          <w:b/>
          <w:szCs w:val="24"/>
        </w:rPr>
      </w:pPr>
      <w:r>
        <w:rPr>
          <w:rFonts w:hint="eastAsia" w:ascii="仿宋_GB2312" w:hAnsi="仿宋" w:eastAsia="仿宋_GB2312"/>
          <w:b/>
          <w:szCs w:val="24"/>
        </w:rPr>
        <w:t>采购代理机构有权对磋商小组各成员的评分情况和评审意见进行合理性和合规性审查，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numPr>
          <w:ilvl w:val="0"/>
          <w:numId w:val="37"/>
        </w:numPr>
        <w:snapToGrid w:val="0"/>
        <w:spacing w:before="120" w:beforeLines="50" w:after="120" w:afterLines="50" w:line="360" w:lineRule="auto"/>
        <w:ind w:firstLine="0"/>
        <w:jc w:val="left"/>
        <w:outlineLvl w:val="0"/>
        <w:rPr>
          <w:rFonts w:ascii="仿宋_GB2312" w:hAnsi="仿宋" w:eastAsia="仿宋_GB2312" w:cs="仿宋_GB2312"/>
          <w:b/>
          <w:sz w:val="28"/>
          <w:szCs w:val="28"/>
        </w:rPr>
      </w:pPr>
      <w:bookmarkStart w:id="46" w:name="_Toc27407"/>
      <w:r>
        <w:rPr>
          <w:rFonts w:hint="eastAsia" w:ascii="仿宋_GB2312" w:hAnsi="仿宋" w:eastAsia="仿宋_GB2312" w:cs="仿宋_GB2312"/>
          <w:b/>
          <w:sz w:val="28"/>
          <w:szCs w:val="28"/>
        </w:rPr>
        <w:t>评审过程的保密与录像</w:t>
      </w:r>
      <w:bookmarkEnd w:id="46"/>
    </w:p>
    <w:p>
      <w:pPr>
        <w:widowControl/>
        <w:numPr>
          <w:ilvl w:val="1"/>
          <w:numId w:val="42"/>
        </w:numPr>
        <w:spacing w:line="360" w:lineRule="auto"/>
        <w:ind w:left="10" w:firstLine="387"/>
        <w:rPr>
          <w:rFonts w:ascii="仿宋_GB2312" w:hAnsi="仿宋" w:eastAsia="仿宋_GB2312" w:cs="仿宋_GB2312"/>
          <w:sz w:val="24"/>
        </w:rPr>
      </w:pPr>
      <w:r>
        <w:rPr>
          <w:rFonts w:hint="eastAsia" w:ascii="仿宋_GB2312" w:hAnsi="仿宋" w:eastAsia="仿宋_GB2312" w:cs="仿宋_GB2312"/>
          <w:b/>
          <w:sz w:val="24"/>
        </w:rPr>
        <w:t>保密。</w:t>
      </w:r>
      <w:r>
        <w:rPr>
          <w:rFonts w:hint="eastAsia" w:ascii="仿宋_GB2312" w:hAnsi="仿宋" w:eastAsia="仿宋_GB2312" w:cs="仿宋_GB2312"/>
          <w:sz w:val="24"/>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pPr>
        <w:widowControl/>
        <w:numPr>
          <w:ilvl w:val="1"/>
          <w:numId w:val="42"/>
        </w:numPr>
        <w:spacing w:line="360" w:lineRule="auto"/>
        <w:ind w:left="10" w:firstLine="387"/>
        <w:rPr>
          <w:rFonts w:ascii="仿宋_GB2312" w:hAnsi="仿宋" w:eastAsia="仿宋_GB2312" w:cs="仿宋_GB2312"/>
          <w:sz w:val="24"/>
        </w:rPr>
      </w:pPr>
      <w:r>
        <w:rPr>
          <w:rFonts w:hint="eastAsia" w:ascii="仿宋_GB2312" w:hAnsi="仿宋" w:eastAsia="仿宋_GB2312" w:cs="仿宋_GB2312"/>
          <w:b/>
          <w:sz w:val="24"/>
        </w:rPr>
        <w:t>录音录像。</w:t>
      </w:r>
      <w:r>
        <w:rPr>
          <w:rFonts w:hint="eastAsia" w:ascii="仿宋_GB2312" w:hAnsi="仿宋" w:eastAsia="仿宋_GB2312" w:cs="仿宋_GB2312"/>
          <w:sz w:val="24"/>
        </w:rPr>
        <w:t>采购代理机构对评审工作现场进行全过程录音录像，录音录像资料作为采购项目文件随其他文件一并存档。</w:t>
      </w:r>
    </w:p>
    <w:p>
      <w:pPr>
        <w:snapToGrid w:val="0"/>
        <w:spacing w:line="360" w:lineRule="auto"/>
        <w:ind w:firstLine="465" w:firstLineChars="194"/>
        <w:rPr>
          <w:rFonts w:ascii="仿宋_GB2312" w:hAnsi="仿宋_GB2312" w:eastAsia="仿宋_GB2312" w:cs="仿宋_GB2312"/>
          <w:b/>
          <w:sz w:val="24"/>
        </w:rPr>
      </w:pPr>
    </w:p>
    <w:p>
      <w:pPr>
        <w:rPr>
          <w:rFonts w:hint="eastAsia" w:ascii="仿宋_GB2312" w:hAnsi="仿宋_GB2312" w:eastAsia="仿宋_GB2312" w:cs="仿宋_GB2312"/>
          <w:b/>
          <w:sz w:val="36"/>
          <w:szCs w:val="36"/>
        </w:rPr>
      </w:pPr>
      <w:bookmarkStart w:id="47" w:name="_Toc28107"/>
      <w:r>
        <w:rPr>
          <w:rFonts w:hint="eastAsia" w:ascii="仿宋_GB2312" w:hAnsi="仿宋_GB2312" w:eastAsia="仿宋_GB2312" w:cs="仿宋_GB2312"/>
          <w:b/>
          <w:sz w:val="36"/>
          <w:szCs w:val="36"/>
        </w:rPr>
        <w:br w:type="page"/>
      </w:r>
    </w:p>
    <w:p>
      <w:pPr>
        <w:keepNext w:val="0"/>
        <w:keepLines w:val="0"/>
        <w:pageBreakBefore w:val="0"/>
        <w:kinsoku/>
        <w:wordWrap/>
        <w:overflowPunct/>
        <w:topLinePunct w:val="0"/>
        <w:autoSpaceDE/>
        <w:autoSpaceDN/>
        <w:bidi w:val="0"/>
        <w:adjustRightInd w:val="0"/>
        <w:snapToGrid/>
        <w:spacing w:line="360" w:lineRule="auto"/>
        <w:jc w:val="center"/>
        <w:textAlignment w:val="auto"/>
        <w:outlineLvl w:val="0"/>
        <w:rPr>
          <w:rFonts w:ascii="仿宋_GB2312" w:hAnsi="仿宋_GB2312" w:eastAsia="仿宋_GB2312" w:cs="仿宋_GB2312"/>
          <w:b/>
          <w:sz w:val="36"/>
          <w:szCs w:val="36"/>
        </w:rPr>
      </w:pPr>
      <w:r>
        <w:rPr>
          <w:rFonts w:hint="eastAsia" w:ascii="仿宋_GB2312" w:hAnsi="仿宋_GB2312" w:eastAsia="仿宋_GB2312" w:cs="仿宋_GB2312"/>
          <w:b/>
          <w:sz w:val="36"/>
          <w:szCs w:val="36"/>
        </w:rPr>
        <w:t>第六部分</w:t>
      </w:r>
      <w:bookmarkEnd w:id="38"/>
      <w:r>
        <w:rPr>
          <w:rFonts w:hint="eastAsia" w:ascii="仿宋_GB2312" w:hAnsi="仿宋_GB2312" w:eastAsia="仿宋_GB2312" w:cs="仿宋_GB2312"/>
          <w:b/>
          <w:sz w:val="36"/>
          <w:szCs w:val="36"/>
        </w:rPr>
        <w:t xml:space="preserve">  拟签订的合同文本</w:t>
      </w:r>
      <w:bookmarkEnd w:id="47"/>
    </w:p>
    <w:p>
      <w:pPr>
        <w:keepNext w:val="0"/>
        <w:keepLines w:val="0"/>
        <w:pageBreakBefore w:val="0"/>
        <w:kinsoku/>
        <w:wordWrap/>
        <w:overflowPunct/>
        <w:topLinePunct w:val="0"/>
        <w:autoSpaceDE/>
        <w:autoSpaceDN/>
        <w:bidi w:val="0"/>
        <w:adjustRightInd w:val="0"/>
        <w:snapToGrid/>
        <w:spacing w:line="360" w:lineRule="auto"/>
        <w:textAlignment w:val="auto"/>
        <w:rPr>
          <w:rFonts w:ascii="仿宋_GB2312" w:hAnsi="楷体" w:eastAsia="仿宋_GB2312"/>
          <w:sz w:val="24"/>
        </w:rPr>
      </w:pPr>
      <w:bookmarkStart w:id="48" w:name="第五部分"/>
      <w:bookmarkStart w:id="49" w:name="_Toc86217003"/>
    </w:p>
    <w:p>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第一部分 合同协议书</w:t>
      </w:r>
    </w:p>
    <w:p>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合同协议书</w:t>
      </w:r>
      <w:r>
        <w:rPr>
          <w:rFonts w:hint="eastAsia" w:ascii="仿宋" w:hAnsi="仿宋" w:eastAsia="仿宋" w:cs="仿宋"/>
          <w:color w:val="auto"/>
          <w:kern w:val="0"/>
          <w:sz w:val="24"/>
          <w:szCs w:val="24"/>
          <w:highlight w:val="non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发包人（全称）</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承包人（全称）：</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根据《中华人民共和国民法典》、《中华人民共和国建筑法》及有关法律规定，遵循平等、自愿、公平和诚实信用的原则，双方就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工程施工及有关事项协商一致，共同达成如下协议：</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一、工程概况</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1.工程名称：</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2.工程地点：</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3.工程立项批准文号：</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4.资金来源：</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5.工程内容：</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群体工程应附《承包人承揽工程项目一览表》（附件1）。</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6.工程承包范围：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二、合同工期</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计划开工日期：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计划竣工日期：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工期总日历天数：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天。工期总日历天数与根据前述计划开竣工日期计算的工期天数不一致的，以工期总日历天数为准。</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三、质量标准</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工程质量符合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标准。</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四、签约合同价与合同价格形式</w:t>
      </w:r>
      <w:r>
        <w:rPr>
          <w:rFonts w:hint="eastAsia" w:ascii="仿宋" w:hAnsi="仿宋" w:eastAsia="仿宋" w:cs="仿宋"/>
          <w:color w:val="auto"/>
          <w:kern w:val="0"/>
          <w:sz w:val="24"/>
          <w:szCs w:val="24"/>
          <w:highlight w:val="none"/>
        </w:rPr>
        <w:tab/>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1.签约合同价为：</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人民币（大写）</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其中：</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（1）安全文明施工费：</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人民币（大写）</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（2）材料和工程设备暂估价金额：</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人民币（大写）</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（3）专业工程暂估价金额：</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人民币（大写）</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（4）暂列金额：</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人民币（大写）</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2.合同价格形式：</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五、项目负责人</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承包人项目负责人：</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六、合同文件构成</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本协议书与下列文件一起构成合同文件：</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成交</w:t>
      </w:r>
      <w:r>
        <w:rPr>
          <w:rFonts w:hint="eastAsia" w:ascii="仿宋" w:hAnsi="仿宋" w:eastAsia="仿宋" w:cs="仿宋"/>
          <w:color w:val="auto"/>
          <w:kern w:val="0"/>
          <w:sz w:val="24"/>
          <w:szCs w:val="24"/>
          <w:highlight w:val="none"/>
        </w:rPr>
        <w:t>通知书（如果有）；</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rPr>
        <w:t xml:space="preserve">函及其附录（如果有）；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（3）专用合同条款及其附件；</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（4）通用合同条款；</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（5）技术标准和要求；</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（6）图纸；</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（7）已标价工程量清单或预算书；</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（8）其他合同文件。</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在合同订立及履行过程中形成的与合同有关的文件均构成合同文件组成部分。</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七、承诺</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1.发包人承诺按照法律规定履行项目审批手续、筹集工程建设资金并</w:t>
      </w:r>
      <w:r>
        <w:rPr>
          <w:rFonts w:hint="eastAsia" w:ascii="仿宋" w:hAnsi="仿宋" w:eastAsia="仿宋" w:cs="仿宋"/>
          <w:color w:val="auto"/>
          <w:kern w:val="0"/>
          <w:sz w:val="24"/>
          <w:szCs w:val="24"/>
          <w:highlight w:val="none"/>
          <w:lang w:eastAsia="zh-CN"/>
        </w:rPr>
        <w:t>按照合同约定，最终按照审计决算报告为依据付款。</w:t>
      </w:r>
      <w:r>
        <w:rPr>
          <w:rFonts w:hint="eastAsia" w:ascii="仿宋" w:hAnsi="仿宋" w:eastAsia="仿宋" w:cs="仿宋"/>
          <w:color w:val="auto"/>
          <w:kern w:val="0"/>
          <w:sz w:val="24"/>
          <w:szCs w:val="24"/>
          <w:highlight w:val="none"/>
        </w:rPr>
        <w:t>的期限和方式支付合同价款。</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2.承包人承诺按照法律规定及合同约定组织完成工程施工，确保工程质量和安全，不进行转包及违法分包，并在缺陷责任期及保修期内承担相应的工程维修责任。</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3.发包人和承包人通过招投标形式签订合同的，双方理解并承诺不再就同一工程另行签订与合同实质性内容相背离的协议。</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八、词语含义</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本协议书中词语含义与第二部分通用合同条款中赋予的含义相同。</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九、签订时间</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日签订。</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十、签订地点</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签订。</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十一、补充协议</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合同未尽事宜，合同当事人另行签订补充协议，补充协议是合同的组成部分。</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十二、合同生效</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本合同自</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生效。</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十三、合同份数</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本合同一式    份，均具有同等法律效力，发包人执</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份，承包人执</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  (公章)             承包人：  (公章)</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法定代表人或其委托代理人：  法定代表人或其委托代理人：</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（签字）                    （签字）</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组织机构代码：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组织机构代码：</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地  址：</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邮政编码：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邮政编码：</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法定代表人：</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委托代理人：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委托代理人：</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电  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电  话：</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传  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传  真：</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电子信箱：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电子信箱：</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开户银行：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开户银行：</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账  号：</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账  号：</w:t>
      </w:r>
      <w:r>
        <w:rPr>
          <w:rFonts w:hint="eastAsia" w:ascii="仿宋" w:hAnsi="仿宋" w:eastAsia="仿宋" w:cs="仿宋"/>
          <w:color w:val="auto"/>
          <w:kern w:val="0"/>
          <w:sz w:val="24"/>
          <w:szCs w:val="24"/>
          <w:highlight w:val="none"/>
          <w:u w:val="single"/>
        </w:rPr>
        <w:t xml:space="preserve">                   </w:t>
      </w:r>
    </w:p>
    <w:p>
      <w:pPr>
        <w:pStyle w:val="5"/>
        <w:keepNext w:val="0"/>
        <w:keepLines w:val="0"/>
        <w:numPr>
          <w:ilvl w:val="1"/>
          <w:numId w:val="0"/>
        </w:numPr>
        <w:tabs>
          <w:tab w:val="left" w:pos="576"/>
        </w:tabs>
        <w:spacing w:line="460" w:lineRule="exact"/>
        <w:ind w:left="576" w:hanging="576"/>
        <w:jc w:val="center"/>
        <w:rPr>
          <w:rFonts w:hint="eastAsia" w:ascii="仿宋" w:hAnsi="仿宋" w:eastAsia="仿宋" w:cs="仿宋"/>
          <w:bCs w:val="0"/>
          <w:color w:val="auto"/>
          <w:sz w:val="24"/>
          <w:szCs w:val="24"/>
          <w:highlight w:val="none"/>
        </w:rPr>
      </w:pPr>
      <w:r>
        <w:rPr>
          <w:rFonts w:hint="eastAsia" w:ascii="宋体" w:hAnsi="宋体" w:eastAsia="宋体" w:cs="宋体"/>
          <w:color w:val="auto"/>
          <w:sz w:val="24"/>
          <w:szCs w:val="24"/>
          <w:highlight w:val="none"/>
        </w:rPr>
        <w:br w:type="page"/>
      </w:r>
      <w:bookmarkStart w:id="50" w:name="_Toc13562"/>
      <w:r>
        <w:rPr>
          <w:rFonts w:hint="eastAsia" w:ascii="仿宋" w:hAnsi="仿宋" w:eastAsia="仿宋" w:cs="仿宋"/>
          <w:bCs w:val="0"/>
          <w:color w:val="auto"/>
          <w:sz w:val="24"/>
          <w:szCs w:val="24"/>
          <w:highlight w:val="none"/>
        </w:rPr>
        <w:t>第二部分 通用合同条款</w:t>
      </w:r>
      <w:bookmarkEnd w:id="50"/>
    </w:p>
    <w:p>
      <w:pPr>
        <w:autoSpaceDE w:val="0"/>
        <w:autoSpaceDN w:val="0"/>
        <w:adjustRightInd w:val="0"/>
        <w:spacing w:line="460" w:lineRule="exact"/>
        <w:ind w:firstLine="420"/>
        <w:jc w:val="center"/>
        <w:rPr>
          <w:rFonts w:hint="eastAsia" w:ascii="仿宋" w:hAnsi="仿宋" w:eastAsia="仿宋" w:cs="仿宋"/>
          <w:b/>
          <w:color w:val="auto"/>
          <w:sz w:val="24"/>
          <w:szCs w:val="24"/>
          <w:highlight w:val="none"/>
          <w:lang w:val="zh-CN"/>
        </w:rPr>
      </w:pP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执行《建设工程施工合同（示范文本）》（GF-2017-0201）通用合同条款，此处略。</w:t>
      </w:r>
    </w:p>
    <w:p>
      <w:pPr>
        <w:spacing w:line="460" w:lineRule="exact"/>
        <w:ind w:firstLine="420" w:firstLineChars="175"/>
        <w:rPr>
          <w:rFonts w:hint="eastAsia" w:ascii="宋体" w:hAnsi="宋体" w:cs="宋体"/>
          <w:color w:val="auto"/>
          <w:sz w:val="24"/>
          <w:szCs w:val="24"/>
          <w:highlight w:val="none"/>
        </w:rPr>
      </w:pPr>
    </w:p>
    <w:p>
      <w:pPr>
        <w:autoSpaceDE w:val="0"/>
        <w:autoSpaceDN w:val="0"/>
        <w:adjustRightInd w:val="0"/>
        <w:spacing w:line="460" w:lineRule="exact"/>
        <w:ind w:firstLine="480" w:firstLineChars="200"/>
        <w:rPr>
          <w:rFonts w:hint="eastAsia" w:ascii="宋体" w:hAnsi="宋体" w:cs="宋体"/>
          <w:color w:val="auto"/>
          <w:sz w:val="24"/>
          <w:szCs w:val="24"/>
          <w:highlight w:val="none"/>
        </w:rPr>
      </w:pPr>
    </w:p>
    <w:p>
      <w:pPr>
        <w:pStyle w:val="5"/>
        <w:keepNext w:val="0"/>
        <w:keepLines w:val="0"/>
        <w:pageBreakBefore w:val="0"/>
        <w:widowControl w:val="0"/>
        <w:numPr>
          <w:ilvl w:val="1"/>
          <w:numId w:val="0"/>
        </w:numPr>
        <w:tabs>
          <w:tab w:val="left" w:pos="576"/>
        </w:tabs>
        <w:kinsoku/>
        <w:wordWrap/>
        <w:overflowPunct/>
        <w:topLinePunct w:val="0"/>
        <w:bidi w:val="0"/>
        <w:spacing w:line="360" w:lineRule="auto"/>
        <w:ind w:left="576" w:hanging="576"/>
        <w:jc w:val="center"/>
        <w:textAlignment w:val="auto"/>
        <w:rPr>
          <w:rFonts w:hint="eastAsia" w:ascii="仿宋" w:hAnsi="仿宋" w:eastAsia="仿宋" w:cs="仿宋"/>
          <w:bCs w:val="0"/>
          <w:color w:val="auto"/>
          <w:sz w:val="24"/>
          <w:szCs w:val="24"/>
          <w:highlight w:val="none"/>
        </w:rPr>
      </w:pPr>
      <w:r>
        <w:rPr>
          <w:rFonts w:hint="eastAsia" w:ascii="宋体" w:hAnsi="宋体" w:eastAsia="宋体" w:cs="宋体"/>
          <w:color w:val="auto"/>
          <w:sz w:val="24"/>
          <w:szCs w:val="24"/>
          <w:highlight w:val="none"/>
        </w:rPr>
        <w:br w:type="page"/>
      </w:r>
      <w:bookmarkStart w:id="51" w:name="_Toc2460"/>
      <w:r>
        <w:rPr>
          <w:rFonts w:hint="eastAsia" w:ascii="仿宋" w:hAnsi="仿宋" w:eastAsia="仿宋" w:cs="仿宋"/>
          <w:bCs w:val="0"/>
          <w:color w:val="auto"/>
          <w:sz w:val="24"/>
          <w:szCs w:val="24"/>
          <w:highlight w:val="none"/>
        </w:rPr>
        <w:t>第三部分 专用合同条款</w:t>
      </w:r>
      <w:bookmarkEnd w:id="51"/>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 一般约定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词语定义</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1.1.1合同</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1.1.1.10其他合同文件包括：</w:t>
      </w:r>
      <w:r>
        <w:rPr>
          <w:rFonts w:hint="eastAsia" w:ascii="仿宋" w:hAnsi="仿宋" w:eastAsia="仿宋" w:cs="仿宋"/>
          <w:color w:val="auto"/>
          <w:sz w:val="24"/>
          <w:szCs w:val="24"/>
          <w:highlight w:val="none"/>
          <w:u w:val="single"/>
        </w:rPr>
        <w:t>施工组织设计、招标文件（含澄清文件、暂列金、暂估价）、洽谈记录、会议纪要、图纸会审记录、发包人相关制度等</w:t>
      </w:r>
      <w:r>
        <w:rPr>
          <w:rFonts w:hint="eastAsia" w:ascii="仿宋" w:hAnsi="仿宋" w:eastAsia="仿宋" w:cs="仿宋"/>
          <w:color w:val="auto"/>
          <w:sz w:val="24"/>
          <w:szCs w:val="24"/>
          <w:highlight w:val="none"/>
          <w:u w:val="single"/>
          <w:lang w:eastAsia="zh-CN"/>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合同当事人及其他相关方</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1.1.2.4监理人：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1.1.2.5 设计人：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工程和设备</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1.1.3.7 作为施工现场组成部分的其他场所括</w:t>
      </w:r>
      <w:r>
        <w:rPr>
          <w:rFonts w:hint="eastAsia" w:ascii="仿宋" w:hAnsi="仿宋" w:eastAsia="仿宋" w:cs="仿宋"/>
          <w:color w:val="auto"/>
          <w:sz w:val="24"/>
          <w:szCs w:val="24"/>
          <w:highlight w:val="none"/>
          <w:u w:val="single"/>
        </w:rPr>
        <w:t>：生活、办公等临时设施及设备、材料加工、堆放场地。</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1.1.3.9 永久占地包括：</w:t>
      </w:r>
      <w:r>
        <w:rPr>
          <w:rFonts w:hint="eastAsia" w:ascii="仿宋" w:hAnsi="仿宋" w:eastAsia="仿宋" w:cs="仿宋"/>
          <w:color w:val="auto"/>
          <w:sz w:val="24"/>
          <w:szCs w:val="24"/>
          <w:highlight w:val="none"/>
          <w:u w:val="single"/>
        </w:rPr>
        <w:t xml:space="preserve">     见规划红线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1.1.3.10 临时占地包括：生活、办公等临时设施及设备、材料加工，堆放场地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1.3法律 </w:t>
      </w:r>
    </w:p>
    <w:p>
      <w:pPr>
        <w:keepNext w:val="0"/>
        <w:keepLines w:val="0"/>
        <w:pageBreakBefore w:val="0"/>
        <w:widowControl w:val="0"/>
        <w:kinsoku/>
        <w:wordWrap/>
        <w:overflowPunct/>
        <w:topLinePunct w:val="0"/>
        <w:bidi w:val="0"/>
        <w:spacing w:line="360" w:lineRule="auto"/>
        <w:ind w:firstLine="720" w:firstLineChars="3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适用于合同的其他规范性文件</w:t>
      </w:r>
      <w:r>
        <w:rPr>
          <w:rFonts w:hint="eastAsia" w:ascii="仿宋" w:hAnsi="仿宋" w:eastAsia="仿宋" w:cs="仿宋"/>
          <w:color w:val="auto"/>
          <w:sz w:val="24"/>
          <w:szCs w:val="24"/>
          <w:highlight w:val="none"/>
          <w:u w:val="single"/>
        </w:rPr>
        <w:t>：    执行通用条款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标准和规范</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1.4.1适用于工程的标准规范包括：</w:t>
      </w:r>
      <w:r>
        <w:rPr>
          <w:rFonts w:hint="eastAsia" w:ascii="仿宋" w:hAnsi="仿宋" w:eastAsia="仿宋" w:cs="仿宋"/>
          <w:color w:val="auto"/>
          <w:sz w:val="24"/>
          <w:szCs w:val="24"/>
          <w:highlight w:val="none"/>
          <w:u w:val="single"/>
        </w:rPr>
        <w:t>执行建筑、市政等工程国家、自治区、州、市现行施工及验收规范标准以及材料设备所涉及的现行国家，省，市或行业的工程建设标准。</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发包人提供国外标准、规范的名称：</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发包人提供国外标准、规范的份数：</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发包人提供国外标准、规范的名称：</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left="596" w:leftChars="2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1.4.3发包人对工程的技术标准和功能要求的特殊要求：</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合同文件的优先顺序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合同文件组成及优先顺序为：</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 图纸和承包人文件</w:t>
      </w:r>
      <w:r>
        <w:rPr>
          <w:rFonts w:hint="eastAsia" w:ascii="仿宋" w:hAnsi="仿宋" w:eastAsia="仿宋" w:cs="仿宋"/>
          <w:color w:val="auto"/>
          <w:sz w:val="24"/>
          <w:szCs w:val="24"/>
          <w:highlight w:val="none"/>
        </w:rPr>
        <w:tab/>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图纸的提供</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发包人向承包人提供图纸的期限：</w:t>
      </w:r>
      <w:r>
        <w:rPr>
          <w:rFonts w:hint="eastAsia" w:ascii="仿宋" w:hAnsi="仿宋" w:eastAsia="仿宋" w:cs="仿宋"/>
          <w:color w:val="auto"/>
          <w:sz w:val="24"/>
          <w:szCs w:val="24"/>
          <w:highlight w:val="none"/>
          <w:u w:val="single"/>
        </w:rPr>
        <w:t>合同签订后七日内提供审查合格的施工图。</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发包人向承包人提供图纸的数量：</w:t>
      </w:r>
      <w:r>
        <w:rPr>
          <w:rFonts w:hint="eastAsia" w:ascii="仿宋" w:hAnsi="仿宋" w:eastAsia="仿宋" w:cs="仿宋"/>
          <w:color w:val="auto"/>
          <w:sz w:val="24"/>
          <w:szCs w:val="24"/>
          <w:highlight w:val="none"/>
          <w:u w:val="single"/>
        </w:rPr>
        <w:t xml:space="preserve">           2套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发包人向承包人提供图纸的内容：</w:t>
      </w:r>
      <w:r>
        <w:rPr>
          <w:rFonts w:hint="eastAsia" w:ascii="仿宋" w:hAnsi="仿宋" w:eastAsia="仿宋" w:cs="仿宋"/>
          <w:color w:val="auto"/>
          <w:sz w:val="24"/>
          <w:szCs w:val="24"/>
          <w:highlight w:val="none"/>
          <w:u w:val="single"/>
        </w:rPr>
        <w:t xml:space="preserve">本合同发包内容中的全部图纸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 承包人文件</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需要由承包人提供的文件，包括：</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承包人提供的文件的期限为：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承包人提供的文件的数量为：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承包人提供的文件的形式为：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发包人审批承包人文件的期限：</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 现场图纸准备</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关于现场图纸准备的约定：</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 联络</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1.7.1发包人和承包人应当在</w:t>
      </w:r>
      <w:r>
        <w:rPr>
          <w:rFonts w:hint="eastAsia" w:ascii="仿宋" w:hAnsi="仿宋" w:eastAsia="仿宋" w:cs="仿宋"/>
          <w:color w:val="auto"/>
          <w:sz w:val="24"/>
          <w:szCs w:val="24"/>
          <w:highlight w:val="none"/>
          <w:u w:val="single"/>
        </w:rPr>
        <w:t xml:space="preserve">5  </w:t>
      </w:r>
      <w:r>
        <w:rPr>
          <w:rFonts w:hint="eastAsia" w:ascii="仿宋" w:hAnsi="仿宋" w:eastAsia="仿宋" w:cs="仿宋"/>
          <w:color w:val="auto"/>
          <w:sz w:val="24"/>
          <w:szCs w:val="24"/>
          <w:highlight w:val="none"/>
        </w:rPr>
        <w:t>天内将与合同有关的通知、批准、证明、证书、指示、指令、要求、请求、同意、意见、确定和决定等书面函件送达对方当事人。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发包人接收文件的地点：  发包人办公场所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发包人指定的接收人为：</w:t>
      </w:r>
      <w:r>
        <w:rPr>
          <w:rFonts w:hint="eastAsia" w:ascii="仿宋" w:hAnsi="仿宋" w:eastAsia="仿宋" w:cs="仿宋"/>
          <w:color w:val="auto"/>
          <w:sz w:val="24"/>
          <w:szCs w:val="24"/>
          <w:highlight w:val="none"/>
          <w:u w:val="single"/>
        </w:rPr>
        <w:t xml:space="preserve">  发包人代表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承包人接收文件的地点：</w:t>
      </w:r>
      <w:r>
        <w:rPr>
          <w:rFonts w:hint="eastAsia" w:ascii="仿宋" w:hAnsi="仿宋" w:eastAsia="仿宋" w:cs="仿宋"/>
          <w:color w:val="auto"/>
          <w:sz w:val="24"/>
          <w:szCs w:val="24"/>
          <w:highlight w:val="none"/>
          <w:u w:val="single"/>
        </w:rPr>
        <w:t xml:space="preserve">  项目所在地承包人项目部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承包人指定的接收人为： </w:t>
      </w:r>
      <w:r>
        <w:rPr>
          <w:rFonts w:hint="eastAsia" w:ascii="仿宋" w:hAnsi="仿宋" w:eastAsia="仿宋" w:cs="仿宋"/>
          <w:color w:val="auto"/>
          <w:sz w:val="24"/>
          <w:szCs w:val="24"/>
          <w:highlight w:val="none"/>
          <w:u w:val="single"/>
        </w:rPr>
        <w:t xml:space="preserve"> 项目经理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监理人接收文件的地点： </w:t>
      </w:r>
      <w:r>
        <w:rPr>
          <w:rFonts w:hint="eastAsia" w:ascii="仿宋" w:hAnsi="仿宋" w:eastAsia="仿宋" w:cs="仿宋"/>
          <w:color w:val="auto"/>
          <w:sz w:val="24"/>
          <w:szCs w:val="24"/>
          <w:highlight w:val="none"/>
          <w:u w:val="single"/>
        </w:rPr>
        <w:t xml:space="preserve"> 项目所在地监理人办公室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监理人指定的接收人为： </w:t>
      </w:r>
      <w:r>
        <w:rPr>
          <w:rFonts w:hint="eastAsia" w:ascii="仿宋" w:hAnsi="仿宋" w:eastAsia="仿宋" w:cs="仿宋"/>
          <w:color w:val="auto"/>
          <w:sz w:val="24"/>
          <w:szCs w:val="24"/>
          <w:highlight w:val="none"/>
          <w:u w:val="single"/>
        </w:rPr>
        <w:t xml:space="preserve"> 总监理工程师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 交通运输</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1.10.1 出入现场的权利</w:t>
      </w:r>
    </w:p>
    <w:p>
      <w:pPr>
        <w:keepNext w:val="0"/>
        <w:keepLines w:val="0"/>
        <w:pageBreakBefore w:val="0"/>
        <w:widowControl w:val="0"/>
        <w:kinsoku/>
        <w:wordWrap/>
        <w:overflowPunct/>
        <w:topLinePunct w:val="0"/>
        <w:bidi w:val="0"/>
        <w:spacing w:line="360" w:lineRule="auto"/>
        <w:ind w:left="596" w:leftChars="2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关于出入现场的权利的约定：</w:t>
      </w:r>
      <w:r>
        <w:rPr>
          <w:rFonts w:hint="eastAsia" w:ascii="仿宋" w:hAnsi="仿宋" w:eastAsia="仿宋" w:cs="仿宋"/>
          <w:color w:val="auto"/>
          <w:sz w:val="24"/>
          <w:szCs w:val="24"/>
          <w:highlight w:val="none"/>
          <w:u w:val="single"/>
        </w:rPr>
        <w:t xml:space="preserve"> 根据施工需要，由承包方负责办理出入施工现场的相关手续、负责建设并承担相关费用</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1.10.3 场内交通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关于场外交通和场内交通的边界的约定：</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关于发包人向承包人免费提供满足工程施工需要的场内道路和交通设施的约定：</w:t>
      </w:r>
      <w:r>
        <w:rPr>
          <w:rFonts w:hint="eastAsia" w:ascii="仿宋" w:hAnsi="仿宋" w:eastAsia="仿宋" w:cs="仿宋"/>
          <w:color w:val="auto"/>
          <w:sz w:val="24"/>
          <w:szCs w:val="24"/>
          <w:highlight w:val="none"/>
          <w:u w:val="single"/>
        </w:rPr>
        <w:t>发包方协助，承包方办理并承担相应费用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1.10.4超大件和超重件的运输</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运输超大件或超重件所需的道路和桥梁临时加固改造费用和其他有关费用由 </w:t>
      </w:r>
      <w:r>
        <w:rPr>
          <w:rFonts w:hint="eastAsia" w:ascii="仿宋" w:hAnsi="仿宋" w:eastAsia="仿宋" w:cs="仿宋"/>
          <w:color w:val="auto"/>
          <w:sz w:val="24"/>
          <w:szCs w:val="24"/>
          <w:highlight w:val="none"/>
          <w:u w:val="single"/>
        </w:rPr>
        <w:t xml:space="preserve"> 承包人 </w:t>
      </w:r>
      <w:r>
        <w:rPr>
          <w:rFonts w:hint="eastAsia" w:ascii="仿宋" w:hAnsi="仿宋" w:eastAsia="仿宋" w:cs="仿宋"/>
          <w:color w:val="auto"/>
          <w:sz w:val="24"/>
          <w:szCs w:val="24"/>
          <w:highlight w:val="none"/>
        </w:rPr>
        <w:t>承担。</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知识产权</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4"/>
          <w:szCs w:val="24"/>
          <w:highlight w:val="none"/>
          <w:u w:val="single"/>
        </w:rPr>
        <w:t>：按通用条款执行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关于发包人提供的上述文件的使用限制的要求：</w:t>
      </w:r>
      <w:r>
        <w:rPr>
          <w:rFonts w:hint="eastAsia" w:ascii="仿宋" w:hAnsi="仿宋" w:eastAsia="仿宋" w:cs="仿宋"/>
          <w:color w:val="auto"/>
          <w:sz w:val="24"/>
          <w:szCs w:val="24"/>
          <w:highlight w:val="none"/>
          <w:u w:val="single"/>
        </w:rPr>
        <w:t>按通用条款执行</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 关于承包人为实施工程所编制文件的著作权的归属：</w:t>
      </w:r>
      <w:r>
        <w:rPr>
          <w:rFonts w:hint="eastAsia" w:ascii="仿宋" w:hAnsi="仿宋" w:eastAsia="仿宋" w:cs="仿宋"/>
          <w:color w:val="auto"/>
          <w:sz w:val="24"/>
          <w:szCs w:val="24"/>
          <w:highlight w:val="none"/>
          <w:u w:val="single"/>
        </w:rPr>
        <w:t>按通用条款执行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关于承包人提供的上述文件的使用限制的要求：</w:t>
      </w:r>
      <w:r>
        <w:rPr>
          <w:rFonts w:hint="eastAsia" w:ascii="仿宋" w:hAnsi="仿宋" w:eastAsia="仿宋" w:cs="仿宋"/>
          <w:color w:val="auto"/>
          <w:sz w:val="24"/>
          <w:szCs w:val="24"/>
          <w:highlight w:val="none"/>
          <w:u w:val="single"/>
        </w:rPr>
        <w:t>按通用条款执行</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1.11.4 承包人在施工过程中所采用的专利、专有技术、技术秘密的使用费的承担方式：</w:t>
      </w:r>
      <w:r>
        <w:rPr>
          <w:rFonts w:hint="eastAsia" w:ascii="仿宋" w:hAnsi="仿宋" w:eastAsia="仿宋" w:cs="仿宋"/>
          <w:color w:val="auto"/>
          <w:sz w:val="24"/>
          <w:szCs w:val="24"/>
          <w:highlight w:val="none"/>
          <w:u w:val="single"/>
        </w:rPr>
        <w:t>包含在合同价中</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1.13工程量清单错误的修正</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出现工程量清单错误时，是否调整合同价格：</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允许调整合同价格的工程量偏差范围：</w:t>
      </w:r>
      <w:r>
        <w:rPr>
          <w:rFonts w:hint="eastAsia" w:ascii="仿宋" w:hAnsi="仿宋" w:eastAsia="仿宋" w:cs="仿宋"/>
          <w:color w:val="auto"/>
          <w:sz w:val="24"/>
          <w:szCs w:val="24"/>
          <w:highlight w:val="none"/>
          <w:u w:val="single"/>
        </w:rPr>
        <w:t xml:space="preserve">当工程量清单项目工程量的变化幅度在±15%（含15%）以内时，其综合单价不做调整，执行原有综合单价。当工程量清单项目工程量的变化幅度在±15%以外时，其综合单价调整方法为：工程量偏差+15%以上的部分原综合单价下浮10%；工程量偏差-15%以下的，剩余部分执行原综合单价。当清单出现漏项项目，漏项造价超出投标总价（不含暂列金额）的5%时，5%以内（含5%）按当地预算定额进行结算。超出5%部分按当地预算定额取费后下浮10%结算。当确认变更的费用发生争议时，施工方不得以该争议作为怠工、停工等的理由，必须正常施工。       </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 发包人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发包人代表</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发包人代表：</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 。</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发包人对发包人代表的授权范围如下：</w:t>
      </w:r>
      <w:r>
        <w:rPr>
          <w:rFonts w:hint="eastAsia" w:ascii="仿宋" w:hAnsi="仿宋" w:eastAsia="仿宋" w:cs="仿宋"/>
          <w:color w:val="auto"/>
          <w:sz w:val="24"/>
          <w:szCs w:val="24"/>
          <w:highlight w:val="none"/>
          <w:u w:val="single"/>
        </w:rPr>
        <w:t>协调各部门工作，施工现场全过程的质量、进度、安全、投资等进行全面协调管理。</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施工现场、施工条件和基础资料的提供</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提供施工现场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关于发包人移交施工现场的期限要求：</w:t>
      </w:r>
      <w:r>
        <w:rPr>
          <w:rFonts w:hint="eastAsia" w:ascii="仿宋" w:hAnsi="仿宋" w:eastAsia="仿宋" w:cs="仿宋"/>
          <w:color w:val="auto"/>
          <w:sz w:val="24"/>
          <w:szCs w:val="24"/>
          <w:highlight w:val="none"/>
          <w:u w:val="single"/>
        </w:rPr>
        <w:t xml:space="preserve">                          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 提供施工条件</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关于发包人应负责提供施工所需要的条件，包括：</w:t>
      </w:r>
      <w:r>
        <w:rPr>
          <w:rFonts w:hint="eastAsia" w:ascii="仿宋" w:hAnsi="仿宋" w:eastAsia="仿宋" w:cs="仿宋"/>
          <w:color w:val="auto"/>
          <w:sz w:val="24"/>
          <w:szCs w:val="24"/>
          <w:highlight w:val="none"/>
          <w:u w:val="single"/>
        </w:rPr>
        <w:t xml:space="preserve">发包人协调，承包人完成，费用包含在合同价中 。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 资金来源证明及支付担保</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发包人提供资金来源证明的期限要求：</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发包人是否提供支付担保：</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发包人提供支付担保的形式：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 承包人</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承包人的一般义务</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（1）承包人提交的竣工资料的内容：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承包人需要提交的竣工资料套数：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承包人提交的竣工资料的费用承担：</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承包人提交的竣工资料移交时间：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承包人提交的竣工资料形式要求：</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（2）承包人应履行的其他义务：</w:t>
      </w:r>
      <w:r>
        <w:rPr>
          <w:rFonts w:hint="eastAsia" w:ascii="仿宋" w:hAnsi="仿宋" w:eastAsia="仿宋" w:cs="仿宋"/>
          <w:color w:val="auto"/>
          <w:sz w:val="24"/>
          <w:szCs w:val="24"/>
          <w:highlight w:val="none"/>
          <w:u w:val="single"/>
        </w:rPr>
        <w:t>1.配合发包人办理项目前期手续；  2.配合发包人办理施工过程所需手续；  3.配合发包人办理竣工验收手续；  4.配合发包人办理其他相关手续；  5.配合费用均含在合同价中。</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项目经理</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 项目经理：</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建造师执业资格等级：</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建造师注册证书号：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建造师执业印章号：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安全生产考核合格证书号：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承包人对项目经理的授权范围如下：</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关于项目经理每月在施工现场的时间要求：</w:t>
      </w:r>
      <w:r>
        <w:rPr>
          <w:rFonts w:hint="eastAsia" w:ascii="仿宋" w:hAnsi="仿宋" w:eastAsia="仿宋" w:cs="仿宋"/>
          <w:color w:val="auto"/>
          <w:sz w:val="24"/>
          <w:szCs w:val="24"/>
          <w:highlight w:val="none"/>
          <w:u w:val="single"/>
        </w:rPr>
        <w:t xml:space="preserve">                  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承包人未提交劳动合同，以及没有为项目经理缴纳社会保险证明的违约责任：</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     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项目经理未经批准，擅自离开施工现场的违约责任：</w:t>
      </w:r>
      <w:r>
        <w:rPr>
          <w:rFonts w:hint="eastAsia" w:ascii="仿宋" w:hAnsi="仿宋" w:eastAsia="仿宋" w:cs="仿宋"/>
          <w:color w:val="auto"/>
          <w:sz w:val="24"/>
          <w:szCs w:val="24"/>
          <w:highlight w:val="none"/>
          <w:u w:val="single"/>
        </w:rPr>
        <w:t xml:space="preserve">           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3.2.3 承包人擅自更换项目经理的违约责任：</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                                                        </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3.2.4 承包人无正当理由拒绝更换项目经理的违约责任：</w:t>
      </w:r>
      <w:r>
        <w:rPr>
          <w:rFonts w:hint="eastAsia" w:ascii="仿宋" w:hAnsi="仿宋" w:eastAsia="仿宋" w:cs="仿宋"/>
          <w:color w:val="auto"/>
          <w:sz w:val="24"/>
          <w:szCs w:val="24"/>
          <w:highlight w:val="none"/>
          <w:u w:val="single"/>
        </w:rPr>
        <w:t xml:space="preserve">                    </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 承包人人员：</w:t>
      </w:r>
      <w:r>
        <w:rPr>
          <w:rFonts w:hint="eastAsia" w:ascii="仿宋" w:hAnsi="仿宋" w:eastAsia="仿宋" w:cs="仿宋"/>
          <w:color w:val="auto"/>
          <w:sz w:val="24"/>
          <w:szCs w:val="24"/>
          <w:highlight w:val="none"/>
          <w:u w:val="single"/>
        </w:rPr>
        <w:t xml:space="preserve">                                                   </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3.3.1 承包人提交项目管理机构及施工现场管理人员安排报告的期限：</w:t>
      </w:r>
      <w:r>
        <w:rPr>
          <w:rFonts w:hint="eastAsia" w:ascii="仿宋" w:hAnsi="仿宋" w:eastAsia="仿宋" w:cs="仿宋"/>
          <w:color w:val="auto"/>
          <w:sz w:val="24"/>
          <w:szCs w:val="24"/>
          <w:highlight w:val="none"/>
          <w:u w:val="single"/>
        </w:rPr>
        <w:t xml:space="preserve">  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3.3.3 承包人无正当理由拒绝撤换主要施工管理人员的违约责任：</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                                          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3.3.4 承包人主要施工管理人员离开施工现场的批准要求：</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3.3.5承包人擅自更换主要施工管理人员的违约责任：</w:t>
      </w:r>
      <w:r>
        <w:rPr>
          <w:rFonts w:hint="eastAsia" w:ascii="仿宋" w:hAnsi="仿宋" w:eastAsia="仿宋" w:cs="仿宋"/>
          <w:color w:val="auto"/>
          <w:sz w:val="24"/>
          <w:szCs w:val="24"/>
          <w:highlight w:val="none"/>
          <w:u w:val="single"/>
        </w:rPr>
        <w:t xml:space="preserve">                       </w:t>
      </w:r>
    </w:p>
    <w:p>
      <w:pPr>
        <w:keepNext w:val="0"/>
        <w:keepLines w:val="0"/>
        <w:pageBreakBefore w:val="0"/>
        <w:widowControl w:val="0"/>
        <w:kinsoku/>
        <w:wordWrap/>
        <w:overflowPunct/>
        <w:topLinePunct w:val="0"/>
        <w:bidi w:val="0"/>
        <w:spacing w:line="360" w:lineRule="auto"/>
        <w:ind w:left="420" w:left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3.4承包人主要施工管理人员擅自离开施工现场的违约责任：</w:t>
      </w:r>
      <w:r>
        <w:rPr>
          <w:rFonts w:hint="eastAsia" w:ascii="仿宋" w:hAnsi="仿宋" w:eastAsia="仿宋" w:cs="仿宋"/>
          <w:color w:val="auto"/>
          <w:sz w:val="24"/>
          <w:szCs w:val="24"/>
          <w:highlight w:val="none"/>
          <w:u w:val="single"/>
        </w:rPr>
        <w:t xml:space="preserve"> 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52" w:name="_Toc312677988"/>
      <w:bookmarkStart w:id="53" w:name="_Toc297120459"/>
      <w:bookmarkStart w:id="54" w:name="_Toc296347158"/>
      <w:bookmarkStart w:id="55" w:name="_Toc303539102"/>
      <w:bookmarkStart w:id="56" w:name="_Toc296503159"/>
      <w:bookmarkStart w:id="57" w:name="_Toc296346660"/>
      <w:bookmarkStart w:id="58" w:name="_Toc297048345"/>
      <w:bookmarkStart w:id="59" w:name="_Toc297216151"/>
      <w:bookmarkStart w:id="60" w:name="_Toc304295523"/>
      <w:bookmarkStart w:id="61" w:name="_Toc296890987"/>
      <w:bookmarkStart w:id="62" w:name="_Toc296891199"/>
      <w:bookmarkStart w:id="63" w:name="_Toc297123492"/>
      <w:bookmarkStart w:id="64" w:name="_Toc292559869"/>
      <w:bookmarkStart w:id="65" w:name="_Toc296944498"/>
      <w:bookmarkStart w:id="66" w:name="_Toc292559364"/>
      <w:bookmarkStart w:id="67" w:name="_Toc300934945"/>
      <w:r>
        <w:rPr>
          <w:rFonts w:hint="eastAsia" w:ascii="仿宋" w:hAnsi="仿宋" w:eastAsia="仿宋" w:cs="仿宋"/>
          <w:color w:val="auto"/>
          <w:sz w:val="24"/>
          <w:szCs w:val="24"/>
          <w:highlight w:val="none"/>
        </w:rPr>
        <w:t>.5 分包</w:t>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68" w:name="_Toc296347159"/>
      <w:bookmarkStart w:id="69" w:name="_Toc296944499"/>
      <w:bookmarkStart w:id="70" w:name="_Toc296890988"/>
      <w:bookmarkStart w:id="71" w:name="_Toc296346661"/>
      <w:bookmarkStart w:id="72" w:name="_Toc292559365"/>
      <w:bookmarkStart w:id="73" w:name="_Toc296503160"/>
      <w:bookmarkStart w:id="74" w:name="_Toc303539103"/>
      <w:bookmarkStart w:id="75" w:name="_Toc304295524"/>
      <w:bookmarkStart w:id="76" w:name="_Toc297216152"/>
      <w:bookmarkStart w:id="77" w:name="_Toc297120460"/>
      <w:bookmarkStart w:id="78" w:name="_Toc296891200"/>
      <w:bookmarkStart w:id="79" w:name="_Toc300934946"/>
      <w:bookmarkStart w:id="80" w:name="_Toc297048346"/>
      <w:bookmarkStart w:id="81" w:name="_Toc297123493"/>
      <w:bookmarkStart w:id="82" w:name="_Toc292559870"/>
      <w:bookmarkStart w:id="83" w:name="_Toc312677989"/>
      <w:bookmarkStart w:id="84" w:name="_Toc318581158"/>
      <w:r>
        <w:rPr>
          <w:rFonts w:hint="eastAsia" w:ascii="仿宋" w:hAnsi="仿宋" w:eastAsia="仿宋" w:cs="仿宋"/>
          <w:color w:val="auto"/>
          <w:sz w:val="24"/>
          <w:szCs w:val="24"/>
          <w:highlight w:val="none"/>
        </w:rPr>
        <w:t>.5.1 分包的一般约定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禁止分包的工程包括：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主体结构、关键性工作的范围：</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Start w:id="85" w:name="_Toc297216153"/>
      <w:bookmarkStart w:id="86" w:name="_Toc296944500"/>
      <w:bookmarkStart w:id="87" w:name="_Toc296346662"/>
      <w:bookmarkStart w:id="88" w:name="_Toc303539104"/>
      <w:bookmarkStart w:id="89" w:name="_Toc297120461"/>
      <w:bookmarkStart w:id="90" w:name="_Toc296890989"/>
      <w:bookmarkStart w:id="91" w:name="_Toc304295525"/>
      <w:bookmarkStart w:id="92" w:name="_Toc296347160"/>
      <w:bookmarkStart w:id="93" w:name="_Toc296891201"/>
      <w:bookmarkStart w:id="94" w:name="_Toc297048347"/>
      <w:bookmarkStart w:id="95" w:name="_Toc296503161"/>
      <w:bookmarkStart w:id="96" w:name="_Toc300934947"/>
      <w:bookmarkStart w:id="97" w:name="_Toc297123494"/>
      <w:r>
        <w:rPr>
          <w:rFonts w:hint="eastAsia" w:ascii="仿宋" w:hAnsi="仿宋" w:eastAsia="仿宋" w:cs="仿宋"/>
          <w:color w:val="auto"/>
          <w:sz w:val="24"/>
          <w:szCs w:val="24"/>
          <w:highlight w:val="none"/>
          <w:u w:val="single"/>
        </w:rPr>
        <w:t xml:space="preserve"> </w:t>
      </w:r>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w:t>
      </w:r>
      <w:bookmarkStart w:id="98" w:name="_Toc312677990"/>
      <w:bookmarkStart w:id="99" w:name="_Toc318581159"/>
      <w:r>
        <w:rPr>
          <w:rFonts w:hint="eastAsia" w:ascii="仿宋" w:hAnsi="仿宋" w:eastAsia="仿宋" w:cs="仿宋"/>
          <w:color w:val="auto"/>
          <w:sz w:val="24"/>
          <w:szCs w:val="24"/>
          <w:highlight w:val="none"/>
        </w:rPr>
        <w:t>.5.2分包的确定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允许分包的专业工程包括：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其他关于分包的约定：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3.5.4 分包合同价款</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关于分包合同价款支付的约定：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98"/>
    <w:bookmarkEnd w:id="99"/>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工程照管与成品、半成品保护</w:t>
      </w:r>
    </w:p>
    <w:p>
      <w:pPr>
        <w:keepNext w:val="0"/>
        <w:keepLines w:val="0"/>
        <w:pageBreakBefore w:val="0"/>
        <w:widowControl w:val="0"/>
        <w:kinsoku/>
        <w:wordWrap/>
        <w:overflowPunct/>
        <w:topLinePunct w:val="0"/>
        <w:bidi w:val="0"/>
        <w:spacing w:before="120" w:after="120"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承包人负责照管工程及工程相关的材料、工程设备的起始时间：</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before="120" w:after="120"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履约担保</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承包人是否提供履约担保：</w:t>
      </w:r>
      <w:r>
        <w:rPr>
          <w:rFonts w:hint="eastAsia" w:ascii="仿宋" w:hAnsi="仿宋" w:eastAsia="仿宋" w:cs="仿宋"/>
          <w:color w:val="auto"/>
          <w:sz w:val="24"/>
          <w:szCs w:val="24"/>
          <w:highlight w:val="none"/>
          <w:u w:val="single"/>
        </w:rPr>
        <w:t xml:space="preserve">提供10%的履约担保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承包人提供履约担保的形式、金额及期限的：</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 商定或确定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在发包人和承包人不能通过协商达成一致意见时，发包人授权监理人对以下事项进行确定：</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100" w:name="_Toc351203637"/>
      <w:r>
        <w:rPr>
          <w:rFonts w:hint="eastAsia" w:ascii="仿宋" w:hAnsi="仿宋" w:eastAsia="仿宋" w:cs="仿宋"/>
          <w:b/>
          <w:color w:val="auto"/>
          <w:sz w:val="24"/>
          <w:szCs w:val="24"/>
          <w:highlight w:val="none"/>
        </w:rPr>
        <w:t>5. 工程质量</w:t>
      </w:r>
      <w:bookmarkEnd w:id="100"/>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质量要求</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5.1.1 特殊质量标准和要求：</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关于工程奖项的约定：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 隐蔽工程检查</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5.3.2承包人提前通知监理人隐蔽工程检查的期限的约定：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监理人不能按时进行检查时，应提前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小时提交书面延期要求。</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101" w:name="_Toc351203638"/>
      <w:r>
        <w:rPr>
          <w:rFonts w:hint="eastAsia" w:ascii="仿宋" w:hAnsi="仿宋" w:eastAsia="仿宋" w:cs="仿宋"/>
          <w:b/>
          <w:color w:val="auto"/>
          <w:sz w:val="24"/>
          <w:szCs w:val="24"/>
          <w:highlight w:val="none"/>
        </w:rPr>
        <w:t>6. 安全文明施工与环境保护</w:t>
      </w:r>
      <w:bookmarkEnd w:id="101"/>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6.1安全文明施工</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6.1.1 项目安全生产的达标目标及相应事项的约定：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6.1.4 关于治安保卫的特别约定：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关于编制施工场地治安管理计划的约定：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6.1.5 文明施工</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合同当事人对文明施工的要求：</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6.1.6 关于安全文明施工费支付比例和支付期限的约定：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102" w:name="_Toc351203639"/>
      <w:r>
        <w:rPr>
          <w:rFonts w:hint="eastAsia" w:ascii="仿宋" w:hAnsi="仿宋" w:eastAsia="仿宋" w:cs="仿宋"/>
          <w:b/>
          <w:color w:val="auto"/>
          <w:sz w:val="24"/>
          <w:szCs w:val="24"/>
          <w:highlight w:val="none"/>
        </w:rPr>
        <w:t>7. 工期和进度</w:t>
      </w:r>
      <w:bookmarkEnd w:id="102"/>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施工组织设计</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7.1.1 合同当事人约定的施工组织设计应包括的其他内容：</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7.1.2 施工组织设计的提交和修改</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承包人提交详细施工组织设计的期限的约定：</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发包人和监理人在收到详细的施工组织设计后确认或提出修改意见的期限：</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103" w:name="_Toc312677479"/>
      <w:bookmarkStart w:id="104" w:name="_Toc300934966"/>
      <w:bookmarkStart w:id="105" w:name="_Toc297216173"/>
      <w:bookmarkStart w:id="106" w:name="_Toc312678005"/>
      <w:bookmarkStart w:id="107" w:name="_Toc303539123"/>
      <w:bookmarkStart w:id="108" w:name="_Toc297123514"/>
      <w:bookmarkStart w:id="109" w:name="_Toc304295541"/>
      <w:r>
        <w:rPr>
          <w:rFonts w:hint="eastAsia" w:ascii="仿宋" w:hAnsi="仿宋" w:eastAsia="仿宋" w:cs="仿宋"/>
          <w:color w:val="auto"/>
          <w:sz w:val="24"/>
          <w:szCs w:val="24"/>
          <w:highlight w:val="none"/>
        </w:rPr>
        <w:t>.2 施工进度计划</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7.2.2 施工进度计划的修订</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发包人和监理人在收到修订的施工进度计划后确认或提出修改意见的期限：</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开工</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 开工准备</w:t>
      </w:r>
    </w:p>
    <w:p>
      <w:pPr>
        <w:keepNext w:val="0"/>
        <w:keepLines w:val="0"/>
        <w:pageBreakBefore w:val="0"/>
        <w:widowControl w:val="0"/>
        <w:kinsoku/>
        <w:wordWrap/>
        <w:overflowPunct/>
        <w:topLinePunct w:val="0"/>
        <w:bidi w:val="0"/>
        <w:spacing w:line="360" w:lineRule="auto"/>
        <w:ind w:firstLine="645"/>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关于承包人提交工程开工报审表的期限：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645"/>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关于发包人应完成的其他开工准备工作及期限：</w:t>
      </w:r>
    </w:p>
    <w:p>
      <w:pPr>
        <w:keepNext w:val="0"/>
        <w:keepLines w:val="0"/>
        <w:pageBreakBefore w:val="0"/>
        <w:widowControl w:val="0"/>
        <w:kinsoku/>
        <w:wordWrap/>
        <w:overflowPunct/>
        <w:topLinePunct w:val="0"/>
        <w:bidi w:val="0"/>
        <w:spacing w:line="360" w:lineRule="auto"/>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关于承包人应完成的其他开工准备工作及期限：</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7.3.2开工通知</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因发包人原因造成监理人未能在计划开工日期之日起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天内发出开工通知的，承包人有权提出价格调整要求，或者解除合同。</w:t>
      </w:r>
    </w:p>
    <w:bookmarkEnd w:id="103"/>
    <w:bookmarkEnd w:id="104"/>
    <w:bookmarkEnd w:id="105"/>
    <w:bookmarkEnd w:id="106"/>
    <w:bookmarkEnd w:id="107"/>
    <w:bookmarkEnd w:id="108"/>
    <w:bookmarkEnd w:id="109"/>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 测量放线</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7.4.1发包人通过监理人向承包人提供测量基准点、基准线和水准点及其书面资料的期限：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110" w:name="_Toc312678010"/>
      <w:bookmarkStart w:id="111" w:name="_Toc297216175"/>
      <w:bookmarkStart w:id="112" w:name="_Toc304295546"/>
      <w:bookmarkStart w:id="113" w:name="_Toc300934968"/>
      <w:bookmarkStart w:id="114" w:name="_Toc303539125"/>
      <w:bookmarkStart w:id="115" w:name="_Toc297123516"/>
      <w:bookmarkStart w:id="116" w:name="_Toc312677484"/>
      <w:r>
        <w:rPr>
          <w:rFonts w:hint="eastAsia" w:ascii="仿宋" w:hAnsi="仿宋" w:eastAsia="仿宋" w:cs="仿宋"/>
          <w:color w:val="auto"/>
          <w:sz w:val="24"/>
          <w:szCs w:val="24"/>
          <w:highlight w:val="none"/>
        </w:rPr>
        <w:t>.5 工期延误</w:t>
      </w:r>
    </w:p>
    <w:bookmarkEnd w:id="110"/>
    <w:bookmarkEnd w:id="111"/>
    <w:bookmarkEnd w:id="112"/>
    <w:bookmarkEnd w:id="113"/>
    <w:bookmarkEnd w:id="114"/>
    <w:bookmarkEnd w:id="115"/>
    <w:bookmarkEnd w:id="116"/>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7.5.1 因发包人原因导致工期延误</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（7）因发包人原因导致工期延误的其他情形：</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117" w:name="_Toc312677486"/>
      <w:bookmarkStart w:id="118" w:name="_Toc312678012"/>
      <w:bookmarkStart w:id="119" w:name="_Toc318581169"/>
      <w:bookmarkStart w:id="120" w:name="_Toc297216177"/>
      <w:bookmarkStart w:id="121" w:name="_Toc300934970"/>
      <w:bookmarkStart w:id="122" w:name="_Toc297123518"/>
      <w:bookmarkStart w:id="123" w:name="_Toc304295548"/>
      <w:bookmarkStart w:id="124" w:name="_Toc303539127"/>
      <w:r>
        <w:rPr>
          <w:rFonts w:hint="eastAsia" w:ascii="仿宋" w:hAnsi="仿宋" w:eastAsia="仿宋" w:cs="仿宋"/>
          <w:color w:val="auto"/>
          <w:sz w:val="24"/>
          <w:szCs w:val="24"/>
          <w:highlight w:val="none"/>
        </w:rPr>
        <w:t>.5.2 因承包人原因导致工期延误</w:t>
      </w:r>
    </w:p>
    <w:bookmarkEnd w:id="117"/>
    <w:bookmarkEnd w:id="118"/>
    <w:bookmarkEnd w:id="119"/>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因</w:t>
      </w:r>
      <w:bookmarkStart w:id="125" w:name="_Toc312677487"/>
      <w:bookmarkStart w:id="126" w:name="_Toc318581170"/>
      <w:bookmarkStart w:id="127" w:name="_Toc312678013"/>
      <w:r>
        <w:rPr>
          <w:rFonts w:hint="eastAsia" w:ascii="仿宋" w:hAnsi="仿宋" w:eastAsia="仿宋" w:cs="仿宋"/>
          <w:color w:val="auto"/>
          <w:sz w:val="24"/>
          <w:szCs w:val="24"/>
          <w:highlight w:val="none"/>
        </w:rPr>
        <w:t>承包人原因造成工期延误，逾期竣工违约金的计算方法为：</w:t>
      </w:r>
    </w:p>
    <w:bookmarkEnd w:id="120"/>
    <w:bookmarkEnd w:id="121"/>
    <w:bookmarkEnd w:id="122"/>
    <w:bookmarkEnd w:id="123"/>
    <w:bookmarkEnd w:id="124"/>
    <w:bookmarkEnd w:id="125"/>
    <w:bookmarkEnd w:id="126"/>
    <w:bookmarkEnd w:id="127"/>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因承包人原因造成工期延误，逾</w:t>
      </w:r>
      <w:bookmarkStart w:id="128" w:name="_Toc318581171"/>
      <w:bookmarkStart w:id="129" w:name="_Toc312678014"/>
      <w:r>
        <w:rPr>
          <w:rFonts w:hint="eastAsia" w:ascii="仿宋" w:hAnsi="仿宋" w:eastAsia="仿宋" w:cs="仿宋"/>
          <w:color w:val="auto"/>
          <w:sz w:val="24"/>
          <w:szCs w:val="24"/>
          <w:highlight w:val="none"/>
        </w:rPr>
        <w:t>期竣工违约金的上限：</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128"/>
    <w:bookmarkEnd w:id="129"/>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130" w:name="_Toc304295549"/>
      <w:bookmarkStart w:id="131" w:name="_Toc297216178"/>
      <w:bookmarkStart w:id="132" w:name="_Toc297123519"/>
      <w:bookmarkStart w:id="133" w:name="_Toc300934971"/>
      <w:bookmarkStart w:id="134" w:name="_Toc312678015"/>
      <w:bookmarkStart w:id="135" w:name="_Toc303539128"/>
      <w:r>
        <w:rPr>
          <w:rFonts w:hint="eastAsia" w:ascii="仿宋" w:hAnsi="仿宋" w:eastAsia="仿宋" w:cs="仿宋"/>
          <w:color w:val="auto"/>
          <w:sz w:val="24"/>
          <w:szCs w:val="24"/>
          <w:highlight w:val="none"/>
        </w:rPr>
        <w:t>.6 不</w:t>
      </w:r>
      <w:bookmarkEnd w:id="130"/>
      <w:bookmarkEnd w:id="131"/>
      <w:bookmarkEnd w:id="132"/>
      <w:bookmarkEnd w:id="133"/>
      <w:bookmarkEnd w:id="134"/>
      <w:bookmarkEnd w:id="135"/>
      <w:r>
        <w:rPr>
          <w:rFonts w:hint="eastAsia" w:ascii="仿宋" w:hAnsi="仿宋" w:eastAsia="仿宋" w:cs="仿宋"/>
          <w:color w:val="auto"/>
          <w:sz w:val="24"/>
          <w:szCs w:val="24"/>
          <w:highlight w:val="none"/>
        </w:rPr>
        <w:t>利物质条件</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bookmarkStart w:id="136" w:name="_Toc304295550"/>
      <w:bookmarkStart w:id="137" w:name="_Toc297123520"/>
      <w:bookmarkStart w:id="138" w:name="_Toc300934972"/>
      <w:bookmarkStart w:id="139" w:name="_Toc318581172"/>
      <w:bookmarkStart w:id="140" w:name="_Toc303539129"/>
      <w:bookmarkStart w:id="141" w:name="_Toc312678016"/>
      <w:bookmarkStart w:id="142" w:name="_Toc297216179"/>
      <w:r>
        <w:rPr>
          <w:rFonts w:hint="eastAsia" w:ascii="仿宋" w:hAnsi="仿宋" w:eastAsia="仿宋" w:cs="仿宋"/>
          <w:color w:val="auto"/>
          <w:sz w:val="24"/>
          <w:szCs w:val="24"/>
          <w:highlight w:val="none"/>
        </w:rPr>
        <w:t>不利物质条件的其他情形和有关约定：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136"/>
    <w:bookmarkEnd w:id="137"/>
    <w:bookmarkEnd w:id="138"/>
    <w:bookmarkEnd w:id="139"/>
    <w:bookmarkEnd w:id="140"/>
    <w:bookmarkEnd w:id="141"/>
    <w:bookmarkEnd w:id="142"/>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143" w:name="_Toc303539130"/>
      <w:bookmarkStart w:id="144" w:name="_Toc297216180"/>
      <w:bookmarkStart w:id="145" w:name="_Toc304295551"/>
      <w:bookmarkStart w:id="146" w:name="_Toc312678017"/>
      <w:bookmarkStart w:id="147" w:name="_Toc297123521"/>
      <w:bookmarkStart w:id="148" w:name="_Toc300934973"/>
      <w:r>
        <w:rPr>
          <w:rFonts w:hint="eastAsia" w:ascii="仿宋" w:hAnsi="仿宋" w:eastAsia="仿宋" w:cs="仿宋"/>
          <w:color w:val="auto"/>
          <w:sz w:val="24"/>
          <w:szCs w:val="24"/>
          <w:highlight w:val="none"/>
        </w:rPr>
        <w:t>.7异常恶劣的气候条件</w:t>
      </w:r>
    </w:p>
    <w:bookmarkEnd w:id="143"/>
    <w:bookmarkEnd w:id="144"/>
    <w:bookmarkEnd w:id="145"/>
    <w:bookmarkEnd w:id="146"/>
    <w:bookmarkEnd w:id="147"/>
    <w:bookmarkEnd w:id="148"/>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发包人和承包人同意以下情形视为异常恶劣的气候条件：</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 提前竣工的奖励</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7.9.2提前竣工的奖励：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149" w:name="_Toc351203640"/>
      <w:r>
        <w:rPr>
          <w:rFonts w:hint="eastAsia" w:ascii="仿宋" w:hAnsi="仿宋" w:eastAsia="仿宋" w:cs="仿宋"/>
          <w:b/>
          <w:color w:val="auto"/>
          <w:sz w:val="24"/>
          <w:szCs w:val="24"/>
          <w:highlight w:val="none"/>
        </w:rPr>
        <w:t>8. 材料与设备</w:t>
      </w:r>
      <w:bookmarkEnd w:id="149"/>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150" w:name="_Toc297048353"/>
      <w:bookmarkStart w:id="151" w:name="_Toc296347166"/>
      <w:bookmarkStart w:id="152" w:name="_Toc296346668"/>
      <w:bookmarkStart w:id="153" w:name="_Toc292559372"/>
      <w:bookmarkStart w:id="154" w:name="_Toc312677493"/>
      <w:bookmarkStart w:id="155" w:name="_Toc300934979"/>
      <w:bookmarkStart w:id="156" w:name="_Toc303539136"/>
      <w:bookmarkStart w:id="157" w:name="_Toc312678019"/>
      <w:bookmarkStart w:id="158" w:name="_Toc296944506"/>
      <w:bookmarkStart w:id="159" w:name="_Toc296891207"/>
      <w:bookmarkStart w:id="160" w:name="_Toc292559877"/>
      <w:bookmarkStart w:id="161" w:name="_Toc296890995"/>
      <w:bookmarkStart w:id="162" w:name="_Toc304295556"/>
      <w:bookmarkStart w:id="163" w:name="_Toc297216186"/>
      <w:bookmarkStart w:id="164" w:name="_Toc297123527"/>
      <w:bookmarkStart w:id="165" w:name="_Toc296503167"/>
      <w:bookmarkStart w:id="166" w:name="_Toc280868654"/>
      <w:bookmarkStart w:id="167" w:name="_Toc297120467"/>
      <w:bookmarkStart w:id="168" w:name="_Toc267251424"/>
      <w:bookmarkStart w:id="169" w:name="_Toc280868656"/>
      <w:bookmarkStart w:id="170" w:name="_Toc280868655"/>
      <w:r>
        <w:rPr>
          <w:rFonts w:hint="eastAsia" w:ascii="仿宋" w:hAnsi="仿宋" w:eastAsia="仿宋" w:cs="仿宋"/>
          <w:color w:val="auto"/>
          <w:sz w:val="24"/>
          <w:szCs w:val="24"/>
          <w:highlight w:val="none"/>
        </w:rPr>
        <w:t>.4材料与工程设备的保管与使用</w:t>
      </w:r>
    </w:p>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8</w:t>
      </w:r>
      <w:bookmarkStart w:id="171" w:name="_Toc292559878"/>
      <w:bookmarkStart w:id="172" w:name="_Toc292559373"/>
      <w:bookmarkStart w:id="173" w:name="_Toc318581173"/>
      <w:bookmarkStart w:id="174" w:name="_Toc300934980"/>
      <w:bookmarkStart w:id="175" w:name="_Toc297120468"/>
      <w:bookmarkStart w:id="176" w:name="_Toc312677494"/>
      <w:bookmarkStart w:id="177" w:name="_Toc296347167"/>
      <w:bookmarkStart w:id="178" w:name="_Toc297048354"/>
      <w:bookmarkStart w:id="179" w:name="_Toc297123528"/>
      <w:bookmarkStart w:id="180" w:name="_Toc296503168"/>
      <w:bookmarkStart w:id="181" w:name="_Toc297216187"/>
      <w:bookmarkStart w:id="182" w:name="_Toc296944507"/>
      <w:bookmarkStart w:id="183" w:name="_Toc296346669"/>
      <w:bookmarkStart w:id="184" w:name="_Toc296890996"/>
      <w:bookmarkStart w:id="185" w:name="_Toc303539137"/>
      <w:bookmarkStart w:id="186" w:name="_Toc304295557"/>
      <w:bookmarkStart w:id="187" w:name="_Toc296891208"/>
      <w:bookmarkStart w:id="188" w:name="_Toc312678020"/>
      <w:r>
        <w:rPr>
          <w:rFonts w:hint="eastAsia" w:ascii="仿宋" w:hAnsi="仿宋" w:eastAsia="仿宋" w:cs="仿宋"/>
          <w:color w:val="auto"/>
          <w:sz w:val="24"/>
          <w:szCs w:val="24"/>
          <w:highlight w:val="none"/>
        </w:rPr>
        <w:t>.4.1发包人供应的材料设备的保管费用的承担：</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bookmarkEnd w:id="171"/>
      <w:bookmarkEnd w:id="172"/>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8.6 样品</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8.6.1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样品的报送与封存</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需要承包人报送样品的材料或工程设备，样品的种类、名称、规格、数量要求：</w:t>
      </w:r>
    </w:p>
    <w:p>
      <w:pPr>
        <w:keepNext w:val="0"/>
        <w:keepLines w:val="0"/>
        <w:pageBreakBefore w:val="0"/>
        <w:widowControl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8.8 施工设备和临时设施</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8.8.1 承包人提供的施工设备和临时设施</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关于修建临时设施费用承担的约定：</w:t>
      </w:r>
    </w:p>
    <w:p>
      <w:pPr>
        <w:keepNext w:val="0"/>
        <w:keepLines w:val="0"/>
        <w:pageBreakBefore w:val="0"/>
        <w:widowControl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189" w:name="_Toc351203641"/>
      <w:r>
        <w:rPr>
          <w:rFonts w:hint="eastAsia" w:ascii="仿宋" w:hAnsi="仿宋" w:eastAsia="仿宋" w:cs="仿宋"/>
          <w:b/>
          <w:color w:val="auto"/>
          <w:sz w:val="24"/>
          <w:szCs w:val="24"/>
          <w:highlight w:val="none"/>
        </w:rPr>
        <w:t>9</w:t>
      </w:r>
      <w:bookmarkEnd w:id="168"/>
      <w:bookmarkEnd w:id="169"/>
      <w:bookmarkEnd w:id="170"/>
      <w:bookmarkStart w:id="190" w:name="_Toc297216192"/>
      <w:bookmarkStart w:id="191" w:name="_Toc312677495"/>
      <w:bookmarkStart w:id="192" w:name="_Toc303539139"/>
      <w:bookmarkStart w:id="193" w:name="_Toc300934982"/>
      <w:bookmarkStart w:id="194" w:name="_Toc304295559"/>
      <w:bookmarkStart w:id="195" w:name="_Toc297123533"/>
      <w:bookmarkStart w:id="196" w:name="_Toc312678021"/>
      <w:bookmarkStart w:id="197" w:name="_Toc296891001"/>
      <w:bookmarkStart w:id="198" w:name="_Toc297048359"/>
      <w:bookmarkStart w:id="199" w:name="_Toc292559883"/>
      <w:bookmarkStart w:id="200" w:name="_Toc292559378"/>
      <w:bookmarkStart w:id="201" w:name="_Toc267251427"/>
      <w:bookmarkStart w:id="202" w:name="_Toc297120473"/>
      <w:bookmarkStart w:id="203" w:name="_Toc296944512"/>
      <w:bookmarkStart w:id="204" w:name="_Toc296891213"/>
      <w:bookmarkStart w:id="205" w:name="_Toc296346674"/>
      <w:bookmarkStart w:id="206" w:name="_Toc267251428"/>
      <w:bookmarkStart w:id="207" w:name="_Toc296503173"/>
      <w:bookmarkStart w:id="208" w:name="_Toc296347172"/>
      <w:r>
        <w:rPr>
          <w:rFonts w:hint="eastAsia" w:ascii="仿宋" w:hAnsi="仿宋" w:eastAsia="仿宋" w:cs="仿宋"/>
          <w:b/>
          <w:color w:val="auto"/>
          <w:sz w:val="24"/>
          <w:szCs w:val="24"/>
          <w:highlight w:val="none"/>
        </w:rPr>
        <w:t>. 试验与检验</w:t>
      </w:r>
      <w:bookmarkEnd w:id="189"/>
    </w:p>
    <w:bookmarkEnd w:id="190"/>
    <w:bookmarkEnd w:id="191"/>
    <w:bookmarkEnd w:id="192"/>
    <w:bookmarkEnd w:id="193"/>
    <w:bookmarkEnd w:id="194"/>
    <w:bookmarkEnd w:id="195"/>
    <w:bookmarkEnd w:id="196"/>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209" w:name="_Toc297123534"/>
      <w:bookmarkStart w:id="210" w:name="_Toc312677496"/>
      <w:bookmarkStart w:id="211" w:name="_Toc304295560"/>
      <w:bookmarkStart w:id="212" w:name="_Toc300934983"/>
      <w:bookmarkStart w:id="213" w:name="_Toc297216193"/>
      <w:bookmarkStart w:id="214" w:name="_Toc312678022"/>
      <w:bookmarkStart w:id="215" w:name="_Toc303539140"/>
      <w:r>
        <w:rPr>
          <w:rFonts w:hint="eastAsia" w:ascii="仿宋" w:hAnsi="仿宋" w:eastAsia="仿宋" w:cs="仿宋"/>
          <w:color w:val="auto"/>
          <w:sz w:val="24"/>
          <w:szCs w:val="24"/>
          <w:highlight w:val="none"/>
        </w:rPr>
        <w:t>.1试验设备与试验人员</w:t>
      </w:r>
    </w:p>
    <w:bookmarkEnd w:id="209"/>
    <w:bookmarkEnd w:id="210"/>
    <w:bookmarkEnd w:id="211"/>
    <w:bookmarkEnd w:id="212"/>
    <w:bookmarkEnd w:id="213"/>
    <w:bookmarkEnd w:id="214"/>
    <w:bookmarkEnd w:id="215"/>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216" w:name="_Toc303539141"/>
      <w:bookmarkStart w:id="217" w:name="_Toc304295561"/>
      <w:bookmarkStart w:id="218" w:name="_Toc312677497"/>
      <w:bookmarkStart w:id="219" w:name="_Toc297216194"/>
      <w:bookmarkStart w:id="220" w:name="_Toc300934984"/>
      <w:bookmarkStart w:id="221" w:name="_Toc297123535"/>
      <w:bookmarkStart w:id="222" w:name="_Toc312678023"/>
      <w:bookmarkStart w:id="223" w:name="_Toc318581174"/>
      <w:r>
        <w:rPr>
          <w:rFonts w:hint="eastAsia" w:ascii="仿宋" w:hAnsi="仿宋" w:eastAsia="仿宋" w:cs="仿宋"/>
          <w:color w:val="auto"/>
          <w:sz w:val="24"/>
          <w:szCs w:val="24"/>
          <w:highlight w:val="none"/>
        </w:rPr>
        <w:t>.1.2 试验设备</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施工现场需要配置的试验场所：</w:t>
      </w:r>
      <w:bookmarkEnd w:id="216"/>
      <w:bookmarkEnd w:id="217"/>
      <w:bookmarkEnd w:id="218"/>
      <w:bookmarkEnd w:id="219"/>
      <w:bookmarkEnd w:id="220"/>
      <w:bookmarkEnd w:id="221"/>
      <w:bookmarkEnd w:id="222"/>
      <w:bookmarkStart w:id="224" w:name="_Toc312677498"/>
      <w:bookmarkStart w:id="225" w:name="_Toc297123536"/>
      <w:bookmarkStart w:id="226" w:name="_Toc312678024"/>
      <w:bookmarkStart w:id="227" w:name="_Toc297216195"/>
      <w:bookmarkStart w:id="228" w:name="_Toc300934985"/>
      <w:bookmarkStart w:id="229" w:name="_Toc304295562"/>
      <w:bookmarkStart w:id="230" w:name="_Toc303539142"/>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施工现场需要配备的试验设备：</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施工现场需要具备的其他试验条件：</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9.4 现场工艺试验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现场工艺试验的有关约定：</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223"/>
    <w:bookmarkEnd w:id="224"/>
    <w:bookmarkEnd w:id="225"/>
    <w:bookmarkEnd w:id="226"/>
    <w:bookmarkEnd w:id="227"/>
    <w:bookmarkEnd w:id="228"/>
    <w:bookmarkEnd w:id="229"/>
    <w:bookmarkEnd w:id="230"/>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231" w:name="_Toc351203642"/>
      <w:r>
        <w:rPr>
          <w:rFonts w:hint="eastAsia" w:ascii="仿宋" w:hAnsi="仿宋" w:eastAsia="仿宋" w:cs="仿宋"/>
          <w:b/>
          <w:color w:val="auto"/>
          <w:sz w:val="24"/>
          <w:szCs w:val="24"/>
          <w:highlight w:val="none"/>
        </w:rPr>
        <w:t>1</w:t>
      </w:r>
      <w:bookmarkEnd w:id="197"/>
      <w:bookmarkEnd w:id="198"/>
      <w:bookmarkEnd w:id="199"/>
      <w:bookmarkEnd w:id="200"/>
      <w:bookmarkEnd w:id="201"/>
      <w:bookmarkEnd w:id="202"/>
      <w:bookmarkEnd w:id="203"/>
      <w:bookmarkEnd w:id="204"/>
      <w:bookmarkEnd w:id="205"/>
      <w:bookmarkEnd w:id="206"/>
      <w:bookmarkEnd w:id="207"/>
      <w:bookmarkEnd w:id="208"/>
      <w:bookmarkStart w:id="232" w:name="_Toc296891233"/>
      <w:bookmarkStart w:id="233" w:name="_Toc297216199"/>
      <w:bookmarkStart w:id="234" w:name="_Toc303539146"/>
      <w:bookmarkStart w:id="235" w:name="_Toc292559903"/>
      <w:bookmarkStart w:id="236" w:name="_Toc296346694"/>
      <w:bookmarkStart w:id="237" w:name="_Toc297120493"/>
      <w:bookmarkStart w:id="238" w:name="_Toc296891021"/>
      <w:bookmarkStart w:id="239" w:name="_Toc292559398"/>
      <w:bookmarkStart w:id="240" w:name="_Toc296944532"/>
      <w:bookmarkStart w:id="241" w:name="_Toc296503193"/>
      <w:bookmarkStart w:id="242" w:name="_Toc297048379"/>
      <w:bookmarkStart w:id="243" w:name="_Toc297123540"/>
      <w:bookmarkStart w:id="244" w:name="_Toc296347192"/>
      <w:bookmarkStart w:id="245" w:name="_Toc304295566"/>
      <w:bookmarkStart w:id="246" w:name="_Toc300934989"/>
      <w:bookmarkStart w:id="247" w:name="_Toc312677499"/>
      <w:bookmarkStart w:id="248" w:name="_Toc312678025"/>
      <w:r>
        <w:rPr>
          <w:rFonts w:hint="eastAsia" w:ascii="仿宋" w:hAnsi="仿宋" w:eastAsia="仿宋" w:cs="仿宋"/>
          <w:b/>
          <w:color w:val="auto"/>
          <w:sz w:val="24"/>
          <w:szCs w:val="24"/>
          <w:highlight w:val="none"/>
        </w:rPr>
        <w:t>0. 变更</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bookmarkEnd w:id="247"/>
    <w:bookmarkEnd w:id="248"/>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249" w:name="_Toc292559399"/>
      <w:bookmarkStart w:id="250" w:name="_Toc296891022"/>
      <w:bookmarkStart w:id="251" w:name="_Toc297048380"/>
      <w:bookmarkStart w:id="252" w:name="_Toc296503194"/>
      <w:bookmarkStart w:id="253" w:name="_Toc292559904"/>
      <w:bookmarkStart w:id="254" w:name="_Toc296944533"/>
      <w:bookmarkStart w:id="255" w:name="_Toc297123541"/>
      <w:bookmarkStart w:id="256" w:name="_Toc296347193"/>
      <w:bookmarkStart w:id="257" w:name="_Toc297120494"/>
      <w:bookmarkStart w:id="258" w:name="_Toc297216200"/>
      <w:bookmarkStart w:id="259" w:name="_Toc296346695"/>
      <w:bookmarkStart w:id="260" w:name="_Toc296891234"/>
      <w:bookmarkStart w:id="261" w:name="_Toc303539147"/>
      <w:bookmarkStart w:id="262" w:name="_Toc312677500"/>
      <w:bookmarkStart w:id="263" w:name="_Toc312678026"/>
      <w:bookmarkStart w:id="264" w:name="_Toc300934990"/>
      <w:bookmarkStart w:id="265" w:name="_Toc304295567"/>
      <w:r>
        <w:rPr>
          <w:rFonts w:hint="eastAsia" w:ascii="仿宋" w:hAnsi="仿宋" w:eastAsia="仿宋" w:cs="仿宋"/>
          <w:color w:val="auto"/>
          <w:sz w:val="24"/>
          <w:szCs w:val="24"/>
          <w:highlight w:val="none"/>
        </w:rPr>
        <w:t>0.1变更的范围</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关于变更的范围的约定：</w:t>
      </w:r>
    </w:p>
    <w:p>
      <w:pPr>
        <w:keepNext w:val="0"/>
        <w:keepLines w:val="0"/>
        <w:pageBreakBefore w:val="0"/>
        <w:widowControl w:val="0"/>
        <w:kinsoku/>
        <w:wordWrap/>
        <w:overflowPunct/>
        <w:topLinePunct w:val="0"/>
        <w:bidi w:val="0"/>
        <w:spacing w:line="360" w:lineRule="auto"/>
        <w:ind w:firstLine="42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4" w:firstLineChars="20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 变更估价</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10.4.1 变更估价原则</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关于变更估价的约定：</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Start w:id="266" w:name="_Toc296347196"/>
      <w:bookmarkStart w:id="267" w:name="_Toc297048383"/>
      <w:bookmarkStart w:id="268" w:name="_Toc297120497"/>
      <w:bookmarkStart w:id="269" w:name="_Toc292559907"/>
      <w:bookmarkStart w:id="270" w:name="_Toc296891025"/>
      <w:bookmarkStart w:id="271" w:name="_Toc300934993"/>
      <w:bookmarkStart w:id="272" w:name="_Toc296346698"/>
      <w:bookmarkStart w:id="273" w:name="_Toc303539150"/>
      <w:bookmarkStart w:id="274" w:name="_Toc292559402"/>
      <w:bookmarkStart w:id="275" w:name="_Toc297123544"/>
      <w:bookmarkStart w:id="276" w:name="_Toc296944536"/>
      <w:bookmarkStart w:id="277" w:name="_Toc297216203"/>
      <w:bookmarkStart w:id="278" w:name="_Toc296503197"/>
      <w:bookmarkStart w:id="279" w:name="_Toc296891237"/>
      <w:bookmarkStart w:id="280" w:name="_Toc304295570"/>
      <w:bookmarkStart w:id="281" w:name="_Toc312677503"/>
      <w:bookmarkStart w:id="282" w:name="_Toc312678029"/>
      <w:r>
        <w:rPr>
          <w:rFonts w:hint="eastAsia" w:ascii="仿宋" w:hAnsi="仿宋" w:eastAsia="仿宋" w:cs="仿宋"/>
          <w:color w:val="auto"/>
          <w:sz w:val="24"/>
          <w:szCs w:val="24"/>
          <w:highlight w:val="none"/>
        </w:rPr>
        <w:t>0.5承</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Start w:id="283" w:name="_Toc297120503"/>
      <w:bookmarkStart w:id="284" w:name="_Toc296503203"/>
      <w:bookmarkStart w:id="285" w:name="_Toc300934994"/>
      <w:bookmarkStart w:id="286" w:name="_Toc297123545"/>
      <w:bookmarkStart w:id="287" w:name="_Toc296944542"/>
      <w:bookmarkStart w:id="288" w:name="_Toc296891031"/>
      <w:bookmarkStart w:id="289" w:name="_Toc296346704"/>
      <w:bookmarkStart w:id="290" w:name="_Toc296347202"/>
      <w:bookmarkStart w:id="291" w:name="_Toc296891243"/>
      <w:bookmarkStart w:id="292" w:name="_Toc292559408"/>
      <w:bookmarkStart w:id="293" w:name="_Toc297048389"/>
      <w:bookmarkStart w:id="294" w:name="_Toc297216204"/>
      <w:bookmarkStart w:id="295" w:name="_Toc292559913"/>
      <w:bookmarkStart w:id="296" w:name="_Toc303539151"/>
      <w:r>
        <w:rPr>
          <w:rFonts w:hint="eastAsia" w:ascii="仿宋" w:hAnsi="仿宋" w:eastAsia="仿宋" w:cs="仿宋"/>
          <w:color w:val="auto"/>
          <w:sz w:val="24"/>
          <w:szCs w:val="24"/>
          <w:highlight w:val="none"/>
        </w:rPr>
        <w:t>包人的合理化建议</w:t>
      </w:r>
    </w:p>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监理人审查承包人合理化建议的期限：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发包人审批承包人合理化建议的期限：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w:t>
      </w:r>
      <w:bookmarkStart w:id="297" w:name="_Toc297120504"/>
      <w:bookmarkStart w:id="298" w:name="_Toc292559914"/>
      <w:bookmarkStart w:id="299" w:name="_Toc312677504"/>
      <w:bookmarkStart w:id="300" w:name="_Toc296891032"/>
      <w:bookmarkStart w:id="301" w:name="_Toc312678030"/>
      <w:bookmarkStart w:id="302" w:name="_Toc296503204"/>
      <w:bookmarkStart w:id="303" w:name="_Toc304295571"/>
      <w:bookmarkStart w:id="304" w:name="_Toc297123546"/>
      <w:bookmarkStart w:id="305" w:name="_Toc303539152"/>
      <w:bookmarkStart w:id="306" w:name="_Toc296346705"/>
      <w:bookmarkStart w:id="307" w:name="_Toc297048390"/>
      <w:bookmarkStart w:id="308" w:name="_Toc300934995"/>
      <w:bookmarkStart w:id="309" w:name="_Toc297216205"/>
      <w:bookmarkStart w:id="310" w:name="_Toc296944543"/>
      <w:bookmarkStart w:id="311" w:name="_Toc296347203"/>
      <w:bookmarkStart w:id="312" w:name="_Toc296891244"/>
      <w:bookmarkStart w:id="313" w:name="_Toc318581175"/>
      <w:bookmarkStart w:id="314" w:name="_Toc292559409"/>
      <w:r>
        <w:rPr>
          <w:rFonts w:hint="eastAsia" w:ascii="仿宋" w:hAnsi="仿宋" w:eastAsia="仿宋" w:cs="仿宋"/>
          <w:color w:val="auto"/>
          <w:sz w:val="24"/>
          <w:szCs w:val="24"/>
          <w:highlight w:val="none"/>
        </w:rPr>
        <w:t>包人提出的合理化建议降低了合同价格或者提高了工程经济效益的奖励的方法和金额为：</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315" w:name="_Toc303539154"/>
      <w:bookmarkStart w:id="316" w:name="_Toc297216207"/>
      <w:bookmarkStart w:id="317" w:name="_Toc296944538"/>
      <w:bookmarkStart w:id="318" w:name="_Toc292559404"/>
      <w:bookmarkStart w:id="319" w:name="_Toc292559909"/>
      <w:bookmarkStart w:id="320" w:name="_Toc296891027"/>
      <w:bookmarkStart w:id="321" w:name="_Toc300934997"/>
      <w:bookmarkStart w:id="322" w:name="_Toc304295574"/>
      <w:bookmarkStart w:id="323" w:name="_Toc297123548"/>
      <w:bookmarkStart w:id="324" w:name="_Toc296346700"/>
      <w:bookmarkStart w:id="325" w:name="_Toc296891239"/>
      <w:bookmarkStart w:id="326" w:name="_Toc296347198"/>
      <w:bookmarkStart w:id="327" w:name="_Toc297120499"/>
      <w:bookmarkStart w:id="328" w:name="_Toc312677507"/>
      <w:bookmarkStart w:id="329" w:name="_Toc296503199"/>
      <w:bookmarkStart w:id="330" w:name="_Toc312678033"/>
      <w:bookmarkStart w:id="331" w:name="_Toc297048385"/>
      <w:r>
        <w:rPr>
          <w:rFonts w:hint="eastAsia" w:ascii="仿宋" w:hAnsi="仿宋" w:eastAsia="仿宋" w:cs="仿宋"/>
          <w:color w:val="auto"/>
          <w:sz w:val="24"/>
          <w:szCs w:val="24"/>
          <w:highlight w:val="none"/>
        </w:rPr>
        <w:t>0.7 暂估价</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暂</w:t>
      </w:r>
      <w:bookmarkStart w:id="332" w:name="_Toc312678034"/>
      <w:bookmarkStart w:id="333" w:name="_Toc312677508"/>
      <w:bookmarkStart w:id="334" w:name="_Toc318581176"/>
      <w:r>
        <w:rPr>
          <w:rFonts w:hint="eastAsia" w:ascii="仿宋" w:hAnsi="仿宋" w:eastAsia="仿宋" w:cs="仿宋"/>
          <w:color w:val="auto"/>
          <w:sz w:val="24"/>
          <w:szCs w:val="24"/>
          <w:highlight w:val="none"/>
        </w:rPr>
        <w:t>估价材料和工程设备的明细详见附件11：《暂估价一览表》。</w:t>
      </w:r>
    </w:p>
    <w:bookmarkEnd w:id="332"/>
    <w:bookmarkEnd w:id="333"/>
    <w:bookmarkEnd w:id="334"/>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335" w:name="_Toc318581177"/>
      <w:bookmarkStart w:id="336" w:name="_Toc312677509"/>
      <w:bookmarkStart w:id="337" w:name="_Toc312678035"/>
      <w:r>
        <w:rPr>
          <w:rFonts w:hint="eastAsia" w:ascii="仿宋" w:hAnsi="仿宋" w:eastAsia="仿宋" w:cs="仿宋"/>
          <w:color w:val="auto"/>
          <w:sz w:val="24"/>
          <w:szCs w:val="24"/>
          <w:highlight w:val="none"/>
        </w:rPr>
        <w:t>0.7.1 依法必须招标的暂估价项目</w:t>
      </w:r>
    </w:p>
    <w:bookmarkEnd w:id="335"/>
    <w:bookmarkEnd w:id="336"/>
    <w:bookmarkEnd w:id="337"/>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对于依法必须招标的暂估价项目的确认和批准采取第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种方式确定。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10.7.2 不属于依法必须招标的暂估价项目</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对于不属于依法必须招标的暂估价项目的确认和批准采取第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种方式确定。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第3种方式：承包人直接实施的暂估价项目</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承包人直接实施的暂估价项目的约定：</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10.8 暂列金额</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合同当事人关于暂列金额使用的约定：</w:t>
      </w:r>
    </w:p>
    <w:p>
      <w:pPr>
        <w:keepNext w:val="0"/>
        <w:keepLines w:val="0"/>
        <w:pageBreakBefore w:val="0"/>
        <w:widowControl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338" w:name="_Toc351203643"/>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价格调整</w:t>
      </w:r>
      <w:bookmarkEnd w:id="338"/>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bookmarkStart w:id="339" w:name="_Toc303539157"/>
      <w:bookmarkStart w:id="340" w:name="_Toc297123550"/>
      <w:bookmarkStart w:id="341" w:name="_Toc292559406"/>
      <w:bookmarkStart w:id="342" w:name="_Toc292559911"/>
      <w:bookmarkStart w:id="343" w:name="_Toc297216209"/>
      <w:bookmarkStart w:id="344" w:name="_Toc312678039"/>
      <w:bookmarkStart w:id="345" w:name="_Toc296503201"/>
      <w:bookmarkStart w:id="346" w:name="_Toc296347200"/>
      <w:bookmarkStart w:id="347" w:name="_Toc296944540"/>
      <w:bookmarkStart w:id="348" w:name="_Toc297048387"/>
      <w:bookmarkStart w:id="349" w:name="_Toc297120501"/>
      <w:bookmarkStart w:id="350" w:name="_Toc304295577"/>
      <w:bookmarkStart w:id="351" w:name="_Toc296891241"/>
      <w:bookmarkStart w:id="352" w:name="_Toc296346702"/>
      <w:bookmarkStart w:id="353" w:name="_Toc296891029"/>
      <w:bookmarkStart w:id="354" w:name="_Toc300935000"/>
      <w:r>
        <w:rPr>
          <w:rFonts w:hint="eastAsia" w:ascii="仿宋" w:hAnsi="仿宋" w:eastAsia="仿宋" w:cs="仿宋"/>
          <w:color w:val="auto"/>
          <w:sz w:val="24"/>
          <w:szCs w:val="24"/>
          <w:highlight w:val="none"/>
        </w:rPr>
        <w:t>11.1 市场价格波动引起的调整</w:t>
      </w:r>
    </w:p>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市场价格波动是否调整合同价格的约定：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因市场价格波动调整合同价格，采用以下第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种方式对合同价格进行调整：</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第1种方式：采用价格指数进行价格调整。</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关于各可调因子、定值和变值权重，以及基本价格指数及其来源的约定：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第2种方式：采用造价信息进行价格调整。</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（2）关于基准价格的约定：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%时，或材料单价跌幅以已标价工程量清单或预算书中载明材料单价为基础超过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%时，材料单价涨幅以已标价工程量清单或预算书中载明材料单价为基础超过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pPr>
        <w:keepNext w:val="0"/>
        <w:keepLines w:val="0"/>
        <w:pageBreakBefore w:val="0"/>
        <w:widowControl w:val="0"/>
        <w:kinsoku/>
        <w:wordWrap/>
        <w:overflowPunct/>
        <w:topLinePunct w:val="0"/>
        <w:bidi w:val="0"/>
        <w:spacing w:line="360" w:lineRule="auto"/>
        <w:ind w:firstLine="645"/>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第3种方式：其他价格调整方式：</w:t>
      </w:r>
    </w:p>
    <w:p>
      <w:pPr>
        <w:keepNext w:val="0"/>
        <w:keepLines w:val="0"/>
        <w:pageBreakBefore w:val="0"/>
        <w:widowControl w:val="0"/>
        <w:kinsoku/>
        <w:wordWrap/>
        <w:overflowPunct/>
        <w:topLinePunct w:val="0"/>
        <w:bidi w:val="0"/>
        <w:spacing w:line="360" w:lineRule="auto"/>
        <w:ind w:firstLine="645"/>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355" w:name="_Toc297120505"/>
      <w:bookmarkStart w:id="356" w:name="_Toc296944544"/>
      <w:bookmarkStart w:id="357" w:name="_Toc297048391"/>
      <w:bookmarkStart w:id="358" w:name="_Toc292559915"/>
      <w:bookmarkStart w:id="359" w:name="_Toc292559410"/>
      <w:bookmarkStart w:id="360" w:name="_Toc296346706"/>
      <w:bookmarkStart w:id="361" w:name="_Toc296891033"/>
      <w:bookmarkStart w:id="362" w:name="_Toc296347204"/>
      <w:bookmarkStart w:id="363" w:name="_Toc296503205"/>
      <w:bookmarkStart w:id="364" w:name="_Toc296891245"/>
      <w:bookmarkStart w:id="365" w:name="_Toc351203644"/>
      <w:bookmarkStart w:id="366" w:name="_Toc300935002"/>
      <w:bookmarkStart w:id="367" w:name="_Toc303539159"/>
      <w:bookmarkStart w:id="368" w:name="_Toc312678040"/>
      <w:bookmarkStart w:id="369" w:name="_Toc297216211"/>
      <w:bookmarkStart w:id="370" w:name="_Toc304295579"/>
      <w:bookmarkStart w:id="371" w:name="_Toc297123552"/>
      <w:r>
        <w:rPr>
          <w:rFonts w:hint="eastAsia" w:ascii="仿宋" w:hAnsi="仿宋" w:eastAsia="仿宋" w:cs="仿宋"/>
          <w:b/>
          <w:color w:val="auto"/>
          <w:sz w:val="24"/>
          <w:szCs w:val="24"/>
          <w:highlight w:val="none"/>
        </w:rPr>
        <w:t xml:space="preserve">12. </w:t>
      </w:r>
      <w:bookmarkEnd w:id="355"/>
      <w:bookmarkEnd w:id="356"/>
      <w:bookmarkEnd w:id="357"/>
      <w:bookmarkEnd w:id="358"/>
      <w:bookmarkEnd w:id="359"/>
      <w:bookmarkEnd w:id="360"/>
      <w:bookmarkEnd w:id="361"/>
      <w:bookmarkEnd w:id="362"/>
      <w:bookmarkEnd w:id="363"/>
      <w:bookmarkEnd w:id="364"/>
      <w:r>
        <w:rPr>
          <w:rFonts w:hint="eastAsia" w:ascii="仿宋" w:hAnsi="仿宋" w:eastAsia="仿宋" w:cs="仿宋"/>
          <w:b/>
          <w:color w:val="auto"/>
          <w:sz w:val="24"/>
          <w:szCs w:val="24"/>
          <w:highlight w:val="none"/>
        </w:rPr>
        <w:t>合同价格、计量与支付</w:t>
      </w:r>
      <w:bookmarkEnd w:id="365"/>
    </w:p>
    <w:bookmarkEnd w:id="366"/>
    <w:bookmarkEnd w:id="367"/>
    <w:bookmarkEnd w:id="368"/>
    <w:bookmarkEnd w:id="369"/>
    <w:bookmarkEnd w:id="370"/>
    <w:bookmarkEnd w:id="371"/>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bookmarkStart w:id="372" w:name="_Toc292559411"/>
      <w:bookmarkStart w:id="373" w:name="_Toc267251461"/>
      <w:bookmarkStart w:id="374" w:name="_Toc292559916"/>
      <w:bookmarkStart w:id="375" w:name="_Toc297120506"/>
      <w:bookmarkStart w:id="376" w:name="_Toc296891034"/>
      <w:bookmarkStart w:id="377" w:name="_Toc296944545"/>
      <w:bookmarkStart w:id="378" w:name="_Toc296891246"/>
      <w:bookmarkStart w:id="379" w:name="_Toc296503206"/>
      <w:bookmarkStart w:id="380" w:name="_Toc296347205"/>
      <w:bookmarkStart w:id="381" w:name="_Toc297048392"/>
      <w:bookmarkStart w:id="382" w:name="_Toc296346707"/>
      <w:bookmarkStart w:id="383" w:name="_Toc297123553"/>
      <w:bookmarkStart w:id="384" w:name="_Toc297216212"/>
      <w:bookmarkStart w:id="385" w:name="_Toc312678041"/>
      <w:bookmarkStart w:id="386" w:name="_Toc304295580"/>
      <w:bookmarkStart w:id="387" w:name="_Toc300935003"/>
      <w:bookmarkStart w:id="388" w:name="_Toc303539160"/>
      <w:r>
        <w:rPr>
          <w:rFonts w:hint="eastAsia" w:ascii="仿宋" w:hAnsi="仿宋" w:eastAsia="仿宋" w:cs="仿宋"/>
          <w:color w:val="auto"/>
          <w:sz w:val="24"/>
          <w:szCs w:val="24"/>
          <w:highlight w:val="none"/>
        </w:rPr>
        <w:t>12.1 合</w:t>
      </w:r>
      <w:bookmarkEnd w:id="372"/>
      <w:bookmarkEnd w:id="373"/>
      <w:bookmarkEnd w:id="374"/>
      <w:r>
        <w:rPr>
          <w:rFonts w:hint="eastAsia" w:ascii="仿宋" w:hAnsi="仿宋" w:eastAsia="仿宋" w:cs="仿宋"/>
          <w:color w:val="auto"/>
          <w:sz w:val="24"/>
          <w:szCs w:val="24"/>
          <w:highlight w:val="none"/>
        </w:rPr>
        <w:t>同价</w:t>
      </w:r>
      <w:bookmarkEnd w:id="375"/>
      <w:bookmarkEnd w:id="376"/>
      <w:bookmarkEnd w:id="377"/>
      <w:bookmarkEnd w:id="378"/>
      <w:bookmarkEnd w:id="379"/>
      <w:bookmarkEnd w:id="380"/>
      <w:bookmarkEnd w:id="381"/>
      <w:bookmarkEnd w:id="382"/>
      <w:r>
        <w:rPr>
          <w:rFonts w:hint="eastAsia" w:ascii="仿宋" w:hAnsi="仿宋" w:eastAsia="仿宋" w:cs="仿宋"/>
          <w:color w:val="auto"/>
          <w:sz w:val="24"/>
          <w:szCs w:val="24"/>
          <w:highlight w:val="none"/>
        </w:rPr>
        <w:t>格形式</w:t>
      </w:r>
    </w:p>
    <w:bookmarkEnd w:id="383"/>
    <w:bookmarkEnd w:id="384"/>
    <w:bookmarkEnd w:id="385"/>
    <w:bookmarkEnd w:id="386"/>
    <w:bookmarkEnd w:id="387"/>
    <w:bookmarkEnd w:id="388"/>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综合单价包含的风险范围：</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本合同为           ，结算时按实际工程量结算。当工程量偏差在15%以内，结算时按实际完成的工程量乘以综合单价，当工程量增加15%以上时，增加部分的工程量的综合单价应予调低；当工程量减少15%以上时，减少后剩余部分的工程量的综合单价应予调高。</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风险费用的计算方法：</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总价包含的风险范围：</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风险费用的计算方法：</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3、其他价格方式：</w:t>
      </w:r>
    </w:p>
    <w:p>
      <w:pPr>
        <w:keepNext w:val="0"/>
        <w:keepLines w:val="0"/>
        <w:pageBreakBefore w:val="0"/>
        <w:widowControl w:val="0"/>
        <w:kinsoku/>
        <w:wordWrap/>
        <w:overflowPunct/>
        <w:topLinePunct w:val="0"/>
        <w:bidi w:val="0"/>
        <w:spacing w:line="360" w:lineRule="auto"/>
        <w:ind w:left="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bookmarkStart w:id="389" w:name="_Toc303539161"/>
      <w:bookmarkStart w:id="390" w:name="_Toc300935004"/>
      <w:bookmarkStart w:id="391" w:name="_Toc312678042"/>
      <w:bookmarkStart w:id="392" w:name="_Toc297216213"/>
      <w:bookmarkStart w:id="393" w:name="_Toc304295581"/>
      <w:bookmarkStart w:id="394" w:name="_Toc297123554"/>
      <w:bookmarkStart w:id="395" w:name="_Toc296347206"/>
      <w:bookmarkStart w:id="396" w:name="_Toc292559412"/>
      <w:bookmarkStart w:id="397" w:name="_Toc296891247"/>
      <w:bookmarkStart w:id="398" w:name="_Toc297048393"/>
      <w:bookmarkStart w:id="399" w:name="_Toc296944546"/>
      <w:bookmarkStart w:id="400" w:name="_Toc296891035"/>
      <w:bookmarkStart w:id="401" w:name="_Toc296346708"/>
      <w:bookmarkStart w:id="402" w:name="_Toc297120507"/>
      <w:bookmarkStart w:id="403" w:name="_Toc292559917"/>
      <w:bookmarkStart w:id="404" w:name="_Toc296503207"/>
      <w:r>
        <w:rPr>
          <w:rFonts w:hint="eastAsia" w:ascii="仿宋" w:hAnsi="仿宋" w:eastAsia="仿宋" w:cs="仿宋"/>
          <w:color w:val="auto"/>
          <w:sz w:val="24"/>
          <w:szCs w:val="24"/>
          <w:highlight w:val="none"/>
        </w:rPr>
        <w:t>12.2 预付款</w:t>
      </w:r>
    </w:p>
    <w:bookmarkEnd w:id="389"/>
    <w:bookmarkEnd w:id="390"/>
    <w:bookmarkEnd w:id="391"/>
    <w:bookmarkEnd w:id="392"/>
    <w:bookmarkEnd w:id="393"/>
    <w:bookmarkEnd w:id="394"/>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12.2.1 预付款的支付</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预付款支付比例或金额：</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预付款支付期限：</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预付款扣回的方式：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12.2.2 预付款担保</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承包人提交预付款担保的期限：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预付款担保的形式为：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395"/>
    <w:bookmarkEnd w:id="396"/>
    <w:bookmarkEnd w:id="397"/>
    <w:bookmarkEnd w:id="398"/>
    <w:bookmarkEnd w:id="399"/>
    <w:bookmarkEnd w:id="400"/>
    <w:bookmarkEnd w:id="401"/>
    <w:bookmarkEnd w:id="402"/>
    <w:bookmarkEnd w:id="403"/>
    <w:bookmarkEnd w:id="404"/>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计量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 计量原则</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工程量计算规则：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 计量周期</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关于计量周期的约定：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12.3.3 单价合同的计量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关于单价合同计量的约定：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12.3.4 总价合同的计量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关于总价合同计量的约定：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12.3.5总价合同采用支付分解表计量支付的，是否适用第12.3.4 项〔总价合同的计量〕约定进行计量：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12.3.6 其他价格形式合同的计量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其他价格形式的计量方式和程序：</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工程进度款支付</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bookmarkStart w:id="405" w:name="_Toc296346712"/>
      <w:bookmarkStart w:id="406" w:name="_Toc296503211"/>
      <w:bookmarkStart w:id="407" w:name="_Toc296891251"/>
      <w:bookmarkStart w:id="408" w:name="_Toc303539163"/>
      <w:bookmarkStart w:id="409" w:name="_Toc296891039"/>
      <w:bookmarkStart w:id="410" w:name="_Toc297123556"/>
      <w:bookmarkStart w:id="411" w:name="_Toc300935006"/>
      <w:bookmarkStart w:id="412" w:name="_Toc292559416"/>
      <w:bookmarkStart w:id="413" w:name="_Toc297216215"/>
      <w:bookmarkStart w:id="414" w:name="_Toc296347210"/>
      <w:bookmarkStart w:id="415" w:name="_Toc292559921"/>
      <w:bookmarkStart w:id="416" w:name="_Toc297120511"/>
      <w:bookmarkStart w:id="417" w:name="_Toc296944550"/>
      <w:bookmarkStart w:id="418" w:name="_Toc297048397"/>
      <w:r>
        <w:rPr>
          <w:rFonts w:hint="eastAsia" w:ascii="仿宋" w:hAnsi="仿宋" w:eastAsia="仿宋" w:cs="仿宋"/>
          <w:color w:val="auto"/>
          <w:sz w:val="24"/>
          <w:szCs w:val="24"/>
          <w:highlight w:val="none"/>
        </w:rPr>
        <w:t>12.4.1 付款周期</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关于付款周期的约定：</w:t>
      </w:r>
      <w:r>
        <w:rPr>
          <w:rFonts w:hint="eastAsia" w:ascii="仿宋" w:hAnsi="仿宋" w:eastAsia="仿宋" w:cs="仿宋"/>
          <w:color w:val="auto"/>
          <w:sz w:val="24"/>
          <w:szCs w:val="24"/>
          <w:highlight w:val="none"/>
          <w:u w:val="single"/>
        </w:rPr>
        <w:t xml:space="preserve"> 项目完工后付项目金额的97%，剩余3%缺陷维护期满后支付</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进度付款申请单的编制</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关于进度付款申请单编制的约定：</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rFonts w:hint="eastAsia" w:ascii="仿宋" w:hAnsi="仿宋" w:eastAsia="仿宋" w:cs="仿宋"/>
          <w:color w:val="auto"/>
          <w:sz w:val="24"/>
          <w:szCs w:val="24"/>
          <w:highlight w:val="none"/>
        </w:rPr>
        <w:t>2.4.3 进度付款申请单的提交</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（1）单价合同进度付款申请单提交的约定：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（2）总价合同进度付款申请单提交的约定：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（3）其他价格形式合同进度付款申请单提交的约定：</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12.4.4 进度款审核和支付</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（1）监理人审查并报送发包人的期限：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发包人完成审批并签发进度款支付证书的期限：</w:t>
      </w:r>
    </w:p>
    <w:p>
      <w:pPr>
        <w:keepNext w:val="0"/>
        <w:keepLines w:val="0"/>
        <w:pageBreakBefore w:val="0"/>
        <w:widowControl w:val="0"/>
        <w:kinsoku/>
        <w:wordWrap/>
        <w:overflowPunct/>
        <w:topLinePunct w:val="0"/>
        <w:bidi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（2）发包人支付进度款的期限：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600" w:firstLineChars="25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发包人逾期支付进度款的违约金的计算方式：</w:t>
      </w:r>
    </w:p>
    <w:p>
      <w:pPr>
        <w:keepNext w:val="0"/>
        <w:keepLines w:val="0"/>
        <w:pageBreakBefore w:val="0"/>
        <w:widowControl w:val="0"/>
        <w:kinsoku/>
        <w:wordWrap/>
        <w:overflowPunct/>
        <w:topLinePunct w:val="0"/>
        <w:bidi w:val="0"/>
        <w:spacing w:line="360" w:lineRule="auto"/>
        <w:ind w:left="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numPr>
          <w:ilvl w:val="2"/>
          <w:numId w:val="43"/>
        </w:numPr>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支付分解表的编制</w:t>
      </w:r>
    </w:p>
    <w:p>
      <w:pPr>
        <w:keepNext w:val="0"/>
        <w:keepLines w:val="0"/>
        <w:pageBreakBefore w:val="0"/>
        <w:widowControl w:val="0"/>
        <w:numPr>
          <w:ilvl w:val="0"/>
          <w:numId w:val="4"/>
        </w:numPr>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总价合同支付分解表的编制与审批：</w:t>
      </w:r>
    </w:p>
    <w:p>
      <w:pPr>
        <w:keepNext w:val="0"/>
        <w:keepLines w:val="0"/>
        <w:pageBreakBefore w:val="0"/>
        <w:widowControl w:val="0"/>
        <w:kinsoku/>
        <w:wordWrap/>
        <w:overflowPunct/>
        <w:topLinePunct w:val="0"/>
        <w:bidi w:val="0"/>
        <w:spacing w:line="360" w:lineRule="auto"/>
        <w:ind w:left="11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numPr>
          <w:ilvl w:val="0"/>
          <w:numId w:val="4"/>
        </w:numPr>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单价合同的总价项目支付分解表的编制与审批：</w:t>
      </w:r>
    </w:p>
    <w:p>
      <w:pPr>
        <w:keepNext w:val="0"/>
        <w:keepLines w:val="0"/>
        <w:pageBreakBefore w:val="0"/>
        <w:widowControl w:val="0"/>
        <w:kinsoku/>
        <w:wordWrap/>
        <w:overflowPunct/>
        <w:topLinePunct w:val="0"/>
        <w:bidi w:val="0"/>
        <w:spacing w:line="360" w:lineRule="auto"/>
        <w:ind w:left="11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419" w:name="_Toc351203645"/>
      <w:bookmarkStart w:id="420" w:name="_Toc300935015"/>
      <w:bookmarkStart w:id="421" w:name="_Toc312678053"/>
      <w:bookmarkStart w:id="422" w:name="_Toc303539172"/>
      <w:bookmarkStart w:id="423" w:name="_Toc297120519"/>
      <w:bookmarkStart w:id="424" w:name="_Toc296891259"/>
      <w:bookmarkStart w:id="425" w:name="_Toc297048405"/>
      <w:bookmarkStart w:id="426" w:name="_Toc296891047"/>
      <w:bookmarkStart w:id="427" w:name="_Toc292559929"/>
      <w:bookmarkStart w:id="428" w:name="_Toc296944558"/>
      <w:bookmarkStart w:id="429" w:name="_Toc296347218"/>
      <w:bookmarkStart w:id="430" w:name="_Toc296346720"/>
      <w:bookmarkStart w:id="431" w:name="_Toc304295593"/>
      <w:bookmarkStart w:id="432" w:name="_Toc297123564"/>
      <w:bookmarkStart w:id="433" w:name="_Toc297216223"/>
      <w:bookmarkStart w:id="434" w:name="_Toc296503219"/>
      <w:bookmarkStart w:id="435" w:name="_Toc292559424"/>
      <w:r>
        <w:rPr>
          <w:rFonts w:hint="eastAsia" w:ascii="仿宋" w:hAnsi="仿宋" w:eastAsia="仿宋" w:cs="仿宋"/>
          <w:b/>
          <w:color w:val="auto"/>
          <w:sz w:val="24"/>
          <w:szCs w:val="24"/>
          <w:highlight w:val="none"/>
        </w:rPr>
        <w:t>13. 验收和工程试车</w:t>
      </w:r>
      <w:bookmarkEnd w:id="419"/>
    </w:p>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分部分项工程验收</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bookmarkStart w:id="436" w:name="_Toc297216224"/>
      <w:bookmarkStart w:id="437" w:name="_Toc312678056"/>
      <w:bookmarkStart w:id="438" w:name="_Toc292559428"/>
      <w:bookmarkStart w:id="439" w:name="_Toc296346724"/>
      <w:bookmarkStart w:id="440" w:name="_Toc296944562"/>
      <w:bookmarkStart w:id="441" w:name="_Toc292559933"/>
      <w:bookmarkStart w:id="442" w:name="_Toc297123565"/>
      <w:bookmarkStart w:id="443" w:name="_Toc296503223"/>
      <w:bookmarkStart w:id="444" w:name="_Toc297120523"/>
      <w:bookmarkStart w:id="445" w:name="_Toc296891263"/>
      <w:bookmarkStart w:id="446" w:name="_Toc304295596"/>
      <w:bookmarkStart w:id="447" w:name="_Toc300935016"/>
      <w:bookmarkStart w:id="448" w:name="_Toc296347222"/>
      <w:bookmarkStart w:id="449" w:name="_Toc303539173"/>
      <w:bookmarkStart w:id="450" w:name="_Toc296891051"/>
      <w:bookmarkStart w:id="451" w:name="_Toc297048409"/>
      <w:bookmarkStart w:id="452" w:name="_Toc267251470"/>
      <w:bookmarkStart w:id="453" w:name="_Toc267251474"/>
      <w:bookmarkStart w:id="454" w:name="_Toc267251471"/>
      <w:bookmarkStart w:id="455" w:name="_Toc267251472"/>
      <w:bookmarkStart w:id="456" w:name="_Toc267251476"/>
      <w:bookmarkStart w:id="457" w:name="_Toc267251475"/>
      <w:bookmarkStart w:id="458" w:name="_Toc267251473"/>
      <w:r>
        <w:rPr>
          <w:rFonts w:hint="eastAsia" w:ascii="仿宋" w:hAnsi="仿宋" w:eastAsia="仿宋" w:cs="仿宋"/>
          <w:color w:val="auto"/>
          <w:sz w:val="24"/>
          <w:szCs w:val="24"/>
          <w:highlight w:val="none"/>
        </w:rPr>
        <w:t>13.2 竣工验收</w:t>
      </w:r>
    </w:p>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bookmarkStart w:id="459" w:name="_Toc280868704"/>
      <w:bookmarkStart w:id="460" w:name="_Toc280868705"/>
      <w:bookmarkStart w:id="461" w:name="_Toc280868706"/>
      <w:bookmarkStart w:id="462" w:name="_Toc280868707"/>
      <w:bookmarkStart w:id="463" w:name="_Toc280868708"/>
      <w:bookmarkStart w:id="464" w:name="_Toc280868709"/>
      <w:r>
        <w:rPr>
          <w:rFonts w:hint="eastAsia" w:ascii="仿宋" w:hAnsi="仿宋" w:eastAsia="仿宋" w:cs="仿宋"/>
          <w:color w:val="auto"/>
          <w:sz w:val="24"/>
          <w:szCs w:val="24"/>
          <w:highlight w:val="none"/>
        </w:rPr>
        <w:t>13.2.2竣工验收程序</w:t>
      </w:r>
    </w:p>
    <w:bookmarkEnd w:id="459"/>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关于竣工验收程序的约定：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发包人不按照本项约定组织竣工验收、颁发工程接收证书的违约金的计算方法：</w:t>
      </w:r>
    </w:p>
    <w:bookmarkEnd w:id="460"/>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13.2.5移交、接收全部与部分工程</w:t>
      </w:r>
    </w:p>
    <w:bookmarkEnd w:id="461"/>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承包人向发包人移交工程的期限：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发包人未按本合同约定接收全部或部分工程的，违约金的计算方法为：</w:t>
      </w:r>
    </w:p>
    <w:bookmarkEnd w:id="462"/>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承包人未按时移交工程的，违约金的计算方法为：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工程试车</w:t>
      </w:r>
    </w:p>
    <w:bookmarkEnd w:id="463"/>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13.3.1 试车程序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工程试车内容：</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（1）单机无负荷试车费用由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承担；</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（2）无负荷联动试车费用由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承担。</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13.3.3 投料试车</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关于投料试车相关事项的约定：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 竣工退场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13.6.1 竣工退场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承包人完成竣工退场的期限：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465" w:name="_Toc351203646"/>
      <w:r>
        <w:rPr>
          <w:rFonts w:hint="eastAsia" w:ascii="仿宋" w:hAnsi="仿宋" w:eastAsia="仿宋" w:cs="仿宋"/>
          <w:b/>
          <w:color w:val="auto"/>
          <w:sz w:val="24"/>
          <w:szCs w:val="24"/>
          <w:highlight w:val="none"/>
        </w:rPr>
        <w:t>14. 竣工结算</w:t>
      </w:r>
      <w:bookmarkEnd w:id="465"/>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竣工付款申请</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承包人提交竣工付款申请单的期限：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竣工付款申请单应包括的内容：</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竣工结算审核</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发包人审批竣工付款申请单的期限：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发包人完成竣工付款的期限：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关于竣工付款证书异议部分复核的方式和程序：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 最终结清</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14.4.1 最终结清申请单</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承包人提交最终结清申请单的份数：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承包人提交最终结算申请单的期限：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14.4.2 最终结清证书和支付</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（1）发包人完成最终结清申请单的审批并颁发最终结清证书的期限</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（2）发包人完成支付的期限：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452"/>
    <w:bookmarkEnd w:id="453"/>
    <w:bookmarkEnd w:id="454"/>
    <w:bookmarkEnd w:id="455"/>
    <w:bookmarkEnd w:id="456"/>
    <w:bookmarkEnd w:id="457"/>
    <w:bookmarkEnd w:id="458"/>
    <w:bookmarkEnd w:id="464"/>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466" w:name="_Toc351203647"/>
      <w:bookmarkStart w:id="467" w:name="_Toc267251483"/>
      <w:bookmarkStart w:id="468" w:name="_Toc267251484"/>
      <w:bookmarkStart w:id="469" w:name="_Toc267251482"/>
      <w:bookmarkStart w:id="470" w:name="_Toc267251485"/>
      <w:bookmarkStart w:id="471" w:name="_Toc267251486"/>
      <w:bookmarkStart w:id="472" w:name="_Toc267251489"/>
      <w:bookmarkStart w:id="473" w:name="_Toc267251488"/>
      <w:bookmarkStart w:id="474" w:name="_Toc267251490"/>
      <w:bookmarkStart w:id="475" w:name="_Toc267251502"/>
      <w:bookmarkStart w:id="476" w:name="_Toc267251501"/>
      <w:bookmarkStart w:id="477" w:name="_Toc267251495"/>
      <w:bookmarkStart w:id="478" w:name="_Toc267251499"/>
      <w:bookmarkStart w:id="479" w:name="_Toc267251494"/>
      <w:bookmarkStart w:id="480" w:name="_Toc267251503"/>
      <w:bookmarkStart w:id="481" w:name="_Toc267251497"/>
      <w:bookmarkStart w:id="482" w:name="_Toc267251492"/>
      <w:bookmarkStart w:id="483" w:name="_Toc267251491"/>
      <w:bookmarkStart w:id="484" w:name="_Toc267251496"/>
      <w:bookmarkStart w:id="485" w:name="_Toc267251498"/>
      <w:bookmarkStart w:id="486" w:name="_Toc267251493"/>
      <w:bookmarkStart w:id="487" w:name="_Toc267251504"/>
      <w:bookmarkStart w:id="488" w:name="_Toc267251506"/>
      <w:bookmarkStart w:id="489" w:name="_Toc267251507"/>
      <w:bookmarkStart w:id="490" w:name="_Toc267251508"/>
      <w:bookmarkStart w:id="491" w:name="_Toc267251510"/>
      <w:bookmarkStart w:id="492" w:name="_Toc267251513"/>
      <w:bookmarkStart w:id="493" w:name="_Toc267251511"/>
      <w:bookmarkStart w:id="494" w:name="_Toc267251514"/>
      <w:bookmarkStart w:id="495" w:name="_Toc267251515"/>
      <w:bookmarkStart w:id="496" w:name="_Toc267251509"/>
      <w:r>
        <w:rPr>
          <w:rFonts w:hint="eastAsia" w:ascii="仿宋" w:hAnsi="仿宋" w:eastAsia="仿宋" w:cs="仿宋"/>
          <w:b/>
          <w:color w:val="auto"/>
          <w:sz w:val="24"/>
          <w:szCs w:val="24"/>
          <w:highlight w:val="none"/>
        </w:rPr>
        <w:t>15. 缺陷责任期与保修</w:t>
      </w:r>
      <w:bookmarkEnd w:id="466"/>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15.2缺陷责任期</w:t>
      </w:r>
      <w:bookmarkEnd w:id="467"/>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缺陷责任期的具体期限：</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质量保证金</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关于是否扣留质量保证金的约定：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15.3.1 承包人提供质量保证金的方式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质量保证金采用以下第</w:t>
      </w:r>
      <w:r>
        <w:rPr>
          <w:rFonts w:hint="eastAsia" w:ascii="仿宋" w:hAnsi="仿宋" w:eastAsia="仿宋" w:cs="仿宋"/>
          <w:color w:val="auto"/>
          <w:sz w:val="24"/>
          <w:szCs w:val="24"/>
          <w:highlight w:val="none"/>
          <w:u w:val="single"/>
        </w:rPr>
        <w:t>（2）</w:t>
      </w:r>
      <w:r>
        <w:rPr>
          <w:rFonts w:hint="eastAsia" w:ascii="仿宋" w:hAnsi="仿宋" w:eastAsia="仿宋" w:cs="仿宋"/>
          <w:color w:val="auto"/>
          <w:sz w:val="24"/>
          <w:szCs w:val="24"/>
          <w:highlight w:val="none"/>
        </w:rPr>
        <w:t>种方式：</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（1）质量保证金保函，保证金额为：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%的工程款；</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（3）其他方式: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15.3.2 质量保证金的扣留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质量保证金的扣留采取以下第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（1）在支付工程进度款时逐次扣留，在此情形下，质量保证金的计算基数不包括预付款的支付、扣回以及价格调整的金额；</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（2）工程竣工结算时一次性扣留质量保证金；</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（3）其他扣留方式: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关于质量保证金的补充约定：</w:t>
      </w:r>
    </w:p>
    <w:bookmarkEnd w:id="468"/>
    <w:bookmarkEnd w:id="469"/>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15.4保修</w:t>
      </w:r>
    </w:p>
    <w:bookmarkEnd w:id="470"/>
    <w:p>
      <w:pPr>
        <w:keepNext w:val="0"/>
        <w:keepLines w:val="0"/>
        <w:pageBreakBefore w:val="0"/>
        <w:widowControl w:val="0"/>
        <w:kinsoku/>
        <w:wordWrap/>
        <w:overflowPunct/>
        <w:topLinePunct w:val="0"/>
        <w:bidi w:val="0"/>
        <w:spacing w:line="360" w:lineRule="auto"/>
        <w:ind w:firstLine="468" w:firstLineChars="19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15.4.1 保修责任</w:t>
      </w:r>
    </w:p>
    <w:p>
      <w:pPr>
        <w:keepNext w:val="0"/>
        <w:keepLines w:val="0"/>
        <w:pageBreakBefore w:val="0"/>
        <w:widowControl w:val="0"/>
        <w:kinsoku/>
        <w:wordWrap/>
        <w:overflowPunct/>
        <w:topLinePunct w:val="0"/>
        <w:bidi w:val="0"/>
        <w:spacing w:line="360" w:lineRule="auto"/>
        <w:ind w:firstLine="468" w:firstLineChars="195"/>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工程保修期为：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68" w:firstLineChars="19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15.4.3 修复通知</w:t>
      </w:r>
    </w:p>
    <w:p>
      <w:pPr>
        <w:keepNext w:val="0"/>
        <w:keepLines w:val="0"/>
        <w:pageBreakBefore w:val="0"/>
        <w:widowControl w:val="0"/>
        <w:kinsoku/>
        <w:wordWrap/>
        <w:overflowPunct/>
        <w:topLinePunct w:val="0"/>
        <w:bidi w:val="0"/>
        <w:spacing w:line="360" w:lineRule="auto"/>
        <w:ind w:firstLine="468" w:firstLineChars="195"/>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承包人收到保修通知并到达工程现场的合理时间：</w:t>
      </w:r>
    </w:p>
    <w:bookmarkEnd w:id="471"/>
    <w:bookmarkEnd w:id="472"/>
    <w:bookmarkEnd w:id="473"/>
    <w:bookmarkEnd w:id="474"/>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bookmarkStart w:id="497" w:name="_Toc351203648"/>
      <w:bookmarkStart w:id="498" w:name="_Toc280868717"/>
      <w:bookmarkStart w:id="499" w:name="_Toc280868718"/>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 违约</w:t>
      </w:r>
      <w:bookmarkEnd w:id="497"/>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发包人违约</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16.1.1发包人违约的情形</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发包人违约的其他情形：</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numPr>
          <w:ilvl w:val="2"/>
          <w:numId w:val="44"/>
        </w:numPr>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发包人违约的责任</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发包人违约责任的承担方式和计算方法：</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（1）因发包人原因未能在计划开工日期前7天内下达开工通知的违约责任：</w:t>
      </w:r>
    </w:p>
    <w:p>
      <w:pPr>
        <w:keepNext w:val="0"/>
        <w:keepLines w:val="0"/>
        <w:pageBreakBefore w:val="0"/>
        <w:widowControl w:val="0"/>
        <w:kinsoku/>
        <w:wordWrap/>
        <w:overflowPunct/>
        <w:topLinePunct w:val="0"/>
        <w:bidi w:val="0"/>
        <w:spacing w:line="360" w:lineRule="auto"/>
        <w:ind w:left="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（2）因发包人原因未能按合同约定支付合同价款的违约责任：</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（3）发包人违反第10.1款〔变更的范围〕第（2）项约定，自行实施被取消的工作或转由他人实施的违约责任：</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（4）发包人提供的材料、工程设备的规格、数量或质量不符合合同约定，或因发包人原因导致交货日期延误或交货地点变更等情况的违约责任：</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（5）因发包人违反合同约定造成暂停施工的违约责任：</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（6）发包人无正当理由没有在约定期限内发出复工指示，导致承包人无法复工的违约责任：</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（7）其他：</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16.1.3 因发包人违约解除合同</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承包人按16.1.1项〔发包人违约的情形〕约定暂停施工满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天后发包人仍不纠正其违约行为并致使合同目的不能实现的，承包人有权解除合同。</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承包人违约</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16.2.1 承包人违约的情形</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承包人违约的其他情形：</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16.2.2承包人违约的责任</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承包人违约责任的承担方式和计算方法：</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16.2.3 因承包人违约解除合同</w:t>
      </w:r>
    </w:p>
    <w:p>
      <w:pPr>
        <w:keepNext w:val="0"/>
        <w:keepLines w:val="0"/>
        <w:pageBreakBefore w:val="0"/>
        <w:widowControl w:val="0"/>
        <w:kinsoku/>
        <w:wordWrap/>
        <w:overflowPunct/>
        <w:topLinePunct w:val="0"/>
        <w:bidi w:val="0"/>
        <w:spacing w:before="120" w:after="120"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关于承包人违约解除合同的特别约定：</w:t>
      </w:r>
    </w:p>
    <w:p>
      <w:pPr>
        <w:keepNext w:val="0"/>
        <w:keepLines w:val="0"/>
        <w:pageBreakBefore w:val="0"/>
        <w:widowControl w:val="0"/>
        <w:kinsoku/>
        <w:wordWrap/>
        <w:overflowPunct/>
        <w:topLinePunct w:val="0"/>
        <w:bidi w:val="0"/>
        <w:spacing w:before="120" w:after="120"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before="120"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发包人继续使用承包人在施工现场的材料、设备、临时工程、承包人文件和由承包人或以其名义编制的其他文件的费用承担方式：</w:t>
      </w:r>
    </w:p>
    <w:p>
      <w:pPr>
        <w:keepNext w:val="0"/>
        <w:keepLines w:val="0"/>
        <w:pageBreakBefore w:val="0"/>
        <w:widowControl w:val="0"/>
        <w:kinsoku/>
        <w:wordWrap/>
        <w:overflowPunct/>
        <w:topLinePunct w:val="0"/>
        <w:bidi w:val="0"/>
        <w:spacing w:before="120"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before="120"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名义编制的其他文件的费用承担方式：</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500" w:name="_Toc351203649"/>
      <w:r>
        <w:rPr>
          <w:rFonts w:hint="eastAsia" w:ascii="仿宋" w:hAnsi="仿宋" w:eastAsia="仿宋" w:cs="仿宋"/>
          <w:b/>
          <w:color w:val="auto"/>
          <w:sz w:val="24"/>
          <w:szCs w:val="24"/>
          <w:highlight w:val="none"/>
        </w:rPr>
        <w:t>17. 不可抗力</w:t>
      </w:r>
      <w:bookmarkEnd w:id="500"/>
      <w:r>
        <w:rPr>
          <w:rFonts w:hint="eastAsia" w:ascii="仿宋" w:hAnsi="仿宋" w:eastAsia="仿宋" w:cs="仿宋"/>
          <w:b/>
          <w:color w:val="auto"/>
          <w:sz w:val="24"/>
          <w:szCs w:val="24"/>
          <w:highlight w:val="none"/>
        </w:rPr>
        <w:t xml:space="preserve"> </w:t>
      </w:r>
      <w:bookmarkEnd w:id="498"/>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不可抗力的确认</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除通用合同条款约定的不可抗力事件之外，视为不可抗力的其他情形：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 因不可抗力解除合同</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合同解除后，发包人应在商定或确定发包人应支付款项后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天内完成款项的支付。</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501" w:name="_Toc351203650"/>
      <w:r>
        <w:rPr>
          <w:rFonts w:hint="eastAsia" w:ascii="仿宋" w:hAnsi="仿宋" w:eastAsia="仿宋" w:cs="仿宋"/>
          <w:b/>
          <w:color w:val="auto"/>
          <w:sz w:val="24"/>
          <w:szCs w:val="24"/>
          <w:highlight w:val="none"/>
        </w:rPr>
        <w:t>18. 保险</w:t>
      </w:r>
      <w:bookmarkEnd w:id="501"/>
    </w:p>
    <w:bookmarkEnd w:id="499"/>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工程保险</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关于工程保险的特别约定：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其他保险</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关于其他保险的约定：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承包人是否应为其施工设备等办理财产保险：</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18.7 通知义务</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关于变更保险合同时的通知义务的约定：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475"/>
    <w:bookmarkEnd w:id="476"/>
    <w:bookmarkEnd w:id="477"/>
    <w:bookmarkEnd w:id="478"/>
    <w:bookmarkEnd w:id="479"/>
    <w:bookmarkEnd w:id="480"/>
    <w:bookmarkEnd w:id="481"/>
    <w:bookmarkEnd w:id="482"/>
    <w:bookmarkEnd w:id="483"/>
    <w:bookmarkEnd w:id="484"/>
    <w:bookmarkEnd w:id="485"/>
    <w:bookmarkEnd w:id="486"/>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color w:val="auto"/>
          <w:sz w:val="24"/>
          <w:szCs w:val="24"/>
          <w:highlight w:val="none"/>
        </w:rPr>
      </w:pPr>
      <w:bookmarkStart w:id="502" w:name="_Toc351203651"/>
      <w:r>
        <w:rPr>
          <w:rFonts w:hint="eastAsia" w:ascii="仿宋" w:hAnsi="仿宋" w:eastAsia="仿宋" w:cs="仿宋"/>
          <w:b/>
          <w:color w:val="auto"/>
          <w:sz w:val="24"/>
          <w:szCs w:val="24"/>
          <w:highlight w:val="none"/>
        </w:rPr>
        <w:t>20. 争议解决</w:t>
      </w:r>
      <w:bookmarkEnd w:id="502"/>
    </w:p>
    <w:bookmarkEnd w:id="487"/>
    <w:bookmarkEnd w:id="488"/>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争</w:t>
      </w:r>
      <w:bookmarkEnd w:id="489"/>
      <w:r>
        <w:rPr>
          <w:rFonts w:hint="eastAsia" w:ascii="仿宋" w:hAnsi="仿宋" w:eastAsia="仿宋" w:cs="仿宋"/>
          <w:color w:val="auto"/>
          <w:sz w:val="24"/>
          <w:szCs w:val="24"/>
          <w:highlight w:val="none"/>
        </w:rPr>
        <w:t>议评审</w:t>
      </w:r>
    </w:p>
    <w:p>
      <w:pPr>
        <w:keepNext w:val="0"/>
        <w:keepLines w:val="0"/>
        <w:pageBreakBefore w:val="0"/>
        <w:widowControl w:val="0"/>
        <w:kinsoku/>
        <w:wordWrap/>
        <w:overflowPunct/>
        <w:topLinePunct w:val="0"/>
        <w:bidi w:val="0"/>
        <w:spacing w:line="360" w:lineRule="auto"/>
        <w:ind w:left="149" w:leftChars="71" w:firstLine="360" w:firstLineChars="15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合同当事人是否同意将工程争议提交争议评审小组决定：</w:t>
      </w:r>
    </w:p>
    <w:p>
      <w:pPr>
        <w:keepNext w:val="0"/>
        <w:keepLines w:val="0"/>
        <w:pageBreakBefore w:val="0"/>
        <w:widowControl w:val="0"/>
        <w:kinsoku/>
        <w:wordWrap/>
        <w:overflowPunct/>
        <w:topLinePunct w:val="0"/>
        <w:bidi w:val="0"/>
        <w:spacing w:line="360" w:lineRule="auto"/>
        <w:ind w:left="149" w:leftChars="71" w:firstLine="360" w:firstLineChars="15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20.3.1 争议评审小组的确定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争议评审小组成员的确定：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选定争议评审员的期限：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争议评审小组成员的报酬承担方式：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其他事项的约定：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20.3.2 争议评审小组的决定</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合同当事人关于本项的约定：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20.4仲裁或诉讼</w:t>
      </w:r>
      <w:bookmarkEnd w:id="490"/>
    </w:p>
    <w:p>
      <w:pPr>
        <w:keepNext w:val="0"/>
        <w:keepLines w:val="0"/>
        <w:pageBreakBefore w:val="0"/>
        <w:widowControl w:val="0"/>
        <w:kinsoku/>
        <w:wordWrap/>
        <w:overflowPunct/>
        <w:topLinePunct w:val="0"/>
        <w:bidi w:val="0"/>
        <w:spacing w:after="12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因合同及合同有关事项发生的争议，按下列第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种方式解决：</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仲裁委员会申请仲裁；</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人民法院起诉。</w:t>
      </w:r>
      <w:bookmarkEnd w:id="491"/>
      <w:bookmarkEnd w:id="492"/>
      <w:bookmarkEnd w:id="493"/>
      <w:bookmarkEnd w:id="494"/>
      <w:bookmarkEnd w:id="495"/>
      <w:bookmarkEnd w:id="496"/>
    </w:p>
    <w:p>
      <w:pPr>
        <w:spacing w:line="4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协议书附件：</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附件1：承包人承揽工程项目一览表</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专用合同条款附件：</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附件2：发包人供应材料设备一览表</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附件3：工程质量保修书</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附件4：主要建设工程文件目录</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附件5：承包人用于本工程施工的机械设备表</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附件6：承包人主要施工管理人员表</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附件7：分包人主要施工管理人员表</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附件8：履约担保格式</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附件9：预付款担保格式</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附件10：支付担保格式</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附件11：暂估价一览表</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承包人承揽工程项目一览表</w:t>
      </w:r>
    </w:p>
    <w:tbl>
      <w:tblPr>
        <w:tblStyle w:val="6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77"/>
        <w:gridCol w:w="1120"/>
        <w:gridCol w:w="863"/>
        <w:gridCol w:w="1465"/>
        <w:gridCol w:w="517"/>
        <w:gridCol w:w="948"/>
        <w:gridCol w:w="1292"/>
        <w:gridCol w:w="861"/>
        <w:gridCol w:w="517"/>
        <w:gridCol w:w="5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38"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单位工程名称</w:t>
            </w:r>
          </w:p>
        </w:tc>
        <w:tc>
          <w:tcPr>
            <w:tcW w:w="631"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建设规模</w:t>
            </w:r>
          </w:p>
        </w:tc>
        <w:tc>
          <w:tcPr>
            <w:tcW w:w="486"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建筑面积(平方米)</w:t>
            </w:r>
          </w:p>
        </w:tc>
        <w:tc>
          <w:tcPr>
            <w:tcW w:w="825"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结构形式</w:t>
            </w:r>
          </w:p>
        </w:tc>
        <w:tc>
          <w:tcPr>
            <w:tcW w:w="291"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层数</w:t>
            </w:r>
          </w:p>
        </w:tc>
        <w:tc>
          <w:tcPr>
            <w:tcW w:w="534"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生产能力</w:t>
            </w:r>
          </w:p>
        </w:tc>
        <w:tc>
          <w:tcPr>
            <w:tcW w:w="728"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设备安装内容</w:t>
            </w:r>
          </w:p>
        </w:tc>
        <w:tc>
          <w:tcPr>
            <w:tcW w:w="485"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合同价格（元）</w:t>
            </w:r>
          </w:p>
        </w:tc>
        <w:tc>
          <w:tcPr>
            <w:tcW w:w="291"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开工日期</w:t>
            </w:r>
          </w:p>
        </w:tc>
        <w:tc>
          <w:tcPr>
            <w:tcW w:w="291" w:type="pct"/>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8"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631"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486"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825"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291"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534"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728"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485"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291"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291" w:type="pct"/>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8" w:type="pct"/>
            <w:tcBorders>
              <w:top w:val="nil"/>
            </w:tcBorders>
            <w:noWrap w:val="0"/>
            <w:vAlign w:val="center"/>
          </w:tcPr>
          <w:p>
            <w:pPr>
              <w:rPr>
                <w:rFonts w:hint="eastAsia" w:ascii="仿宋" w:hAnsi="仿宋" w:eastAsia="仿宋" w:cs="仿宋"/>
                <w:color w:val="auto"/>
                <w:sz w:val="24"/>
                <w:szCs w:val="24"/>
                <w:highlight w:val="none"/>
              </w:rPr>
            </w:pPr>
          </w:p>
        </w:tc>
        <w:tc>
          <w:tcPr>
            <w:tcW w:w="631" w:type="pct"/>
            <w:tcBorders>
              <w:top w:val="nil"/>
            </w:tcBorders>
            <w:noWrap w:val="0"/>
            <w:vAlign w:val="center"/>
          </w:tcPr>
          <w:p>
            <w:pPr>
              <w:rPr>
                <w:rFonts w:hint="eastAsia" w:ascii="仿宋" w:hAnsi="仿宋" w:eastAsia="仿宋" w:cs="仿宋"/>
                <w:color w:val="auto"/>
                <w:sz w:val="24"/>
                <w:szCs w:val="24"/>
                <w:highlight w:val="none"/>
              </w:rPr>
            </w:pPr>
          </w:p>
        </w:tc>
        <w:tc>
          <w:tcPr>
            <w:tcW w:w="486" w:type="pct"/>
            <w:tcBorders>
              <w:top w:val="nil"/>
            </w:tcBorders>
            <w:noWrap w:val="0"/>
            <w:vAlign w:val="center"/>
          </w:tcPr>
          <w:p>
            <w:pPr>
              <w:rPr>
                <w:rFonts w:hint="eastAsia" w:ascii="仿宋" w:hAnsi="仿宋" w:eastAsia="仿宋" w:cs="仿宋"/>
                <w:color w:val="auto"/>
                <w:sz w:val="24"/>
                <w:szCs w:val="24"/>
                <w:highlight w:val="none"/>
              </w:rPr>
            </w:pPr>
          </w:p>
        </w:tc>
        <w:tc>
          <w:tcPr>
            <w:tcW w:w="825"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c>
          <w:tcPr>
            <w:tcW w:w="534" w:type="pct"/>
            <w:tcBorders>
              <w:top w:val="nil"/>
            </w:tcBorders>
            <w:noWrap w:val="0"/>
            <w:vAlign w:val="center"/>
          </w:tcPr>
          <w:p>
            <w:pPr>
              <w:rPr>
                <w:rFonts w:hint="eastAsia" w:ascii="仿宋" w:hAnsi="仿宋" w:eastAsia="仿宋" w:cs="仿宋"/>
                <w:color w:val="auto"/>
                <w:sz w:val="24"/>
                <w:szCs w:val="24"/>
                <w:highlight w:val="none"/>
              </w:rPr>
            </w:pPr>
          </w:p>
        </w:tc>
        <w:tc>
          <w:tcPr>
            <w:tcW w:w="728" w:type="pct"/>
            <w:tcBorders>
              <w:top w:val="nil"/>
            </w:tcBorders>
            <w:noWrap w:val="0"/>
            <w:vAlign w:val="center"/>
          </w:tcPr>
          <w:p>
            <w:pPr>
              <w:rPr>
                <w:rFonts w:hint="eastAsia" w:ascii="仿宋" w:hAnsi="仿宋" w:eastAsia="仿宋" w:cs="仿宋"/>
                <w:color w:val="auto"/>
                <w:sz w:val="24"/>
                <w:szCs w:val="24"/>
                <w:highlight w:val="none"/>
              </w:rPr>
            </w:pPr>
          </w:p>
        </w:tc>
        <w:tc>
          <w:tcPr>
            <w:tcW w:w="485"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8" w:type="pct"/>
            <w:tcBorders>
              <w:top w:val="nil"/>
            </w:tcBorders>
            <w:noWrap w:val="0"/>
            <w:vAlign w:val="center"/>
          </w:tcPr>
          <w:p>
            <w:pPr>
              <w:rPr>
                <w:rFonts w:hint="eastAsia" w:ascii="仿宋" w:hAnsi="仿宋" w:eastAsia="仿宋" w:cs="仿宋"/>
                <w:color w:val="auto"/>
                <w:sz w:val="24"/>
                <w:szCs w:val="24"/>
                <w:highlight w:val="none"/>
              </w:rPr>
            </w:pPr>
          </w:p>
        </w:tc>
        <w:tc>
          <w:tcPr>
            <w:tcW w:w="631" w:type="pct"/>
            <w:tcBorders>
              <w:top w:val="nil"/>
            </w:tcBorders>
            <w:noWrap w:val="0"/>
            <w:vAlign w:val="center"/>
          </w:tcPr>
          <w:p>
            <w:pPr>
              <w:rPr>
                <w:rFonts w:hint="eastAsia" w:ascii="仿宋" w:hAnsi="仿宋" w:eastAsia="仿宋" w:cs="仿宋"/>
                <w:color w:val="auto"/>
                <w:sz w:val="24"/>
                <w:szCs w:val="24"/>
                <w:highlight w:val="none"/>
              </w:rPr>
            </w:pPr>
          </w:p>
        </w:tc>
        <w:tc>
          <w:tcPr>
            <w:tcW w:w="486" w:type="pct"/>
            <w:tcBorders>
              <w:top w:val="nil"/>
            </w:tcBorders>
            <w:noWrap w:val="0"/>
            <w:vAlign w:val="center"/>
          </w:tcPr>
          <w:p>
            <w:pPr>
              <w:rPr>
                <w:rFonts w:hint="eastAsia" w:ascii="仿宋" w:hAnsi="仿宋" w:eastAsia="仿宋" w:cs="仿宋"/>
                <w:color w:val="auto"/>
                <w:sz w:val="24"/>
                <w:szCs w:val="24"/>
                <w:highlight w:val="none"/>
              </w:rPr>
            </w:pPr>
          </w:p>
        </w:tc>
        <w:tc>
          <w:tcPr>
            <w:tcW w:w="825"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c>
          <w:tcPr>
            <w:tcW w:w="534" w:type="pct"/>
            <w:tcBorders>
              <w:top w:val="nil"/>
            </w:tcBorders>
            <w:noWrap w:val="0"/>
            <w:vAlign w:val="center"/>
          </w:tcPr>
          <w:p>
            <w:pPr>
              <w:rPr>
                <w:rFonts w:hint="eastAsia" w:ascii="仿宋" w:hAnsi="仿宋" w:eastAsia="仿宋" w:cs="仿宋"/>
                <w:color w:val="auto"/>
                <w:sz w:val="24"/>
                <w:szCs w:val="24"/>
                <w:highlight w:val="none"/>
              </w:rPr>
            </w:pPr>
          </w:p>
        </w:tc>
        <w:tc>
          <w:tcPr>
            <w:tcW w:w="728" w:type="pct"/>
            <w:tcBorders>
              <w:top w:val="nil"/>
            </w:tcBorders>
            <w:noWrap w:val="0"/>
            <w:vAlign w:val="center"/>
          </w:tcPr>
          <w:p>
            <w:pPr>
              <w:rPr>
                <w:rFonts w:hint="eastAsia" w:ascii="仿宋" w:hAnsi="仿宋" w:eastAsia="仿宋" w:cs="仿宋"/>
                <w:color w:val="auto"/>
                <w:sz w:val="24"/>
                <w:szCs w:val="24"/>
                <w:highlight w:val="none"/>
              </w:rPr>
            </w:pPr>
          </w:p>
        </w:tc>
        <w:tc>
          <w:tcPr>
            <w:tcW w:w="485"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8" w:type="pct"/>
            <w:noWrap w:val="0"/>
            <w:vAlign w:val="center"/>
          </w:tcPr>
          <w:p>
            <w:pPr>
              <w:rPr>
                <w:rFonts w:hint="eastAsia" w:ascii="仿宋" w:hAnsi="仿宋" w:eastAsia="仿宋" w:cs="仿宋"/>
                <w:color w:val="auto"/>
                <w:sz w:val="24"/>
                <w:szCs w:val="24"/>
                <w:highlight w:val="none"/>
              </w:rPr>
            </w:pPr>
          </w:p>
        </w:tc>
        <w:tc>
          <w:tcPr>
            <w:tcW w:w="631" w:type="pct"/>
            <w:noWrap w:val="0"/>
            <w:vAlign w:val="center"/>
          </w:tcPr>
          <w:p>
            <w:pPr>
              <w:rPr>
                <w:rFonts w:hint="eastAsia" w:ascii="仿宋" w:hAnsi="仿宋" w:eastAsia="仿宋" w:cs="仿宋"/>
                <w:color w:val="auto"/>
                <w:sz w:val="24"/>
                <w:szCs w:val="24"/>
                <w:highlight w:val="none"/>
              </w:rPr>
            </w:pPr>
          </w:p>
        </w:tc>
        <w:tc>
          <w:tcPr>
            <w:tcW w:w="486" w:type="pct"/>
            <w:noWrap w:val="0"/>
            <w:vAlign w:val="center"/>
          </w:tcPr>
          <w:p>
            <w:pPr>
              <w:rPr>
                <w:rFonts w:hint="eastAsia" w:ascii="仿宋" w:hAnsi="仿宋" w:eastAsia="仿宋" w:cs="仿宋"/>
                <w:color w:val="auto"/>
                <w:sz w:val="24"/>
                <w:szCs w:val="24"/>
                <w:highlight w:val="none"/>
              </w:rPr>
            </w:pPr>
          </w:p>
        </w:tc>
        <w:tc>
          <w:tcPr>
            <w:tcW w:w="825" w:type="pct"/>
            <w:noWrap w:val="0"/>
            <w:vAlign w:val="center"/>
          </w:tcPr>
          <w:p>
            <w:pPr>
              <w:rPr>
                <w:rFonts w:hint="eastAsia" w:ascii="仿宋" w:hAnsi="仿宋" w:eastAsia="仿宋" w:cs="仿宋"/>
                <w:color w:val="auto"/>
                <w:sz w:val="24"/>
                <w:szCs w:val="24"/>
                <w:highlight w:val="none"/>
              </w:rPr>
            </w:pPr>
          </w:p>
        </w:tc>
        <w:tc>
          <w:tcPr>
            <w:tcW w:w="291" w:type="pct"/>
            <w:noWrap w:val="0"/>
            <w:vAlign w:val="center"/>
          </w:tcPr>
          <w:p>
            <w:pPr>
              <w:rPr>
                <w:rFonts w:hint="eastAsia" w:ascii="仿宋" w:hAnsi="仿宋" w:eastAsia="仿宋" w:cs="仿宋"/>
                <w:color w:val="auto"/>
                <w:sz w:val="24"/>
                <w:szCs w:val="24"/>
                <w:highlight w:val="none"/>
              </w:rPr>
            </w:pPr>
          </w:p>
        </w:tc>
        <w:tc>
          <w:tcPr>
            <w:tcW w:w="534" w:type="pct"/>
            <w:noWrap w:val="0"/>
            <w:vAlign w:val="center"/>
          </w:tcPr>
          <w:p>
            <w:pPr>
              <w:rPr>
                <w:rFonts w:hint="eastAsia" w:ascii="仿宋" w:hAnsi="仿宋" w:eastAsia="仿宋" w:cs="仿宋"/>
                <w:color w:val="auto"/>
                <w:sz w:val="24"/>
                <w:szCs w:val="24"/>
                <w:highlight w:val="none"/>
              </w:rPr>
            </w:pPr>
          </w:p>
        </w:tc>
        <w:tc>
          <w:tcPr>
            <w:tcW w:w="728" w:type="pct"/>
            <w:noWrap w:val="0"/>
            <w:vAlign w:val="center"/>
          </w:tcPr>
          <w:p>
            <w:pPr>
              <w:rPr>
                <w:rFonts w:hint="eastAsia" w:ascii="仿宋" w:hAnsi="仿宋" w:eastAsia="仿宋" w:cs="仿宋"/>
                <w:color w:val="auto"/>
                <w:sz w:val="24"/>
                <w:szCs w:val="24"/>
                <w:highlight w:val="none"/>
              </w:rPr>
            </w:pPr>
          </w:p>
        </w:tc>
        <w:tc>
          <w:tcPr>
            <w:tcW w:w="485" w:type="pct"/>
            <w:noWrap w:val="0"/>
            <w:vAlign w:val="center"/>
          </w:tcPr>
          <w:p>
            <w:pPr>
              <w:rPr>
                <w:rFonts w:hint="eastAsia" w:ascii="仿宋" w:hAnsi="仿宋" w:eastAsia="仿宋" w:cs="仿宋"/>
                <w:color w:val="auto"/>
                <w:sz w:val="24"/>
                <w:szCs w:val="24"/>
                <w:highlight w:val="none"/>
              </w:rPr>
            </w:pPr>
          </w:p>
        </w:tc>
        <w:tc>
          <w:tcPr>
            <w:tcW w:w="291" w:type="pct"/>
            <w:noWrap w:val="0"/>
            <w:vAlign w:val="center"/>
          </w:tcPr>
          <w:p>
            <w:pPr>
              <w:rPr>
                <w:rFonts w:hint="eastAsia" w:ascii="仿宋" w:hAnsi="仿宋" w:eastAsia="仿宋" w:cs="仿宋"/>
                <w:color w:val="auto"/>
                <w:sz w:val="24"/>
                <w:szCs w:val="24"/>
                <w:highlight w:val="none"/>
              </w:rPr>
            </w:pPr>
          </w:p>
        </w:tc>
        <w:tc>
          <w:tcPr>
            <w:tcW w:w="291" w:type="pct"/>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8" w:type="pct"/>
            <w:tcBorders>
              <w:top w:val="nil"/>
            </w:tcBorders>
            <w:noWrap w:val="0"/>
            <w:vAlign w:val="center"/>
          </w:tcPr>
          <w:p>
            <w:pPr>
              <w:rPr>
                <w:rFonts w:hint="eastAsia" w:ascii="仿宋" w:hAnsi="仿宋" w:eastAsia="仿宋" w:cs="仿宋"/>
                <w:color w:val="auto"/>
                <w:sz w:val="24"/>
                <w:szCs w:val="24"/>
                <w:highlight w:val="none"/>
              </w:rPr>
            </w:pPr>
          </w:p>
        </w:tc>
        <w:tc>
          <w:tcPr>
            <w:tcW w:w="631" w:type="pct"/>
            <w:tcBorders>
              <w:top w:val="nil"/>
            </w:tcBorders>
            <w:noWrap w:val="0"/>
            <w:vAlign w:val="center"/>
          </w:tcPr>
          <w:p>
            <w:pPr>
              <w:rPr>
                <w:rFonts w:hint="eastAsia" w:ascii="仿宋" w:hAnsi="仿宋" w:eastAsia="仿宋" w:cs="仿宋"/>
                <w:color w:val="auto"/>
                <w:sz w:val="24"/>
                <w:szCs w:val="24"/>
                <w:highlight w:val="none"/>
              </w:rPr>
            </w:pPr>
          </w:p>
        </w:tc>
        <w:tc>
          <w:tcPr>
            <w:tcW w:w="486" w:type="pct"/>
            <w:tcBorders>
              <w:top w:val="nil"/>
            </w:tcBorders>
            <w:noWrap w:val="0"/>
            <w:vAlign w:val="center"/>
          </w:tcPr>
          <w:p>
            <w:pPr>
              <w:rPr>
                <w:rFonts w:hint="eastAsia" w:ascii="仿宋" w:hAnsi="仿宋" w:eastAsia="仿宋" w:cs="仿宋"/>
                <w:color w:val="auto"/>
                <w:sz w:val="24"/>
                <w:szCs w:val="24"/>
                <w:highlight w:val="none"/>
              </w:rPr>
            </w:pPr>
          </w:p>
        </w:tc>
        <w:tc>
          <w:tcPr>
            <w:tcW w:w="825"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c>
          <w:tcPr>
            <w:tcW w:w="534" w:type="pct"/>
            <w:tcBorders>
              <w:top w:val="nil"/>
            </w:tcBorders>
            <w:noWrap w:val="0"/>
            <w:vAlign w:val="center"/>
          </w:tcPr>
          <w:p>
            <w:pPr>
              <w:rPr>
                <w:rFonts w:hint="eastAsia" w:ascii="仿宋" w:hAnsi="仿宋" w:eastAsia="仿宋" w:cs="仿宋"/>
                <w:color w:val="auto"/>
                <w:sz w:val="24"/>
                <w:szCs w:val="24"/>
                <w:highlight w:val="none"/>
              </w:rPr>
            </w:pPr>
          </w:p>
        </w:tc>
        <w:tc>
          <w:tcPr>
            <w:tcW w:w="728" w:type="pct"/>
            <w:tcBorders>
              <w:top w:val="nil"/>
            </w:tcBorders>
            <w:noWrap w:val="0"/>
            <w:vAlign w:val="center"/>
          </w:tcPr>
          <w:p>
            <w:pPr>
              <w:rPr>
                <w:rFonts w:hint="eastAsia" w:ascii="仿宋" w:hAnsi="仿宋" w:eastAsia="仿宋" w:cs="仿宋"/>
                <w:color w:val="auto"/>
                <w:sz w:val="24"/>
                <w:szCs w:val="24"/>
                <w:highlight w:val="none"/>
              </w:rPr>
            </w:pPr>
          </w:p>
        </w:tc>
        <w:tc>
          <w:tcPr>
            <w:tcW w:w="485"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c>
          <w:tcPr>
            <w:tcW w:w="291" w:type="pct"/>
            <w:tcBorders>
              <w:top w:val="nil"/>
            </w:tcBorders>
            <w:noWrap w:val="0"/>
            <w:vAlign w:val="center"/>
          </w:tcPr>
          <w:p>
            <w:pPr>
              <w:rPr>
                <w:rFonts w:hint="eastAsia" w:ascii="仿宋" w:hAnsi="仿宋" w:eastAsia="仿宋" w:cs="仿宋"/>
                <w:color w:val="auto"/>
                <w:sz w:val="24"/>
                <w:szCs w:val="24"/>
                <w:highlight w:val="none"/>
              </w:rPr>
            </w:pPr>
          </w:p>
        </w:tc>
      </w:tr>
    </w:tbl>
    <w:p>
      <w:pPr>
        <w:rPr>
          <w:color w:val="auto"/>
          <w:highlight w:val="none"/>
        </w:rPr>
        <w:sectPr>
          <w:footerReference r:id="rId9" w:type="first"/>
          <w:footerReference r:id="rId8" w:type="default"/>
          <w:pgSz w:w="11906" w:h="16838"/>
          <w:pgMar w:top="1418" w:right="1531" w:bottom="1418" w:left="1554" w:header="851" w:footer="992" w:gutter="0"/>
          <w:cols w:space="720" w:num="1"/>
          <w:docGrid w:type="linesAndChars" w:linePitch="312" w:charSpace="0"/>
        </w:sect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503" w:name="_Toc296347224"/>
      <w:bookmarkStart w:id="504" w:name="_Toc267261692"/>
      <w:bookmarkStart w:id="505" w:name="_Toc296503225"/>
      <w:bookmarkStart w:id="506" w:name="_Toc296891053"/>
      <w:bookmarkStart w:id="507" w:name="_Toc296944564"/>
      <w:bookmarkStart w:id="508" w:name="_Toc296891265"/>
      <w:bookmarkStart w:id="509" w:name="_Toc296346726"/>
      <w:r>
        <w:rPr>
          <w:rFonts w:hint="eastAsia" w:ascii="仿宋" w:hAnsi="仿宋" w:eastAsia="仿宋" w:cs="仿宋"/>
          <w:color w:val="auto"/>
          <w:sz w:val="24"/>
          <w:szCs w:val="24"/>
          <w:highlight w:val="none"/>
        </w:rPr>
        <w:t>件2：</w:t>
      </w:r>
    </w:p>
    <w:p>
      <w:pPr>
        <w:rPr>
          <w:rFonts w:hint="eastAsia" w:ascii="仿宋" w:hAnsi="仿宋" w:eastAsia="仿宋" w:cs="仿宋"/>
          <w:color w:val="auto"/>
          <w:sz w:val="24"/>
          <w:szCs w:val="24"/>
          <w:highlight w:val="none"/>
        </w:rPr>
      </w:pPr>
    </w:p>
    <w:bookmarkEnd w:id="503"/>
    <w:bookmarkEnd w:id="504"/>
    <w:bookmarkEnd w:id="505"/>
    <w:bookmarkEnd w:id="506"/>
    <w:bookmarkEnd w:id="507"/>
    <w:bookmarkEnd w:id="508"/>
    <w:bookmarkEnd w:id="509"/>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发包人供应材料设备一览表</w:t>
      </w:r>
    </w:p>
    <w:tbl>
      <w:tblPr>
        <w:tblStyle w:val="61"/>
        <w:tblW w:w="100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01"/>
        <w:gridCol w:w="1201"/>
        <w:gridCol w:w="1335"/>
        <w:gridCol w:w="885"/>
        <w:gridCol w:w="801"/>
        <w:gridCol w:w="983"/>
        <w:gridCol w:w="934"/>
        <w:gridCol w:w="801"/>
        <w:gridCol w:w="1400"/>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jc w:val="center"/>
        </w:trPr>
        <w:tc>
          <w:tcPr>
            <w:tcW w:w="801"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01"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材料、</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设备品种</w:t>
            </w:r>
          </w:p>
        </w:tc>
        <w:tc>
          <w:tcPr>
            <w:tcW w:w="1335"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885"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801"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983"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934"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质量等级</w:t>
            </w:r>
          </w:p>
        </w:tc>
        <w:tc>
          <w:tcPr>
            <w:tcW w:w="801"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供应时间</w:t>
            </w:r>
          </w:p>
        </w:tc>
        <w:tc>
          <w:tcPr>
            <w:tcW w:w="1400"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送达地点</w:t>
            </w:r>
          </w:p>
        </w:tc>
        <w:tc>
          <w:tcPr>
            <w:tcW w:w="934"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201"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335"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885"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801"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983"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934"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801"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400"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934"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tcBorders>
              <w:top w:val="nil"/>
            </w:tcBorders>
            <w:noWrap w:val="0"/>
            <w:vAlign w:val="center"/>
          </w:tcPr>
          <w:p>
            <w:pPr>
              <w:rPr>
                <w:rFonts w:hint="eastAsia" w:ascii="仿宋" w:hAnsi="仿宋" w:eastAsia="仿宋" w:cs="仿宋"/>
                <w:color w:val="auto"/>
                <w:sz w:val="24"/>
                <w:szCs w:val="24"/>
                <w:highlight w:val="none"/>
              </w:rPr>
            </w:pPr>
          </w:p>
        </w:tc>
        <w:tc>
          <w:tcPr>
            <w:tcW w:w="1201" w:type="dxa"/>
            <w:tcBorders>
              <w:top w:val="nil"/>
            </w:tcBorders>
            <w:noWrap w:val="0"/>
            <w:vAlign w:val="center"/>
          </w:tcPr>
          <w:p>
            <w:pPr>
              <w:rPr>
                <w:rFonts w:hint="eastAsia" w:ascii="仿宋" w:hAnsi="仿宋" w:eastAsia="仿宋" w:cs="仿宋"/>
                <w:color w:val="auto"/>
                <w:sz w:val="24"/>
                <w:szCs w:val="24"/>
                <w:highlight w:val="none"/>
              </w:rPr>
            </w:pPr>
          </w:p>
        </w:tc>
        <w:tc>
          <w:tcPr>
            <w:tcW w:w="1335" w:type="dxa"/>
            <w:tcBorders>
              <w:top w:val="nil"/>
            </w:tcBorders>
            <w:noWrap w:val="0"/>
            <w:vAlign w:val="center"/>
          </w:tcPr>
          <w:p>
            <w:pPr>
              <w:rPr>
                <w:rFonts w:hint="eastAsia" w:ascii="仿宋" w:hAnsi="仿宋" w:eastAsia="仿宋" w:cs="仿宋"/>
                <w:color w:val="auto"/>
                <w:sz w:val="24"/>
                <w:szCs w:val="24"/>
                <w:highlight w:val="none"/>
              </w:rPr>
            </w:pPr>
          </w:p>
        </w:tc>
        <w:tc>
          <w:tcPr>
            <w:tcW w:w="885" w:type="dxa"/>
            <w:tcBorders>
              <w:top w:val="nil"/>
            </w:tcBorders>
            <w:noWrap w:val="0"/>
            <w:vAlign w:val="center"/>
          </w:tcPr>
          <w:p>
            <w:pPr>
              <w:rPr>
                <w:rFonts w:hint="eastAsia" w:ascii="仿宋" w:hAnsi="仿宋" w:eastAsia="仿宋" w:cs="仿宋"/>
                <w:color w:val="auto"/>
                <w:sz w:val="24"/>
                <w:szCs w:val="24"/>
                <w:highlight w:val="none"/>
              </w:rPr>
            </w:pPr>
          </w:p>
        </w:tc>
        <w:tc>
          <w:tcPr>
            <w:tcW w:w="801" w:type="dxa"/>
            <w:tcBorders>
              <w:top w:val="nil"/>
            </w:tcBorders>
            <w:noWrap w:val="0"/>
            <w:vAlign w:val="center"/>
          </w:tcPr>
          <w:p>
            <w:pPr>
              <w:rPr>
                <w:rFonts w:hint="eastAsia" w:ascii="仿宋" w:hAnsi="仿宋" w:eastAsia="仿宋" w:cs="仿宋"/>
                <w:color w:val="auto"/>
                <w:sz w:val="24"/>
                <w:szCs w:val="24"/>
                <w:highlight w:val="none"/>
              </w:rPr>
            </w:pPr>
          </w:p>
        </w:tc>
        <w:tc>
          <w:tcPr>
            <w:tcW w:w="983" w:type="dxa"/>
            <w:tcBorders>
              <w:top w:val="nil"/>
            </w:tcBorders>
            <w:noWrap w:val="0"/>
            <w:vAlign w:val="center"/>
          </w:tcPr>
          <w:p>
            <w:pPr>
              <w:rPr>
                <w:rFonts w:hint="eastAsia" w:ascii="仿宋" w:hAnsi="仿宋" w:eastAsia="仿宋" w:cs="仿宋"/>
                <w:color w:val="auto"/>
                <w:sz w:val="24"/>
                <w:szCs w:val="24"/>
                <w:highlight w:val="none"/>
              </w:rPr>
            </w:pPr>
          </w:p>
        </w:tc>
        <w:tc>
          <w:tcPr>
            <w:tcW w:w="934" w:type="dxa"/>
            <w:tcBorders>
              <w:top w:val="nil"/>
            </w:tcBorders>
            <w:noWrap w:val="0"/>
            <w:vAlign w:val="center"/>
          </w:tcPr>
          <w:p>
            <w:pPr>
              <w:rPr>
                <w:rFonts w:hint="eastAsia" w:ascii="仿宋" w:hAnsi="仿宋" w:eastAsia="仿宋" w:cs="仿宋"/>
                <w:color w:val="auto"/>
                <w:sz w:val="24"/>
                <w:szCs w:val="24"/>
                <w:highlight w:val="none"/>
              </w:rPr>
            </w:pPr>
          </w:p>
        </w:tc>
        <w:tc>
          <w:tcPr>
            <w:tcW w:w="801" w:type="dxa"/>
            <w:tcBorders>
              <w:top w:val="nil"/>
            </w:tcBorders>
            <w:noWrap w:val="0"/>
            <w:vAlign w:val="center"/>
          </w:tcPr>
          <w:p>
            <w:pPr>
              <w:rPr>
                <w:rFonts w:hint="eastAsia" w:ascii="仿宋" w:hAnsi="仿宋" w:eastAsia="仿宋" w:cs="仿宋"/>
                <w:color w:val="auto"/>
                <w:sz w:val="24"/>
                <w:szCs w:val="24"/>
                <w:highlight w:val="none"/>
              </w:rPr>
            </w:pPr>
          </w:p>
        </w:tc>
        <w:tc>
          <w:tcPr>
            <w:tcW w:w="1400" w:type="dxa"/>
            <w:tcBorders>
              <w:top w:val="nil"/>
            </w:tcBorders>
            <w:noWrap w:val="0"/>
            <w:vAlign w:val="center"/>
          </w:tcPr>
          <w:p>
            <w:pPr>
              <w:rPr>
                <w:rFonts w:hint="eastAsia" w:ascii="仿宋" w:hAnsi="仿宋" w:eastAsia="仿宋" w:cs="仿宋"/>
                <w:color w:val="auto"/>
                <w:sz w:val="24"/>
                <w:szCs w:val="24"/>
                <w:highlight w:val="none"/>
              </w:rPr>
            </w:pPr>
          </w:p>
        </w:tc>
        <w:tc>
          <w:tcPr>
            <w:tcW w:w="934" w:type="dxa"/>
            <w:tcBorders>
              <w:top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noWrap w:val="0"/>
            <w:vAlign w:val="center"/>
          </w:tcPr>
          <w:p>
            <w:pPr>
              <w:rPr>
                <w:rFonts w:hint="eastAsia" w:ascii="仿宋" w:hAnsi="仿宋" w:eastAsia="仿宋" w:cs="仿宋"/>
                <w:color w:val="auto"/>
                <w:sz w:val="24"/>
                <w:szCs w:val="24"/>
                <w:highlight w:val="none"/>
              </w:rPr>
            </w:pPr>
          </w:p>
        </w:tc>
        <w:tc>
          <w:tcPr>
            <w:tcW w:w="1201" w:type="dxa"/>
            <w:noWrap w:val="0"/>
            <w:vAlign w:val="center"/>
          </w:tcPr>
          <w:p>
            <w:pPr>
              <w:rPr>
                <w:rFonts w:hint="eastAsia" w:ascii="仿宋" w:hAnsi="仿宋" w:eastAsia="仿宋" w:cs="仿宋"/>
                <w:color w:val="auto"/>
                <w:sz w:val="24"/>
                <w:szCs w:val="24"/>
                <w:highlight w:val="none"/>
              </w:rPr>
            </w:pPr>
          </w:p>
        </w:tc>
        <w:tc>
          <w:tcPr>
            <w:tcW w:w="1335" w:type="dxa"/>
            <w:noWrap w:val="0"/>
            <w:vAlign w:val="center"/>
          </w:tcPr>
          <w:p>
            <w:pPr>
              <w:rPr>
                <w:rFonts w:hint="eastAsia" w:ascii="仿宋" w:hAnsi="仿宋" w:eastAsia="仿宋" w:cs="仿宋"/>
                <w:color w:val="auto"/>
                <w:sz w:val="24"/>
                <w:szCs w:val="24"/>
                <w:highlight w:val="none"/>
              </w:rPr>
            </w:pPr>
          </w:p>
        </w:tc>
        <w:tc>
          <w:tcPr>
            <w:tcW w:w="885"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983"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1400"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noWrap w:val="0"/>
            <w:vAlign w:val="center"/>
          </w:tcPr>
          <w:p>
            <w:pPr>
              <w:rPr>
                <w:rFonts w:hint="eastAsia" w:ascii="仿宋" w:hAnsi="仿宋" w:eastAsia="仿宋" w:cs="仿宋"/>
                <w:color w:val="auto"/>
                <w:sz w:val="24"/>
                <w:szCs w:val="24"/>
                <w:highlight w:val="none"/>
              </w:rPr>
            </w:pPr>
          </w:p>
        </w:tc>
        <w:tc>
          <w:tcPr>
            <w:tcW w:w="1201" w:type="dxa"/>
            <w:noWrap w:val="0"/>
            <w:vAlign w:val="center"/>
          </w:tcPr>
          <w:p>
            <w:pPr>
              <w:rPr>
                <w:rFonts w:hint="eastAsia" w:ascii="仿宋" w:hAnsi="仿宋" w:eastAsia="仿宋" w:cs="仿宋"/>
                <w:color w:val="auto"/>
                <w:sz w:val="24"/>
                <w:szCs w:val="24"/>
                <w:highlight w:val="none"/>
              </w:rPr>
            </w:pPr>
          </w:p>
        </w:tc>
        <w:tc>
          <w:tcPr>
            <w:tcW w:w="1335" w:type="dxa"/>
            <w:noWrap w:val="0"/>
            <w:vAlign w:val="center"/>
          </w:tcPr>
          <w:p>
            <w:pPr>
              <w:rPr>
                <w:rFonts w:hint="eastAsia" w:ascii="仿宋" w:hAnsi="仿宋" w:eastAsia="仿宋" w:cs="仿宋"/>
                <w:color w:val="auto"/>
                <w:sz w:val="24"/>
                <w:szCs w:val="24"/>
                <w:highlight w:val="none"/>
              </w:rPr>
            </w:pPr>
          </w:p>
        </w:tc>
        <w:tc>
          <w:tcPr>
            <w:tcW w:w="885"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983"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1400"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noWrap w:val="0"/>
            <w:vAlign w:val="center"/>
          </w:tcPr>
          <w:p>
            <w:pPr>
              <w:rPr>
                <w:rFonts w:hint="eastAsia" w:ascii="仿宋" w:hAnsi="仿宋" w:eastAsia="仿宋" w:cs="仿宋"/>
                <w:color w:val="auto"/>
                <w:sz w:val="24"/>
                <w:szCs w:val="24"/>
                <w:highlight w:val="none"/>
              </w:rPr>
            </w:pPr>
          </w:p>
        </w:tc>
        <w:tc>
          <w:tcPr>
            <w:tcW w:w="1201" w:type="dxa"/>
            <w:noWrap w:val="0"/>
            <w:vAlign w:val="center"/>
          </w:tcPr>
          <w:p>
            <w:pPr>
              <w:rPr>
                <w:rFonts w:hint="eastAsia" w:ascii="仿宋" w:hAnsi="仿宋" w:eastAsia="仿宋" w:cs="仿宋"/>
                <w:color w:val="auto"/>
                <w:sz w:val="24"/>
                <w:szCs w:val="24"/>
                <w:highlight w:val="none"/>
              </w:rPr>
            </w:pPr>
          </w:p>
        </w:tc>
        <w:tc>
          <w:tcPr>
            <w:tcW w:w="1335" w:type="dxa"/>
            <w:noWrap w:val="0"/>
            <w:vAlign w:val="center"/>
          </w:tcPr>
          <w:p>
            <w:pPr>
              <w:rPr>
                <w:rFonts w:hint="eastAsia" w:ascii="仿宋" w:hAnsi="仿宋" w:eastAsia="仿宋" w:cs="仿宋"/>
                <w:color w:val="auto"/>
                <w:sz w:val="24"/>
                <w:szCs w:val="24"/>
                <w:highlight w:val="none"/>
              </w:rPr>
            </w:pPr>
          </w:p>
        </w:tc>
        <w:tc>
          <w:tcPr>
            <w:tcW w:w="885"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983"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1400"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noWrap w:val="0"/>
            <w:vAlign w:val="center"/>
          </w:tcPr>
          <w:p>
            <w:pPr>
              <w:rPr>
                <w:rFonts w:hint="eastAsia" w:ascii="仿宋" w:hAnsi="仿宋" w:eastAsia="仿宋" w:cs="仿宋"/>
                <w:color w:val="auto"/>
                <w:sz w:val="24"/>
                <w:szCs w:val="24"/>
                <w:highlight w:val="none"/>
              </w:rPr>
            </w:pPr>
          </w:p>
        </w:tc>
        <w:tc>
          <w:tcPr>
            <w:tcW w:w="1201" w:type="dxa"/>
            <w:noWrap w:val="0"/>
            <w:vAlign w:val="center"/>
          </w:tcPr>
          <w:p>
            <w:pPr>
              <w:rPr>
                <w:rFonts w:hint="eastAsia" w:ascii="仿宋" w:hAnsi="仿宋" w:eastAsia="仿宋" w:cs="仿宋"/>
                <w:color w:val="auto"/>
                <w:sz w:val="24"/>
                <w:szCs w:val="24"/>
                <w:highlight w:val="none"/>
              </w:rPr>
            </w:pPr>
          </w:p>
        </w:tc>
        <w:tc>
          <w:tcPr>
            <w:tcW w:w="1335" w:type="dxa"/>
            <w:noWrap w:val="0"/>
            <w:vAlign w:val="center"/>
          </w:tcPr>
          <w:p>
            <w:pPr>
              <w:rPr>
                <w:rFonts w:hint="eastAsia" w:ascii="仿宋" w:hAnsi="仿宋" w:eastAsia="仿宋" w:cs="仿宋"/>
                <w:color w:val="auto"/>
                <w:sz w:val="24"/>
                <w:szCs w:val="24"/>
                <w:highlight w:val="none"/>
              </w:rPr>
            </w:pPr>
          </w:p>
        </w:tc>
        <w:tc>
          <w:tcPr>
            <w:tcW w:w="885"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983"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1400"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noWrap w:val="0"/>
            <w:vAlign w:val="center"/>
          </w:tcPr>
          <w:p>
            <w:pPr>
              <w:rPr>
                <w:rFonts w:hint="eastAsia" w:ascii="仿宋" w:hAnsi="仿宋" w:eastAsia="仿宋" w:cs="仿宋"/>
                <w:color w:val="auto"/>
                <w:sz w:val="24"/>
                <w:szCs w:val="24"/>
                <w:highlight w:val="none"/>
              </w:rPr>
            </w:pPr>
          </w:p>
        </w:tc>
        <w:tc>
          <w:tcPr>
            <w:tcW w:w="1201" w:type="dxa"/>
            <w:noWrap w:val="0"/>
            <w:vAlign w:val="center"/>
          </w:tcPr>
          <w:p>
            <w:pPr>
              <w:rPr>
                <w:rFonts w:hint="eastAsia" w:ascii="仿宋" w:hAnsi="仿宋" w:eastAsia="仿宋" w:cs="仿宋"/>
                <w:color w:val="auto"/>
                <w:sz w:val="24"/>
                <w:szCs w:val="24"/>
                <w:highlight w:val="none"/>
              </w:rPr>
            </w:pPr>
          </w:p>
        </w:tc>
        <w:tc>
          <w:tcPr>
            <w:tcW w:w="1335" w:type="dxa"/>
            <w:noWrap w:val="0"/>
            <w:vAlign w:val="center"/>
          </w:tcPr>
          <w:p>
            <w:pPr>
              <w:rPr>
                <w:rFonts w:hint="eastAsia" w:ascii="仿宋" w:hAnsi="仿宋" w:eastAsia="仿宋" w:cs="仿宋"/>
                <w:color w:val="auto"/>
                <w:sz w:val="24"/>
                <w:szCs w:val="24"/>
                <w:highlight w:val="none"/>
              </w:rPr>
            </w:pPr>
          </w:p>
        </w:tc>
        <w:tc>
          <w:tcPr>
            <w:tcW w:w="885"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983"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1400"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noWrap w:val="0"/>
            <w:vAlign w:val="center"/>
          </w:tcPr>
          <w:p>
            <w:pPr>
              <w:rPr>
                <w:rFonts w:hint="eastAsia" w:ascii="仿宋" w:hAnsi="仿宋" w:eastAsia="仿宋" w:cs="仿宋"/>
                <w:color w:val="auto"/>
                <w:sz w:val="24"/>
                <w:szCs w:val="24"/>
                <w:highlight w:val="none"/>
              </w:rPr>
            </w:pPr>
          </w:p>
        </w:tc>
        <w:tc>
          <w:tcPr>
            <w:tcW w:w="1201" w:type="dxa"/>
            <w:noWrap w:val="0"/>
            <w:vAlign w:val="center"/>
          </w:tcPr>
          <w:p>
            <w:pPr>
              <w:rPr>
                <w:rFonts w:hint="eastAsia" w:ascii="仿宋" w:hAnsi="仿宋" w:eastAsia="仿宋" w:cs="仿宋"/>
                <w:color w:val="auto"/>
                <w:sz w:val="24"/>
                <w:szCs w:val="24"/>
                <w:highlight w:val="none"/>
              </w:rPr>
            </w:pPr>
          </w:p>
        </w:tc>
        <w:tc>
          <w:tcPr>
            <w:tcW w:w="1335" w:type="dxa"/>
            <w:noWrap w:val="0"/>
            <w:vAlign w:val="center"/>
          </w:tcPr>
          <w:p>
            <w:pPr>
              <w:rPr>
                <w:rFonts w:hint="eastAsia" w:ascii="仿宋" w:hAnsi="仿宋" w:eastAsia="仿宋" w:cs="仿宋"/>
                <w:color w:val="auto"/>
                <w:sz w:val="24"/>
                <w:szCs w:val="24"/>
                <w:highlight w:val="none"/>
              </w:rPr>
            </w:pPr>
          </w:p>
        </w:tc>
        <w:tc>
          <w:tcPr>
            <w:tcW w:w="885"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983"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1400"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noWrap w:val="0"/>
            <w:vAlign w:val="center"/>
          </w:tcPr>
          <w:p>
            <w:pPr>
              <w:rPr>
                <w:rFonts w:hint="eastAsia" w:ascii="仿宋" w:hAnsi="仿宋" w:eastAsia="仿宋" w:cs="仿宋"/>
                <w:color w:val="auto"/>
                <w:sz w:val="24"/>
                <w:szCs w:val="24"/>
                <w:highlight w:val="none"/>
              </w:rPr>
            </w:pPr>
          </w:p>
        </w:tc>
        <w:tc>
          <w:tcPr>
            <w:tcW w:w="1201" w:type="dxa"/>
            <w:noWrap w:val="0"/>
            <w:vAlign w:val="center"/>
          </w:tcPr>
          <w:p>
            <w:pPr>
              <w:rPr>
                <w:rFonts w:hint="eastAsia" w:ascii="仿宋" w:hAnsi="仿宋" w:eastAsia="仿宋" w:cs="仿宋"/>
                <w:color w:val="auto"/>
                <w:sz w:val="24"/>
                <w:szCs w:val="24"/>
                <w:highlight w:val="none"/>
              </w:rPr>
            </w:pPr>
          </w:p>
        </w:tc>
        <w:tc>
          <w:tcPr>
            <w:tcW w:w="1335" w:type="dxa"/>
            <w:noWrap w:val="0"/>
            <w:vAlign w:val="center"/>
          </w:tcPr>
          <w:p>
            <w:pPr>
              <w:rPr>
                <w:rFonts w:hint="eastAsia" w:ascii="仿宋" w:hAnsi="仿宋" w:eastAsia="仿宋" w:cs="仿宋"/>
                <w:color w:val="auto"/>
                <w:sz w:val="24"/>
                <w:szCs w:val="24"/>
                <w:highlight w:val="none"/>
              </w:rPr>
            </w:pPr>
          </w:p>
        </w:tc>
        <w:tc>
          <w:tcPr>
            <w:tcW w:w="885"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983"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1400"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801" w:type="dxa"/>
            <w:noWrap w:val="0"/>
            <w:vAlign w:val="center"/>
          </w:tcPr>
          <w:p>
            <w:pPr>
              <w:rPr>
                <w:rFonts w:hint="eastAsia" w:ascii="仿宋" w:hAnsi="仿宋" w:eastAsia="仿宋" w:cs="仿宋"/>
                <w:color w:val="auto"/>
                <w:sz w:val="24"/>
                <w:szCs w:val="24"/>
                <w:highlight w:val="none"/>
              </w:rPr>
            </w:pPr>
          </w:p>
        </w:tc>
        <w:tc>
          <w:tcPr>
            <w:tcW w:w="1201" w:type="dxa"/>
            <w:noWrap w:val="0"/>
            <w:vAlign w:val="center"/>
          </w:tcPr>
          <w:p>
            <w:pPr>
              <w:rPr>
                <w:rFonts w:hint="eastAsia" w:ascii="仿宋" w:hAnsi="仿宋" w:eastAsia="仿宋" w:cs="仿宋"/>
                <w:color w:val="auto"/>
                <w:sz w:val="24"/>
                <w:szCs w:val="24"/>
                <w:highlight w:val="none"/>
              </w:rPr>
            </w:pPr>
          </w:p>
        </w:tc>
        <w:tc>
          <w:tcPr>
            <w:tcW w:w="1335" w:type="dxa"/>
            <w:noWrap w:val="0"/>
            <w:vAlign w:val="center"/>
          </w:tcPr>
          <w:p>
            <w:pPr>
              <w:rPr>
                <w:rFonts w:hint="eastAsia" w:ascii="仿宋" w:hAnsi="仿宋" w:eastAsia="仿宋" w:cs="仿宋"/>
                <w:color w:val="auto"/>
                <w:sz w:val="24"/>
                <w:szCs w:val="24"/>
                <w:highlight w:val="none"/>
              </w:rPr>
            </w:pPr>
          </w:p>
        </w:tc>
        <w:tc>
          <w:tcPr>
            <w:tcW w:w="885"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983"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c>
          <w:tcPr>
            <w:tcW w:w="801" w:type="dxa"/>
            <w:noWrap w:val="0"/>
            <w:vAlign w:val="center"/>
          </w:tcPr>
          <w:p>
            <w:pPr>
              <w:rPr>
                <w:rFonts w:hint="eastAsia" w:ascii="仿宋" w:hAnsi="仿宋" w:eastAsia="仿宋" w:cs="仿宋"/>
                <w:color w:val="auto"/>
                <w:sz w:val="24"/>
                <w:szCs w:val="24"/>
                <w:highlight w:val="none"/>
              </w:rPr>
            </w:pPr>
          </w:p>
        </w:tc>
        <w:tc>
          <w:tcPr>
            <w:tcW w:w="1400" w:type="dxa"/>
            <w:noWrap w:val="0"/>
            <w:vAlign w:val="center"/>
          </w:tcPr>
          <w:p>
            <w:pPr>
              <w:rPr>
                <w:rFonts w:hint="eastAsia" w:ascii="仿宋" w:hAnsi="仿宋" w:eastAsia="仿宋" w:cs="仿宋"/>
                <w:color w:val="auto"/>
                <w:sz w:val="24"/>
                <w:szCs w:val="24"/>
                <w:highlight w:val="none"/>
              </w:rPr>
            </w:pPr>
          </w:p>
        </w:tc>
        <w:tc>
          <w:tcPr>
            <w:tcW w:w="934" w:type="dxa"/>
            <w:noWrap w:val="0"/>
            <w:vAlign w:val="center"/>
          </w:tcPr>
          <w:p>
            <w:pPr>
              <w:rPr>
                <w:rFonts w:hint="eastAsia" w:ascii="仿宋" w:hAnsi="仿宋" w:eastAsia="仿宋" w:cs="仿宋"/>
                <w:color w:val="auto"/>
                <w:sz w:val="24"/>
                <w:szCs w:val="24"/>
                <w:highlight w:val="none"/>
              </w:rPr>
            </w:pPr>
          </w:p>
        </w:tc>
      </w:tr>
    </w:tbl>
    <w:p>
      <w:pPr>
        <w:rPr>
          <w:color w:val="auto"/>
          <w:highlight w:val="none"/>
        </w:rPr>
      </w:pPr>
    </w:p>
    <w:p>
      <w:pPr>
        <w:rPr>
          <w:color w:val="auto"/>
          <w:highlight w:val="none"/>
        </w:rPr>
      </w:pPr>
      <w:r>
        <w:rPr>
          <w:color w:val="auto"/>
          <w:highlight w:val="none"/>
        </w:rPr>
        <w:br w:type="page"/>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510" w:name="_Toc296346727"/>
      <w:bookmarkStart w:id="511" w:name="_Toc296891266"/>
      <w:bookmarkStart w:id="512" w:name="_Toc296347225"/>
      <w:bookmarkStart w:id="513" w:name="_Toc296891054"/>
      <w:bookmarkStart w:id="514" w:name="_Toc296944565"/>
      <w:bookmarkStart w:id="515" w:name="_Toc296503226"/>
      <w:bookmarkStart w:id="516" w:name="_Toc267261693"/>
      <w:r>
        <w:rPr>
          <w:rFonts w:hint="eastAsia" w:ascii="仿宋" w:hAnsi="仿宋" w:eastAsia="仿宋" w:cs="仿宋"/>
          <w:color w:val="auto"/>
          <w:sz w:val="24"/>
          <w:szCs w:val="24"/>
          <w:highlight w:val="none"/>
        </w:rPr>
        <w:t>件3：</w:t>
      </w:r>
      <w:bookmarkEnd w:id="510"/>
      <w:bookmarkEnd w:id="511"/>
      <w:bookmarkEnd w:id="512"/>
      <w:bookmarkEnd w:id="513"/>
      <w:bookmarkEnd w:id="514"/>
      <w:bookmarkEnd w:id="515"/>
      <w:bookmarkEnd w:id="516"/>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工程质量保修书</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发包人（全称）：</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承包人（全称）：</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xml:space="preserve">发包人和承包人根据《中华人民共和国建筑法》和《建设工程质量管理条例》，经协商一致就 </w:t>
      </w:r>
      <w:r>
        <w:rPr>
          <w:rFonts w:hint="eastAsia" w:ascii="仿宋" w:hAnsi="仿宋" w:eastAsia="仿宋" w:cs="仿宋"/>
          <w:color w:val="auto"/>
          <w:sz w:val="24"/>
          <w:szCs w:val="24"/>
          <w:highlight w:val="none"/>
          <w:u w:val="single"/>
        </w:rPr>
        <w:t xml:space="preserve">               （工程全称）</w:t>
      </w:r>
      <w:r>
        <w:rPr>
          <w:rFonts w:hint="eastAsia" w:ascii="仿宋" w:hAnsi="仿宋" w:eastAsia="仿宋" w:cs="仿宋"/>
          <w:color w:val="auto"/>
          <w:sz w:val="24"/>
          <w:szCs w:val="24"/>
          <w:highlight w:val="none"/>
        </w:rPr>
        <w:t>签订工程质量保修书。</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一、工程质量保修范围和内容</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xml:space="preserve"> 承包人在质量保修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承包人对所施工的全部内容保修。</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二、质量保修期</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2．屋面防水工程、有防水要求的卫生间、房间和外墙面的防渗为</w:t>
      </w:r>
      <w:r>
        <w:rPr>
          <w:rFonts w:hint="eastAsia" w:ascii="仿宋" w:hAnsi="仿宋" w:eastAsia="仿宋" w:cs="仿宋"/>
          <w:color w:val="auto"/>
          <w:sz w:val="24"/>
          <w:szCs w:val="24"/>
          <w:highlight w:val="none"/>
          <w:u w:val="single"/>
        </w:rPr>
        <w:t xml:space="preserve">   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年；</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3．装饰装修工程为 </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年；</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4．电气管线、给排水管道、设备安装工程为</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 xml:space="preserve"> 年；</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5．供热与供冷系统为</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个采暖期、供冷期；</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6．住宅小区内的给排水设施、道路等配套工程为</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 xml:space="preserve"> 年；</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节能分部工程为</w:t>
      </w:r>
      <w:r>
        <w:rPr>
          <w:rFonts w:hint="eastAsia" w:ascii="仿宋" w:hAnsi="仿宋" w:eastAsia="仿宋" w:cs="仿宋"/>
          <w:color w:val="auto"/>
          <w:sz w:val="24"/>
          <w:szCs w:val="24"/>
          <w:highlight w:val="none"/>
          <w:u w:val="single"/>
        </w:rPr>
        <w:t>5</w:t>
      </w:r>
      <w:r>
        <w:rPr>
          <w:rFonts w:hint="eastAsia" w:ascii="仿宋" w:hAnsi="仿宋" w:eastAsia="仿宋" w:cs="仿宋"/>
          <w:color w:val="auto"/>
          <w:sz w:val="24"/>
          <w:szCs w:val="24"/>
          <w:highlight w:val="none"/>
        </w:rPr>
        <w:t>年</w:t>
      </w:r>
    </w:p>
    <w:p>
      <w:pPr>
        <w:keepNext w:val="0"/>
        <w:keepLines w:val="0"/>
        <w:pageBreakBefore w:val="0"/>
        <w:widowControl w:val="0"/>
        <w:kinsoku/>
        <w:wordWrap/>
        <w:overflowPunct/>
        <w:topLinePunct w:val="0"/>
        <w:autoSpaceDE/>
        <w:autoSpaceDN/>
        <w:bidi w:val="0"/>
        <w:adjustRightInd w:val="0"/>
        <w:snapToGrid/>
        <w:spacing w:line="360" w:lineRule="auto"/>
        <w:ind w:left="480" w:hanging="480" w:hanging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8．绿化工景观程如下：景观装修工程为 </w:t>
      </w:r>
      <w:r>
        <w:rPr>
          <w:rFonts w:hint="eastAsia" w:ascii="仿宋" w:hAnsi="仿宋" w:eastAsia="仿宋" w:cs="仿宋"/>
          <w:color w:val="auto"/>
          <w:sz w:val="24"/>
          <w:szCs w:val="24"/>
          <w:highlight w:val="none"/>
          <w:u w:val="single"/>
        </w:rPr>
        <w:t xml:space="preserve">2 </w:t>
      </w:r>
      <w:r>
        <w:rPr>
          <w:rFonts w:hint="eastAsia" w:ascii="仿宋" w:hAnsi="仿宋" w:eastAsia="仿宋" w:cs="仿宋"/>
          <w:color w:val="auto"/>
          <w:sz w:val="24"/>
          <w:szCs w:val="24"/>
          <w:highlight w:val="none"/>
        </w:rPr>
        <w:t>年；灌溉系统为</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年；园路工程为</w:t>
      </w:r>
      <w:r>
        <w:rPr>
          <w:rFonts w:hint="eastAsia" w:ascii="仿宋" w:hAnsi="仿宋" w:eastAsia="仿宋" w:cs="仿宋"/>
          <w:color w:val="auto"/>
          <w:sz w:val="24"/>
          <w:szCs w:val="24"/>
          <w:highlight w:val="none"/>
          <w:u w:val="single"/>
        </w:rPr>
        <w:t xml:space="preserve"> 2</w:t>
      </w:r>
      <w:r>
        <w:rPr>
          <w:rFonts w:hint="eastAsia" w:ascii="仿宋" w:hAnsi="仿宋" w:eastAsia="仿宋" w:cs="仿宋"/>
          <w:color w:val="auto"/>
          <w:sz w:val="24"/>
          <w:szCs w:val="24"/>
          <w:highlight w:val="none"/>
        </w:rPr>
        <w:t xml:space="preserve"> 年；保活期为</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年，在缺陷责任期内苗木、草坪成活率为100%</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质量保修期自工程竣工验收合格之日起计算。</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三、缺陷责任期</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工程缺陷责任期为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个月，缺陷责任期自工程通过竣工验收之日起计算。单位工程先于全部工程进行验收，单位工程缺陷责任期自单位工程验收合格之日起算。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缺陷责任期终止后，发包人应退还剩余的质量保证金。</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四、质量保修责任</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1．属于保修范围、内容的项目，承包人应当在接到保修通知之日起7天内派人保修。承包人不在约定期限内派人保修的，发包人可以委托他人修理。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4．质量保修完成后，由发包人组织验收。</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五、保修费用</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保修费用由造成质量缺陷的责任方承担。</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六、双方约定的其他工程质量保修事项：       /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工程质量保修书由发包人、承包人在工程竣工验收前共同签署，作为施工合同附件，其有效期限至保修期满。</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发包人(公章)：         承包人(公章)：          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址：                    地  址： 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法定代表人(签字)：       法定代表人(签字)：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委托代理人(签字)：       委托代理人(签字)：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  话：               电  话：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传  真：                 传  真：  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开户银行：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账  号：                      账  号：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color w:val="auto"/>
          <w:sz w:val="24"/>
          <w:szCs w:val="24"/>
          <w:highlight w:val="none"/>
        </w:rPr>
      </w:pPr>
      <w:r>
        <w:rPr>
          <w:rFonts w:hint="eastAsia" w:ascii="仿宋" w:hAnsi="仿宋" w:eastAsia="仿宋" w:cs="仿宋"/>
          <w:color w:val="auto"/>
          <w:sz w:val="24"/>
          <w:szCs w:val="24"/>
          <w:highlight w:val="none"/>
        </w:rPr>
        <w:t xml:space="preserve">邮政编码：                    邮政编码：  </w:t>
      </w:r>
      <w:r>
        <w:rPr>
          <w:color w:val="auto"/>
          <w:sz w:val="24"/>
          <w:szCs w:val="24"/>
          <w:highlight w:val="none"/>
        </w:rPr>
        <w:t xml:space="preserve"> </w:t>
      </w:r>
    </w:p>
    <w:p>
      <w:pPr>
        <w:spacing w:line="360" w:lineRule="auto"/>
        <w:rPr>
          <w:rFonts w:hint="eastAsia" w:ascii="仿宋" w:hAnsi="仿宋" w:eastAsia="仿宋" w:cs="仿宋"/>
          <w:color w:val="auto"/>
          <w:sz w:val="24"/>
          <w:szCs w:val="24"/>
          <w:highlight w:val="none"/>
        </w:rPr>
      </w:pPr>
      <w:r>
        <w:rPr>
          <w:color w:val="auto"/>
          <w:sz w:val="24"/>
          <w:szCs w:val="24"/>
          <w:highlight w:val="none"/>
        </w:rPr>
        <w:br w:type="page"/>
      </w:r>
      <w:r>
        <w:rPr>
          <w:rFonts w:hint="eastAsia" w:ascii="仿宋" w:hAnsi="仿宋" w:eastAsia="仿宋" w:cs="仿宋"/>
          <w:color w:val="auto"/>
          <w:sz w:val="24"/>
          <w:szCs w:val="24"/>
          <w:highlight w:val="none"/>
        </w:rPr>
        <w:t>附件4：</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主要建设工程文件目录</w:t>
      </w:r>
    </w:p>
    <w:tbl>
      <w:tblPr>
        <w:tblStyle w:val="6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文件名称</w:t>
            </w:r>
          </w:p>
        </w:tc>
        <w:tc>
          <w:tcPr>
            <w:tcW w:w="1276"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套数</w:t>
            </w:r>
          </w:p>
        </w:tc>
        <w:tc>
          <w:tcPr>
            <w:tcW w:w="1450"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费用（元）</w:t>
            </w:r>
          </w:p>
        </w:tc>
        <w:tc>
          <w:tcPr>
            <w:tcW w:w="1243"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p>
        </w:tc>
        <w:tc>
          <w:tcPr>
            <w:tcW w:w="1450" w:type="dxa"/>
            <w:tcBorders>
              <w:top w:val="single" w:color="auto" w:sz="12" w:space="0"/>
              <w:bottom w:val="double" w:color="auto" w:sz="6" w:space="0"/>
            </w:tcBorders>
            <w:noWrap w:val="0"/>
            <w:vAlign w:val="top"/>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移交时间</w:t>
            </w:r>
          </w:p>
        </w:tc>
        <w:tc>
          <w:tcPr>
            <w:tcW w:w="1667" w:type="dxa"/>
            <w:tcBorders>
              <w:top w:val="single" w:color="auto" w:sz="12" w:space="0"/>
              <w:bottom w:val="double" w:color="auto" w:sz="6" w:space="0"/>
            </w:tcBorders>
            <w:noWrap w:val="0"/>
            <w:vAlign w:val="top"/>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276"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450"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243"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450"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667"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rPr>
                <w:rFonts w:hint="eastAsia" w:ascii="仿宋" w:hAnsi="仿宋" w:eastAsia="仿宋" w:cs="仿宋"/>
                <w:color w:val="auto"/>
                <w:sz w:val="24"/>
                <w:szCs w:val="24"/>
                <w:highlight w:val="none"/>
              </w:rPr>
            </w:pPr>
          </w:p>
        </w:tc>
        <w:tc>
          <w:tcPr>
            <w:tcW w:w="1276" w:type="dxa"/>
            <w:tcBorders>
              <w:top w:val="nil"/>
            </w:tcBorders>
            <w:noWrap w:val="0"/>
            <w:vAlign w:val="center"/>
          </w:tcPr>
          <w:p>
            <w:pPr>
              <w:rPr>
                <w:rFonts w:hint="eastAsia" w:ascii="仿宋" w:hAnsi="仿宋" w:eastAsia="仿宋" w:cs="仿宋"/>
                <w:color w:val="auto"/>
                <w:sz w:val="24"/>
                <w:szCs w:val="24"/>
                <w:highlight w:val="none"/>
              </w:rPr>
            </w:pPr>
          </w:p>
        </w:tc>
        <w:tc>
          <w:tcPr>
            <w:tcW w:w="1450" w:type="dxa"/>
            <w:tcBorders>
              <w:top w:val="nil"/>
            </w:tcBorders>
            <w:noWrap w:val="0"/>
            <w:vAlign w:val="center"/>
          </w:tcPr>
          <w:p>
            <w:pPr>
              <w:rPr>
                <w:rFonts w:hint="eastAsia" w:ascii="仿宋" w:hAnsi="仿宋" w:eastAsia="仿宋" w:cs="仿宋"/>
                <w:color w:val="auto"/>
                <w:sz w:val="24"/>
                <w:szCs w:val="24"/>
                <w:highlight w:val="none"/>
              </w:rPr>
            </w:pPr>
          </w:p>
        </w:tc>
        <w:tc>
          <w:tcPr>
            <w:tcW w:w="1243" w:type="dxa"/>
            <w:tcBorders>
              <w:top w:val="nil"/>
            </w:tcBorders>
            <w:noWrap w:val="0"/>
            <w:vAlign w:val="center"/>
          </w:tcPr>
          <w:p>
            <w:pPr>
              <w:rPr>
                <w:rFonts w:hint="eastAsia" w:ascii="仿宋" w:hAnsi="仿宋" w:eastAsia="仿宋" w:cs="仿宋"/>
                <w:color w:val="auto"/>
                <w:sz w:val="24"/>
                <w:szCs w:val="24"/>
                <w:highlight w:val="none"/>
              </w:rPr>
            </w:pPr>
          </w:p>
        </w:tc>
        <w:tc>
          <w:tcPr>
            <w:tcW w:w="1450" w:type="dxa"/>
            <w:tcBorders>
              <w:top w:val="nil"/>
            </w:tcBorders>
            <w:noWrap w:val="0"/>
            <w:vAlign w:val="center"/>
          </w:tcPr>
          <w:p>
            <w:pPr>
              <w:rPr>
                <w:rFonts w:hint="eastAsia" w:ascii="仿宋" w:hAnsi="仿宋" w:eastAsia="仿宋" w:cs="仿宋"/>
                <w:color w:val="auto"/>
                <w:sz w:val="24"/>
                <w:szCs w:val="24"/>
                <w:highlight w:val="none"/>
              </w:rPr>
            </w:pPr>
          </w:p>
        </w:tc>
        <w:tc>
          <w:tcPr>
            <w:tcW w:w="1667" w:type="dxa"/>
            <w:tcBorders>
              <w:top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color w:val="auto"/>
                <w:sz w:val="24"/>
                <w:szCs w:val="24"/>
                <w:highlight w:val="none"/>
              </w:rPr>
            </w:pPr>
          </w:p>
        </w:tc>
        <w:tc>
          <w:tcPr>
            <w:tcW w:w="1276"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243" w:type="dxa"/>
            <w:noWrap w:val="0"/>
            <w:vAlign w:val="top"/>
          </w:tcPr>
          <w:p>
            <w:pPr>
              <w:rPr>
                <w:rFonts w:hint="eastAsia" w:ascii="仿宋" w:hAnsi="仿宋" w:eastAsia="仿宋" w:cs="仿宋"/>
                <w:color w:val="auto"/>
                <w:sz w:val="24"/>
                <w:szCs w:val="24"/>
                <w:highlight w:val="none"/>
              </w:rPr>
            </w:pPr>
          </w:p>
        </w:tc>
        <w:tc>
          <w:tcPr>
            <w:tcW w:w="1450" w:type="dxa"/>
            <w:noWrap w:val="0"/>
            <w:vAlign w:val="top"/>
          </w:tcPr>
          <w:p>
            <w:pPr>
              <w:rPr>
                <w:rFonts w:hint="eastAsia" w:ascii="仿宋" w:hAnsi="仿宋" w:eastAsia="仿宋" w:cs="仿宋"/>
                <w:color w:val="auto"/>
                <w:sz w:val="24"/>
                <w:szCs w:val="24"/>
                <w:highlight w:val="none"/>
              </w:rPr>
            </w:pPr>
          </w:p>
        </w:tc>
        <w:tc>
          <w:tcPr>
            <w:tcW w:w="1667" w:type="dxa"/>
            <w:noWrap w:val="0"/>
            <w:vAlign w:val="top"/>
          </w:tcPr>
          <w:p>
            <w:pPr>
              <w:rPr>
                <w:rFonts w:hint="eastAsia" w:ascii="仿宋" w:hAnsi="仿宋" w:eastAsia="仿宋" w:cs="仿宋"/>
                <w:color w:val="auto"/>
                <w:sz w:val="24"/>
                <w:szCs w:val="24"/>
                <w:highlight w:val="none"/>
              </w:rPr>
            </w:pPr>
          </w:p>
        </w:tc>
      </w:tr>
    </w:tbl>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注：详见双方签收单</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w:t>
      </w:r>
      <w:bookmarkStart w:id="517" w:name="_Toc296347226"/>
      <w:bookmarkStart w:id="518" w:name="_Toc296891267"/>
      <w:bookmarkStart w:id="519" w:name="_Toc296346728"/>
      <w:bookmarkStart w:id="520" w:name="_Toc267261698"/>
      <w:bookmarkStart w:id="521" w:name="_Toc296944566"/>
      <w:bookmarkStart w:id="522" w:name="_Toc296891055"/>
      <w:bookmarkStart w:id="523" w:name="_Toc296503227"/>
      <w:r>
        <w:rPr>
          <w:rFonts w:hint="eastAsia" w:ascii="仿宋" w:hAnsi="仿宋" w:eastAsia="仿宋" w:cs="仿宋"/>
          <w:color w:val="auto"/>
          <w:sz w:val="24"/>
          <w:szCs w:val="24"/>
          <w:highlight w:val="none"/>
        </w:rPr>
        <w:t>件5：</w:t>
      </w:r>
    </w:p>
    <w:bookmarkEnd w:id="517"/>
    <w:bookmarkEnd w:id="518"/>
    <w:bookmarkEnd w:id="519"/>
    <w:bookmarkEnd w:id="520"/>
    <w:bookmarkEnd w:id="521"/>
    <w:bookmarkEnd w:id="522"/>
    <w:bookmarkEnd w:id="523"/>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承包人用于本工程施工的机械设备表</w:t>
      </w:r>
    </w:p>
    <w:tbl>
      <w:tblPr>
        <w:tblStyle w:val="61"/>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机械或设备名称</w:t>
            </w:r>
          </w:p>
        </w:tc>
        <w:tc>
          <w:tcPr>
            <w:tcW w:w="850"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1058"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80"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1020"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制造年份</w:t>
            </w:r>
          </w:p>
        </w:tc>
        <w:tc>
          <w:tcPr>
            <w:tcW w:w="1480"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额定功率(kW)</w:t>
            </w:r>
          </w:p>
        </w:tc>
        <w:tc>
          <w:tcPr>
            <w:tcW w:w="1020"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生产能力</w:t>
            </w:r>
          </w:p>
        </w:tc>
        <w:tc>
          <w:tcPr>
            <w:tcW w:w="921"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418"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850"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058"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880"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020"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480"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1020"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c>
          <w:tcPr>
            <w:tcW w:w="921" w:type="dxa"/>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rPr>
                <w:rFonts w:hint="eastAsia" w:ascii="仿宋" w:hAnsi="仿宋" w:eastAsia="仿宋" w:cs="仿宋"/>
                <w:color w:val="auto"/>
                <w:sz w:val="24"/>
                <w:szCs w:val="24"/>
                <w:highlight w:val="none"/>
              </w:rPr>
            </w:pPr>
          </w:p>
        </w:tc>
        <w:tc>
          <w:tcPr>
            <w:tcW w:w="1418" w:type="dxa"/>
            <w:tcBorders>
              <w:top w:val="nil"/>
            </w:tcBorders>
            <w:noWrap w:val="0"/>
            <w:vAlign w:val="center"/>
          </w:tcPr>
          <w:p>
            <w:pPr>
              <w:rPr>
                <w:rFonts w:hint="eastAsia" w:ascii="仿宋" w:hAnsi="仿宋" w:eastAsia="仿宋" w:cs="仿宋"/>
                <w:color w:val="auto"/>
                <w:sz w:val="24"/>
                <w:szCs w:val="24"/>
                <w:highlight w:val="none"/>
              </w:rPr>
            </w:pPr>
          </w:p>
        </w:tc>
        <w:tc>
          <w:tcPr>
            <w:tcW w:w="850" w:type="dxa"/>
            <w:tcBorders>
              <w:top w:val="nil"/>
            </w:tcBorders>
            <w:noWrap w:val="0"/>
            <w:vAlign w:val="center"/>
          </w:tcPr>
          <w:p>
            <w:pPr>
              <w:rPr>
                <w:rFonts w:hint="eastAsia" w:ascii="仿宋" w:hAnsi="仿宋" w:eastAsia="仿宋" w:cs="仿宋"/>
                <w:color w:val="auto"/>
                <w:sz w:val="24"/>
                <w:szCs w:val="24"/>
                <w:highlight w:val="none"/>
              </w:rPr>
            </w:pPr>
          </w:p>
        </w:tc>
        <w:tc>
          <w:tcPr>
            <w:tcW w:w="1058" w:type="dxa"/>
            <w:tcBorders>
              <w:top w:val="nil"/>
            </w:tcBorders>
            <w:noWrap w:val="0"/>
            <w:vAlign w:val="center"/>
          </w:tcPr>
          <w:p>
            <w:pPr>
              <w:rPr>
                <w:rFonts w:hint="eastAsia" w:ascii="仿宋" w:hAnsi="仿宋" w:eastAsia="仿宋" w:cs="仿宋"/>
                <w:color w:val="auto"/>
                <w:sz w:val="24"/>
                <w:szCs w:val="24"/>
                <w:highlight w:val="none"/>
              </w:rPr>
            </w:pPr>
          </w:p>
        </w:tc>
        <w:tc>
          <w:tcPr>
            <w:tcW w:w="880" w:type="dxa"/>
            <w:tcBorders>
              <w:top w:val="nil"/>
            </w:tcBorders>
            <w:noWrap w:val="0"/>
            <w:vAlign w:val="center"/>
          </w:tcPr>
          <w:p>
            <w:pPr>
              <w:rPr>
                <w:rFonts w:hint="eastAsia" w:ascii="仿宋" w:hAnsi="仿宋" w:eastAsia="仿宋" w:cs="仿宋"/>
                <w:color w:val="auto"/>
                <w:sz w:val="24"/>
                <w:szCs w:val="24"/>
                <w:highlight w:val="none"/>
              </w:rPr>
            </w:pPr>
          </w:p>
        </w:tc>
        <w:tc>
          <w:tcPr>
            <w:tcW w:w="1020" w:type="dxa"/>
            <w:tcBorders>
              <w:top w:val="nil"/>
            </w:tcBorders>
            <w:noWrap w:val="0"/>
            <w:vAlign w:val="center"/>
          </w:tcPr>
          <w:p>
            <w:pPr>
              <w:rPr>
                <w:rFonts w:hint="eastAsia" w:ascii="仿宋" w:hAnsi="仿宋" w:eastAsia="仿宋" w:cs="仿宋"/>
                <w:color w:val="auto"/>
                <w:sz w:val="24"/>
                <w:szCs w:val="24"/>
                <w:highlight w:val="none"/>
              </w:rPr>
            </w:pPr>
          </w:p>
        </w:tc>
        <w:tc>
          <w:tcPr>
            <w:tcW w:w="1480" w:type="dxa"/>
            <w:tcBorders>
              <w:top w:val="nil"/>
            </w:tcBorders>
            <w:noWrap w:val="0"/>
            <w:vAlign w:val="center"/>
          </w:tcPr>
          <w:p>
            <w:pPr>
              <w:rPr>
                <w:rFonts w:hint="eastAsia" w:ascii="仿宋" w:hAnsi="仿宋" w:eastAsia="仿宋" w:cs="仿宋"/>
                <w:color w:val="auto"/>
                <w:sz w:val="24"/>
                <w:szCs w:val="24"/>
                <w:highlight w:val="none"/>
              </w:rPr>
            </w:pPr>
          </w:p>
        </w:tc>
        <w:tc>
          <w:tcPr>
            <w:tcW w:w="1020" w:type="dxa"/>
            <w:tcBorders>
              <w:top w:val="nil"/>
            </w:tcBorders>
            <w:noWrap w:val="0"/>
            <w:vAlign w:val="center"/>
          </w:tcPr>
          <w:p>
            <w:pPr>
              <w:rPr>
                <w:rFonts w:hint="eastAsia" w:ascii="仿宋" w:hAnsi="仿宋" w:eastAsia="仿宋" w:cs="仿宋"/>
                <w:color w:val="auto"/>
                <w:sz w:val="24"/>
                <w:szCs w:val="24"/>
                <w:highlight w:val="none"/>
              </w:rPr>
            </w:pPr>
          </w:p>
        </w:tc>
        <w:tc>
          <w:tcPr>
            <w:tcW w:w="921" w:type="dxa"/>
            <w:tcBorders>
              <w:top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850" w:type="dxa"/>
            <w:noWrap w:val="0"/>
            <w:vAlign w:val="center"/>
          </w:tcPr>
          <w:p>
            <w:pPr>
              <w:rPr>
                <w:rFonts w:hint="eastAsia" w:ascii="仿宋" w:hAnsi="仿宋" w:eastAsia="仿宋" w:cs="仿宋"/>
                <w:color w:val="auto"/>
                <w:sz w:val="24"/>
                <w:szCs w:val="24"/>
                <w:highlight w:val="none"/>
              </w:rPr>
            </w:pPr>
          </w:p>
        </w:tc>
        <w:tc>
          <w:tcPr>
            <w:tcW w:w="1058" w:type="dxa"/>
            <w:noWrap w:val="0"/>
            <w:vAlign w:val="center"/>
          </w:tcPr>
          <w:p>
            <w:pPr>
              <w:rPr>
                <w:rFonts w:hint="eastAsia" w:ascii="仿宋" w:hAnsi="仿宋" w:eastAsia="仿宋" w:cs="仿宋"/>
                <w:color w:val="auto"/>
                <w:sz w:val="24"/>
                <w:szCs w:val="24"/>
                <w:highlight w:val="none"/>
              </w:rPr>
            </w:pPr>
          </w:p>
        </w:tc>
        <w:tc>
          <w:tcPr>
            <w:tcW w:w="880" w:type="dxa"/>
            <w:noWrap w:val="0"/>
            <w:vAlign w:val="center"/>
          </w:tcPr>
          <w:p>
            <w:pPr>
              <w:rPr>
                <w:rFonts w:hint="eastAsia" w:ascii="仿宋" w:hAnsi="仿宋" w:eastAsia="仿宋" w:cs="仿宋"/>
                <w:color w:val="auto"/>
                <w:sz w:val="24"/>
                <w:szCs w:val="24"/>
                <w:highlight w:val="none"/>
              </w:rPr>
            </w:pPr>
          </w:p>
        </w:tc>
        <w:tc>
          <w:tcPr>
            <w:tcW w:w="1020" w:type="dxa"/>
            <w:noWrap w:val="0"/>
            <w:vAlign w:val="center"/>
          </w:tcPr>
          <w:p>
            <w:pPr>
              <w:rPr>
                <w:rFonts w:hint="eastAsia" w:ascii="仿宋" w:hAnsi="仿宋" w:eastAsia="仿宋" w:cs="仿宋"/>
                <w:color w:val="auto"/>
                <w:sz w:val="24"/>
                <w:szCs w:val="24"/>
                <w:highlight w:val="none"/>
              </w:rPr>
            </w:pPr>
          </w:p>
        </w:tc>
        <w:tc>
          <w:tcPr>
            <w:tcW w:w="1480" w:type="dxa"/>
            <w:noWrap w:val="0"/>
            <w:vAlign w:val="center"/>
          </w:tcPr>
          <w:p>
            <w:pPr>
              <w:rPr>
                <w:rFonts w:hint="eastAsia" w:ascii="仿宋" w:hAnsi="仿宋" w:eastAsia="仿宋" w:cs="仿宋"/>
                <w:color w:val="auto"/>
                <w:sz w:val="24"/>
                <w:szCs w:val="24"/>
                <w:highlight w:val="none"/>
              </w:rPr>
            </w:pPr>
          </w:p>
        </w:tc>
        <w:tc>
          <w:tcPr>
            <w:tcW w:w="1020" w:type="dxa"/>
            <w:noWrap w:val="0"/>
            <w:vAlign w:val="center"/>
          </w:tcPr>
          <w:p>
            <w:pPr>
              <w:rPr>
                <w:rFonts w:hint="eastAsia" w:ascii="仿宋" w:hAnsi="仿宋" w:eastAsia="仿宋" w:cs="仿宋"/>
                <w:color w:val="auto"/>
                <w:sz w:val="24"/>
                <w:szCs w:val="24"/>
                <w:highlight w:val="none"/>
              </w:rPr>
            </w:pPr>
          </w:p>
        </w:tc>
        <w:tc>
          <w:tcPr>
            <w:tcW w:w="921"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850" w:type="dxa"/>
            <w:noWrap w:val="0"/>
            <w:vAlign w:val="center"/>
          </w:tcPr>
          <w:p>
            <w:pPr>
              <w:rPr>
                <w:rFonts w:hint="eastAsia" w:ascii="仿宋" w:hAnsi="仿宋" w:eastAsia="仿宋" w:cs="仿宋"/>
                <w:color w:val="auto"/>
                <w:sz w:val="24"/>
                <w:szCs w:val="24"/>
                <w:highlight w:val="none"/>
              </w:rPr>
            </w:pPr>
          </w:p>
        </w:tc>
        <w:tc>
          <w:tcPr>
            <w:tcW w:w="1058" w:type="dxa"/>
            <w:noWrap w:val="0"/>
            <w:vAlign w:val="center"/>
          </w:tcPr>
          <w:p>
            <w:pPr>
              <w:rPr>
                <w:rFonts w:hint="eastAsia" w:ascii="仿宋" w:hAnsi="仿宋" w:eastAsia="仿宋" w:cs="仿宋"/>
                <w:color w:val="auto"/>
                <w:sz w:val="24"/>
                <w:szCs w:val="24"/>
                <w:highlight w:val="none"/>
              </w:rPr>
            </w:pPr>
          </w:p>
        </w:tc>
        <w:tc>
          <w:tcPr>
            <w:tcW w:w="880" w:type="dxa"/>
            <w:noWrap w:val="0"/>
            <w:vAlign w:val="center"/>
          </w:tcPr>
          <w:p>
            <w:pPr>
              <w:rPr>
                <w:rFonts w:hint="eastAsia" w:ascii="仿宋" w:hAnsi="仿宋" w:eastAsia="仿宋" w:cs="仿宋"/>
                <w:color w:val="auto"/>
                <w:sz w:val="24"/>
                <w:szCs w:val="24"/>
                <w:highlight w:val="none"/>
              </w:rPr>
            </w:pPr>
          </w:p>
        </w:tc>
        <w:tc>
          <w:tcPr>
            <w:tcW w:w="1020" w:type="dxa"/>
            <w:noWrap w:val="0"/>
            <w:vAlign w:val="center"/>
          </w:tcPr>
          <w:p>
            <w:pPr>
              <w:rPr>
                <w:rFonts w:hint="eastAsia" w:ascii="仿宋" w:hAnsi="仿宋" w:eastAsia="仿宋" w:cs="仿宋"/>
                <w:color w:val="auto"/>
                <w:sz w:val="24"/>
                <w:szCs w:val="24"/>
                <w:highlight w:val="none"/>
              </w:rPr>
            </w:pPr>
          </w:p>
        </w:tc>
        <w:tc>
          <w:tcPr>
            <w:tcW w:w="1480" w:type="dxa"/>
            <w:noWrap w:val="0"/>
            <w:vAlign w:val="center"/>
          </w:tcPr>
          <w:p>
            <w:pPr>
              <w:rPr>
                <w:rFonts w:hint="eastAsia" w:ascii="仿宋" w:hAnsi="仿宋" w:eastAsia="仿宋" w:cs="仿宋"/>
                <w:color w:val="auto"/>
                <w:sz w:val="24"/>
                <w:szCs w:val="24"/>
                <w:highlight w:val="none"/>
              </w:rPr>
            </w:pPr>
          </w:p>
        </w:tc>
        <w:tc>
          <w:tcPr>
            <w:tcW w:w="1020" w:type="dxa"/>
            <w:noWrap w:val="0"/>
            <w:vAlign w:val="center"/>
          </w:tcPr>
          <w:p>
            <w:pPr>
              <w:rPr>
                <w:rFonts w:hint="eastAsia" w:ascii="仿宋" w:hAnsi="仿宋" w:eastAsia="仿宋" w:cs="仿宋"/>
                <w:color w:val="auto"/>
                <w:sz w:val="24"/>
                <w:szCs w:val="24"/>
                <w:highlight w:val="none"/>
              </w:rPr>
            </w:pPr>
          </w:p>
        </w:tc>
        <w:tc>
          <w:tcPr>
            <w:tcW w:w="921"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bl>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524" w:name="_Toc267261699"/>
      <w:bookmarkStart w:id="525" w:name="_Toc296891056"/>
      <w:bookmarkStart w:id="526" w:name="_Toc296503228"/>
      <w:bookmarkStart w:id="527" w:name="_Toc296891268"/>
      <w:bookmarkStart w:id="528" w:name="_Toc296347227"/>
      <w:bookmarkStart w:id="529" w:name="_Toc296346729"/>
      <w:bookmarkStart w:id="530" w:name="_Toc296944567"/>
      <w:r>
        <w:rPr>
          <w:rFonts w:hint="eastAsia" w:ascii="仿宋" w:hAnsi="仿宋" w:eastAsia="仿宋" w:cs="仿宋"/>
          <w:color w:val="auto"/>
          <w:sz w:val="24"/>
          <w:szCs w:val="24"/>
          <w:highlight w:val="none"/>
        </w:rPr>
        <w:t>件6：</w:t>
      </w:r>
    </w:p>
    <w:bookmarkEnd w:id="524"/>
    <w:bookmarkEnd w:id="525"/>
    <w:bookmarkEnd w:id="526"/>
    <w:bookmarkEnd w:id="527"/>
    <w:bookmarkEnd w:id="528"/>
    <w:bookmarkEnd w:id="529"/>
    <w:bookmarkEnd w:id="530"/>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承包人主要施工管理人员表</w:t>
      </w:r>
    </w:p>
    <w:tbl>
      <w:tblPr>
        <w:tblStyle w:val="6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1418"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34"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134"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4252"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项目主管</w:t>
            </w:r>
          </w:p>
        </w:tc>
        <w:tc>
          <w:tcPr>
            <w:tcW w:w="1418" w:type="dxa"/>
            <w:tcBorders>
              <w:top w:val="nil"/>
            </w:tcBorders>
            <w:noWrap w:val="0"/>
            <w:vAlign w:val="center"/>
          </w:tcPr>
          <w:p>
            <w:pPr>
              <w:rPr>
                <w:rFonts w:hint="eastAsia" w:ascii="仿宋" w:hAnsi="仿宋" w:eastAsia="仿宋" w:cs="仿宋"/>
                <w:color w:val="auto"/>
                <w:sz w:val="24"/>
                <w:szCs w:val="24"/>
                <w:highlight w:val="none"/>
              </w:rPr>
            </w:pPr>
          </w:p>
        </w:tc>
        <w:tc>
          <w:tcPr>
            <w:tcW w:w="1134" w:type="dxa"/>
            <w:tcBorders>
              <w:top w:val="nil"/>
            </w:tcBorders>
            <w:noWrap w:val="0"/>
            <w:vAlign w:val="center"/>
          </w:tcPr>
          <w:p>
            <w:pPr>
              <w:rPr>
                <w:rFonts w:hint="eastAsia" w:ascii="仿宋" w:hAnsi="仿宋" w:eastAsia="仿宋" w:cs="仿宋"/>
                <w:color w:val="auto"/>
                <w:sz w:val="24"/>
                <w:szCs w:val="24"/>
                <w:highlight w:val="none"/>
              </w:rPr>
            </w:pPr>
          </w:p>
        </w:tc>
        <w:tc>
          <w:tcPr>
            <w:tcW w:w="1134" w:type="dxa"/>
            <w:tcBorders>
              <w:top w:val="nil"/>
            </w:tcBorders>
            <w:noWrap w:val="0"/>
            <w:vAlign w:val="center"/>
          </w:tcPr>
          <w:p>
            <w:pPr>
              <w:rPr>
                <w:rFonts w:hint="eastAsia" w:ascii="仿宋" w:hAnsi="仿宋" w:eastAsia="仿宋" w:cs="仿宋"/>
                <w:color w:val="auto"/>
                <w:sz w:val="24"/>
                <w:szCs w:val="24"/>
                <w:highlight w:val="none"/>
              </w:rPr>
            </w:pPr>
          </w:p>
        </w:tc>
        <w:tc>
          <w:tcPr>
            <w:tcW w:w="4252" w:type="dxa"/>
            <w:tcBorders>
              <w:top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项目副经理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造价管理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rPr>
                <w:rFonts w:hint="eastAsia" w:ascii="仿宋" w:hAnsi="仿宋" w:eastAsia="仿宋" w:cs="仿宋"/>
                <w:color w:val="auto"/>
                <w:sz w:val="24"/>
                <w:szCs w:val="24"/>
                <w:highlight w:val="none"/>
              </w:rPr>
            </w:pPr>
          </w:p>
        </w:tc>
        <w:tc>
          <w:tcPr>
            <w:tcW w:w="1418" w:type="dxa"/>
            <w:tcBorders>
              <w:bottom w:val="nil"/>
            </w:tcBorders>
            <w:noWrap w:val="0"/>
            <w:vAlign w:val="center"/>
          </w:tcPr>
          <w:p>
            <w:pPr>
              <w:rPr>
                <w:rFonts w:hint="eastAsia" w:ascii="仿宋" w:hAnsi="仿宋" w:eastAsia="仿宋" w:cs="仿宋"/>
                <w:color w:val="auto"/>
                <w:sz w:val="24"/>
                <w:szCs w:val="24"/>
                <w:highlight w:val="none"/>
              </w:rPr>
            </w:pPr>
          </w:p>
        </w:tc>
        <w:tc>
          <w:tcPr>
            <w:tcW w:w="1134" w:type="dxa"/>
            <w:tcBorders>
              <w:bottom w:val="nil"/>
            </w:tcBorders>
            <w:noWrap w:val="0"/>
            <w:vAlign w:val="center"/>
          </w:tcPr>
          <w:p>
            <w:pPr>
              <w:rPr>
                <w:rFonts w:hint="eastAsia" w:ascii="仿宋" w:hAnsi="仿宋" w:eastAsia="仿宋" w:cs="仿宋"/>
                <w:color w:val="auto"/>
                <w:sz w:val="24"/>
                <w:szCs w:val="24"/>
                <w:highlight w:val="none"/>
              </w:rPr>
            </w:pPr>
          </w:p>
        </w:tc>
        <w:tc>
          <w:tcPr>
            <w:tcW w:w="1134" w:type="dxa"/>
            <w:tcBorders>
              <w:bottom w:val="nil"/>
            </w:tcBorders>
            <w:noWrap w:val="0"/>
            <w:vAlign w:val="center"/>
          </w:tcPr>
          <w:p>
            <w:pPr>
              <w:rPr>
                <w:rFonts w:hint="eastAsia" w:ascii="仿宋" w:hAnsi="仿宋" w:eastAsia="仿宋" w:cs="仿宋"/>
                <w:color w:val="auto"/>
                <w:sz w:val="24"/>
                <w:szCs w:val="24"/>
                <w:highlight w:val="none"/>
              </w:rPr>
            </w:pPr>
          </w:p>
        </w:tc>
        <w:tc>
          <w:tcPr>
            <w:tcW w:w="4252" w:type="dxa"/>
            <w:tcBorders>
              <w:bottom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rPr>
                <w:rFonts w:hint="eastAsia" w:ascii="仿宋" w:hAnsi="仿宋" w:eastAsia="仿宋" w:cs="仿宋"/>
                <w:color w:val="auto"/>
                <w:sz w:val="24"/>
                <w:szCs w:val="24"/>
                <w:highlight w:val="none"/>
              </w:rPr>
            </w:pPr>
          </w:p>
        </w:tc>
        <w:tc>
          <w:tcPr>
            <w:tcW w:w="1418" w:type="dxa"/>
            <w:tcBorders>
              <w:bottom w:val="single" w:color="auto" w:sz="12" w:space="0"/>
            </w:tcBorders>
            <w:noWrap w:val="0"/>
            <w:vAlign w:val="center"/>
          </w:tcPr>
          <w:p>
            <w:pPr>
              <w:rPr>
                <w:rFonts w:hint="eastAsia" w:ascii="仿宋" w:hAnsi="仿宋" w:eastAsia="仿宋" w:cs="仿宋"/>
                <w:color w:val="auto"/>
                <w:sz w:val="24"/>
                <w:szCs w:val="24"/>
                <w:highlight w:val="none"/>
              </w:rPr>
            </w:pPr>
          </w:p>
        </w:tc>
        <w:tc>
          <w:tcPr>
            <w:tcW w:w="1134" w:type="dxa"/>
            <w:tcBorders>
              <w:bottom w:val="single" w:color="auto" w:sz="12" w:space="0"/>
            </w:tcBorders>
            <w:noWrap w:val="0"/>
            <w:vAlign w:val="center"/>
          </w:tcPr>
          <w:p>
            <w:pPr>
              <w:rPr>
                <w:rFonts w:hint="eastAsia" w:ascii="仿宋" w:hAnsi="仿宋" w:eastAsia="仿宋" w:cs="仿宋"/>
                <w:color w:val="auto"/>
                <w:sz w:val="24"/>
                <w:szCs w:val="24"/>
                <w:highlight w:val="none"/>
              </w:rPr>
            </w:pPr>
          </w:p>
        </w:tc>
        <w:tc>
          <w:tcPr>
            <w:tcW w:w="1134" w:type="dxa"/>
            <w:tcBorders>
              <w:bottom w:val="single" w:color="auto" w:sz="12" w:space="0"/>
            </w:tcBorders>
            <w:noWrap w:val="0"/>
            <w:vAlign w:val="center"/>
          </w:tcPr>
          <w:p>
            <w:pPr>
              <w:rPr>
                <w:rFonts w:hint="eastAsia" w:ascii="仿宋" w:hAnsi="仿宋" w:eastAsia="仿宋" w:cs="仿宋"/>
                <w:color w:val="auto"/>
                <w:sz w:val="24"/>
                <w:szCs w:val="24"/>
                <w:highlight w:val="none"/>
              </w:rPr>
            </w:pPr>
          </w:p>
        </w:tc>
        <w:tc>
          <w:tcPr>
            <w:tcW w:w="4252" w:type="dxa"/>
            <w:tcBorders>
              <w:bottom w:val="single" w:color="auto" w:sz="12" w:space="0"/>
            </w:tcBorders>
            <w:noWrap w:val="0"/>
            <w:vAlign w:val="center"/>
          </w:tcPr>
          <w:p>
            <w:pPr>
              <w:rPr>
                <w:rFonts w:hint="eastAsia" w:ascii="仿宋" w:hAnsi="仿宋" w:eastAsia="仿宋" w:cs="仿宋"/>
                <w:color w:val="auto"/>
                <w:sz w:val="24"/>
                <w:szCs w:val="24"/>
                <w:highlight w:val="none"/>
              </w:rPr>
            </w:pPr>
          </w:p>
        </w:tc>
      </w:tr>
    </w:tbl>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w:t>
      </w:r>
      <w:bookmarkStart w:id="531" w:name="_Toc296944568"/>
      <w:bookmarkStart w:id="532" w:name="_Toc296891057"/>
      <w:bookmarkStart w:id="533" w:name="_Toc296891269"/>
      <w:bookmarkStart w:id="534" w:name="_Toc296346730"/>
      <w:bookmarkStart w:id="535" w:name="_Toc296503229"/>
      <w:bookmarkStart w:id="536" w:name="_Toc296347228"/>
      <w:r>
        <w:rPr>
          <w:rFonts w:hint="eastAsia" w:ascii="仿宋" w:hAnsi="仿宋" w:eastAsia="仿宋" w:cs="仿宋"/>
          <w:color w:val="auto"/>
          <w:sz w:val="24"/>
          <w:szCs w:val="24"/>
          <w:highlight w:val="none"/>
        </w:rPr>
        <w:t>件7：</w:t>
      </w:r>
    </w:p>
    <w:bookmarkEnd w:id="531"/>
    <w:bookmarkEnd w:id="532"/>
    <w:bookmarkEnd w:id="533"/>
    <w:bookmarkEnd w:id="534"/>
    <w:bookmarkEnd w:id="535"/>
    <w:bookmarkEnd w:id="536"/>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分包人主要施工管理人员表</w:t>
      </w:r>
    </w:p>
    <w:tbl>
      <w:tblPr>
        <w:tblStyle w:val="6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1418"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34"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134"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4252" w:type="dxa"/>
            <w:tcBorders>
              <w:top w:val="single" w:color="auto" w:sz="12" w:space="0"/>
              <w:bottom w:val="doub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项目主管</w:t>
            </w:r>
          </w:p>
        </w:tc>
        <w:tc>
          <w:tcPr>
            <w:tcW w:w="1418" w:type="dxa"/>
            <w:tcBorders>
              <w:top w:val="nil"/>
            </w:tcBorders>
            <w:noWrap w:val="0"/>
            <w:vAlign w:val="center"/>
          </w:tcPr>
          <w:p>
            <w:pPr>
              <w:rPr>
                <w:rFonts w:hint="eastAsia" w:ascii="仿宋" w:hAnsi="仿宋" w:eastAsia="仿宋" w:cs="仿宋"/>
                <w:color w:val="auto"/>
                <w:sz w:val="24"/>
                <w:szCs w:val="24"/>
                <w:highlight w:val="none"/>
              </w:rPr>
            </w:pPr>
          </w:p>
        </w:tc>
        <w:tc>
          <w:tcPr>
            <w:tcW w:w="1134" w:type="dxa"/>
            <w:tcBorders>
              <w:top w:val="nil"/>
            </w:tcBorders>
            <w:noWrap w:val="0"/>
            <w:vAlign w:val="center"/>
          </w:tcPr>
          <w:p>
            <w:pPr>
              <w:rPr>
                <w:rFonts w:hint="eastAsia" w:ascii="仿宋" w:hAnsi="仿宋" w:eastAsia="仿宋" w:cs="仿宋"/>
                <w:color w:val="auto"/>
                <w:sz w:val="24"/>
                <w:szCs w:val="24"/>
                <w:highlight w:val="none"/>
              </w:rPr>
            </w:pPr>
          </w:p>
        </w:tc>
        <w:tc>
          <w:tcPr>
            <w:tcW w:w="1134" w:type="dxa"/>
            <w:tcBorders>
              <w:top w:val="nil"/>
            </w:tcBorders>
            <w:noWrap w:val="0"/>
            <w:vAlign w:val="center"/>
          </w:tcPr>
          <w:p>
            <w:pPr>
              <w:rPr>
                <w:rFonts w:hint="eastAsia" w:ascii="仿宋" w:hAnsi="仿宋" w:eastAsia="仿宋" w:cs="仿宋"/>
                <w:color w:val="auto"/>
                <w:sz w:val="24"/>
                <w:szCs w:val="24"/>
                <w:highlight w:val="none"/>
              </w:rPr>
            </w:pPr>
          </w:p>
        </w:tc>
        <w:tc>
          <w:tcPr>
            <w:tcW w:w="4252" w:type="dxa"/>
            <w:tcBorders>
              <w:top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项目副经理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造价管理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安全管理</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rPr>
                <w:rFonts w:hint="eastAsia" w:ascii="仿宋" w:hAnsi="仿宋" w:eastAsia="仿宋" w:cs="仿宋"/>
                <w:color w:val="auto"/>
                <w:sz w:val="24"/>
                <w:szCs w:val="24"/>
                <w:highlight w:val="none"/>
              </w:rPr>
            </w:pPr>
          </w:p>
        </w:tc>
        <w:tc>
          <w:tcPr>
            <w:tcW w:w="1418" w:type="dxa"/>
            <w:tcBorders>
              <w:bottom w:val="nil"/>
            </w:tcBorders>
            <w:noWrap w:val="0"/>
            <w:vAlign w:val="center"/>
          </w:tcPr>
          <w:p>
            <w:pPr>
              <w:rPr>
                <w:rFonts w:hint="eastAsia" w:ascii="仿宋" w:hAnsi="仿宋" w:eastAsia="仿宋" w:cs="仿宋"/>
                <w:color w:val="auto"/>
                <w:sz w:val="24"/>
                <w:szCs w:val="24"/>
                <w:highlight w:val="none"/>
              </w:rPr>
            </w:pPr>
          </w:p>
        </w:tc>
        <w:tc>
          <w:tcPr>
            <w:tcW w:w="1134" w:type="dxa"/>
            <w:tcBorders>
              <w:bottom w:val="nil"/>
            </w:tcBorders>
            <w:noWrap w:val="0"/>
            <w:vAlign w:val="center"/>
          </w:tcPr>
          <w:p>
            <w:pPr>
              <w:rPr>
                <w:rFonts w:hint="eastAsia" w:ascii="仿宋" w:hAnsi="仿宋" w:eastAsia="仿宋" w:cs="仿宋"/>
                <w:color w:val="auto"/>
                <w:sz w:val="24"/>
                <w:szCs w:val="24"/>
                <w:highlight w:val="none"/>
              </w:rPr>
            </w:pPr>
          </w:p>
        </w:tc>
        <w:tc>
          <w:tcPr>
            <w:tcW w:w="1134" w:type="dxa"/>
            <w:tcBorders>
              <w:bottom w:val="nil"/>
            </w:tcBorders>
            <w:noWrap w:val="0"/>
            <w:vAlign w:val="center"/>
          </w:tcPr>
          <w:p>
            <w:pPr>
              <w:rPr>
                <w:rFonts w:hint="eastAsia" w:ascii="仿宋" w:hAnsi="仿宋" w:eastAsia="仿宋" w:cs="仿宋"/>
                <w:color w:val="auto"/>
                <w:sz w:val="24"/>
                <w:szCs w:val="24"/>
                <w:highlight w:val="none"/>
              </w:rPr>
            </w:pPr>
          </w:p>
        </w:tc>
        <w:tc>
          <w:tcPr>
            <w:tcW w:w="4252" w:type="dxa"/>
            <w:tcBorders>
              <w:bottom w:val="nil"/>
            </w:tcBorders>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rPr>
                <w:rFonts w:hint="eastAsia" w:ascii="仿宋" w:hAnsi="仿宋" w:eastAsia="仿宋" w:cs="仿宋"/>
                <w:color w:val="auto"/>
                <w:sz w:val="24"/>
                <w:szCs w:val="24"/>
                <w:highlight w:val="none"/>
              </w:rPr>
            </w:pPr>
          </w:p>
        </w:tc>
        <w:tc>
          <w:tcPr>
            <w:tcW w:w="1418"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1134" w:type="dxa"/>
            <w:noWrap w:val="0"/>
            <w:vAlign w:val="center"/>
          </w:tcPr>
          <w:p>
            <w:pPr>
              <w:rPr>
                <w:rFonts w:hint="eastAsia" w:ascii="仿宋" w:hAnsi="仿宋" w:eastAsia="仿宋" w:cs="仿宋"/>
                <w:color w:val="auto"/>
                <w:sz w:val="24"/>
                <w:szCs w:val="24"/>
                <w:highlight w:val="none"/>
              </w:rPr>
            </w:pPr>
          </w:p>
        </w:tc>
        <w:tc>
          <w:tcPr>
            <w:tcW w:w="4252" w:type="dxa"/>
            <w:noWrap w:val="0"/>
            <w:vAlign w:val="center"/>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rPr>
                <w:rFonts w:hint="eastAsia" w:ascii="仿宋" w:hAnsi="仿宋" w:eastAsia="仿宋" w:cs="仿宋"/>
                <w:color w:val="auto"/>
                <w:sz w:val="24"/>
                <w:szCs w:val="24"/>
                <w:highlight w:val="none"/>
              </w:rPr>
            </w:pPr>
          </w:p>
        </w:tc>
        <w:tc>
          <w:tcPr>
            <w:tcW w:w="1418" w:type="dxa"/>
            <w:tcBorders>
              <w:bottom w:val="single" w:color="auto" w:sz="12" w:space="0"/>
            </w:tcBorders>
            <w:noWrap w:val="0"/>
            <w:vAlign w:val="center"/>
          </w:tcPr>
          <w:p>
            <w:pPr>
              <w:rPr>
                <w:rFonts w:hint="eastAsia" w:ascii="仿宋" w:hAnsi="仿宋" w:eastAsia="仿宋" w:cs="仿宋"/>
                <w:color w:val="auto"/>
                <w:sz w:val="24"/>
                <w:szCs w:val="24"/>
                <w:highlight w:val="none"/>
              </w:rPr>
            </w:pPr>
          </w:p>
        </w:tc>
        <w:tc>
          <w:tcPr>
            <w:tcW w:w="1134" w:type="dxa"/>
            <w:tcBorders>
              <w:bottom w:val="single" w:color="auto" w:sz="12" w:space="0"/>
            </w:tcBorders>
            <w:noWrap w:val="0"/>
            <w:vAlign w:val="center"/>
          </w:tcPr>
          <w:p>
            <w:pPr>
              <w:rPr>
                <w:rFonts w:hint="eastAsia" w:ascii="仿宋" w:hAnsi="仿宋" w:eastAsia="仿宋" w:cs="仿宋"/>
                <w:color w:val="auto"/>
                <w:sz w:val="24"/>
                <w:szCs w:val="24"/>
                <w:highlight w:val="none"/>
              </w:rPr>
            </w:pPr>
          </w:p>
        </w:tc>
        <w:tc>
          <w:tcPr>
            <w:tcW w:w="1134" w:type="dxa"/>
            <w:tcBorders>
              <w:bottom w:val="single" w:color="auto" w:sz="12" w:space="0"/>
            </w:tcBorders>
            <w:noWrap w:val="0"/>
            <w:vAlign w:val="center"/>
          </w:tcPr>
          <w:p>
            <w:pPr>
              <w:rPr>
                <w:rFonts w:hint="eastAsia" w:ascii="仿宋" w:hAnsi="仿宋" w:eastAsia="仿宋" w:cs="仿宋"/>
                <w:color w:val="auto"/>
                <w:sz w:val="24"/>
                <w:szCs w:val="24"/>
                <w:highlight w:val="none"/>
              </w:rPr>
            </w:pPr>
          </w:p>
        </w:tc>
        <w:tc>
          <w:tcPr>
            <w:tcW w:w="4252" w:type="dxa"/>
            <w:tcBorders>
              <w:bottom w:val="single" w:color="auto" w:sz="12" w:space="0"/>
            </w:tcBorders>
            <w:noWrap w:val="0"/>
            <w:vAlign w:val="center"/>
          </w:tcPr>
          <w:p>
            <w:pPr>
              <w:rPr>
                <w:rFonts w:hint="eastAsia" w:ascii="仿宋" w:hAnsi="仿宋" w:eastAsia="仿宋" w:cs="仿宋"/>
                <w:color w:val="auto"/>
                <w:sz w:val="24"/>
                <w:szCs w:val="24"/>
                <w:highlight w:val="none"/>
              </w:rPr>
            </w:pPr>
          </w:p>
        </w:tc>
      </w:tr>
    </w:tbl>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附件8</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11-1：材料暂估价表</w:t>
      </w:r>
    </w:p>
    <w:p>
      <w:pPr>
        <w:rPr>
          <w:rFonts w:hint="eastAsia" w:ascii="仿宋" w:hAnsi="仿宋" w:eastAsia="仿宋" w:cs="仿宋"/>
          <w:color w:val="auto"/>
          <w:sz w:val="24"/>
          <w:szCs w:val="24"/>
          <w:highlight w:val="none"/>
        </w:rPr>
      </w:pPr>
    </w:p>
    <w:tbl>
      <w:tblPr>
        <w:tblStyle w:val="61"/>
        <w:tblW w:w="0" w:type="auto"/>
        <w:tblInd w:w="70" w:type="dxa"/>
        <w:tblLayout w:type="fixed"/>
        <w:tblCellMar>
          <w:top w:w="0" w:type="dxa"/>
          <w:left w:w="0" w:type="dxa"/>
          <w:bottom w:w="0" w:type="dxa"/>
          <w:right w:w="0" w:type="dxa"/>
        </w:tblCellMar>
      </w:tblPr>
      <w:tblGrid>
        <w:gridCol w:w="1040"/>
        <w:gridCol w:w="2020"/>
        <w:gridCol w:w="860"/>
        <w:gridCol w:w="820"/>
        <w:gridCol w:w="1420"/>
        <w:gridCol w:w="1480"/>
        <w:gridCol w:w="860"/>
      </w:tblGrid>
      <w:tr>
        <w:tblPrEx>
          <w:tblCellMar>
            <w:top w:w="0" w:type="dxa"/>
            <w:left w:w="0" w:type="dxa"/>
            <w:bottom w:w="0" w:type="dxa"/>
            <w:right w:w="0" w:type="dxa"/>
          </w:tblCellMar>
        </w:tblPrEx>
        <w:trPr>
          <w:trHeight w:val="371" w:hRule="atLeast"/>
        </w:trPr>
        <w:tc>
          <w:tcPr>
            <w:tcW w:w="1040" w:type="dxa"/>
            <w:tcBorders>
              <w:top w:val="single" w:color="auto" w:sz="8" w:space="0"/>
              <w:left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02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86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82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42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48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c>
          <w:tcPr>
            <w:tcW w:w="86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CellMar>
            <w:top w:w="0" w:type="dxa"/>
            <w:left w:w="0" w:type="dxa"/>
            <w:bottom w:w="0" w:type="dxa"/>
            <w:right w:w="0" w:type="dxa"/>
          </w:tblCellMar>
        </w:tblPrEx>
        <w:trPr>
          <w:trHeight w:val="128"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20" w:hRule="atLeast"/>
        </w:trPr>
        <w:tc>
          <w:tcPr>
            <w:tcW w:w="1040" w:type="dxa"/>
            <w:tcBorders>
              <w:left w:val="single" w:color="auto" w:sz="8" w:space="0"/>
              <w:bottom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54"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8" w:hRule="atLeast"/>
        </w:trPr>
        <w:tc>
          <w:tcPr>
            <w:tcW w:w="10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20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4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bl>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1" locked="0" layoutInCell="0" allowOverlap="1">
                <wp:simplePos x="0" y="0"/>
                <wp:positionH relativeFrom="column">
                  <wp:posOffset>33020</wp:posOffset>
                </wp:positionH>
                <wp:positionV relativeFrom="paragraph">
                  <wp:posOffset>-5922010</wp:posOffset>
                </wp:positionV>
                <wp:extent cx="18415" cy="27305"/>
                <wp:effectExtent l="4445" t="5080" r="15240" b="5715"/>
                <wp:wrapNone/>
                <wp:docPr id="69" name="矩形 69"/>
                <wp:cNvGraphicFramePr/>
                <a:graphic xmlns:a="http://schemas.openxmlformats.org/drawingml/2006/main">
                  <a:graphicData uri="http://schemas.microsoft.com/office/word/2010/wordprocessingShape">
                    <wps:wsp>
                      <wps:cNvSpPr>
                        <a:spLocks noChangeArrowheads="1"/>
                      </wps:cNvSpPr>
                      <wps:spPr bwMode="auto">
                        <a:xfrm>
                          <a:off x="0" y="0"/>
                          <a:ext cx="18415" cy="2730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pt;margin-top:-466.3pt;height:2.15pt;width:1.45pt;z-index:-251654144;mso-width-relative:page;mso-height-relative:page;" fillcolor="#000000" filled="t" stroked="t" coordsize="21600,21600" o:allowincell="f" o:gfxdata="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enqWXXAAAACQEAAA8AAAAAAAAAAQAgAAAAIgAAAGRycy9k&#10;b3ducmV2LnhtbFBLAQIUABQAAAAIAIdO4kDKjtmuPAIAAIcEAAAOAAAAAAAAAAEAIAAAACY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3360" behindDoc="1" locked="0" layoutInCell="0" allowOverlap="1">
                <wp:simplePos x="0" y="0"/>
                <wp:positionH relativeFrom="column">
                  <wp:posOffset>5412740</wp:posOffset>
                </wp:positionH>
                <wp:positionV relativeFrom="paragraph">
                  <wp:posOffset>-5922010</wp:posOffset>
                </wp:positionV>
                <wp:extent cx="18415" cy="27305"/>
                <wp:effectExtent l="4445" t="5080" r="15240" b="5715"/>
                <wp:wrapNone/>
                <wp:docPr id="68" name="矩形 68"/>
                <wp:cNvGraphicFramePr/>
                <a:graphic xmlns:a="http://schemas.openxmlformats.org/drawingml/2006/main">
                  <a:graphicData uri="http://schemas.microsoft.com/office/word/2010/wordprocessingShape">
                    <wps:wsp>
                      <wps:cNvSpPr>
                        <a:spLocks noChangeArrowheads="1"/>
                      </wps:cNvSpPr>
                      <wps:spPr bwMode="auto">
                        <a:xfrm>
                          <a:off x="0" y="0"/>
                          <a:ext cx="18415" cy="2730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26.2pt;margin-top:-466.3pt;height:2.15pt;width:1.45pt;z-index:-251653120;mso-width-relative:page;mso-height-relative:page;" fillcolor="#000000" filled="t" stroked="t" coordsize="21600,21600" o:allowincell="f" o:gfxdata="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3dqGXaAAAADQEAAA8AAAAAAAAAAQAgAAAAIgAAAGRy&#10;cy9kb3ducmV2LnhtbFBLAQIUABQAAAAIAIdO4kC3N1ERPAIAAIcEAAAOAAAAAAAAAAEAIAAAACkB&#10;AABkcnMvZTJvRG9jLnhtbFBLBQYAAAAABgAGAFkBAADXBQ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4384" behindDoc="1" locked="0" layoutInCell="0" allowOverlap="1">
                <wp:simplePos x="0" y="0"/>
                <wp:positionH relativeFrom="column">
                  <wp:posOffset>3934460</wp:posOffset>
                </wp:positionH>
                <wp:positionV relativeFrom="paragraph">
                  <wp:posOffset>-4047490</wp:posOffset>
                </wp:positionV>
                <wp:extent cx="12065" cy="12065"/>
                <wp:effectExtent l="4445" t="4445" r="21590" b="12065"/>
                <wp:wrapNone/>
                <wp:docPr id="67" name="矩形 67"/>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9.8pt;margin-top:-318.7pt;height:0.95pt;width:0.95pt;z-index:-251652096;mso-width-relative:page;mso-height-relative:page;" fillcolor="#000000" filled="t" stroked="t" coordsize="21600,21600" o:allowincell="f" o:gfxdata="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gbR4PaAAAADQEAAA8AAAAAAAAAAQAgAAAAIgAAAGRycy9k&#10;b3ducmV2LnhtbFBLAQIUABQAAAAIAIdO4kBqGB3WOQIAAIcEAAAOAAAAAAAAAAEAIAAAACk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5408" behindDoc="1" locked="0" layoutInCell="0" allowOverlap="1">
                <wp:simplePos x="0" y="0"/>
                <wp:positionH relativeFrom="column">
                  <wp:posOffset>3934460</wp:posOffset>
                </wp:positionH>
                <wp:positionV relativeFrom="paragraph">
                  <wp:posOffset>-3117850</wp:posOffset>
                </wp:positionV>
                <wp:extent cx="12065" cy="12065"/>
                <wp:effectExtent l="4445" t="4445" r="21590" b="12065"/>
                <wp:wrapNone/>
                <wp:docPr id="66" name="矩形 66"/>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9.8pt;margin-top:-245.5pt;height:0.95pt;width:0.95pt;z-index:-251651072;mso-width-relative:page;mso-height-relative:page;" fillcolor="#000000" filled="t" stroked="t" coordsize="21600,21600" o:allowincell="f" o:gfxdata="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HGtkAAAANAQAADwAAAAAAAAABACAAAAAiAAAAZHJzL2Rv&#10;d25yZXYueG1sUEsBAhQAFAAAAAgAh07iQBehlWk5AgAAhwQAAA4AAAAAAAAAAQAgAAAAKAEAAGRy&#10;cy9lMm9Eb2MueG1sUEsFBgAAAAAGAAYAWQEAANMFA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6432" behindDoc="1" locked="0" layoutInCell="0" allowOverlap="1">
                <wp:simplePos x="0" y="0"/>
                <wp:positionH relativeFrom="column">
                  <wp:posOffset>3934460</wp:posOffset>
                </wp:positionH>
                <wp:positionV relativeFrom="paragraph">
                  <wp:posOffset>-1877060</wp:posOffset>
                </wp:positionV>
                <wp:extent cx="12065" cy="12065"/>
                <wp:effectExtent l="4445" t="4445" r="21590" b="12065"/>
                <wp:wrapNone/>
                <wp:docPr id="65" name="矩形 65"/>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9.8pt;margin-top:-147.8pt;height:0.95pt;width:0.95pt;z-index:-251650048;mso-width-relative:page;mso-height-relative:page;" fillcolor="#000000" filled="t" stroked="t" coordsize="21600,21600" o:allowincell="f" o:gfxdata="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YcAlrZAAAADQEAAA8AAAAAAAAAAQAgAAAAIgAAAGRycy9kb3du&#10;cmV2LnhtbFBLAQIUABQAAAAIAIdO4kDRbH1yNwIAAIcEAAAOAAAAAAAAAAEAIAAAACgBAABkcnMv&#10;ZTJvRG9jLnhtbFBLBQYAAAAABgAGAFkBAADRBQAAAAA=&#10;">
                <v:fill on="t" focussize="0,0"/>
                <v:stroke color="#FFFFFF" miterlimit="8" joinstyle="miter"/>
                <v:imagedata o:title=""/>
                <o:lock v:ext="edit" aspectratio="f"/>
                <v:textbox>
                  <w:txbxContent>
                    <w:p/>
                  </w:txbxContent>
                </v:textbox>
              </v:rect>
            </w:pict>
          </mc:Fallback>
        </mc:AlternateConten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注：详见工程量清单。</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11-2：工程设备暂估价表</w:t>
      </w:r>
    </w:p>
    <w:tbl>
      <w:tblPr>
        <w:tblStyle w:val="61"/>
        <w:tblW w:w="0" w:type="auto"/>
        <w:tblInd w:w="70" w:type="dxa"/>
        <w:tblLayout w:type="fixed"/>
        <w:tblCellMar>
          <w:top w:w="0" w:type="dxa"/>
          <w:left w:w="0" w:type="dxa"/>
          <w:bottom w:w="0" w:type="dxa"/>
          <w:right w:w="0" w:type="dxa"/>
        </w:tblCellMar>
      </w:tblPr>
      <w:tblGrid>
        <w:gridCol w:w="940"/>
        <w:gridCol w:w="1800"/>
        <w:gridCol w:w="800"/>
        <w:gridCol w:w="740"/>
        <w:gridCol w:w="1300"/>
        <w:gridCol w:w="1360"/>
        <w:gridCol w:w="1560"/>
      </w:tblGrid>
      <w:tr>
        <w:tblPrEx>
          <w:tblCellMar>
            <w:top w:w="0" w:type="dxa"/>
            <w:left w:w="0" w:type="dxa"/>
            <w:bottom w:w="0" w:type="dxa"/>
            <w:right w:w="0" w:type="dxa"/>
          </w:tblCellMar>
        </w:tblPrEx>
        <w:trPr>
          <w:trHeight w:val="376" w:hRule="atLeast"/>
        </w:trPr>
        <w:tc>
          <w:tcPr>
            <w:tcW w:w="940" w:type="dxa"/>
            <w:tcBorders>
              <w:top w:val="single" w:color="auto" w:sz="8" w:space="0"/>
              <w:left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0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80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74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30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36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c>
          <w:tcPr>
            <w:tcW w:w="156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CellMar>
            <w:top w:w="0" w:type="dxa"/>
            <w:left w:w="0" w:type="dxa"/>
            <w:bottom w:w="0" w:type="dxa"/>
            <w:right w:w="0" w:type="dxa"/>
          </w:tblCellMar>
        </w:tblPrEx>
        <w:trPr>
          <w:trHeight w:val="124"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20" w:hRule="atLeast"/>
        </w:trPr>
        <w:tc>
          <w:tcPr>
            <w:tcW w:w="940" w:type="dxa"/>
            <w:tcBorders>
              <w:left w:val="single" w:color="auto" w:sz="8" w:space="0"/>
              <w:bottom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54"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8"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8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0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3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56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bl>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7456" behindDoc="1" locked="0" layoutInCell="0" allowOverlap="1">
                <wp:simplePos x="0" y="0"/>
                <wp:positionH relativeFrom="column">
                  <wp:posOffset>33020</wp:posOffset>
                </wp:positionH>
                <wp:positionV relativeFrom="paragraph">
                  <wp:posOffset>-5922010</wp:posOffset>
                </wp:positionV>
                <wp:extent cx="18415" cy="27305"/>
                <wp:effectExtent l="4445" t="5080" r="15240" b="5715"/>
                <wp:wrapNone/>
                <wp:docPr id="64" name="矩形 64"/>
                <wp:cNvGraphicFramePr/>
                <a:graphic xmlns:a="http://schemas.openxmlformats.org/drawingml/2006/main">
                  <a:graphicData uri="http://schemas.microsoft.com/office/word/2010/wordprocessingShape">
                    <wps:wsp>
                      <wps:cNvSpPr>
                        <a:spLocks noChangeArrowheads="1"/>
                      </wps:cNvSpPr>
                      <wps:spPr bwMode="auto">
                        <a:xfrm>
                          <a:off x="0" y="0"/>
                          <a:ext cx="18415" cy="2730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pt;margin-top:-466.3pt;height:2.15pt;width:1.45pt;z-index:-251649024;mso-width-relative:page;mso-height-relative:page;" fillcolor="#000000" filled="t" stroked="t" coordsize="21600,21600" o:allowincell="f" o:gfxdata="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enqWXXAAAACQEAAA8AAAAAAAAAAQAgAAAAIgAAAGRycy9k&#10;b3ducmV2LnhtbFBLAQIUABQAAAAIAIdO4kCvAPJ+PAIAAIcEAAAOAAAAAAAAAAEAIAAAACY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8480" behindDoc="1" locked="0" layoutInCell="0" allowOverlap="1">
                <wp:simplePos x="0" y="0"/>
                <wp:positionH relativeFrom="column">
                  <wp:posOffset>5412740</wp:posOffset>
                </wp:positionH>
                <wp:positionV relativeFrom="paragraph">
                  <wp:posOffset>-5922010</wp:posOffset>
                </wp:positionV>
                <wp:extent cx="18415" cy="27305"/>
                <wp:effectExtent l="4445" t="5080" r="15240" b="5715"/>
                <wp:wrapNone/>
                <wp:docPr id="63" name="矩形 63"/>
                <wp:cNvGraphicFramePr/>
                <a:graphic xmlns:a="http://schemas.openxmlformats.org/drawingml/2006/main">
                  <a:graphicData uri="http://schemas.microsoft.com/office/word/2010/wordprocessingShape">
                    <wps:wsp>
                      <wps:cNvSpPr>
                        <a:spLocks noChangeArrowheads="1"/>
                      </wps:cNvSpPr>
                      <wps:spPr bwMode="auto">
                        <a:xfrm>
                          <a:off x="0" y="0"/>
                          <a:ext cx="18415" cy="2730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26.2pt;margin-top:-466.3pt;height:2.15pt;width:1.45pt;z-index:-251648000;mso-width-relative:page;mso-height-relative:page;" fillcolor="#000000" filled="t" stroked="t" coordsize="21600,21600" o:allowincell="f" o:gfxdata="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3dqGXaAAAADQEAAA8AAAAAAAAAAQAgAAAAIgAAAGRy&#10;cy9kb3ducmV2LnhtbFBLAQIUABQAAAAIAIdO4kBeIqv2PAIAAIcEAAAOAAAAAAAAAAEAIAAAACkB&#10;AABkcnMvZTJvRG9jLnhtbFBLBQYAAAAABgAGAFkBAADXBQ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9504" behindDoc="1" locked="0" layoutInCell="0" allowOverlap="1">
                <wp:simplePos x="0" y="0"/>
                <wp:positionH relativeFrom="column">
                  <wp:posOffset>3568700</wp:posOffset>
                </wp:positionH>
                <wp:positionV relativeFrom="paragraph">
                  <wp:posOffset>-4665980</wp:posOffset>
                </wp:positionV>
                <wp:extent cx="12065" cy="12065"/>
                <wp:effectExtent l="4445" t="4445" r="21590" b="12065"/>
                <wp:wrapNone/>
                <wp:docPr id="62" name="矩形 62"/>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1pt;margin-top:-367.4pt;height:0.95pt;width:0.95pt;z-index:-251646976;mso-width-relative:page;mso-height-relative:page;" fillcolor="#000000" filled="t" stroked="t" coordsize="21600,21600" o:allowincell="f" o:gfxdata="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Cr0fjaAAAADQEAAA8AAAAAAAAAAQAgAAAAIgAAAGRycy9k&#10;b3ducmV2LnhtbFBLAQIUABQAAAAIAIdO4kAgTiT6OQIAAIcEAAAOAAAAAAAAAAEAIAAAACk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70528" behindDoc="1" locked="0" layoutInCell="0" allowOverlap="1">
                <wp:simplePos x="0" y="0"/>
                <wp:positionH relativeFrom="column">
                  <wp:posOffset>3568700</wp:posOffset>
                </wp:positionH>
                <wp:positionV relativeFrom="paragraph">
                  <wp:posOffset>-2188210</wp:posOffset>
                </wp:positionV>
                <wp:extent cx="12065" cy="12065"/>
                <wp:effectExtent l="4445" t="4445" r="21590" b="12065"/>
                <wp:wrapNone/>
                <wp:docPr id="61" name="矩形 61"/>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1pt;margin-top:-172.3pt;height:0.95pt;width:0.95pt;z-index:-251645952;mso-width-relative:page;mso-height-relative:page;" fillcolor="#000000" filled="t" stroked="t" coordsize="21600,21600" o:allowincell="f" o:gfxdata="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amdsAAAANAQAADwAAAAAAAAABACAAAAAiAAAAZHJz&#10;L2Rvd25yZXYueG1sUEsBAhQAFAAAAAgAh07iQOaDzOE6AgAAhwQAAA4AAAAAAAAAAQAgAAAAKgEA&#10;AGRycy9lMm9Eb2MueG1sUEsFBgAAAAAGAAYAWQEAANYFA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w:t>注：详见工程量清单。</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11-3：专业工程暂估价表</w:t>
      </w:r>
    </w:p>
    <w:p>
      <w:pPr>
        <w:rPr>
          <w:rFonts w:hint="eastAsia" w:ascii="仿宋" w:hAnsi="仿宋" w:eastAsia="仿宋" w:cs="仿宋"/>
          <w:color w:val="auto"/>
          <w:sz w:val="24"/>
          <w:szCs w:val="24"/>
          <w:highlight w:val="none"/>
        </w:rPr>
      </w:pPr>
    </w:p>
    <w:tbl>
      <w:tblPr>
        <w:tblStyle w:val="61"/>
        <w:tblW w:w="0" w:type="auto"/>
        <w:tblInd w:w="70" w:type="dxa"/>
        <w:tblLayout w:type="fixed"/>
        <w:tblCellMar>
          <w:top w:w="0" w:type="dxa"/>
          <w:left w:w="0" w:type="dxa"/>
          <w:bottom w:w="0" w:type="dxa"/>
          <w:right w:w="0" w:type="dxa"/>
        </w:tblCellMar>
      </w:tblPr>
      <w:tblGrid>
        <w:gridCol w:w="940"/>
        <w:gridCol w:w="1080"/>
        <w:gridCol w:w="720"/>
        <w:gridCol w:w="720"/>
        <w:gridCol w:w="1120"/>
        <w:gridCol w:w="1140"/>
        <w:gridCol w:w="3120"/>
      </w:tblGrid>
      <w:tr>
        <w:tblPrEx>
          <w:tblCellMar>
            <w:top w:w="0" w:type="dxa"/>
            <w:left w:w="0" w:type="dxa"/>
            <w:bottom w:w="0" w:type="dxa"/>
            <w:right w:w="0" w:type="dxa"/>
          </w:tblCellMar>
        </w:tblPrEx>
        <w:trPr>
          <w:trHeight w:val="376" w:hRule="atLeast"/>
        </w:trPr>
        <w:tc>
          <w:tcPr>
            <w:tcW w:w="940" w:type="dxa"/>
            <w:tcBorders>
              <w:top w:val="single" w:color="auto" w:sz="8" w:space="0"/>
              <w:left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08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72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72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12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14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c>
          <w:tcPr>
            <w:tcW w:w="3120" w:type="dxa"/>
            <w:tcBorders>
              <w:top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CellMar>
            <w:top w:w="0" w:type="dxa"/>
            <w:left w:w="0" w:type="dxa"/>
            <w:bottom w:w="0" w:type="dxa"/>
            <w:right w:w="0" w:type="dxa"/>
          </w:tblCellMar>
        </w:tblPrEx>
        <w:trPr>
          <w:trHeight w:val="124"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20" w:hRule="atLeast"/>
        </w:trPr>
        <w:tc>
          <w:tcPr>
            <w:tcW w:w="940" w:type="dxa"/>
            <w:tcBorders>
              <w:left w:val="single" w:color="auto" w:sz="8" w:space="0"/>
              <w:bottom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814"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0"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65"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8" w:hRule="atLeast"/>
        </w:trPr>
        <w:tc>
          <w:tcPr>
            <w:tcW w:w="940" w:type="dxa"/>
            <w:tcBorders>
              <w:left w:val="single" w:color="auto" w:sz="8" w:space="0"/>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08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7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114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c>
          <w:tcPr>
            <w:tcW w:w="3120" w:type="dxa"/>
            <w:tcBorders>
              <w:bottom w:val="single" w:color="auto" w:sz="8" w:space="0"/>
              <w:right w:val="single" w:color="auto" w:sz="8" w:space="0"/>
            </w:tcBorders>
            <w:noWrap w:val="0"/>
            <w:vAlign w:val="bottom"/>
          </w:tcPr>
          <w:p>
            <w:pPr>
              <w:rPr>
                <w:rFonts w:hint="eastAsia" w:ascii="仿宋" w:hAnsi="仿宋" w:eastAsia="仿宋" w:cs="仿宋"/>
                <w:color w:val="auto"/>
                <w:sz w:val="24"/>
                <w:szCs w:val="24"/>
                <w:highlight w:val="none"/>
              </w:rPr>
            </w:pPr>
          </w:p>
        </w:tc>
      </w:tr>
    </w:tbl>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71552" behindDoc="1" locked="0" layoutInCell="0" allowOverlap="1">
                <wp:simplePos x="0" y="0"/>
                <wp:positionH relativeFrom="column">
                  <wp:posOffset>33020</wp:posOffset>
                </wp:positionH>
                <wp:positionV relativeFrom="paragraph">
                  <wp:posOffset>-6150610</wp:posOffset>
                </wp:positionV>
                <wp:extent cx="18415" cy="27305"/>
                <wp:effectExtent l="4445" t="5080" r="15240" b="5715"/>
                <wp:wrapNone/>
                <wp:docPr id="60" name="矩形 60"/>
                <wp:cNvGraphicFramePr/>
                <a:graphic xmlns:a="http://schemas.openxmlformats.org/drawingml/2006/main">
                  <a:graphicData uri="http://schemas.microsoft.com/office/word/2010/wordprocessingShape">
                    <wps:wsp>
                      <wps:cNvSpPr>
                        <a:spLocks noChangeArrowheads="1"/>
                      </wps:cNvSpPr>
                      <wps:spPr bwMode="auto">
                        <a:xfrm>
                          <a:off x="0" y="0"/>
                          <a:ext cx="18415" cy="27305"/>
                        </a:xfrm>
                        <a:prstGeom prst="rect">
                          <a:avLst/>
                        </a:prstGeom>
                        <a:solidFill>
                          <a:srgbClr val="000000"/>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pt;margin-top:-484.3pt;height:2.15pt;width:1.45pt;z-index:-251644928;mso-width-relative:page;mso-height-relative:page;" fillcolor="#000000" filled="t" stroked="t" coordsize="21600,21600" o:allowincell="f" o:gfxdata="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8baXTXAAAACQEAAA8AAAAAAAAAAQAgAAAAIgAAAGRycy9k&#10;b3ducmV2LnhtbFBLAQIUABQAAAAIAIdO4kCY70PtPAIAAIcEAAAOAAAAAAAAAAEAIAAAACY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72576" behindDoc="1" locked="0" layoutInCell="0" allowOverlap="1">
                <wp:simplePos x="0" y="0"/>
                <wp:positionH relativeFrom="column">
                  <wp:posOffset>5629275</wp:posOffset>
                </wp:positionH>
                <wp:positionV relativeFrom="paragraph">
                  <wp:posOffset>-6150610</wp:posOffset>
                </wp:positionV>
                <wp:extent cx="18415" cy="27305"/>
                <wp:effectExtent l="4445" t="5080" r="15240" b="5715"/>
                <wp:wrapNone/>
                <wp:docPr id="59" name="矩形 59"/>
                <wp:cNvGraphicFramePr/>
                <a:graphic xmlns:a="http://schemas.openxmlformats.org/drawingml/2006/main">
                  <a:graphicData uri="http://schemas.microsoft.com/office/word/2010/wordprocessingShape">
                    <wps:wsp>
                      <wps:cNvSpPr>
                        <a:spLocks noChangeArrowheads="1"/>
                      </wps:cNvSpPr>
                      <wps:spPr bwMode="auto">
                        <a:xfrm>
                          <a:off x="0" y="0"/>
                          <a:ext cx="18415" cy="27305"/>
                        </a:xfrm>
                        <a:prstGeom prst="rect">
                          <a:avLst/>
                        </a:prstGeom>
                        <a:solidFill>
                          <a:srgbClr val="000000"/>
                        </a:solidFill>
                        <a:ln w="9525">
                          <a:solidFill>
                            <a:srgbClr val="FFFFFF"/>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43.25pt;margin-top:-484.3pt;height:2.15pt;width:1.45pt;z-index:-251643904;mso-width-relative:page;mso-height-relative:page;" fillcolor="#000000" filled="t" stroked="t" coordsize="21600,21600" o:allowincell="f" o:gfxdata="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hc1SNkAAAANAQAADwAAAAAAAAABACAAAAAiAAAAZHJzL2Rvd25y&#10;ZXYueG1sUEsBAhQAFAAAAAgAh07iQCYku6M2AgAAfAQAAA4AAAAAAAAAAQAgAAAAKAEAAGRycy9l&#10;Mm9Eb2MueG1sUEsFBgAAAAAGAAYAWQEAANAFAAAAAA==&#10;">
                <v:fill on="t" focussize="0,0"/>
                <v:stroke color="#FFFFFF" miterlimit="8" joinstyle="miter"/>
                <v:imagedata o:title=""/>
                <o:lock v:ext="edit" aspectratio="f"/>
              </v:rect>
            </w:pict>
          </mc:Fallback>
        </mc:AlternateContent>
      </w:r>
    </w:p>
    <w:p>
      <w:pPr>
        <w:rPr>
          <w:rFonts w:hint="eastAsia" w:ascii="仿宋" w:hAnsi="仿宋" w:eastAsia="仿宋" w:cs="仿宋"/>
          <w:color w:val="auto"/>
          <w:sz w:val="24"/>
          <w:szCs w:val="24"/>
          <w:highlight w:val="none"/>
        </w:rPr>
      </w:pPr>
    </w:p>
    <w:p>
      <w:pPr>
        <w:rPr>
          <w:color w:val="auto"/>
          <w:highlight w:val="none"/>
        </w:rPr>
      </w:pPr>
      <w:r>
        <w:rPr>
          <w:rFonts w:hint="eastAsia" w:ascii="仿宋" w:hAnsi="仿宋" w:eastAsia="仿宋" w:cs="仿宋"/>
          <w:color w:val="auto"/>
          <w:sz w:val="24"/>
          <w:szCs w:val="24"/>
          <w:highlight w:val="none"/>
        </w:rPr>
        <w:t>注：详见工程量清单。</w:t>
      </w:r>
    </w:p>
    <w:p>
      <w:pPr>
        <w:rPr>
          <w:rFonts w:ascii="仿宋_GB2312" w:hAnsi="仿宋_GB2312" w:eastAsia="仿宋_GB2312" w:cs="仿宋_GB2312"/>
          <w:b/>
          <w:sz w:val="36"/>
          <w:szCs w:val="20"/>
        </w:rPr>
      </w:pPr>
      <w:r>
        <w:rPr>
          <w:rFonts w:hint="eastAsia" w:ascii="仿宋_GB2312" w:hAnsi="楷体" w:eastAsia="仿宋_GB2312"/>
          <w:sz w:val="24"/>
          <w:u w:val="single"/>
          <w:lang w:val="zh-CN"/>
        </w:rPr>
        <w:br w:type="page"/>
      </w:r>
    </w:p>
    <w:p>
      <w:pPr>
        <w:snapToGrid w:val="0"/>
        <w:spacing w:line="360" w:lineRule="auto"/>
        <w:jc w:val="center"/>
        <w:outlineLvl w:val="0"/>
        <w:rPr>
          <w:rFonts w:ascii="仿宋_GB2312" w:hAnsi="仿宋_GB2312" w:eastAsia="仿宋_GB2312" w:cs="仿宋_GB2312"/>
          <w:b/>
          <w:sz w:val="36"/>
          <w:szCs w:val="20"/>
        </w:rPr>
      </w:pPr>
      <w:bookmarkStart w:id="537" w:name="_Toc303"/>
      <w:r>
        <w:rPr>
          <w:rFonts w:hint="eastAsia" w:ascii="仿宋_GB2312" w:hAnsi="仿宋_GB2312" w:eastAsia="仿宋_GB2312" w:cs="仿宋_GB2312"/>
          <w:b/>
          <w:sz w:val="36"/>
          <w:szCs w:val="20"/>
        </w:rPr>
        <w:t>第七部分</w:t>
      </w:r>
      <w:bookmarkEnd w:id="48"/>
      <w:r>
        <w:rPr>
          <w:rFonts w:hint="eastAsia" w:ascii="仿宋_GB2312" w:hAnsi="仿宋_GB2312" w:eastAsia="仿宋_GB2312" w:cs="仿宋_GB2312"/>
          <w:b/>
          <w:sz w:val="36"/>
          <w:szCs w:val="20"/>
        </w:rPr>
        <w:t xml:space="preserve">  </w:t>
      </w:r>
      <w:bookmarkEnd w:id="49"/>
      <w:r>
        <w:rPr>
          <w:rFonts w:hint="eastAsia" w:ascii="仿宋_GB2312" w:hAnsi="仿宋_GB2312" w:eastAsia="仿宋_GB2312" w:cs="仿宋_GB2312"/>
          <w:b/>
          <w:sz w:val="36"/>
          <w:szCs w:val="20"/>
        </w:rPr>
        <w:t>应提交的有关格式范例</w:t>
      </w:r>
      <w:bookmarkEnd w:id="537"/>
    </w:p>
    <w:p>
      <w:pPr>
        <w:spacing w:line="360" w:lineRule="auto"/>
        <w:jc w:val="center"/>
        <w:outlineLvl w:val="0"/>
        <w:rPr>
          <w:rFonts w:ascii="仿宋_GB2312" w:hAnsi="仿宋" w:eastAsia="仿宋_GB2312" w:cs="仿宋_GB2312"/>
          <w:b/>
          <w:kern w:val="0"/>
          <w:sz w:val="36"/>
          <w:szCs w:val="36"/>
        </w:rPr>
      </w:pPr>
      <w:bookmarkStart w:id="538" w:name="_Toc15534"/>
      <w:r>
        <w:rPr>
          <w:rFonts w:hint="eastAsia" w:ascii="仿宋_GB2312" w:hAnsi="仿宋" w:eastAsia="仿宋_GB2312" w:cs="仿宋_GB2312"/>
          <w:b/>
          <w:kern w:val="0"/>
          <w:sz w:val="36"/>
          <w:szCs w:val="36"/>
        </w:rPr>
        <w:t>资格文件部分</w:t>
      </w:r>
      <w:bookmarkEnd w:id="538"/>
    </w:p>
    <w:p>
      <w:pPr>
        <w:snapToGrid w:val="0"/>
        <w:spacing w:line="360" w:lineRule="auto"/>
        <w:ind w:right="480"/>
        <w:rPr>
          <w:rFonts w:ascii="仿宋_GB2312" w:hAnsi="仿宋" w:eastAsia="仿宋_GB2312" w:cs="仿宋_GB2312"/>
          <w:b/>
          <w:kern w:val="0"/>
          <w:sz w:val="32"/>
          <w:szCs w:val="32"/>
        </w:rPr>
      </w:pPr>
      <w:r>
        <w:rPr>
          <w:rFonts w:ascii="仿宋_GB2312" w:hAnsi="仿宋" w:eastAsia="仿宋_GB2312" w:cs="仿宋_GB2312"/>
          <w:b/>
          <w:kern w:val="0"/>
          <w:sz w:val="32"/>
          <w:szCs w:val="32"/>
        </w:rPr>
        <w:t>一、 符合参加政府采购活动应当具备的一般条件的承诺函</w:t>
      </w:r>
    </w:p>
    <w:p>
      <w:pPr>
        <w:snapToGrid w:val="0"/>
        <w:spacing w:line="360" w:lineRule="auto"/>
        <w:rPr>
          <w:rFonts w:ascii="仿宋_GB2312" w:hAnsi="仿宋" w:eastAsia="仿宋_GB2312" w:cs="仿宋_GB2312"/>
          <w:sz w:val="24"/>
        </w:rPr>
      </w:pPr>
      <w:r>
        <w:rPr>
          <w:rFonts w:hint="eastAsia" w:ascii="仿宋_GB2312" w:hAnsi="仿宋" w:eastAsia="仿宋_GB2312" w:cs="仿宋_GB2312"/>
          <w:sz w:val="24"/>
          <w:u w:val="single"/>
        </w:rPr>
        <w:t>（采购人）、（采购代理机构）</w:t>
      </w:r>
      <w:r>
        <w:rPr>
          <w:rFonts w:hint="eastAsia" w:ascii="仿宋_GB2312" w:hAnsi="仿宋" w:eastAsia="仿宋_GB2312" w:cs="仿宋_GB2312"/>
          <w:sz w:val="24"/>
        </w:rPr>
        <w:t>：</w:t>
      </w:r>
    </w:p>
    <w:p>
      <w:pPr>
        <w:snapToGrid w:val="0"/>
        <w:spacing w:line="360" w:lineRule="auto"/>
        <w:ind w:firstLine="420"/>
        <w:rPr>
          <w:rFonts w:ascii="仿宋_GB2312" w:hAnsi="仿宋" w:eastAsia="仿宋_GB2312" w:cs="仿宋_GB2312"/>
          <w:sz w:val="24"/>
        </w:rPr>
      </w:pPr>
      <w:r>
        <w:rPr>
          <w:rFonts w:hint="eastAsia" w:ascii="仿宋_GB2312" w:hAnsi="仿宋" w:eastAsia="仿宋_GB2312" w:cs="仿宋_GB2312"/>
          <w:sz w:val="24"/>
        </w:rPr>
        <w:t>我方参与</w:t>
      </w:r>
      <w:r>
        <w:rPr>
          <w:rFonts w:hint="eastAsia" w:ascii="仿宋_GB2312" w:hAnsi="仿宋" w:eastAsia="仿宋_GB2312" w:cs="仿宋_GB2312"/>
          <w:sz w:val="24"/>
          <w:lang w:eastAsia="zh-CN"/>
        </w:rPr>
        <w:t>乌鲁木齐市天山区机关事务管理中心天山牧歌二期31号楼地下一二层装修工程</w:t>
      </w:r>
      <w:r>
        <w:rPr>
          <w:rFonts w:hint="eastAsia" w:ascii="仿宋_GB2312" w:hAnsi="仿宋" w:eastAsia="仿宋_GB2312" w:cs="仿宋_GB2312"/>
          <w:sz w:val="24"/>
        </w:rPr>
        <w:t>【编号：</w:t>
      </w:r>
      <w:r>
        <w:rPr>
          <w:rFonts w:hint="eastAsia" w:ascii="仿宋_GB2312" w:hAnsi="仿宋" w:eastAsia="仿宋_GB2312"/>
          <w:b w:val="0"/>
          <w:i w:val="0"/>
          <w:sz w:val="24"/>
          <w:lang w:eastAsia="zh-CN"/>
        </w:rPr>
        <w:t>2023-ZFCG-0073-01</w:t>
      </w:r>
      <w:r>
        <w:rPr>
          <w:rFonts w:hint="eastAsia" w:ascii="仿宋_GB2312" w:hAnsi="仿宋" w:eastAsia="仿宋_GB2312" w:cs="仿宋_GB2312"/>
          <w:sz w:val="24"/>
        </w:rPr>
        <w:t>】政府采购活动，郑重承诺：</w:t>
      </w:r>
    </w:p>
    <w:p>
      <w:pPr>
        <w:snapToGrid w:val="0"/>
        <w:spacing w:line="360" w:lineRule="auto"/>
        <w:ind w:firstLine="360" w:firstLineChars="150"/>
        <w:rPr>
          <w:rFonts w:ascii="仿宋_GB2312" w:hAnsi="仿宋" w:eastAsia="仿宋_GB2312" w:cs="仿宋_GB2312"/>
          <w:sz w:val="24"/>
        </w:rPr>
      </w:pPr>
      <w:r>
        <w:rPr>
          <w:rFonts w:hint="eastAsia" w:ascii="仿宋_GB2312" w:hAnsi="仿宋" w:eastAsia="仿宋_GB2312" w:cs="仿宋_GB2312"/>
          <w:sz w:val="24"/>
        </w:rPr>
        <w:t>（一）具备《中华人民共和国政府采购法》第二十二条第一款规定的条件，并提供相关证明材料：</w:t>
      </w:r>
    </w:p>
    <w:p>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1、</w:t>
      </w:r>
      <w:r>
        <w:rPr>
          <w:rFonts w:ascii="仿宋_GB2312" w:hAnsi="仿宋" w:eastAsia="仿宋_GB2312" w:cs="仿宋_GB2312"/>
          <w:sz w:val="24"/>
        </w:rPr>
        <w:t>具有独立承担民事责任的能力；</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 xml:space="preserve">具有良好的商业信誉和健全的财务会计制度； </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3、</w:t>
      </w:r>
      <w:r>
        <w:rPr>
          <w:rFonts w:ascii="仿宋_GB2312" w:hAnsi="仿宋" w:eastAsia="仿宋_GB2312"/>
          <w:sz w:val="24"/>
        </w:rPr>
        <w:t>具有履行合同所必需的设备和专业技术能力；</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4、</w:t>
      </w:r>
      <w:r>
        <w:rPr>
          <w:rFonts w:ascii="仿宋_GB2312" w:hAnsi="仿宋" w:eastAsia="仿宋_GB2312"/>
          <w:sz w:val="24"/>
        </w:rPr>
        <w:t>有依法缴纳税收和社会保障资金的良好记录；</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5、</w:t>
      </w:r>
      <w:r>
        <w:rPr>
          <w:rFonts w:ascii="仿宋_GB2312" w:hAnsi="仿宋" w:eastAsia="仿宋_GB2312"/>
          <w:sz w:val="24"/>
        </w:rPr>
        <w:t>参加政府采购活动前三年内，在经营活动中没有重大违法记录；</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6、</w:t>
      </w:r>
      <w:r>
        <w:rPr>
          <w:rFonts w:ascii="仿宋_GB2312" w:hAnsi="仿宋" w:eastAsia="仿宋_GB2312"/>
          <w:sz w:val="24"/>
        </w:rPr>
        <w:t>具有法律、行政法规规定的其他条件。</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（二）未被信用中国（</w:t>
      </w:r>
      <w:r>
        <w:rPr>
          <w:rFonts w:ascii="仿宋_GB2312" w:hAnsi="仿宋" w:eastAsia="仿宋_GB2312"/>
          <w:sz w:val="24"/>
        </w:rPr>
        <w:t>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（三）不存在以下情况：</w:t>
      </w:r>
    </w:p>
    <w:p>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1、</w:t>
      </w:r>
      <w:r>
        <w:rPr>
          <w:rFonts w:ascii="仿宋_GB2312" w:hAnsi="仿宋" w:eastAsia="仿宋_GB2312" w:cs="仿宋_GB2312"/>
          <w:sz w:val="24"/>
        </w:rPr>
        <w:t>单位负责人为同一人或者存在直接控股、管理关系的不同供应商参加同一合同项下的政府采购活动的；</w:t>
      </w:r>
    </w:p>
    <w:p>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w:t>
      </w:r>
      <w:r>
        <w:rPr>
          <w:rFonts w:ascii="仿宋_GB2312" w:hAnsi="仿宋" w:eastAsia="仿宋_GB2312" w:cs="仿宋_GB2312"/>
          <w:sz w:val="24"/>
        </w:rPr>
        <w:t>为采购项目提供整体设计、规范编制或者项目管理、监理、检测等服务后再参加该采购项目的其他采购活动的。</w:t>
      </w:r>
    </w:p>
    <w:p>
      <w:pPr>
        <w:pStyle w:val="25"/>
        <w:rPr>
          <w:rFonts w:ascii="仿宋_GB2312" w:hAnsi="仿宋" w:eastAsia="仿宋_GB2312" w:cs="仿宋_GB2312"/>
        </w:rPr>
      </w:pPr>
    </w:p>
    <w:p/>
    <w:p>
      <w:pPr>
        <w:snapToGrid w:val="0"/>
        <w:spacing w:line="360" w:lineRule="auto"/>
        <w:jc w:val="right"/>
        <w:rPr>
          <w:rFonts w:ascii="仿宋_GB2312" w:hAnsi="仿宋" w:eastAsia="仿宋_GB2312" w:cs="仿宋_GB2312"/>
          <w:kern w:val="0"/>
          <w:sz w:val="24"/>
        </w:rPr>
      </w:pPr>
      <w:r>
        <w:rPr>
          <w:rFonts w:hint="eastAsia" w:ascii="仿宋_GB2312" w:hAnsi="仿宋" w:eastAsia="仿宋_GB2312" w:cs="仿宋_GB2312"/>
          <w:kern w:val="0"/>
          <w:sz w:val="24"/>
          <w:lang w:val="zh-CN"/>
        </w:rPr>
        <w:t>供应商全称（盖单位公章或电子签章）</w:t>
      </w:r>
      <w:r>
        <w:rPr>
          <w:rFonts w:ascii="仿宋_GB2312" w:hAnsi="仿宋" w:eastAsia="仿宋_GB2312" w:cs="仿宋_GB2312"/>
          <w:kern w:val="0"/>
          <w:sz w:val="24"/>
          <w:lang w:val="zh-CN"/>
        </w:rPr>
        <w:t>：</w:t>
      </w:r>
    </w:p>
    <w:p>
      <w:pPr>
        <w:snapToGrid w:val="0"/>
        <w:spacing w:line="360" w:lineRule="auto"/>
        <w:rPr>
          <w:rFonts w:ascii="仿宋_GB2312" w:hAnsi="仿宋" w:eastAsia="仿宋_GB2312" w:cs="仿宋_GB2312"/>
          <w:kern w:val="0"/>
          <w:sz w:val="24"/>
        </w:rPr>
      </w:pPr>
      <w:r>
        <w:rPr>
          <w:rFonts w:ascii="仿宋_GB2312" w:hAnsi="仿宋" w:eastAsia="仿宋_GB2312" w:cs="仿宋_GB2312"/>
          <w:kern w:val="0"/>
          <w:sz w:val="24"/>
          <w:lang w:val="zh-CN"/>
        </w:rPr>
        <w:t xml:space="preserve">                        </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w:t>
      </w:r>
      <w:r>
        <w:rPr>
          <w:rFonts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pPr>
        <w:snapToGrid w:val="0"/>
        <w:spacing w:line="360" w:lineRule="auto"/>
        <w:ind w:right="480"/>
        <w:jc w:val="center"/>
        <w:rPr>
          <w:rFonts w:ascii="仿宋_GB2312" w:hAnsi="仿宋" w:eastAsia="仿宋_GB2312" w:cs="仿宋_GB2312"/>
          <w:b/>
          <w:kern w:val="0"/>
          <w:sz w:val="32"/>
          <w:szCs w:val="32"/>
        </w:rPr>
      </w:pPr>
    </w:p>
    <w:p>
      <w:pPr>
        <w:snapToGrid w:val="0"/>
        <w:spacing w:line="360" w:lineRule="auto"/>
        <w:ind w:right="480"/>
        <w:jc w:val="center"/>
        <w:rPr>
          <w:rFonts w:ascii="仿宋_GB2312" w:hAnsi="仿宋" w:eastAsia="仿宋_GB2312" w:cs="仿宋_GB2312"/>
          <w:b/>
          <w:kern w:val="0"/>
          <w:sz w:val="32"/>
          <w:szCs w:val="32"/>
        </w:rPr>
      </w:pPr>
    </w:p>
    <w:p>
      <w:pP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br w:type="page"/>
      </w:r>
      <w:r>
        <w:rPr>
          <w:rFonts w:hint="eastAsia" w:ascii="仿宋_GB2312" w:hAnsi="仿宋" w:eastAsia="仿宋_GB2312" w:cs="仿宋_GB2312"/>
          <w:b/>
          <w:kern w:val="0"/>
          <w:sz w:val="32"/>
          <w:szCs w:val="32"/>
        </w:rPr>
        <w:t>1、具有独立承担民事责任的能力；</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是企业（包括合伙企业），提供有效 的营业执照。</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是事业单位，提供有效的事业单位法人证书。</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是非企业专业服务机构的，提供有效的执业许可证等证明文件。</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（4）</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是个体工商户，提供有效的个体工商户营业执照。</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（5）</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是自然人，提供有效的自然人身份证明。</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以上提供任意一项内容即可。</w:t>
      </w:r>
    </w:p>
    <w:p>
      <w:pPr>
        <w:widowControl/>
        <w:spacing w:line="480" w:lineRule="auto"/>
        <w:rPr>
          <w:rFonts w:ascii="仿宋" w:hAnsi="仿宋" w:eastAsia="仿宋" w:cs="仿宋"/>
          <w:color w:val="000000"/>
          <w:kern w:val="0"/>
          <w:sz w:val="24"/>
        </w:rPr>
      </w:pPr>
    </w:p>
    <w:p>
      <w:pPr>
        <w:widowControl/>
        <w:spacing w:line="480" w:lineRule="auto"/>
        <w:rPr>
          <w:rFonts w:ascii="仿宋" w:hAnsi="仿宋" w:eastAsia="仿宋" w:cs="仿宋"/>
          <w:color w:val="000000"/>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2、具有良好的商业信誉和健全的财务会计制度；</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是法人且成立一年或以上的,提供上一年度经审计的财务报告（上市公司或大型企业上一年度经审计的财务报告未完成的，提供投标截止日前6个月中任意1个月的财务报告，财务报告至少应包含：资产负债表、利润表、现金流量表及附注等）；成立未满一年的，提供成立之日后的财务报告。财务报告至少应包含：资产负债表、利润表、现金流量表及附注等。（复印件加盖公章）。</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（2）无法按第（1）条提供财务报告的</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可以提供银行出具的资信证明。</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也可以提供财政部门认可的政府采购专业担保机构出具的投标担保函（原件），代替财务状况报告。</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以上提供任意一项内容即可。</w:t>
      </w:r>
    </w:p>
    <w:p>
      <w:pPr>
        <w:widowControl/>
        <w:spacing w:line="480" w:lineRule="auto"/>
        <w:rPr>
          <w:rFonts w:ascii="仿宋" w:hAnsi="仿宋" w:eastAsia="仿宋" w:cs="仿宋"/>
          <w:color w:val="000000"/>
          <w:kern w:val="0"/>
          <w:sz w:val="24"/>
        </w:rPr>
      </w:pPr>
    </w:p>
    <w:p>
      <w:pPr>
        <w:widowControl/>
        <w:spacing w:line="480" w:lineRule="auto"/>
        <w:rPr>
          <w:rFonts w:ascii="仿宋" w:hAnsi="仿宋" w:eastAsia="仿宋" w:cs="仿宋"/>
          <w:color w:val="000000"/>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3、具有履行合同所必需的设备和专业技术能力；</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提供具备足够数量的设施设备及技术人员的证明材料或承诺</w:t>
      </w:r>
    </w:p>
    <w:p>
      <w:pPr>
        <w:widowControl/>
        <w:spacing w:line="480" w:lineRule="auto"/>
        <w:rPr>
          <w:rFonts w:ascii="仿宋" w:hAnsi="仿宋" w:eastAsia="仿宋" w:cs="仿宋"/>
          <w:color w:val="000000"/>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4、有依法缴纳税收的良好记录；</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 xml:space="preserve">（1） </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依法交纳税收的证明材料：本项目公告发布时间前 6 个月内（至少提供 1 个月）交纳增值税、企业所得税的凭据（完税证、缴款书、印花税票、银行代扣（代缴）转账凭证等均可）；</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 xml:space="preserve">（2） </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为其他组织或自然人的，也需要按此项规定提供交纳税收的凭据；</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（3） 依法免税的</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，应提供相应文件证明其依法免税；</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以上提供任意一项内容即可。</w:t>
      </w:r>
    </w:p>
    <w:p>
      <w:pPr>
        <w:widowControl/>
        <w:spacing w:line="480" w:lineRule="auto"/>
        <w:rPr>
          <w:rFonts w:ascii="仿宋" w:hAnsi="仿宋" w:eastAsia="仿宋" w:cs="仿宋"/>
          <w:color w:val="000000"/>
          <w:kern w:val="0"/>
          <w:sz w:val="24"/>
        </w:rPr>
      </w:pPr>
    </w:p>
    <w:p>
      <w:pPr>
        <w:widowControl/>
        <w:spacing w:line="480" w:lineRule="auto"/>
        <w:rPr>
          <w:rFonts w:ascii="仿宋" w:hAnsi="仿宋" w:eastAsia="仿宋" w:cs="仿宋"/>
          <w:color w:val="000000"/>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5、有依法缴纳社会保障资金的良好记录；</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 xml:space="preserve">（1） </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依法交纳社会保障资金的证明材料： 本项目公告发布时间前6 个月内（至少提供1 个月） 交纳社会保险的凭据（专用收据或社会保险交纳清单）；</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 xml:space="preserve">（2） </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为其他组织或自然人的，也需要按此项规定提供交纳社会保险的凭据；</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（3） 依法不需要交纳社会保障资金的</w:t>
      </w:r>
      <w:r>
        <w:rPr>
          <w:rFonts w:hint="eastAsia" w:ascii="仿宋" w:hAnsi="仿宋" w:eastAsia="仿宋" w:cs="仿宋"/>
          <w:color w:val="000000"/>
          <w:kern w:val="0"/>
          <w:sz w:val="24"/>
          <w:lang w:eastAsia="zh-CN"/>
        </w:rPr>
        <w:t>供应商</w:t>
      </w:r>
      <w:r>
        <w:rPr>
          <w:rFonts w:hint="eastAsia" w:ascii="仿宋" w:hAnsi="仿宋" w:eastAsia="仿宋" w:cs="仿宋"/>
          <w:color w:val="000000"/>
          <w:kern w:val="0"/>
          <w:sz w:val="24"/>
        </w:rPr>
        <w:t>，应提供相应文件证明其依法不需要交纳社会保障资金。</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以上提供任意一项内容即可。</w:t>
      </w:r>
    </w:p>
    <w:p>
      <w:pPr>
        <w:widowControl/>
        <w:spacing w:line="480" w:lineRule="auto"/>
        <w:rPr>
          <w:rFonts w:ascii="仿宋" w:hAnsi="仿宋" w:eastAsia="仿宋" w:cs="仿宋"/>
          <w:color w:val="000000"/>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6、参加政府采购活动前三年内，在经营活动中没有重大违法记录；</w:t>
      </w:r>
    </w:p>
    <w:p>
      <w:pPr>
        <w:widowControl/>
        <w:spacing w:line="480" w:lineRule="auto"/>
        <w:jc w:val="center"/>
        <w:rPr>
          <w:rFonts w:ascii="仿宋" w:hAnsi="仿宋" w:eastAsia="仿宋" w:cs="仿宋"/>
          <w:color w:val="000000"/>
          <w:kern w:val="0"/>
          <w:sz w:val="24"/>
        </w:rPr>
      </w:pPr>
    </w:p>
    <w:p>
      <w:pPr>
        <w:widowControl/>
        <w:spacing w:line="480" w:lineRule="auto"/>
        <w:jc w:val="center"/>
        <w:rPr>
          <w:rFonts w:ascii="仿宋" w:hAnsi="仿宋" w:eastAsia="仿宋" w:cs="仿宋"/>
          <w:color w:val="000000"/>
          <w:kern w:val="0"/>
          <w:sz w:val="24"/>
        </w:rPr>
      </w:pPr>
      <w:r>
        <w:rPr>
          <w:rFonts w:hint="eastAsia" w:ascii="仿宋" w:hAnsi="仿宋" w:eastAsia="仿宋" w:cs="仿宋"/>
          <w:color w:val="000000"/>
          <w:kern w:val="0"/>
          <w:sz w:val="24"/>
        </w:rPr>
        <w:t>在经营活动中没有重大违法记录的声明函</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u w:val="single"/>
        </w:rPr>
        <w:t xml:space="preserve">          （采购单位名称）</w:t>
      </w:r>
      <w:r>
        <w:rPr>
          <w:rFonts w:hint="eastAsia" w:ascii="仿宋" w:hAnsi="仿宋" w:eastAsia="仿宋" w:cs="仿宋"/>
          <w:color w:val="000000"/>
          <w:kern w:val="0"/>
          <w:sz w:val="24"/>
        </w:rPr>
        <w:t>：</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我公司参与</w:t>
      </w:r>
      <w:r>
        <w:rPr>
          <w:rFonts w:hint="eastAsia" w:ascii="仿宋" w:hAnsi="仿宋" w:eastAsia="仿宋" w:cs="仿宋"/>
          <w:color w:val="000000"/>
          <w:kern w:val="0"/>
          <w:sz w:val="24"/>
          <w:u w:val="single"/>
        </w:rPr>
        <w:t xml:space="preserve">                          （项目名称、项目编号）</w:t>
      </w:r>
      <w:r>
        <w:rPr>
          <w:rFonts w:hint="eastAsia" w:ascii="仿宋" w:hAnsi="仿宋" w:eastAsia="仿宋" w:cs="仿宋"/>
          <w:color w:val="000000"/>
          <w:kern w:val="0"/>
          <w:sz w:val="24"/>
        </w:rPr>
        <w:t>招标，本公司郑重声明，我公司参加本项目政府采购活动前三年内无重大违法记录，符合《政府采购法》规定的投标单位条件。若贵方在本项目招标过程中发现我公司在政府采购活动前三年内有重大违法记录，我公司将无条件退出本项目的响应，并承担因此引起的一切后果。我公司对此声明负全部法律责任。</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特此声明。</w:t>
      </w:r>
    </w:p>
    <w:p>
      <w:pPr>
        <w:widowControl/>
        <w:spacing w:line="480" w:lineRule="auto"/>
        <w:rPr>
          <w:rFonts w:ascii="仿宋" w:hAnsi="仿宋" w:eastAsia="仿宋" w:cs="仿宋"/>
          <w:color w:val="000000"/>
          <w:kern w:val="0"/>
          <w:sz w:val="24"/>
        </w:rPr>
      </w:pP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lang w:eastAsia="zh-CN"/>
        </w:rPr>
        <w:t>供应商名称</w:t>
      </w:r>
      <w:r>
        <w:rPr>
          <w:rFonts w:hint="eastAsia" w:ascii="仿宋" w:hAnsi="仿宋" w:eastAsia="仿宋" w:cs="仿宋"/>
          <w:color w:val="000000"/>
          <w:kern w:val="0"/>
          <w:sz w:val="24"/>
        </w:rPr>
        <w:t>（盖章）：XXXXXXX有限公司</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日期： 年  月  日</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注：[近三年：指成立三年以上的，为提交首次投标文件截止时间前三年内；成立不足三年的，为实际时间。]</w:t>
      </w:r>
    </w:p>
    <w:p>
      <w:pPr>
        <w:widowControl/>
        <w:spacing w:line="480" w:lineRule="auto"/>
        <w:rPr>
          <w:rFonts w:ascii="仿宋" w:hAnsi="仿宋" w:eastAsia="仿宋" w:cs="仿宋"/>
          <w:b/>
          <w:kern w:val="0"/>
          <w:sz w:val="24"/>
        </w:rPr>
      </w:pPr>
    </w:p>
    <w:p>
      <w:pPr>
        <w:widowControl/>
        <w:spacing w:line="480" w:lineRule="auto"/>
        <w:rPr>
          <w:rFonts w:ascii="仿宋" w:hAnsi="仿宋" w:eastAsia="仿宋" w:cs="仿宋"/>
          <w:b/>
          <w:kern w:val="0"/>
          <w:sz w:val="24"/>
        </w:rPr>
      </w:pPr>
    </w:p>
    <w:p>
      <w:pPr>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7、法律、行政法规规定的其他条件；</w:t>
      </w:r>
    </w:p>
    <w:p>
      <w:pPr>
        <w:widowControl/>
        <w:spacing w:line="480" w:lineRule="auto"/>
        <w:jc w:val="center"/>
        <w:rPr>
          <w:rFonts w:ascii="仿宋" w:hAnsi="仿宋" w:eastAsia="仿宋" w:cs="仿宋"/>
          <w:color w:val="000000"/>
          <w:kern w:val="0"/>
          <w:sz w:val="24"/>
        </w:rPr>
      </w:pPr>
    </w:p>
    <w:p>
      <w:pPr>
        <w:widowControl/>
        <w:spacing w:line="480" w:lineRule="auto"/>
        <w:jc w:val="center"/>
        <w:rPr>
          <w:rFonts w:ascii="仿宋" w:hAnsi="仿宋" w:eastAsia="仿宋" w:cs="仿宋"/>
          <w:color w:val="000000"/>
          <w:kern w:val="0"/>
          <w:sz w:val="24"/>
        </w:rPr>
      </w:pPr>
      <w:r>
        <w:rPr>
          <w:rFonts w:hint="eastAsia" w:ascii="仿宋" w:hAnsi="仿宋" w:eastAsia="仿宋" w:cs="仿宋"/>
          <w:color w:val="000000"/>
          <w:kern w:val="0"/>
          <w:sz w:val="24"/>
        </w:rPr>
        <w:t>符合法律、行政法规规定的其他条件的声明函</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u w:val="single"/>
        </w:rPr>
        <w:t xml:space="preserve">          （采购单位名称）</w:t>
      </w:r>
      <w:r>
        <w:rPr>
          <w:rFonts w:hint="eastAsia" w:ascii="仿宋" w:hAnsi="仿宋" w:eastAsia="仿宋" w:cs="仿宋"/>
          <w:color w:val="000000"/>
          <w:kern w:val="0"/>
          <w:sz w:val="24"/>
        </w:rPr>
        <w:t>：</w:t>
      </w:r>
    </w:p>
    <w:p>
      <w:pPr>
        <w:widowControl/>
        <w:spacing w:line="48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我公司参与</w:t>
      </w:r>
      <w:r>
        <w:rPr>
          <w:rFonts w:hint="eastAsia" w:ascii="仿宋" w:hAnsi="仿宋" w:eastAsia="仿宋" w:cs="仿宋"/>
          <w:color w:val="000000"/>
          <w:kern w:val="0"/>
          <w:sz w:val="24"/>
          <w:u w:val="single"/>
        </w:rPr>
        <w:t xml:space="preserve">                        （项目名称、项目编号）</w:t>
      </w:r>
      <w:r>
        <w:rPr>
          <w:rFonts w:hint="eastAsia" w:ascii="仿宋" w:hAnsi="仿宋" w:eastAsia="仿宋" w:cs="仿宋"/>
          <w:color w:val="000000"/>
          <w:kern w:val="0"/>
          <w:sz w:val="24"/>
        </w:rPr>
        <w:t>招标，本公司郑重声明，我公司参加本项目政府采购活动前三年内无重大违法记录，符合《政府采购法》规定的投标单位条件。若贵方在本项目招标过程中发现我公司在政府采购活动前三年内有不符合法律、行政法规规定的其他条件的违法记录，我公司将无条件退出本项目的响应，并承担因此引起的一切后果。我公司对此声明负全部法律责任。</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特此声明。</w:t>
      </w:r>
    </w:p>
    <w:p>
      <w:pPr>
        <w:widowControl/>
        <w:spacing w:line="480" w:lineRule="auto"/>
        <w:rPr>
          <w:rFonts w:ascii="仿宋" w:hAnsi="仿宋" w:eastAsia="仿宋" w:cs="仿宋"/>
          <w:color w:val="000000"/>
          <w:kern w:val="0"/>
          <w:sz w:val="24"/>
        </w:rPr>
      </w:pP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lang w:eastAsia="zh-CN"/>
        </w:rPr>
        <w:t>供应商名称</w:t>
      </w:r>
      <w:r>
        <w:rPr>
          <w:rFonts w:hint="eastAsia" w:ascii="仿宋" w:hAnsi="仿宋" w:eastAsia="仿宋" w:cs="仿宋"/>
          <w:color w:val="000000"/>
          <w:kern w:val="0"/>
          <w:sz w:val="24"/>
        </w:rPr>
        <w:t>（盖章）：XXXXXXX有限公司</w:t>
      </w:r>
    </w:p>
    <w:p>
      <w:pPr>
        <w:widowControl/>
        <w:spacing w:line="480" w:lineRule="auto"/>
        <w:rPr>
          <w:rFonts w:ascii="仿宋" w:hAnsi="仿宋" w:eastAsia="仿宋" w:cs="仿宋"/>
          <w:color w:val="000000"/>
          <w:kern w:val="0"/>
          <w:sz w:val="24"/>
        </w:rPr>
      </w:pPr>
      <w:r>
        <w:rPr>
          <w:rFonts w:hint="eastAsia" w:ascii="仿宋" w:hAnsi="仿宋" w:eastAsia="仿宋" w:cs="仿宋"/>
          <w:color w:val="000000"/>
          <w:kern w:val="0"/>
          <w:sz w:val="24"/>
        </w:rPr>
        <w:t>日期： 年  月  日</w:t>
      </w:r>
    </w:p>
    <w:p>
      <w:pPr>
        <w:widowControl/>
        <w:rPr>
          <w:rFonts w:ascii="仿宋_GB2312" w:hAnsi="仿宋" w:eastAsia="仿宋_GB2312" w:cs="仿宋_GB2312"/>
          <w:b/>
          <w:kern w:val="0"/>
          <w:sz w:val="32"/>
          <w:szCs w:val="32"/>
        </w:rPr>
      </w:pPr>
      <w:r>
        <w:rPr>
          <w:rFonts w:hint="eastAsia" w:ascii="仿宋" w:hAnsi="仿宋" w:eastAsia="仿宋" w:cs="仿宋"/>
          <w:color w:val="000000"/>
          <w:kern w:val="0"/>
          <w:sz w:val="24"/>
        </w:rPr>
        <w:t>注：[近三年：指成立三年以上的，为提交首次投标文件截止时间前三年内；成立不足三年的，为实际时间。]</w:t>
      </w:r>
    </w:p>
    <w:p>
      <w:pPr>
        <w:rPr>
          <w:rFonts w:ascii="仿宋_GB2312" w:hAnsi="仿宋" w:eastAsia="仿宋_GB2312" w:cs="仿宋_GB2312"/>
          <w:b/>
          <w:kern w:val="0"/>
          <w:sz w:val="32"/>
          <w:szCs w:val="32"/>
        </w:rPr>
      </w:pPr>
      <w:r>
        <w:rPr>
          <w:rFonts w:hint="eastAsia" w:ascii="仿宋" w:hAnsi="仿宋" w:eastAsia="仿宋" w:cs="仿宋"/>
          <w:color w:val="000000"/>
          <w:kern w:val="0"/>
          <w:sz w:val="24"/>
        </w:rPr>
        <w:br w:type="page"/>
      </w: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8、投标保证金</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8" w:hRule="atLeast"/>
        </w:trPr>
        <w:tc>
          <w:tcPr>
            <w:tcW w:w="9286" w:type="dxa"/>
          </w:tcPr>
          <w:p>
            <w:pPr>
              <w:pStyle w:val="6"/>
              <w:numPr>
                <w:ilvl w:val="2"/>
                <w:numId w:val="0"/>
              </w:numPr>
            </w:pPr>
          </w:p>
          <w:p/>
          <w:p>
            <w:pPr>
              <w:pStyle w:val="6"/>
              <w:numPr>
                <w:ilvl w:val="2"/>
                <w:numId w:val="0"/>
              </w:numPr>
              <w:ind w:left="180"/>
              <w:jc w:val="center"/>
              <w:rPr>
                <w:b w:val="0"/>
                <w:bCs w:val="0"/>
                <w:sz w:val="24"/>
                <w:szCs w:val="24"/>
              </w:rPr>
            </w:pPr>
            <w:r>
              <w:rPr>
                <w:rFonts w:hint="eastAsia"/>
                <w:b w:val="0"/>
                <w:bCs w:val="0"/>
                <w:sz w:val="24"/>
                <w:szCs w:val="24"/>
              </w:rPr>
              <w:t>附投标保证金汇款凭证</w:t>
            </w:r>
          </w:p>
          <w:p/>
          <w:p/>
        </w:tc>
      </w:tr>
    </w:tbl>
    <w:p>
      <w:pPr>
        <w:bidi w:val="0"/>
      </w:pPr>
    </w:p>
    <w:p>
      <w:pP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br w:type="page"/>
      </w:r>
    </w:p>
    <w:p>
      <w:pPr>
        <w:widowControl/>
        <w:spacing w:line="360" w:lineRule="auto"/>
        <w:ind w:left="150"/>
        <w:jc w:val="left"/>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9、本项目的特定资格要求</w:t>
      </w:r>
    </w:p>
    <w:p>
      <w:pPr>
        <w:spacing w:line="360" w:lineRule="auto"/>
        <w:jc w:val="center"/>
        <w:rPr>
          <w:rFonts w:ascii="仿宋" w:hAnsi="仿宋" w:eastAsia="仿宋" w:cs="仿宋"/>
          <w:sz w:val="24"/>
        </w:rPr>
      </w:pPr>
      <w:r>
        <w:rPr>
          <w:rFonts w:hint="eastAsia" w:ascii="仿宋_GB2312" w:hAnsi="仿宋" w:eastAsia="仿宋_GB2312" w:cs="仿宋_GB2312"/>
          <w:sz w:val="24"/>
        </w:rPr>
        <w:t>（根据竞争性磋商邀请公告本项目的特定资格要求</w:t>
      </w:r>
      <w:r>
        <w:rPr>
          <w:rFonts w:hint="eastAsia" w:ascii="仿宋_GB2312" w:hAnsi="仿宋" w:eastAsia="仿宋_GB2312"/>
          <w:sz w:val="24"/>
        </w:rPr>
        <w:t>提供相应的材料；未要求的，无需提</w:t>
      </w:r>
      <w:r>
        <w:rPr>
          <w:rFonts w:hint="eastAsia" w:ascii="仿宋" w:hAnsi="仿宋" w:eastAsia="仿宋" w:cs="仿宋"/>
          <w:sz w:val="24"/>
        </w:rPr>
        <w:t>供）</w:t>
      </w:r>
    </w:p>
    <w:p>
      <w:pPr>
        <w:rPr>
          <w:rFonts w:ascii="仿宋" w:hAnsi="仿宋" w:eastAsia="仿宋" w:cs="仿宋"/>
          <w:sz w:val="24"/>
        </w:rPr>
      </w:pPr>
    </w:p>
    <w:p>
      <w:pPr>
        <w:rPr>
          <w:rFonts w:ascii="仿宋_GB2312" w:hAnsi="仿宋" w:eastAsia="仿宋_GB2312" w:cs="仿宋_GB2312"/>
          <w:b/>
          <w:kern w:val="0"/>
          <w:sz w:val="36"/>
          <w:szCs w:val="36"/>
        </w:rPr>
      </w:pPr>
      <w:r>
        <w:rPr>
          <w:rFonts w:hint="eastAsia" w:ascii="仿宋_GB2312" w:hAnsi="仿宋" w:eastAsia="仿宋_GB2312" w:cs="仿宋_GB2312"/>
          <w:b/>
          <w:kern w:val="0"/>
          <w:sz w:val="36"/>
          <w:szCs w:val="36"/>
        </w:rPr>
        <w:br w:type="page"/>
      </w:r>
    </w:p>
    <w:p>
      <w:pPr>
        <w:spacing w:line="360" w:lineRule="auto"/>
        <w:jc w:val="center"/>
        <w:outlineLvl w:val="0"/>
      </w:pPr>
      <w:bookmarkStart w:id="539" w:name="_Toc4067"/>
      <w:r>
        <w:rPr>
          <w:rFonts w:hint="eastAsia" w:ascii="仿宋_GB2312" w:hAnsi="仿宋" w:eastAsia="仿宋_GB2312" w:cs="仿宋_GB2312"/>
          <w:b/>
          <w:kern w:val="0"/>
          <w:sz w:val="36"/>
          <w:szCs w:val="36"/>
        </w:rPr>
        <w:t>商务技术文件部分</w:t>
      </w:r>
      <w:bookmarkEnd w:id="539"/>
    </w:p>
    <w:p>
      <w:pPr>
        <w:snapToGrid w:val="0"/>
        <w:spacing w:line="360" w:lineRule="auto"/>
        <w:ind w:right="480"/>
        <w:rPr>
          <w:rFonts w:ascii="仿宋_GB2312" w:hAnsi="仿宋" w:eastAsia="仿宋_GB2312" w:cs="仿宋_GB2312"/>
          <w:b/>
          <w:kern w:val="0"/>
          <w:sz w:val="32"/>
          <w:szCs w:val="32"/>
          <w:lang w:val="zh-CN"/>
        </w:rPr>
      </w:pPr>
      <w:bookmarkStart w:id="540" w:name="_Toc4380"/>
      <w:r>
        <w:rPr>
          <w:rFonts w:hint="eastAsia" w:ascii="仿宋_GB2312" w:hAnsi="仿宋" w:eastAsia="仿宋_GB2312" w:cs="仿宋_GB2312"/>
          <w:b/>
          <w:kern w:val="0"/>
          <w:sz w:val="32"/>
          <w:szCs w:val="32"/>
          <w:lang w:val="zh-CN"/>
        </w:rPr>
        <w:t>一、响应函</w:t>
      </w:r>
      <w:bookmarkEnd w:id="540"/>
    </w:p>
    <w:p>
      <w:pPr>
        <w:snapToGrid w:val="0"/>
        <w:spacing w:line="360" w:lineRule="exact"/>
        <w:rPr>
          <w:rFonts w:ascii="仿宋_GB2312" w:hAnsi="仿宋_GB2312" w:eastAsia="仿宋_GB2312" w:cs="仿宋_GB2312"/>
          <w:sz w:val="24"/>
        </w:rPr>
      </w:pPr>
      <w:r>
        <w:rPr>
          <w:rFonts w:hint="eastAsia" w:ascii="仿宋_GB2312" w:hAnsi="仿宋" w:eastAsia="仿宋_GB2312" w:cs="仿宋_GB2312"/>
          <w:sz w:val="24"/>
          <w:u w:val="single"/>
        </w:rPr>
        <w:t>（采购人）、（采购代理机构）</w:t>
      </w:r>
      <w:r>
        <w:rPr>
          <w:rFonts w:hint="eastAsia" w:ascii="仿宋_GB2312" w:hAnsi="仿宋_GB2312" w:eastAsia="仿宋_GB2312" w:cs="仿宋_GB2312"/>
          <w:sz w:val="24"/>
        </w:rPr>
        <w:t>：</w:t>
      </w:r>
    </w:p>
    <w:p>
      <w:pPr>
        <w:snapToGrid w:val="0"/>
        <w:spacing w:line="360" w:lineRule="exact"/>
        <w:ind w:firstLine="480" w:firstLineChars="200"/>
        <w:rPr>
          <w:rFonts w:ascii="仿宋_GB2312" w:hAnsi="仿宋_GB2312" w:eastAsia="仿宋_GB2312" w:cs="仿宋_GB2312"/>
          <w:sz w:val="24"/>
        </w:rPr>
      </w:pPr>
      <w:r>
        <w:rPr>
          <w:rFonts w:hint="eastAsia" w:ascii="仿宋_GB2312" w:hAnsi="仿宋" w:eastAsia="仿宋_GB2312" w:cs="仿宋_GB2312"/>
          <w:sz w:val="24"/>
        </w:rPr>
        <w:t>我方参加你方组织的</w:t>
      </w:r>
      <w:r>
        <w:rPr>
          <w:rFonts w:hint="eastAsia" w:ascii="仿宋_GB2312" w:hAnsi="仿宋" w:eastAsia="仿宋_GB2312" w:cs="仿宋_GB2312"/>
          <w:sz w:val="24"/>
          <w:u w:val="single"/>
          <w:lang w:eastAsia="zh-CN"/>
        </w:rPr>
        <w:t>天山牧歌二期31号楼地下一二层装修工程</w:t>
      </w:r>
      <w:r>
        <w:rPr>
          <w:rFonts w:hint="eastAsia" w:ascii="仿宋_GB2312" w:hAnsi="仿宋" w:eastAsia="仿宋_GB2312" w:cs="仿宋_GB2312"/>
          <w:sz w:val="24"/>
          <w:u w:val="single"/>
        </w:rPr>
        <w:t>【编号：</w:t>
      </w:r>
      <w:r>
        <w:rPr>
          <w:rFonts w:hint="eastAsia" w:ascii="仿宋_GB2312" w:hAnsi="仿宋" w:eastAsia="仿宋_GB2312"/>
          <w:b w:val="0"/>
          <w:i w:val="0"/>
          <w:sz w:val="24"/>
          <w:u w:val="single"/>
          <w:lang w:eastAsia="zh-CN"/>
        </w:rPr>
        <w:t>2023-ZFCG-0073-01</w:t>
      </w:r>
      <w:r>
        <w:rPr>
          <w:rFonts w:hint="eastAsia" w:ascii="仿宋_GB2312" w:hAnsi="仿宋" w:eastAsia="仿宋_GB2312" w:cs="仿宋_GB2312"/>
          <w:sz w:val="24"/>
          <w:u w:val="single"/>
        </w:rPr>
        <w:t>】</w:t>
      </w:r>
      <w:r>
        <w:rPr>
          <w:rFonts w:hint="eastAsia" w:ascii="仿宋_GB2312" w:hAnsi="仿宋" w:eastAsia="仿宋_GB2312" w:cs="仿宋_GB2312"/>
          <w:sz w:val="24"/>
          <w:lang w:eastAsia="zh-CN"/>
        </w:rPr>
        <w:t>竞争</w:t>
      </w:r>
      <w:r>
        <w:rPr>
          <w:rFonts w:hint="eastAsia" w:ascii="仿宋_GB2312" w:hAnsi="仿宋" w:eastAsia="仿宋_GB2312" w:cs="仿宋_GB2312"/>
          <w:sz w:val="24"/>
        </w:rPr>
        <w:t>性磋商的有关活动，并对此项目进行响应。</w:t>
      </w:r>
      <w:r>
        <w:rPr>
          <w:rFonts w:hint="eastAsia" w:ascii="仿宋_GB2312" w:hAnsi="仿宋_GB2312" w:eastAsia="仿宋_GB2312" w:cs="仿宋_GB2312"/>
          <w:sz w:val="24"/>
        </w:rPr>
        <w:t>为此：</w:t>
      </w:r>
    </w:p>
    <w:p>
      <w:pPr>
        <w:numPr>
          <w:ilvl w:val="0"/>
          <w:numId w:val="45"/>
        </w:numPr>
        <w:snapToGrid w:val="0"/>
        <w:spacing w:line="360" w:lineRule="exact"/>
        <w:rPr>
          <w:rFonts w:ascii="仿宋_GB2312" w:hAnsi="仿宋_GB2312" w:eastAsia="仿宋_GB2312" w:cs="仿宋_GB2312"/>
          <w:sz w:val="24"/>
        </w:rPr>
      </w:pPr>
      <w:r>
        <w:rPr>
          <w:rFonts w:ascii="仿宋_GB2312" w:hAnsi="仿宋" w:eastAsia="仿宋_GB2312" w:cs="仿宋_GB2312"/>
          <w:sz w:val="24"/>
        </w:rPr>
        <w:t>我方承诺</w:t>
      </w:r>
      <w:r>
        <w:rPr>
          <w:rFonts w:hint="eastAsia" w:ascii="仿宋_GB2312" w:hAnsi="仿宋" w:eastAsia="仿宋_GB2312" w:cs="仿宋_GB2312"/>
          <w:sz w:val="24"/>
        </w:rPr>
        <w:t>响应</w:t>
      </w:r>
      <w:r>
        <w:rPr>
          <w:rFonts w:ascii="仿宋_GB2312" w:hAnsi="仿宋" w:eastAsia="仿宋_GB2312" w:cs="仿宋_GB2312"/>
          <w:sz w:val="24"/>
        </w:rPr>
        <w:t>有效期从提交</w:t>
      </w:r>
      <w:r>
        <w:rPr>
          <w:rFonts w:hint="eastAsia" w:ascii="仿宋_GB2312" w:hAnsi="仿宋" w:eastAsia="仿宋_GB2312" w:cs="仿宋_GB2312"/>
          <w:sz w:val="24"/>
        </w:rPr>
        <w:t>响应</w:t>
      </w:r>
      <w:r>
        <w:rPr>
          <w:rFonts w:ascii="仿宋_GB2312" w:hAnsi="仿宋" w:eastAsia="仿宋_GB2312" w:cs="仿宋_GB2312"/>
          <w:sz w:val="24"/>
        </w:rPr>
        <w:t>文件的截止之日起</w:t>
      </w:r>
      <w:r>
        <w:rPr>
          <w:rFonts w:ascii="仿宋_GB2312" w:hAnsi="仿宋" w:eastAsia="仿宋_GB2312" w:cs="仿宋_GB2312"/>
          <w:sz w:val="24"/>
          <w:u w:val="single"/>
        </w:rPr>
        <w:t xml:space="preserve">   </w:t>
      </w:r>
      <w:r>
        <w:rPr>
          <w:rFonts w:hint="eastAsia" w:ascii="仿宋_GB2312" w:hAnsi="仿宋" w:eastAsia="仿宋_GB2312" w:cs="仿宋_GB2312"/>
          <w:sz w:val="24"/>
          <w:u w:val="single"/>
        </w:rPr>
        <w:t xml:space="preserve">  </w:t>
      </w:r>
      <w:r>
        <w:rPr>
          <w:rFonts w:ascii="仿宋_GB2312" w:hAnsi="仿宋" w:eastAsia="仿宋_GB2312" w:cs="仿宋_GB2312"/>
          <w:sz w:val="24"/>
          <w:u w:val="single"/>
        </w:rPr>
        <w:t xml:space="preserve">  </w:t>
      </w:r>
      <w:r>
        <w:rPr>
          <w:rFonts w:hint="eastAsia" w:ascii="仿宋_GB2312" w:hAnsi="仿宋" w:eastAsia="仿宋_GB2312" w:cs="仿宋_GB2312"/>
          <w:sz w:val="24"/>
        </w:rPr>
        <w:t>天（不少于</w:t>
      </w:r>
      <w:r>
        <w:rPr>
          <w:rFonts w:ascii="仿宋_GB2312" w:hAnsi="仿宋" w:eastAsia="仿宋_GB2312" w:cs="仿宋_GB2312"/>
          <w:sz w:val="24"/>
        </w:rPr>
        <w:t>90天）</w:t>
      </w:r>
      <w:r>
        <w:rPr>
          <w:rFonts w:hint="eastAsia"/>
        </w:rPr>
        <w:t>，</w:t>
      </w:r>
      <w:r>
        <w:rPr>
          <w:rFonts w:hint="eastAsia" w:ascii="仿宋_GB2312" w:hAnsi="仿宋" w:eastAsia="仿宋_GB2312" w:cs="仿宋_GB2312"/>
          <w:sz w:val="24"/>
        </w:rPr>
        <w:t>本响应文件在响应有效期满之前均具有约束力</w:t>
      </w:r>
      <w:r>
        <w:rPr>
          <w:rFonts w:hint="eastAsia" w:ascii="仿宋_GB2312" w:hAnsi="仿宋_GB2312" w:eastAsia="仿宋_GB2312" w:cs="仿宋_GB2312"/>
          <w:sz w:val="24"/>
        </w:rPr>
        <w:t>。</w:t>
      </w:r>
    </w:p>
    <w:p>
      <w:pPr>
        <w:numPr>
          <w:ilvl w:val="0"/>
          <w:numId w:val="45"/>
        </w:num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我方的响应文件包括以下内容：</w:t>
      </w:r>
    </w:p>
    <w:p>
      <w:pPr>
        <w:numPr>
          <w:ilvl w:val="1"/>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资格文件：</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符合参加政府采购活动应当具备的一般条件的承诺函；</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落实政府采购政策需满足的资格要求；</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本项目的特定资格要求；</w:t>
      </w:r>
      <w:r>
        <w:rPr>
          <w:rFonts w:hint="eastAsia" w:ascii="仿宋_GB2312" w:hAnsi="仿宋" w:eastAsia="仿宋_GB2312"/>
          <w:bCs/>
          <w:sz w:val="24"/>
        </w:rPr>
        <w:t>（本项目不适用）</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联合体协议。（如有）</w:t>
      </w:r>
    </w:p>
    <w:p>
      <w:pPr>
        <w:numPr>
          <w:ilvl w:val="1"/>
          <w:numId w:val="46"/>
        </w:numPr>
        <w:snapToGrid w:val="0"/>
        <w:spacing w:line="360" w:lineRule="exact"/>
        <w:rPr>
          <w:rFonts w:ascii="仿宋_GB2312" w:hAnsi="仿宋" w:eastAsia="仿宋_GB2312" w:cs="仿宋_GB2312"/>
          <w:bCs/>
          <w:sz w:val="24"/>
          <w:lang w:val="zh-CN"/>
        </w:rPr>
      </w:pPr>
      <w:r>
        <w:rPr>
          <w:rFonts w:hint="eastAsia" w:ascii="仿宋_GB2312" w:hAnsi="仿宋" w:eastAsia="仿宋_GB2312" w:cs="仿宋_GB2312"/>
          <w:bCs/>
          <w:sz w:val="24"/>
        </w:rPr>
        <w:t>商务技术</w:t>
      </w:r>
      <w:r>
        <w:rPr>
          <w:rFonts w:hint="eastAsia" w:ascii="仿宋_GB2312" w:hAnsi="仿宋" w:eastAsia="仿宋_GB2312" w:cs="仿宋_GB2312"/>
          <w:bCs/>
          <w:sz w:val="24"/>
          <w:lang w:val="zh-CN"/>
        </w:rPr>
        <w:t>文件：</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响应函；</w:t>
      </w:r>
      <w:r>
        <w:rPr>
          <w:rFonts w:hint="eastAsia" w:ascii="仿宋_GB2312" w:hAnsi="仿宋" w:eastAsia="仿宋_GB2312" w:cs="仿宋_GB2312"/>
          <w:bCs/>
          <w:sz w:val="24"/>
          <w:lang w:val="zh-CN"/>
        </w:rPr>
        <w:t xml:space="preserve"> </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授权委托书或法定代表人（单位负责人、自然人本人）身份证明；</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分包意向协议；</w:t>
      </w:r>
      <w:r>
        <w:rPr>
          <w:rFonts w:hint="eastAsia" w:ascii="仿宋_GB2312" w:hAnsi="仿宋" w:eastAsia="仿宋_GB2312"/>
          <w:bCs/>
          <w:sz w:val="24"/>
        </w:rPr>
        <w:t>（如有）</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符合性审查资料；</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评标标准相应的商务技术资料；</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标的清单；</w:t>
      </w:r>
    </w:p>
    <w:p>
      <w:pPr>
        <w:numPr>
          <w:ilvl w:val="2"/>
          <w:numId w:val="46"/>
        </w:numPr>
        <w:snapToGrid w:val="0"/>
        <w:spacing w:line="360" w:lineRule="exact"/>
        <w:rPr>
          <w:rFonts w:ascii="仿宋_GB2312" w:hAnsi="仿宋" w:eastAsia="仿宋_GB2312" w:cs="仿宋_GB2312"/>
          <w:bCs/>
          <w:sz w:val="24"/>
        </w:rPr>
      </w:pPr>
      <w:r>
        <w:rPr>
          <w:rFonts w:hint="eastAsia" w:ascii="仿宋_GB2312" w:hAnsi="仿宋" w:eastAsia="仿宋_GB2312" w:cs="仿宋_GB2312"/>
          <w:bCs/>
          <w:sz w:val="24"/>
        </w:rPr>
        <w:t>商务技术偏离表；</w:t>
      </w:r>
    </w:p>
    <w:p>
      <w:pPr>
        <w:numPr>
          <w:ilvl w:val="2"/>
          <w:numId w:val="46"/>
        </w:numPr>
        <w:snapToGrid w:val="0"/>
        <w:spacing w:line="360" w:lineRule="exact"/>
        <w:rPr>
          <w:rFonts w:ascii="仿宋_GB2312" w:hAnsi="仿宋" w:eastAsia="仿宋_GB2312" w:cs="仿宋_GB2312"/>
          <w:bCs/>
          <w:sz w:val="24"/>
          <w:lang w:val="zh-CN"/>
        </w:rPr>
      </w:pPr>
      <w:r>
        <w:rPr>
          <w:rFonts w:hint="eastAsia" w:ascii="仿宋_GB2312" w:hAnsi="仿宋" w:eastAsia="仿宋_GB2312" w:cs="仿宋_GB2312"/>
          <w:bCs/>
          <w:sz w:val="24"/>
          <w:lang w:val="zh-CN"/>
        </w:rPr>
        <w:t>政府采购供应商廉洁自律承诺书。</w:t>
      </w:r>
    </w:p>
    <w:p>
      <w:pPr>
        <w:numPr>
          <w:ilvl w:val="1"/>
          <w:numId w:val="46"/>
        </w:numPr>
        <w:snapToGrid w:val="0"/>
        <w:spacing w:line="360" w:lineRule="exact"/>
        <w:rPr>
          <w:rFonts w:ascii="仿宋_GB2312" w:hAnsi="仿宋" w:eastAsia="仿宋_GB2312" w:cs="仿宋_GB2312"/>
          <w:bCs/>
          <w:sz w:val="24"/>
          <w:lang w:val="zh-CN"/>
        </w:rPr>
      </w:pPr>
      <w:r>
        <w:rPr>
          <w:rFonts w:hint="eastAsia" w:ascii="仿宋_GB2312" w:hAnsi="仿宋" w:eastAsia="仿宋_GB2312" w:cs="仿宋_GB2312"/>
          <w:bCs/>
          <w:sz w:val="24"/>
          <w:lang w:val="zh-CN"/>
        </w:rPr>
        <w:t xml:space="preserve">报价文件： </w:t>
      </w:r>
    </w:p>
    <w:p>
      <w:pPr>
        <w:numPr>
          <w:ilvl w:val="2"/>
          <w:numId w:val="46"/>
        </w:numPr>
        <w:snapToGrid w:val="0"/>
        <w:spacing w:line="360" w:lineRule="exact"/>
        <w:rPr>
          <w:rFonts w:ascii="仿宋_GB2312" w:hAnsi="仿宋" w:eastAsia="仿宋_GB2312" w:cs="仿宋_GB2312"/>
          <w:bCs/>
          <w:sz w:val="24"/>
          <w:lang w:val="zh-CN"/>
        </w:rPr>
      </w:pPr>
      <w:r>
        <w:rPr>
          <w:rFonts w:hint="eastAsia" w:ascii="仿宋_GB2312" w:hAnsi="仿宋" w:eastAsia="仿宋_GB2312" w:cs="仿宋_GB2312"/>
          <w:bCs/>
          <w:sz w:val="24"/>
          <w:lang w:val="zh-CN"/>
        </w:rPr>
        <w:t>初始报价一览表；</w:t>
      </w:r>
    </w:p>
    <w:p>
      <w:pPr>
        <w:numPr>
          <w:ilvl w:val="2"/>
          <w:numId w:val="46"/>
        </w:numPr>
        <w:snapToGrid w:val="0"/>
        <w:spacing w:line="360" w:lineRule="exact"/>
        <w:rPr>
          <w:rFonts w:ascii="仿宋_GB2312" w:hAnsi="仿宋" w:eastAsia="仿宋_GB2312" w:cs="仿宋_GB2312"/>
          <w:bCs/>
          <w:sz w:val="24"/>
          <w:lang w:val="zh-CN"/>
        </w:rPr>
      </w:pPr>
      <w:r>
        <w:rPr>
          <w:rFonts w:hint="eastAsia" w:ascii="仿宋_GB2312" w:hAnsi="仿宋" w:eastAsia="仿宋_GB2312" w:cs="仿宋_GB2312"/>
          <w:bCs/>
          <w:sz w:val="24"/>
          <w:lang w:val="zh-CN"/>
        </w:rPr>
        <w:t>报价明细表</w:t>
      </w:r>
    </w:p>
    <w:p>
      <w:pPr>
        <w:snapToGrid w:val="0"/>
        <w:spacing w:line="360" w:lineRule="exact"/>
        <w:ind w:firstLine="420"/>
        <w:rPr>
          <w:rFonts w:ascii="仿宋_GB2312" w:hAnsi="仿宋" w:eastAsia="仿宋_GB2312" w:cs="仿宋_GB2312"/>
          <w:sz w:val="24"/>
        </w:rPr>
      </w:pPr>
      <w:r>
        <w:rPr>
          <w:rFonts w:ascii="仿宋_GB2312" w:hAnsi="仿宋" w:eastAsia="仿宋_GB2312" w:cs="仿宋_GB2312"/>
          <w:sz w:val="24"/>
        </w:rPr>
        <w:t>我方承诺除商务技术偏离表列出的偏离外，我方响应</w:t>
      </w:r>
      <w:r>
        <w:rPr>
          <w:rFonts w:hint="eastAsia" w:ascii="仿宋_GB2312" w:hAnsi="仿宋" w:eastAsia="仿宋_GB2312" w:cs="仿宋_GB2312"/>
          <w:sz w:val="24"/>
        </w:rPr>
        <w:t>磋商</w:t>
      </w:r>
      <w:r>
        <w:rPr>
          <w:rFonts w:ascii="仿宋_GB2312" w:hAnsi="仿宋" w:eastAsia="仿宋_GB2312" w:cs="仿宋_GB2312"/>
          <w:sz w:val="24"/>
        </w:rPr>
        <w:t>文件的全部要求。</w:t>
      </w:r>
    </w:p>
    <w:p>
      <w:pPr>
        <w:numPr>
          <w:ilvl w:val="0"/>
          <w:numId w:val="45"/>
        </w:num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如我方成交，我方承诺：</w:t>
      </w:r>
    </w:p>
    <w:p>
      <w:pPr>
        <w:numPr>
          <w:ilvl w:val="1"/>
          <w:numId w:val="47"/>
        </w:numPr>
        <w:snapToGrid w:val="0"/>
        <w:spacing w:line="360" w:lineRule="exact"/>
        <w:ind w:hanging="430"/>
        <w:rPr>
          <w:rFonts w:ascii="仿宋_GB2312" w:hAnsi="仿宋" w:eastAsia="仿宋_GB2312" w:cs="仿宋_GB2312"/>
          <w:bCs/>
          <w:sz w:val="24"/>
          <w:lang w:val="zh-CN"/>
        </w:rPr>
      </w:pPr>
      <w:r>
        <w:rPr>
          <w:rFonts w:hint="eastAsia" w:ascii="仿宋_GB2312" w:hAnsi="仿宋" w:eastAsia="仿宋_GB2312" w:cs="仿宋_GB2312"/>
          <w:bCs/>
          <w:sz w:val="24"/>
          <w:lang w:val="zh-CN"/>
        </w:rPr>
        <w:t xml:space="preserve">在收到成交通知书后，在成交通知书规定的期限内与你方签订合同； </w:t>
      </w:r>
    </w:p>
    <w:p>
      <w:pPr>
        <w:numPr>
          <w:ilvl w:val="1"/>
          <w:numId w:val="47"/>
        </w:numPr>
        <w:snapToGrid w:val="0"/>
        <w:spacing w:line="360" w:lineRule="exact"/>
        <w:ind w:hanging="430"/>
        <w:rPr>
          <w:rFonts w:ascii="仿宋_GB2312" w:hAnsi="仿宋" w:eastAsia="仿宋_GB2312" w:cs="仿宋_GB2312"/>
          <w:bCs/>
          <w:sz w:val="24"/>
          <w:lang w:val="zh-CN"/>
        </w:rPr>
      </w:pPr>
      <w:r>
        <w:rPr>
          <w:rFonts w:hint="eastAsia" w:ascii="仿宋_GB2312" w:hAnsi="仿宋" w:eastAsia="仿宋_GB2312" w:cs="仿宋_GB2312"/>
          <w:bCs/>
          <w:sz w:val="24"/>
          <w:lang w:val="zh-CN"/>
        </w:rPr>
        <w:t xml:space="preserve">在签订合同时不向你方提出附加条件； </w:t>
      </w:r>
    </w:p>
    <w:p>
      <w:pPr>
        <w:numPr>
          <w:ilvl w:val="1"/>
          <w:numId w:val="47"/>
        </w:numPr>
        <w:snapToGrid w:val="0"/>
        <w:spacing w:line="360" w:lineRule="exact"/>
        <w:ind w:hanging="430"/>
        <w:rPr>
          <w:rFonts w:ascii="仿宋_GB2312" w:hAnsi="仿宋" w:eastAsia="仿宋_GB2312" w:cs="仿宋_GB2312"/>
          <w:bCs/>
          <w:sz w:val="24"/>
          <w:lang w:val="zh-CN"/>
        </w:rPr>
      </w:pPr>
      <w:r>
        <w:rPr>
          <w:rFonts w:hint="eastAsia" w:ascii="仿宋_GB2312" w:hAnsi="仿宋" w:eastAsia="仿宋_GB2312" w:cs="仿宋_GB2312"/>
          <w:bCs/>
          <w:sz w:val="24"/>
          <w:lang w:val="zh-CN"/>
        </w:rPr>
        <w:t xml:space="preserve">按照磋商文件要求提交履约保证金； </w:t>
      </w:r>
    </w:p>
    <w:p>
      <w:pPr>
        <w:numPr>
          <w:ilvl w:val="1"/>
          <w:numId w:val="47"/>
        </w:numPr>
        <w:snapToGrid w:val="0"/>
        <w:spacing w:line="360" w:lineRule="exact"/>
        <w:ind w:hanging="430"/>
        <w:rPr>
          <w:rFonts w:ascii="仿宋_GB2312" w:hAnsi="仿宋" w:eastAsia="仿宋_GB2312" w:cs="仿宋_GB2312"/>
          <w:bCs/>
          <w:sz w:val="24"/>
          <w:lang w:val="zh-CN"/>
        </w:rPr>
      </w:pPr>
      <w:r>
        <w:rPr>
          <w:rFonts w:hint="eastAsia" w:ascii="仿宋_GB2312" w:hAnsi="仿宋" w:eastAsia="仿宋_GB2312" w:cs="仿宋_GB2312"/>
          <w:bCs/>
          <w:sz w:val="24"/>
          <w:lang w:val="zh-CN"/>
        </w:rPr>
        <w:t xml:space="preserve">在合同约定的期限内完成合同规定的全部义务。 </w:t>
      </w:r>
    </w:p>
    <w:p>
      <w:pPr>
        <w:numPr>
          <w:ilvl w:val="0"/>
          <w:numId w:val="45"/>
        </w:num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 xml:space="preserve">其他补充说明: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utoSpaceDE w:val="0"/>
        <w:autoSpaceDN w:val="0"/>
        <w:snapToGrid w:val="0"/>
        <w:spacing w:line="360" w:lineRule="exact"/>
        <w:ind w:firstLine="3960" w:firstLineChars="1650"/>
        <w:rPr>
          <w:rFonts w:ascii="仿宋_GB2312" w:hAnsi="仿宋_GB2312" w:eastAsia="仿宋_GB2312" w:cs="仿宋_GB2312"/>
          <w:kern w:val="0"/>
          <w:sz w:val="24"/>
          <w:lang w:val="zh-CN"/>
        </w:rPr>
      </w:pPr>
    </w:p>
    <w:p>
      <w:pPr>
        <w:snapToGrid w:val="0"/>
        <w:spacing w:line="360" w:lineRule="exact"/>
        <w:ind w:firstLine="3600" w:firstLineChars="1500"/>
        <w:rPr>
          <w:rFonts w:ascii="仿宋_GB2312" w:hAnsi="仿宋" w:eastAsia="仿宋_GB2312" w:cs="仿宋_GB2312"/>
          <w:sz w:val="24"/>
        </w:rPr>
      </w:pPr>
      <w:r>
        <w:rPr>
          <w:rFonts w:hint="eastAsia" w:ascii="仿宋_GB2312" w:hAnsi="仿宋" w:eastAsia="仿宋_GB2312" w:cs="仿宋_GB2312"/>
          <w:sz w:val="24"/>
          <w:lang w:eastAsia="zh-CN"/>
        </w:rPr>
        <w:t>供应商全称（盖单位公章或电子签章）</w:t>
      </w:r>
      <w:r>
        <w:rPr>
          <w:rFonts w:hint="eastAsia" w:ascii="仿宋_GB2312" w:hAnsi="仿宋" w:eastAsia="仿宋_GB2312" w:cs="仿宋_GB2312"/>
          <w:sz w:val="24"/>
        </w:rPr>
        <w:t xml:space="preserve">：                          </w:t>
      </w:r>
    </w:p>
    <w:p>
      <w:pPr>
        <w:snapToGrid w:val="0"/>
        <w:spacing w:line="360" w:lineRule="exact"/>
        <w:jc w:val="center"/>
        <w:rPr>
          <w:rFonts w:ascii="仿宋_GB2312" w:hAnsi="仿宋" w:eastAsia="仿宋_GB2312" w:cs="仿宋_GB2312"/>
          <w:sz w:val="24"/>
        </w:rPr>
      </w:pPr>
      <w:r>
        <w:rPr>
          <w:rFonts w:hint="eastAsia" w:ascii="仿宋_GB2312" w:hAnsi="仿宋" w:eastAsia="仿宋_GB2312" w:cs="仿宋_GB2312"/>
          <w:sz w:val="24"/>
        </w:rPr>
        <w:t xml:space="preserve">     日期：  年   月   日</w:t>
      </w:r>
    </w:p>
    <w:p>
      <w:pPr>
        <w:rPr>
          <w:rFonts w:ascii="仿宋_GB2312" w:hAnsi="仿宋" w:eastAsia="仿宋_GB2312" w:cs="仿宋_GB2312"/>
          <w:sz w:val="24"/>
        </w:rPr>
      </w:pPr>
      <w:r>
        <w:rPr>
          <w:rFonts w:hint="eastAsia" w:ascii="仿宋_GB2312" w:hAnsi="仿宋" w:eastAsia="仿宋_GB2312" w:cs="仿宋_GB2312"/>
          <w:sz w:val="24"/>
        </w:rPr>
        <w:br w:type="page"/>
      </w:r>
    </w:p>
    <w:p>
      <w:pPr>
        <w:widowControl/>
        <w:adjustRightInd/>
        <w:jc w:val="left"/>
        <w:rPr>
          <w:rFonts w:ascii="仿宋_GB2312" w:hAnsi="仿宋_GB2312" w:eastAsia="仿宋_GB2312" w:cs="仿宋_GB2312"/>
          <w:b/>
          <w:kern w:val="0"/>
          <w:sz w:val="32"/>
          <w:szCs w:val="32"/>
          <w:lang w:val="zh-CN"/>
        </w:rPr>
      </w:pPr>
    </w:p>
    <w:p>
      <w:pPr>
        <w:snapToGrid w:val="0"/>
        <w:spacing w:line="360" w:lineRule="auto"/>
        <w:ind w:right="480"/>
        <w:rPr>
          <w:rFonts w:ascii="仿宋_GB2312" w:hAnsi="仿宋" w:eastAsia="仿宋_GB2312" w:cs="仿宋_GB2312"/>
          <w:b/>
          <w:kern w:val="0"/>
          <w:sz w:val="32"/>
          <w:szCs w:val="32"/>
          <w:lang w:val="zh-CN"/>
        </w:rPr>
      </w:pPr>
      <w:bookmarkStart w:id="541" w:name="_Toc14613"/>
      <w:r>
        <w:rPr>
          <w:rFonts w:hint="eastAsia" w:ascii="仿宋_GB2312" w:hAnsi="仿宋" w:eastAsia="仿宋_GB2312" w:cs="仿宋_GB2312"/>
          <w:b/>
          <w:kern w:val="0"/>
          <w:sz w:val="32"/>
          <w:szCs w:val="32"/>
          <w:lang w:val="zh-CN"/>
        </w:rPr>
        <w:t>二、授权委托书或法定代表人（单位负责人、自然人本人）身份证明</w:t>
      </w:r>
      <w:bookmarkEnd w:id="541"/>
    </w:p>
    <w:p>
      <w:pPr>
        <w:snapToGrid w:val="0"/>
        <w:spacing w:line="360" w:lineRule="auto"/>
        <w:jc w:val="center"/>
        <w:rPr>
          <w:rFonts w:ascii="仿宋_GB2312" w:hAnsi="仿宋_GB2312" w:eastAsia="仿宋_GB2312" w:cs="仿宋_GB2312"/>
          <w:sz w:val="24"/>
        </w:rPr>
      </w:pPr>
      <w:r>
        <w:rPr>
          <w:rFonts w:hint="eastAsia" w:ascii="仿宋_GB2312" w:hAnsi="仿宋" w:eastAsia="仿宋_GB2312" w:cs="仿宋_GB2312"/>
          <w:b/>
          <w:kern w:val="0"/>
          <w:sz w:val="32"/>
          <w:szCs w:val="32"/>
          <w:lang w:val="zh-CN"/>
        </w:rPr>
        <w:t>授权委托书</w:t>
      </w:r>
    </w:p>
    <w:p>
      <w:pPr>
        <w:snapToGrid w:val="0"/>
        <w:spacing w:line="360" w:lineRule="auto"/>
        <w:rPr>
          <w:rFonts w:ascii="仿宋_GB2312" w:hAnsi="仿宋" w:eastAsia="仿宋_GB2312" w:cs="仿宋_GB2312"/>
          <w:sz w:val="24"/>
        </w:rPr>
      </w:pPr>
    </w:p>
    <w:p>
      <w:pPr>
        <w:snapToGrid w:val="0"/>
        <w:spacing w:line="360" w:lineRule="auto"/>
        <w:rPr>
          <w:rFonts w:ascii="仿宋_GB2312" w:hAnsi="仿宋_GB2312" w:eastAsia="仿宋_GB2312" w:cs="仿宋_GB2312"/>
          <w:kern w:val="0"/>
          <w:sz w:val="24"/>
        </w:rPr>
      </w:pPr>
      <w:r>
        <w:rPr>
          <w:rFonts w:hint="eastAsia" w:ascii="仿宋_GB2312" w:hAnsi="仿宋" w:eastAsia="仿宋_GB2312" w:cs="仿宋_GB2312"/>
          <w:sz w:val="24"/>
        </w:rPr>
        <w:t>（采购人）、（采购代理机构）</w:t>
      </w:r>
      <w:r>
        <w:rPr>
          <w:rFonts w:hint="eastAsia" w:ascii="仿宋_GB2312" w:hAnsi="仿宋_GB2312" w:eastAsia="仿宋_GB2312" w:cs="仿宋_GB2312"/>
          <w:kern w:val="0"/>
          <w:sz w:val="24"/>
          <w:lang w:val="zh-CN"/>
        </w:rPr>
        <w:t>：</w:t>
      </w:r>
    </w:p>
    <w:p>
      <w:pPr>
        <w:snapToGrid w:val="0"/>
        <w:spacing w:line="360" w:lineRule="auto"/>
        <w:ind w:firstLine="576"/>
        <w:rPr>
          <w:rFonts w:ascii="仿宋_GB2312" w:hAnsi="仿宋" w:eastAsia="仿宋_GB2312" w:cs="仿宋_GB2312"/>
          <w:kern w:val="0"/>
          <w:sz w:val="24"/>
        </w:rPr>
      </w:pPr>
      <w:r>
        <w:rPr>
          <w:rFonts w:hint="eastAsia" w:ascii="仿宋_GB2312" w:hAnsi="仿宋" w:eastAsia="仿宋_GB2312" w:cs="仿宋_GB2312"/>
          <w:kern w:val="0"/>
          <w:sz w:val="24"/>
        </w:rPr>
        <w:t>现</w:t>
      </w:r>
      <w:r>
        <w:rPr>
          <w:rFonts w:hint="eastAsia" w:ascii="仿宋_GB2312" w:hAnsi="仿宋" w:eastAsia="仿宋_GB2312" w:cs="仿宋_GB2312"/>
          <w:kern w:val="0"/>
          <w:sz w:val="24"/>
          <w:lang w:val="zh-CN"/>
        </w:rPr>
        <w:t>委托</w:t>
      </w:r>
      <w:r>
        <w:rPr>
          <w:rFonts w:ascii="仿宋_GB2312" w:hAnsi="仿宋" w:eastAsia="仿宋_GB2312" w:cs="仿宋_GB2312"/>
          <w:kern w:val="0"/>
          <w:sz w:val="24"/>
          <w:u w:val="single"/>
          <w:lang w:val="zh-CN"/>
        </w:rPr>
        <w:t xml:space="preserve">          </w:t>
      </w:r>
      <w:r>
        <w:rPr>
          <w:rFonts w:hint="eastAsia" w:ascii="仿宋_GB2312" w:hAnsi="仿宋" w:eastAsia="仿宋_GB2312" w:cs="仿宋_GB2312"/>
          <w:kern w:val="0"/>
          <w:sz w:val="24"/>
          <w:lang w:val="zh-CN"/>
        </w:rPr>
        <w:t>（姓名）为我方代理人（身份证号码：</w:t>
      </w:r>
      <w:r>
        <w:rPr>
          <w:rFonts w:ascii="仿宋_GB2312" w:hAnsi="仿宋" w:eastAsia="仿宋_GB2312" w:cs="仿宋_GB2312"/>
          <w:kern w:val="0"/>
          <w:sz w:val="24"/>
          <w:u w:val="single"/>
          <w:lang w:val="zh-CN"/>
        </w:rPr>
        <w:t xml:space="preserve">          </w:t>
      </w:r>
      <w:r>
        <w:rPr>
          <w:rFonts w:hint="eastAsia" w:ascii="仿宋_GB2312" w:hAnsi="仿宋" w:eastAsia="仿宋_GB2312" w:cs="仿宋_GB2312"/>
          <w:kern w:val="0"/>
          <w:sz w:val="24"/>
          <w:lang w:val="zh-CN"/>
        </w:rPr>
        <w:t>，手机：</w:t>
      </w:r>
      <w:r>
        <w:rPr>
          <w:rFonts w:ascii="仿宋_GB2312" w:hAnsi="仿宋" w:eastAsia="仿宋_GB2312" w:cs="仿宋_GB2312"/>
          <w:kern w:val="0"/>
          <w:sz w:val="24"/>
          <w:u w:val="single"/>
          <w:lang w:val="zh-CN"/>
        </w:rPr>
        <w:t xml:space="preserve">          </w:t>
      </w:r>
      <w:r>
        <w:rPr>
          <w:rFonts w:hint="eastAsia" w:ascii="仿宋_GB2312" w:hAnsi="仿宋" w:eastAsia="仿宋_GB2312" w:cs="仿宋_GB2312"/>
          <w:kern w:val="0"/>
          <w:sz w:val="24"/>
          <w:lang w:val="zh-CN"/>
        </w:rPr>
        <w:t>），以我方名义处理</w:t>
      </w:r>
      <w:r>
        <w:rPr>
          <w:rFonts w:hint="eastAsia" w:ascii="仿宋_GB2312" w:hAnsi="仿宋" w:eastAsia="仿宋_GB2312" w:cs="仿宋_GB2312"/>
          <w:sz w:val="24"/>
          <w:lang w:eastAsia="zh-CN"/>
        </w:rPr>
        <w:t>天山牧歌二期31号楼地下一二层装修工程</w:t>
      </w:r>
      <w:r>
        <w:rPr>
          <w:rFonts w:hint="eastAsia" w:ascii="仿宋_GB2312" w:hAnsi="仿宋" w:eastAsia="仿宋_GB2312" w:cs="仿宋_GB2312"/>
          <w:sz w:val="24"/>
        </w:rPr>
        <w:t>【编号：</w:t>
      </w:r>
      <w:r>
        <w:rPr>
          <w:rFonts w:hint="eastAsia" w:ascii="仿宋_GB2312" w:hAnsi="仿宋" w:eastAsia="仿宋_GB2312"/>
          <w:b w:val="0"/>
          <w:i w:val="0"/>
          <w:sz w:val="24"/>
          <w:lang w:eastAsia="zh-CN"/>
        </w:rPr>
        <w:t>2023-ZFCG-0073-01</w:t>
      </w:r>
      <w:r>
        <w:rPr>
          <w:rFonts w:hint="eastAsia" w:ascii="仿宋_GB2312" w:hAnsi="仿宋" w:eastAsia="仿宋_GB2312" w:cs="仿宋_GB2312"/>
          <w:sz w:val="24"/>
        </w:rPr>
        <w:t>】</w:t>
      </w:r>
      <w:r>
        <w:rPr>
          <w:rFonts w:hint="eastAsia" w:ascii="仿宋_GB2312" w:hAnsi="仿宋" w:eastAsia="仿宋_GB2312" w:cs="仿宋_GB2312"/>
          <w:kern w:val="0"/>
          <w:sz w:val="24"/>
          <w:lang w:val="zh-CN"/>
        </w:rPr>
        <w:t>政府采购响应的一切事项，其法律后果由我方承担。</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 w:eastAsia="仿宋_GB2312" w:cs="仿宋_GB2312"/>
          <w:kern w:val="0"/>
          <w:sz w:val="24"/>
          <w:lang w:val="zh-CN"/>
        </w:rPr>
        <w:t>委托期限</w:t>
      </w:r>
      <w:r>
        <w:rPr>
          <w:rFonts w:hint="eastAsia" w:ascii="仿宋_GB2312" w:hAnsi="仿宋" w:eastAsia="仿宋_GB2312" w:cs="仿宋_GB2312"/>
          <w:kern w:val="0"/>
          <w:sz w:val="24"/>
        </w:rPr>
        <w:t>：</w:t>
      </w:r>
      <w:r>
        <w:rPr>
          <w:rFonts w:hint="eastAsia" w:ascii="仿宋_GB2312" w:hAnsi="仿宋" w:eastAsia="仿宋_GB2312" w:cs="仿宋_GB2312"/>
          <w:kern w:val="0"/>
          <w:sz w:val="24"/>
          <w:lang w:val="zh-CN"/>
        </w:rPr>
        <w:t>自</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年</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月</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日起至</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年</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月</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日止</w:t>
      </w:r>
      <w:r>
        <w:rPr>
          <w:rFonts w:hint="eastAsia" w:ascii="仿宋_GB2312" w:hAnsi="仿宋_GB2312" w:eastAsia="仿宋_GB2312" w:cs="仿宋_GB2312"/>
          <w:kern w:val="0"/>
          <w:sz w:val="24"/>
          <w:lang w:val="zh-CN"/>
        </w:rPr>
        <w:t>。</w:t>
      </w:r>
    </w:p>
    <w:tbl>
      <w:tblPr>
        <w:tblStyle w:val="61"/>
        <w:tblW w:w="8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2"/>
        <w:gridCol w:w="4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4352" w:type="dxa"/>
            <w:vAlign w:val="center"/>
          </w:tcPr>
          <w:p>
            <w:pPr>
              <w:pStyle w:val="297"/>
              <w:spacing w:line="360" w:lineRule="auto"/>
              <w:jc w:val="center"/>
            </w:pPr>
            <w:r>
              <w:rPr>
                <w:rFonts w:hint="eastAsia"/>
              </w:rPr>
              <w:t>法定代表人身份证复印件</w:t>
            </w:r>
          </w:p>
          <w:p>
            <w:pPr>
              <w:pStyle w:val="297"/>
              <w:spacing w:line="360" w:lineRule="auto"/>
              <w:jc w:val="center"/>
            </w:pPr>
            <w:r>
              <w:rPr>
                <w:rFonts w:hint="eastAsia"/>
              </w:rPr>
              <w:t>正面</w:t>
            </w:r>
          </w:p>
          <w:p>
            <w:pPr>
              <w:pStyle w:val="297"/>
              <w:spacing w:line="360" w:lineRule="auto"/>
              <w:jc w:val="center"/>
            </w:pPr>
            <w:r>
              <w:rPr>
                <w:rFonts w:hint="eastAsia"/>
              </w:rPr>
              <w:t>（身份证复印件需清晰可辨认）</w:t>
            </w:r>
          </w:p>
        </w:tc>
        <w:tc>
          <w:tcPr>
            <w:tcW w:w="4307" w:type="dxa"/>
            <w:vAlign w:val="center"/>
          </w:tcPr>
          <w:p>
            <w:pPr>
              <w:pStyle w:val="297"/>
              <w:spacing w:line="360" w:lineRule="auto"/>
              <w:jc w:val="center"/>
            </w:pPr>
            <w:r>
              <w:rPr>
                <w:rFonts w:hint="eastAsia"/>
              </w:rPr>
              <w:t>被授权人身份证复印件</w:t>
            </w:r>
          </w:p>
          <w:p>
            <w:pPr>
              <w:pStyle w:val="297"/>
              <w:spacing w:line="360" w:lineRule="auto"/>
              <w:jc w:val="center"/>
            </w:pPr>
            <w:r>
              <w:rPr>
                <w:rFonts w:hint="eastAsia"/>
              </w:rPr>
              <w:t>正面</w:t>
            </w:r>
          </w:p>
          <w:p>
            <w:pPr>
              <w:pStyle w:val="297"/>
              <w:spacing w:line="360" w:lineRule="auto"/>
              <w:jc w:val="center"/>
            </w:pPr>
            <w:r>
              <w:rPr>
                <w:rFonts w:hint="eastAsia"/>
              </w:rPr>
              <w:t>（身份证复印件需清晰可辨认）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4352" w:type="dxa"/>
            <w:vAlign w:val="center"/>
          </w:tcPr>
          <w:p>
            <w:pPr>
              <w:pStyle w:val="297"/>
              <w:spacing w:line="360" w:lineRule="auto"/>
              <w:jc w:val="center"/>
            </w:pPr>
            <w:r>
              <w:rPr>
                <w:rFonts w:hint="eastAsia"/>
              </w:rPr>
              <w:t>法定代表人身份证复印件</w:t>
            </w:r>
          </w:p>
          <w:p>
            <w:pPr>
              <w:pStyle w:val="297"/>
              <w:spacing w:line="360" w:lineRule="auto"/>
              <w:jc w:val="center"/>
            </w:pPr>
            <w:r>
              <w:rPr>
                <w:rFonts w:hint="eastAsia"/>
              </w:rPr>
              <w:t>反面</w:t>
            </w:r>
          </w:p>
          <w:p>
            <w:pPr>
              <w:pStyle w:val="297"/>
              <w:spacing w:line="360" w:lineRule="auto"/>
              <w:jc w:val="center"/>
            </w:pPr>
            <w:r>
              <w:rPr>
                <w:rFonts w:hint="eastAsia"/>
              </w:rPr>
              <w:t>（身份证复印件需清晰可辨认）</w:t>
            </w:r>
          </w:p>
        </w:tc>
        <w:tc>
          <w:tcPr>
            <w:tcW w:w="4307" w:type="dxa"/>
            <w:vAlign w:val="center"/>
          </w:tcPr>
          <w:p>
            <w:pPr>
              <w:pStyle w:val="297"/>
              <w:spacing w:line="360" w:lineRule="auto"/>
              <w:jc w:val="center"/>
            </w:pPr>
            <w:r>
              <w:rPr>
                <w:rFonts w:hint="eastAsia"/>
              </w:rPr>
              <w:t>被授权人身份证复印件</w:t>
            </w:r>
          </w:p>
          <w:p>
            <w:pPr>
              <w:pStyle w:val="297"/>
              <w:spacing w:line="360" w:lineRule="auto"/>
              <w:jc w:val="center"/>
            </w:pPr>
            <w:r>
              <w:rPr>
                <w:rFonts w:hint="eastAsia"/>
              </w:rPr>
              <w:t>反面</w:t>
            </w:r>
          </w:p>
          <w:p>
            <w:pPr>
              <w:pStyle w:val="297"/>
              <w:spacing w:line="360" w:lineRule="auto"/>
              <w:jc w:val="center"/>
            </w:pPr>
            <w:r>
              <w:rPr>
                <w:rFonts w:hint="eastAsia"/>
              </w:rPr>
              <w:t>（身份证复印件需清晰可辨认）</w:t>
            </w:r>
          </w:p>
        </w:tc>
      </w:tr>
    </w:tbl>
    <w:p>
      <w:pPr>
        <w:snapToGrid w:val="0"/>
        <w:spacing w:line="360" w:lineRule="auto"/>
        <w:ind w:firstLine="480" w:firstLineChars="200"/>
        <w:rPr>
          <w:rFonts w:ascii="仿宋_GB2312" w:hAnsi="仿宋_GB2312" w:eastAsia="仿宋_GB2312" w:cs="仿宋_GB2312"/>
          <w:kern w:val="0"/>
          <w:sz w:val="24"/>
        </w:rPr>
      </w:pPr>
    </w:p>
    <w:p>
      <w:pPr>
        <w:snapToGrid w:val="0"/>
        <w:spacing w:line="360" w:lineRule="auto"/>
        <w:ind w:firstLine="480" w:firstLineChars="200"/>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特此告知。</w:t>
      </w:r>
    </w:p>
    <w:p>
      <w:pPr>
        <w:keepNext w:val="0"/>
        <w:keepLines w:val="0"/>
        <w:pageBreakBefore w:val="0"/>
        <w:kinsoku/>
        <w:wordWrap/>
        <w:overflowPunct/>
        <w:topLinePunct w:val="0"/>
        <w:autoSpaceDE/>
        <w:autoSpaceDN/>
        <w:bidi w:val="0"/>
        <w:snapToGrid w:val="0"/>
        <w:spacing w:line="360" w:lineRule="auto"/>
        <w:ind w:firstLine="5760" w:firstLineChars="2400"/>
        <w:jc w:val="both"/>
        <w:textAlignment w:val="auto"/>
        <w:rPr>
          <w:rFonts w:ascii="仿宋" w:hAnsi="仿宋" w:eastAsia="仿宋" w:cs="仿宋"/>
          <w:kern w:val="0"/>
          <w:sz w:val="24"/>
          <w:highlight w:val="none"/>
        </w:rPr>
      </w:pPr>
      <w:r>
        <w:rPr>
          <w:rFonts w:hint="eastAsia" w:ascii="仿宋" w:hAnsi="仿宋" w:eastAsia="仿宋" w:cs="仿宋"/>
          <w:kern w:val="0"/>
          <w:sz w:val="24"/>
          <w:highlight w:val="none"/>
          <w:lang w:val="zh-CN"/>
        </w:rPr>
        <w:t>供应商名称(盖章)：</w:t>
      </w:r>
    </w:p>
    <w:p>
      <w:pPr>
        <w:keepNext w:val="0"/>
        <w:keepLines w:val="0"/>
        <w:pageBreakBefore w:val="0"/>
        <w:kinsoku/>
        <w:wordWrap/>
        <w:overflowPunct/>
        <w:topLinePunct w:val="0"/>
        <w:autoSpaceDE/>
        <w:autoSpaceDN/>
        <w:bidi w:val="0"/>
        <w:snapToGrid w:val="0"/>
        <w:spacing w:line="360" w:lineRule="auto"/>
        <w:jc w:val="both"/>
        <w:textAlignment w:val="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                           </w:t>
      </w:r>
    </w:p>
    <w:p>
      <w:pPr>
        <w:pStyle w:val="17"/>
        <w:keepNext w:val="0"/>
        <w:keepLines w:val="0"/>
        <w:pageBreakBefore w:val="0"/>
        <w:kinsoku/>
        <w:wordWrap/>
        <w:overflowPunct/>
        <w:topLinePunct w:val="0"/>
        <w:autoSpaceDE/>
        <w:autoSpaceDN/>
        <w:bidi w:val="0"/>
        <w:adjustRightInd w:val="0"/>
        <w:spacing w:line="360" w:lineRule="auto"/>
        <w:ind w:firstLine="5040" w:firstLineChars="2100"/>
        <w:jc w:val="both"/>
        <w:textAlignment w:val="auto"/>
        <w:rPr>
          <w:rFonts w:hint="eastAsia" w:ascii="仿宋_GB2312" w:hAnsi="仿宋" w:eastAsia="仿宋_GB2312" w:cs="仿宋_GB2312"/>
          <w:kern w:val="0"/>
          <w:sz w:val="24"/>
          <w:lang w:val="en-US" w:eastAsia="zh-CN"/>
        </w:rPr>
      </w:pPr>
      <w:r>
        <w:rPr>
          <w:rFonts w:hint="eastAsia" w:ascii="仿宋_GB2312" w:hAnsi="仿宋" w:eastAsia="仿宋_GB2312" w:cs="仿宋_GB2312"/>
          <w:kern w:val="0"/>
          <w:sz w:val="24"/>
          <w:lang w:val="zh-CN"/>
        </w:rPr>
        <w:t>法定代表人（签字或盖章）：</w:t>
      </w:r>
      <w:r>
        <w:rPr>
          <w:rFonts w:hint="eastAsia" w:ascii="仿宋_GB2312" w:hAnsi="仿宋" w:eastAsia="仿宋_GB2312" w:cs="仿宋_GB2312"/>
          <w:kern w:val="0"/>
          <w:sz w:val="24"/>
          <w:lang w:val="en-US" w:eastAsia="zh-CN"/>
        </w:rPr>
        <w:t xml:space="preserve"> </w:t>
      </w:r>
    </w:p>
    <w:p>
      <w:pPr>
        <w:keepNext w:val="0"/>
        <w:keepLines w:val="0"/>
        <w:pageBreakBefore w:val="0"/>
        <w:kinsoku/>
        <w:wordWrap/>
        <w:overflowPunct/>
        <w:topLinePunct w:val="0"/>
        <w:autoSpaceDE/>
        <w:autoSpaceDN/>
        <w:bidi w:val="0"/>
        <w:spacing w:line="360" w:lineRule="auto"/>
        <w:jc w:val="both"/>
        <w:textAlignment w:val="auto"/>
        <w:rPr>
          <w:rFonts w:hint="eastAsia" w:ascii="仿宋_GB2312" w:hAnsi="仿宋" w:eastAsia="仿宋_GB2312" w:cs="仿宋_GB2312"/>
          <w:kern w:val="0"/>
          <w:sz w:val="24"/>
          <w:lang w:val="en-US" w:eastAsia="zh-CN"/>
        </w:rPr>
      </w:pPr>
    </w:p>
    <w:p>
      <w:pPr>
        <w:pStyle w:val="17"/>
        <w:keepNext w:val="0"/>
        <w:keepLines w:val="0"/>
        <w:pageBreakBefore w:val="0"/>
        <w:kinsoku/>
        <w:wordWrap/>
        <w:overflowPunct/>
        <w:topLinePunct w:val="0"/>
        <w:autoSpaceDE/>
        <w:autoSpaceDN/>
        <w:bidi w:val="0"/>
        <w:spacing w:line="360" w:lineRule="auto"/>
        <w:ind w:firstLine="5760" w:firstLineChars="2400"/>
        <w:jc w:val="both"/>
        <w:textAlignment w:val="auto"/>
        <w:rPr>
          <w:rFonts w:hint="eastAsia" w:ascii="仿宋_GB2312" w:hAnsi="仿宋" w:eastAsia="仿宋_GB2312" w:cs="仿宋_GB2312"/>
          <w:snapToGrid/>
          <w:color w:val="auto"/>
          <w:kern w:val="0"/>
          <w:sz w:val="24"/>
          <w:szCs w:val="24"/>
          <w:lang w:val="en-US" w:eastAsia="zh-CN" w:bidi="ar-SA"/>
        </w:rPr>
      </w:pPr>
      <w:r>
        <w:rPr>
          <w:rFonts w:hint="eastAsia" w:ascii="仿宋_GB2312" w:hAnsi="仿宋" w:eastAsia="仿宋_GB2312" w:cs="仿宋_GB2312"/>
          <w:snapToGrid/>
          <w:color w:val="auto"/>
          <w:kern w:val="0"/>
          <w:sz w:val="24"/>
          <w:szCs w:val="24"/>
          <w:lang w:val="zh-CN" w:eastAsia="zh-CN" w:bidi="ar-SA"/>
        </w:rPr>
        <w:t>被授权人（签字）：</w:t>
      </w:r>
    </w:p>
    <w:p>
      <w:pPr>
        <w:keepNext w:val="0"/>
        <w:keepLines w:val="0"/>
        <w:pageBreakBefore w:val="0"/>
        <w:kinsoku/>
        <w:wordWrap/>
        <w:overflowPunct/>
        <w:topLinePunct w:val="0"/>
        <w:autoSpaceDE/>
        <w:autoSpaceDN/>
        <w:bidi w:val="0"/>
        <w:spacing w:line="360" w:lineRule="auto"/>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jc w:val="right"/>
        <w:textAlignment w:val="auto"/>
        <w:rPr>
          <w:rFonts w:ascii="仿宋_GB2312" w:hAnsi="仿宋_GB2312" w:eastAsia="仿宋_GB2312" w:cs="仿宋_GB2312"/>
          <w:b/>
          <w:bCs/>
          <w:sz w:val="30"/>
          <w:szCs w:val="30"/>
        </w:rPr>
      </w:pPr>
      <w:r>
        <w:rPr>
          <w:rFonts w:hint="eastAsia" w:ascii="仿宋_GB2312" w:hAnsi="仿宋" w:eastAsia="仿宋_GB2312" w:cs="仿宋_GB2312"/>
          <w:kern w:val="0"/>
          <w:sz w:val="24"/>
          <w:lang w:val="zh-CN"/>
        </w:rPr>
        <w:t>签发日期：  年  月   日</w:t>
      </w:r>
      <w:r>
        <w:rPr>
          <w:rFonts w:hint="eastAsia" w:ascii="仿宋_GB2312" w:hAnsi="仿宋" w:eastAsia="仿宋_GB2312" w:cs="仿宋_GB2312"/>
          <w:kern w:val="0"/>
          <w:sz w:val="24"/>
          <w:lang w:val="en-US" w:eastAsia="zh-CN"/>
        </w:rPr>
        <w:t xml:space="preserve"> </w:t>
      </w:r>
    </w:p>
    <w:p>
      <w:pPr>
        <w:rPr>
          <w:rFonts w:hint="eastAsia" w:ascii="仿宋_GB2312" w:hAnsi="仿宋" w:eastAsia="仿宋_GB2312" w:cs="仿宋_GB2312"/>
          <w:b/>
          <w:kern w:val="0"/>
          <w:sz w:val="32"/>
          <w:szCs w:val="32"/>
          <w:lang w:val="zh-CN"/>
        </w:rPr>
      </w:pPr>
      <w:r>
        <w:rPr>
          <w:rFonts w:hint="eastAsia" w:ascii="仿宋_GB2312" w:hAnsi="仿宋" w:eastAsia="仿宋_GB2312" w:cs="仿宋_GB2312"/>
          <w:b/>
          <w:kern w:val="0"/>
          <w:sz w:val="32"/>
          <w:szCs w:val="32"/>
          <w:lang w:val="zh-CN"/>
        </w:rPr>
        <w:br w:type="page"/>
      </w:r>
    </w:p>
    <w:p>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kern w:val="0"/>
          <w:sz w:val="32"/>
          <w:szCs w:val="32"/>
          <w:lang w:val="zh-CN"/>
        </w:rPr>
        <w:t>法定代表人、单位负责人或自然人本人</w:t>
      </w:r>
      <w:r>
        <w:rPr>
          <w:rFonts w:hint="eastAsia" w:ascii="仿宋_GB2312" w:hAnsi="仿宋" w:eastAsia="仿宋_GB2312" w:cs="仿宋_GB2312"/>
          <w:b/>
          <w:sz w:val="30"/>
          <w:szCs w:val="30"/>
        </w:rPr>
        <w:t>的身份证明（适用于法定代表人、单位负责人或者自然人本人代表供应商参加响应）</w:t>
      </w:r>
    </w:p>
    <w:p>
      <w:pPr>
        <w:pStyle w:val="621"/>
        <w:spacing w:line="360" w:lineRule="auto"/>
        <w:rPr>
          <w:rFonts w:ascii="仿宋_GB2312" w:hAnsi="仿宋" w:eastAsia="仿宋_GB2312"/>
          <w:bCs/>
          <w:sz w:val="24"/>
        </w:rPr>
      </w:pPr>
      <w:r>
        <w:rPr>
          <w:rFonts w:hint="eastAsia" w:ascii="仿宋_GB2312" w:hAnsi="仿宋" w:eastAsia="仿宋_GB2312"/>
          <w:bCs/>
          <w:sz w:val="24"/>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621"/>
              <w:adjustRightInd w:val="0"/>
              <w:spacing w:line="360" w:lineRule="auto"/>
              <w:rPr>
                <w:rFonts w:ascii="仿宋_GB2312" w:hAnsi="仿宋" w:eastAsia="仿宋_GB2312"/>
                <w:bCs/>
                <w:sz w:val="24"/>
              </w:rPr>
            </w:pPr>
            <w:r>
              <w:rPr>
                <w:rFonts w:hint="eastAsia" w:ascii="仿宋_GB2312" w:hAnsi="仿宋" w:eastAsia="仿宋_GB2312"/>
                <w:bCs/>
                <w:sz w:val="24"/>
              </w:rPr>
              <w:t>正面：</w:t>
            </w:r>
            <w:r>
              <w:rPr>
                <w:rFonts w:ascii="仿宋_GB2312" w:hAnsi="仿宋" w:eastAsia="仿宋_GB2312"/>
                <w:bCs/>
                <w:sz w:val="24"/>
              </w:rPr>
              <w:t xml:space="preserve">                                 </w:t>
            </w:r>
            <w:r>
              <w:rPr>
                <w:rFonts w:hint="eastAsia" w:ascii="仿宋_GB2312" w:hAnsi="仿宋" w:eastAsia="仿宋_GB2312"/>
                <w:bCs/>
                <w:sz w:val="24"/>
              </w:rPr>
              <w:t>反面：</w:t>
            </w:r>
          </w:p>
          <w:p>
            <w:pPr>
              <w:pStyle w:val="621"/>
              <w:adjustRightInd w:val="0"/>
              <w:spacing w:line="360" w:lineRule="auto"/>
              <w:rPr>
                <w:rFonts w:ascii="仿宋_GB2312" w:hAnsi="仿宋" w:eastAsia="仿宋_GB2312"/>
                <w:bCs/>
                <w:sz w:val="24"/>
              </w:rPr>
            </w:pPr>
          </w:p>
        </w:tc>
      </w:tr>
    </w:tbl>
    <w:p>
      <w:pPr>
        <w:snapToGrid w:val="0"/>
        <w:spacing w:line="360" w:lineRule="auto"/>
        <w:ind w:firstLine="576"/>
        <w:jc w:val="center"/>
        <w:rPr>
          <w:rFonts w:ascii="仿宋_GB2312" w:hAnsi="仿宋" w:eastAsia="仿宋_GB2312" w:cs="仿宋_GB2312"/>
          <w:kern w:val="0"/>
          <w:sz w:val="24"/>
          <w:lang w:val="zh-CN"/>
        </w:rPr>
      </w:pPr>
      <w:r>
        <w:rPr>
          <w:rFonts w:ascii="仿宋_GB2312" w:hAnsi="仿宋" w:eastAsia="仿宋_GB2312" w:cs="仿宋_GB2312"/>
          <w:kern w:val="0"/>
          <w:sz w:val="24"/>
          <w:lang w:val="zh-CN"/>
        </w:rPr>
        <w:t xml:space="preserve">                 </w:t>
      </w:r>
    </w:p>
    <w:p>
      <w:pPr>
        <w:snapToGrid w:val="0"/>
        <w:spacing w:line="360" w:lineRule="auto"/>
        <w:ind w:firstLine="576"/>
        <w:jc w:val="center"/>
        <w:rPr>
          <w:rFonts w:ascii="仿宋_GB2312" w:hAnsi="仿宋" w:eastAsia="仿宋_GB2312" w:cs="仿宋_GB2312"/>
          <w:kern w:val="0"/>
          <w:sz w:val="24"/>
          <w:lang w:val="zh-CN"/>
        </w:rPr>
      </w:pPr>
      <w:r>
        <w:rPr>
          <w:rFonts w:ascii="仿宋_GB2312" w:hAnsi="仿宋" w:eastAsia="仿宋_GB2312" w:cs="仿宋_GB2312"/>
          <w:kern w:val="0"/>
          <w:sz w:val="24"/>
          <w:lang w:val="zh-CN"/>
        </w:rPr>
        <w:t xml:space="preserve">                  </w:t>
      </w:r>
      <w:r>
        <w:rPr>
          <w:rFonts w:hint="eastAsia" w:ascii="仿宋_GB2312" w:hAnsi="仿宋" w:eastAsia="仿宋_GB2312" w:cs="仿宋_GB2312"/>
          <w:kern w:val="0"/>
          <w:sz w:val="24"/>
          <w:lang w:val="zh-CN"/>
        </w:rPr>
        <w:t>供应商全称（盖单位公章或电子签章）</w:t>
      </w:r>
      <w:r>
        <w:rPr>
          <w:rFonts w:ascii="仿宋_GB2312" w:hAnsi="仿宋" w:eastAsia="仿宋_GB2312" w:cs="仿宋_GB2312"/>
          <w:kern w:val="0"/>
          <w:sz w:val="24"/>
          <w:lang w:val="zh-CN"/>
        </w:rPr>
        <w:t xml:space="preserve">：                              </w:t>
      </w:r>
    </w:p>
    <w:p>
      <w:pPr>
        <w:spacing w:line="360" w:lineRule="auto"/>
        <w:jc w:val="center"/>
        <w:rPr>
          <w:rFonts w:ascii="仿宋_GB2312" w:hAnsi="仿宋" w:eastAsia="仿宋_GB2312" w:cs="仿宋_GB2312"/>
          <w:kern w:val="0"/>
          <w:sz w:val="24"/>
          <w:lang w:val="zh-CN"/>
        </w:rPr>
      </w:pPr>
      <w:r>
        <w:rPr>
          <w:rFonts w:ascii="仿宋_GB2312" w:hAnsi="仿宋" w:eastAsia="仿宋_GB2312" w:cs="仿宋_GB2312"/>
          <w:kern w:val="0"/>
          <w:sz w:val="24"/>
          <w:lang w:val="zh-CN"/>
        </w:rPr>
        <w:t xml:space="preserve">                   日期：  年  月  日</w:t>
      </w:r>
    </w:p>
    <w:p>
      <w:pPr>
        <w:pStyle w:val="3"/>
      </w:pPr>
    </w:p>
    <w:p>
      <w:pPr>
        <w:autoSpaceDE w:val="0"/>
        <w:autoSpaceDN w:val="0"/>
        <w:spacing w:line="360" w:lineRule="auto"/>
        <w:jc w:val="center"/>
        <w:rPr>
          <w:rFonts w:ascii="仿宋_GB2312" w:hAnsi="仿宋_GB2312" w:eastAsia="仿宋_GB2312" w:cs="仿宋_GB2312"/>
          <w:sz w:val="24"/>
        </w:rPr>
      </w:pPr>
      <w:r>
        <w:rPr>
          <w:rFonts w:hint="eastAsia" w:ascii="仿宋_GB2312" w:hAnsi="仿宋_GB2312" w:eastAsia="仿宋_GB2312" w:cs="仿宋_GB2312"/>
          <w:b/>
          <w:sz w:val="30"/>
          <w:szCs w:val="30"/>
        </w:rPr>
        <w:t>授权代表的身份证（复印件）</w:t>
      </w:r>
    </w:p>
    <w:p>
      <w:pPr>
        <w:pStyle w:val="621"/>
        <w:spacing w:line="360" w:lineRule="auto"/>
        <w:rPr>
          <w:rFonts w:ascii="仿宋_GB2312" w:eastAsia="仿宋_GB2312"/>
          <w:bCs/>
          <w:sz w:val="24"/>
        </w:rPr>
      </w:pPr>
      <w:r>
        <w:rPr>
          <w:rFonts w:hint="eastAsia" w:ascii="仿宋_GB2312" w:eastAsia="仿宋_GB2312"/>
          <w:bCs/>
          <w:sz w:val="24"/>
        </w:rPr>
        <w:t>授权代表身份证件扫描件：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9207" w:type="dxa"/>
            <w:shd w:val="clear" w:color="auto" w:fill="auto"/>
          </w:tcPr>
          <w:p>
            <w:pPr>
              <w:pStyle w:val="621"/>
              <w:spacing w:line="360" w:lineRule="auto"/>
              <w:rPr>
                <w:rFonts w:ascii="仿宋_GB2312" w:eastAsia="仿宋_GB2312"/>
                <w:bCs/>
                <w:sz w:val="24"/>
              </w:rPr>
            </w:pPr>
            <w:r>
              <w:rPr>
                <w:rFonts w:hint="eastAsia" w:ascii="仿宋_GB2312" w:eastAsia="仿宋_GB2312"/>
                <w:bCs/>
                <w:sz w:val="24"/>
              </w:rPr>
              <w:t>正面：                                 反面：</w:t>
            </w:r>
          </w:p>
          <w:p>
            <w:pPr>
              <w:pStyle w:val="621"/>
              <w:spacing w:line="360" w:lineRule="auto"/>
              <w:rPr>
                <w:rFonts w:ascii="仿宋_GB2312" w:eastAsia="仿宋_GB2312"/>
                <w:bCs/>
                <w:sz w:val="24"/>
              </w:rPr>
            </w:pPr>
          </w:p>
        </w:tc>
      </w:tr>
    </w:tbl>
    <w:p>
      <w:pPr>
        <w:snapToGrid w:val="0"/>
        <w:spacing w:line="360" w:lineRule="auto"/>
        <w:ind w:firstLine="576"/>
        <w:jc w:val="right"/>
        <w:rPr>
          <w:rFonts w:ascii="仿宋_GB2312" w:hAnsi="仿宋" w:eastAsia="仿宋_GB2312" w:cs="仿宋_GB2312"/>
          <w:kern w:val="0"/>
          <w:sz w:val="24"/>
          <w:lang w:val="zh-CN"/>
        </w:rPr>
      </w:pPr>
    </w:p>
    <w:p>
      <w:pPr>
        <w:snapToGrid w:val="0"/>
        <w:spacing w:line="360" w:lineRule="auto"/>
        <w:ind w:firstLine="576"/>
        <w:jc w:val="center"/>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供应商全称（盖单位公章或电子签章）：                              </w:t>
      </w:r>
    </w:p>
    <w:p>
      <w:pPr>
        <w:spacing w:line="360" w:lineRule="auto"/>
        <w:jc w:val="center"/>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日期：  年  月</w:t>
      </w:r>
    </w:p>
    <w:p>
      <w:pPr>
        <w:snapToGrid w:val="0"/>
        <w:spacing w:line="360" w:lineRule="auto"/>
        <w:ind w:firstLine="576"/>
        <w:jc w:val="center"/>
        <w:rPr>
          <w:rFonts w:ascii="仿宋_GB2312" w:hAnsi="仿宋_GB2312" w:eastAsia="仿宋_GB2312" w:cs="仿宋_GB2312"/>
          <w:sz w:val="28"/>
          <w:szCs w:val="28"/>
        </w:rPr>
      </w:pPr>
    </w:p>
    <w:p>
      <w:pPr>
        <w:widowControl/>
        <w:adjustRightInd/>
        <w:jc w:val="left"/>
        <w:rPr>
          <w:rFonts w:ascii="仿宋_GB2312" w:hAnsi="仿宋_GB2312" w:eastAsia="仿宋_GB2312" w:cs="仿宋_GB2312"/>
          <w:b/>
          <w:kern w:val="0"/>
          <w:sz w:val="32"/>
          <w:szCs w:val="32"/>
          <w:lang w:val="zh-CN"/>
        </w:rPr>
      </w:pPr>
      <w:r>
        <w:rPr>
          <w:rFonts w:ascii="仿宋_GB2312" w:hAnsi="仿宋_GB2312" w:eastAsia="仿宋_GB2312" w:cs="仿宋_GB2312"/>
          <w:b/>
          <w:kern w:val="0"/>
          <w:sz w:val="32"/>
          <w:szCs w:val="32"/>
          <w:lang w:val="zh-CN"/>
        </w:rPr>
        <w:br w:type="page"/>
      </w:r>
    </w:p>
    <w:p>
      <w:pPr>
        <w:rPr>
          <w:rFonts w:ascii="仿宋_GB2312" w:hAnsi="仿宋" w:eastAsia="仿宋_GB2312" w:cs="仿宋_GB2312"/>
          <w:b/>
          <w:kern w:val="0"/>
          <w:sz w:val="32"/>
          <w:szCs w:val="32"/>
          <w:lang w:val="zh-CN"/>
        </w:rPr>
      </w:pPr>
      <w:bookmarkStart w:id="542" w:name="_Toc16247"/>
    </w:p>
    <w:p>
      <w:pPr>
        <w:snapToGrid w:val="0"/>
        <w:spacing w:line="360" w:lineRule="auto"/>
        <w:outlineLvl w:val="0"/>
        <w:rPr>
          <w:rFonts w:ascii="仿宋_GB2312" w:hAnsi="仿宋" w:eastAsia="仿宋_GB2312" w:cs="仿宋_GB2312"/>
          <w:b/>
          <w:kern w:val="0"/>
          <w:sz w:val="32"/>
          <w:szCs w:val="32"/>
          <w:lang w:val="zh-CN"/>
        </w:rPr>
      </w:pPr>
      <w:r>
        <w:rPr>
          <w:rFonts w:hint="eastAsia" w:ascii="仿宋_GB2312" w:hAnsi="仿宋" w:eastAsia="仿宋_GB2312" w:cs="仿宋_GB2312"/>
          <w:b/>
          <w:kern w:val="0"/>
          <w:sz w:val="32"/>
          <w:szCs w:val="32"/>
          <w:lang w:val="zh-CN"/>
        </w:rPr>
        <w:t>三、评标标准相应的商务技术资料</w:t>
      </w:r>
      <w:bookmarkEnd w:id="542"/>
    </w:p>
    <w:p>
      <w:pPr>
        <w:snapToGrid w:val="0"/>
        <w:spacing w:line="360" w:lineRule="auto"/>
        <w:jc w:val="left"/>
        <w:rPr>
          <w:rFonts w:ascii="仿宋_GB2312" w:hAnsi="仿宋" w:eastAsia="仿宋_GB2312" w:cs="仿宋_GB2312"/>
          <w:b/>
          <w:sz w:val="24"/>
        </w:rPr>
      </w:pPr>
      <w:r>
        <w:rPr>
          <w:rFonts w:hint="eastAsia" w:ascii="仿宋_GB2312" w:hAnsi="仿宋" w:eastAsia="仿宋_GB2312" w:cs="仿宋_GB2312"/>
          <w:b/>
          <w:sz w:val="24"/>
        </w:rPr>
        <w:t>（按磋商文件第五部分评标办法前附表中“响应文件中评标标准相应的商务技术资料目录”提供资料）</w:t>
      </w:r>
    </w:p>
    <w:p>
      <w:pPr>
        <w:snapToGrid w:val="0"/>
        <w:spacing w:line="360" w:lineRule="auto"/>
        <w:ind w:right="480"/>
        <w:rPr>
          <w:rFonts w:ascii="仿宋_GB2312" w:hAnsi="仿宋" w:eastAsia="仿宋_GB2312" w:cs="仿宋_GB2312"/>
          <w:b/>
          <w:kern w:val="0"/>
          <w:sz w:val="32"/>
          <w:szCs w:val="32"/>
        </w:rPr>
      </w:pPr>
    </w:p>
    <w:p>
      <w:pPr>
        <w:snapToGrid w:val="0"/>
        <w:spacing w:line="360" w:lineRule="auto"/>
        <w:ind w:right="480"/>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3.1技术参数偏离表</w:t>
      </w:r>
    </w:p>
    <w:tbl>
      <w:tblPr>
        <w:tblStyle w:val="6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185"/>
        <w:gridCol w:w="3066"/>
        <w:gridCol w:w="135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序号</w:t>
            </w:r>
          </w:p>
        </w:tc>
        <w:tc>
          <w:tcPr>
            <w:tcW w:w="1715" w:type="pct"/>
            <w:vAlign w:val="center"/>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磋商文件章节及具体内容</w:t>
            </w:r>
          </w:p>
        </w:tc>
        <w:tc>
          <w:tcPr>
            <w:tcW w:w="1651" w:type="pct"/>
            <w:vAlign w:val="center"/>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响应文件章节及具体内容</w:t>
            </w:r>
          </w:p>
        </w:tc>
        <w:tc>
          <w:tcPr>
            <w:tcW w:w="732" w:type="pct"/>
            <w:vAlign w:val="center"/>
          </w:tcPr>
          <w:p>
            <w:pPr>
              <w:snapToGrid w:val="0"/>
              <w:spacing w:line="400" w:lineRule="exact"/>
              <w:jc w:val="center"/>
              <w:rPr>
                <w:rFonts w:ascii="仿宋_GB2312" w:hAnsi="仿宋" w:eastAsia="仿宋_GB2312"/>
                <w:b/>
                <w:bCs/>
                <w:sz w:val="24"/>
              </w:rPr>
            </w:pPr>
            <w:r>
              <w:rPr>
                <w:rFonts w:hint="eastAsia" w:ascii="仿宋_GB2312" w:hAnsi="仿宋" w:eastAsia="仿宋_GB2312"/>
                <w:b/>
                <w:bCs/>
                <w:sz w:val="24"/>
              </w:rPr>
              <w:t>偏离说明</w:t>
            </w:r>
          </w:p>
        </w:tc>
        <w:tc>
          <w:tcPr>
            <w:tcW w:w="454" w:type="pct"/>
            <w:vAlign w:val="center"/>
          </w:tcPr>
          <w:p>
            <w:pPr>
              <w:snapToGrid w:val="0"/>
              <w:spacing w:line="400" w:lineRule="exact"/>
              <w:jc w:val="center"/>
              <w:rPr>
                <w:rFonts w:hint="eastAsia" w:ascii="仿宋_GB2312" w:hAnsi="仿宋" w:eastAsia="仿宋_GB2312"/>
                <w:b/>
                <w:bCs/>
                <w:sz w:val="24"/>
                <w:lang w:eastAsia="zh-CN"/>
              </w:rPr>
            </w:pPr>
            <w:r>
              <w:rPr>
                <w:rFonts w:hint="eastAsia" w:ascii="仿宋_GB2312" w:hAnsi="仿宋" w:eastAsia="仿宋_GB2312"/>
                <w:b/>
                <w:bCs/>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r>
              <w:rPr>
                <w:rFonts w:ascii="仿宋_GB2312" w:hAnsi="仿宋" w:eastAsia="仿宋_GB2312" w:cs="仿宋_GB2312"/>
                <w:kern w:val="0"/>
                <w:sz w:val="24"/>
              </w:rPr>
              <w:t>1</w:t>
            </w: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r>
              <w:rPr>
                <w:rFonts w:ascii="仿宋_GB2312" w:hAnsi="仿宋" w:eastAsia="仿宋_GB2312" w:cs="仿宋_GB2312"/>
                <w:kern w:val="0"/>
                <w:sz w:val="24"/>
              </w:rPr>
              <w:t>2</w:t>
            </w: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r>
              <w:rPr>
                <w:rFonts w:hint="eastAsia" w:ascii="仿宋_GB2312" w:hAnsi="仿宋" w:eastAsia="仿宋_GB2312" w:cs="仿宋_GB2312"/>
                <w:kern w:val="0"/>
                <w:sz w:val="24"/>
              </w:rPr>
              <w:t>……</w:t>
            </w: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6" w:type="pct"/>
            <w:vAlign w:val="center"/>
          </w:tcPr>
          <w:p>
            <w:pPr>
              <w:snapToGrid w:val="0"/>
              <w:spacing w:line="400" w:lineRule="exact"/>
              <w:jc w:val="center"/>
              <w:rPr>
                <w:rFonts w:ascii="仿宋_GB2312" w:hAnsi="仿宋" w:eastAsia="仿宋_GB2312" w:cs="仿宋_GB2312"/>
                <w:kern w:val="0"/>
                <w:sz w:val="24"/>
              </w:rPr>
            </w:pPr>
          </w:p>
        </w:tc>
        <w:tc>
          <w:tcPr>
            <w:tcW w:w="1715" w:type="pct"/>
            <w:vAlign w:val="center"/>
          </w:tcPr>
          <w:p>
            <w:pPr>
              <w:snapToGrid w:val="0"/>
              <w:spacing w:line="400" w:lineRule="exact"/>
              <w:jc w:val="center"/>
              <w:rPr>
                <w:rFonts w:ascii="仿宋_GB2312" w:hAnsi="仿宋" w:eastAsia="仿宋_GB2312" w:cs="仿宋_GB2312"/>
                <w:b/>
                <w:kern w:val="0"/>
                <w:sz w:val="32"/>
                <w:szCs w:val="32"/>
              </w:rPr>
            </w:pPr>
          </w:p>
        </w:tc>
        <w:tc>
          <w:tcPr>
            <w:tcW w:w="1651" w:type="pct"/>
            <w:vAlign w:val="center"/>
          </w:tcPr>
          <w:p>
            <w:pPr>
              <w:snapToGrid w:val="0"/>
              <w:spacing w:line="400" w:lineRule="exact"/>
              <w:jc w:val="center"/>
              <w:rPr>
                <w:rFonts w:ascii="仿宋_GB2312" w:hAnsi="仿宋" w:eastAsia="仿宋_GB2312" w:cs="仿宋_GB2312"/>
                <w:b/>
                <w:kern w:val="0"/>
                <w:sz w:val="32"/>
                <w:szCs w:val="32"/>
              </w:rPr>
            </w:pPr>
          </w:p>
        </w:tc>
        <w:tc>
          <w:tcPr>
            <w:tcW w:w="732" w:type="pct"/>
            <w:vAlign w:val="center"/>
          </w:tcPr>
          <w:p>
            <w:pPr>
              <w:snapToGrid w:val="0"/>
              <w:spacing w:line="400" w:lineRule="exact"/>
              <w:jc w:val="center"/>
              <w:rPr>
                <w:rFonts w:ascii="仿宋_GB2312" w:hAnsi="仿宋" w:eastAsia="仿宋_GB2312" w:cs="仿宋_GB2312"/>
                <w:b/>
                <w:kern w:val="0"/>
                <w:sz w:val="32"/>
                <w:szCs w:val="32"/>
              </w:rPr>
            </w:pPr>
          </w:p>
        </w:tc>
        <w:tc>
          <w:tcPr>
            <w:tcW w:w="454" w:type="pct"/>
            <w:vAlign w:val="center"/>
          </w:tcPr>
          <w:p>
            <w:pPr>
              <w:snapToGrid w:val="0"/>
              <w:spacing w:line="400" w:lineRule="exact"/>
              <w:jc w:val="center"/>
              <w:rPr>
                <w:rFonts w:ascii="仿宋_GB2312" w:hAnsi="仿宋" w:eastAsia="仿宋_GB2312" w:cs="仿宋_GB2312"/>
                <w:b/>
                <w:kern w:val="0"/>
                <w:sz w:val="32"/>
                <w:szCs w:val="32"/>
              </w:rPr>
            </w:pPr>
          </w:p>
        </w:tc>
      </w:tr>
    </w:tbl>
    <w:p>
      <w:pPr>
        <w:jc w:val="left"/>
        <w:rPr>
          <w:rFonts w:ascii="仿宋_GB2312" w:hAnsi="仿宋" w:eastAsia="仿宋_GB2312" w:cs="仿宋_GB2312"/>
          <w:kern w:val="0"/>
          <w:sz w:val="24"/>
        </w:rPr>
      </w:pPr>
      <w:r>
        <w:rPr>
          <w:rFonts w:hint="eastAsia" w:ascii="仿宋_GB2312" w:hAnsi="仿宋" w:eastAsia="仿宋_GB2312" w:cs="仿宋_GB2312"/>
          <w:kern w:val="0"/>
          <w:sz w:val="24"/>
        </w:rPr>
        <w:t>供应商保证：除商务技术偏离表列出的偏离外，供应商响应磋商文件的全部要求</w:t>
      </w:r>
    </w:p>
    <w:p>
      <w:pPr>
        <w:autoSpaceDE w:val="0"/>
        <w:autoSpaceDN w:val="0"/>
        <w:spacing w:line="360" w:lineRule="auto"/>
        <w:rPr>
          <w:rFonts w:ascii="仿宋_GB2312" w:hAnsi="仿宋_GB2312" w:eastAsia="仿宋_GB2312" w:cs="仿宋_GB2312"/>
          <w:kern w:val="0"/>
          <w:sz w:val="24"/>
        </w:rPr>
      </w:pPr>
    </w:p>
    <w:p>
      <w:pPr>
        <w:autoSpaceDE w:val="0"/>
        <w:autoSpaceDN w:val="0"/>
        <w:spacing w:line="360" w:lineRule="auto"/>
        <w:ind w:firstLine="4560" w:firstLineChars="1900"/>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rPr>
        <w:t>供应商全称（盖单位公章或电子签章）</w:t>
      </w:r>
      <w:r>
        <w:rPr>
          <w:rFonts w:hint="eastAsia" w:ascii="仿宋_GB2312" w:hAnsi="仿宋_GB2312" w:eastAsia="仿宋_GB2312" w:cs="仿宋_GB2312"/>
          <w:kern w:val="0"/>
          <w:sz w:val="24"/>
        </w:rPr>
        <w:t xml:space="preserve">：                       </w:t>
      </w:r>
    </w:p>
    <w:p>
      <w:pPr>
        <w:spacing w:line="360" w:lineRule="auto"/>
        <w:rPr>
          <w:rFonts w:ascii="仿宋_GB2312" w:hAnsi="仿宋_GB2312" w:eastAsia="仿宋_GB2312" w:cs="仿宋_GB2312"/>
          <w:b/>
          <w:bCs/>
          <w:sz w:val="24"/>
        </w:rPr>
      </w:pPr>
      <w:r>
        <w:rPr>
          <w:rFonts w:hint="eastAsia" w:ascii="仿宋_GB2312" w:hAnsi="仿宋_GB2312" w:eastAsia="仿宋_GB2312" w:cs="仿宋_GB2312"/>
          <w:kern w:val="0"/>
          <w:sz w:val="24"/>
        </w:rPr>
        <w:t xml:space="preserve">                                      日期：  年  月   日</w:t>
      </w:r>
    </w:p>
    <w:p>
      <w:pPr>
        <w:spacing w:line="360" w:lineRule="auto"/>
        <w:ind w:firstLine="218" w:firstLineChars="91"/>
        <w:jc w:val="left"/>
        <w:rPr>
          <w:rFonts w:ascii="仿宋_GB2312" w:hAnsi="仿宋" w:eastAsia="仿宋_GB2312" w:cs="仿宋_GB2312"/>
          <w:kern w:val="0"/>
          <w:sz w:val="24"/>
        </w:rPr>
      </w:pPr>
    </w:p>
    <w:p>
      <w:pP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br w:type="page"/>
      </w:r>
    </w:p>
    <w:p>
      <w:pPr>
        <w:pStyle w:val="6"/>
        <w:numPr>
          <w:ilvl w:val="2"/>
          <w:numId w:val="0"/>
        </w:numPr>
        <w:ind w:left="180" w:leftChars="0"/>
        <w:rPr>
          <w:rFonts w:hint="eastAsia" w:ascii="Times New Roman" w:hAnsi="Times New Roman" w:eastAsia="宋体" w:cs="Times New Roman"/>
          <w:lang w:val="en-US" w:eastAsia="zh-CN"/>
        </w:rPr>
      </w:pPr>
      <w:r>
        <w:rPr>
          <w:rFonts w:hint="eastAsia"/>
          <w:lang w:val="en-US" w:eastAsia="zh-CN"/>
        </w:rPr>
        <w:t>3.2业绩</w:t>
      </w:r>
    </w:p>
    <w:p>
      <w:pPr>
        <w:pStyle w:val="6"/>
        <w:numPr>
          <w:ilvl w:val="2"/>
          <w:numId w:val="0"/>
        </w:numPr>
        <w:ind w:left="180" w:left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3.3...</w:t>
      </w:r>
    </w:p>
    <w:p>
      <w:pPr>
        <w:pStyle w:val="6"/>
        <w:numPr>
          <w:ilvl w:val="2"/>
          <w:numId w:val="0"/>
        </w:numPr>
        <w:ind w:left="180" w:left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3.4...</w:t>
      </w:r>
    </w:p>
    <w:p>
      <w:pPr>
        <w:rPr>
          <w:rFonts w:hint="default"/>
          <w:lang w:val="en-US" w:eastAsia="zh-CN"/>
        </w:rPr>
      </w:pPr>
    </w:p>
    <w:p>
      <w:pPr>
        <w:snapToGrid w:val="0"/>
        <w:spacing w:line="720" w:lineRule="auto"/>
        <w:ind w:right="480"/>
        <w:rPr>
          <w:rFonts w:hint="eastAsia" w:ascii="仿宋_GB2312" w:hAnsi="仿宋" w:eastAsia="仿宋_GB2312" w:cs="仿宋_GB2312"/>
          <w:b/>
          <w:kern w:val="0"/>
          <w:sz w:val="32"/>
          <w:szCs w:val="32"/>
        </w:rPr>
      </w:pPr>
      <w:r>
        <w:rPr>
          <w:rFonts w:hint="eastAsia" w:ascii="仿宋_GB2312" w:hAnsi="仿宋" w:eastAsia="仿宋_GB2312" w:cs="仿宋_GB2312"/>
          <w:b/>
          <w:kern w:val="0"/>
          <w:sz w:val="32"/>
          <w:szCs w:val="32"/>
        </w:rPr>
        <w:br w:type="page"/>
      </w:r>
    </w:p>
    <w:p>
      <w:pPr>
        <w:rPr>
          <w:rFonts w:ascii="仿宋_GB2312" w:hAnsi="仿宋" w:eastAsia="仿宋_GB2312" w:cs="仿宋_GB2312"/>
          <w:b/>
          <w:kern w:val="0"/>
          <w:sz w:val="32"/>
          <w:szCs w:val="32"/>
          <w:lang w:val="zh-CN"/>
        </w:rPr>
      </w:pPr>
      <w:bookmarkStart w:id="543" w:name="_Toc10266"/>
      <w:r>
        <w:rPr>
          <w:rFonts w:hint="eastAsia" w:ascii="仿宋_GB2312" w:hAnsi="仿宋" w:eastAsia="仿宋_GB2312" w:cs="仿宋_GB2312"/>
          <w:b/>
          <w:kern w:val="0"/>
          <w:sz w:val="32"/>
          <w:szCs w:val="32"/>
          <w:lang w:val="zh-CN"/>
        </w:rPr>
        <w:t>四、政府采购供应商廉洁自律承诺书</w:t>
      </w:r>
      <w:bookmarkEnd w:id="543"/>
    </w:p>
    <w:p>
      <w:pPr>
        <w:snapToGrid w:val="0"/>
        <w:spacing w:line="360" w:lineRule="auto"/>
        <w:rPr>
          <w:rFonts w:ascii="仿宋_GB2312" w:hAnsi="仿宋" w:eastAsia="仿宋_GB2312" w:cs="仿宋_GB2312"/>
          <w:sz w:val="24"/>
        </w:rPr>
      </w:pPr>
    </w:p>
    <w:p>
      <w:pPr>
        <w:snapToGrid w:val="0"/>
        <w:spacing w:line="360" w:lineRule="auto"/>
        <w:rPr>
          <w:rFonts w:ascii="仿宋_GB2312" w:hAnsi="仿宋" w:eastAsia="仿宋_GB2312" w:cs="仿宋_GB2312"/>
          <w:kern w:val="0"/>
          <w:sz w:val="24"/>
        </w:rPr>
      </w:pPr>
      <w:r>
        <w:rPr>
          <w:rFonts w:hint="eastAsia" w:ascii="仿宋_GB2312" w:hAnsi="仿宋" w:eastAsia="仿宋_GB2312" w:cs="仿宋_GB2312"/>
          <w:sz w:val="24"/>
          <w:u w:val="single"/>
        </w:rPr>
        <w:t>（采购人）、（采购代理机构）</w:t>
      </w:r>
      <w:r>
        <w:rPr>
          <w:rFonts w:hint="eastAsia" w:ascii="仿宋_GB2312" w:hAnsi="仿宋" w:eastAsia="仿宋_GB2312" w:cs="仿宋_GB2312"/>
          <w:kern w:val="0"/>
          <w:sz w:val="24"/>
          <w:lang w:val="zh-CN"/>
        </w:rPr>
        <w:t>：</w:t>
      </w:r>
    </w:p>
    <w:p>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我单位响应你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一、不向项目有关人员及部门赠送礼金礼物、有价证券、回扣以及中介费、介绍费、咨询费等好处费；</w:t>
      </w:r>
      <w:r>
        <w:rPr>
          <w:rFonts w:ascii="仿宋_GB2312" w:hAnsi="仿宋_GB2312" w:eastAsia="仿宋_GB2312" w:cs="仿宋_GB2312"/>
          <w:kern w:val="0"/>
          <w:sz w:val="24"/>
          <w:lang w:val="zh-CN"/>
        </w:rPr>
        <w:t xml:space="preserve"> </w:t>
      </w:r>
    </w:p>
    <w:p>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二、不为项目有关人员及部门报销应由你方单位或个人支付的费用；</w:t>
      </w:r>
      <w:r>
        <w:rPr>
          <w:rFonts w:ascii="仿宋_GB2312" w:hAnsi="仿宋_GB2312" w:eastAsia="仿宋_GB2312" w:cs="仿宋_GB2312"/>
          <w:kern w:val="0"/>
          <w:sz w:val="24"/>
          <w:lang w:val="zh-CN"/>
        </w:rPr>
        <w:t xml:space="preserve"> </w:t>
      </w:r>
    </w:p>
    <w:p>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三、不向项目有关人员及部门提供有可能影响公正的宴请和健身娱乐等活动；</w:t>
      </w:r>
      <w:r>
        <w:rPr>
          <w:rFonts w:ascii="仿宋_GB2312" w:hAnsi="仿宋_GB2312" w:eastAsia="仿宋_GB2312" w:cs="仿宋_GB2312"/>
          <w:kern w:val="0"/>
          <w:sz w:val="24"/>
          <w:lang w:val="zh-CN"/>
        </w:rPr>
        <w:t xml:space="preserve"> </w:t>
      </w:r>
    </w:p>
    <w:p>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四、不为项目有关人员及部门出国（境）、旅游等提供方便；</w:t>
      </w:r>
    </w:p>
    <w:p>
      <w:pPr>
        <w:autoSpaceDE w:val="0"/>
        <w:autoSpaceDN w:val="0"/>
        <w:spacing w:line="360" w:lineRule="auto"/>
        <w:ind w:left="481" w:leftChars="229"/>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五、不为项目有关人员个人装修住房、婚丧嫁娶、配偶子女工作安排等提供</w:t>
      </w:r>
    </w:p>
    <w:p>
      <w:pPr>
        <w:autoSpaceDE w:val="0"/>
        <w:autoSpaceDN w:val="0"/>
        <w:spacing w:line="360" w:lineRule="auto"/>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好处；</w:t>
      </w:r>
    </w:p>
    <w:p>
      <w:pPr>
        <w:autoSpaceDE w:val="0"/>
        <w:autoSpaceDN w:val="0"/>
        <w:spacing w:line="360" w:lineRule="auto"/>
        <w:ind w:left="481" w:leftChars="229"/>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六、严格遵守《</w:t>
      </w:r>
      <w:r>
        <w:rPr>
          <w:rFonts w:hint="eastAsia" w:ascii="仿宋_GB2312" w:hAnsi="楷体" w:eastAsia="仿宋_GB2312"/>
          <w:sz w:val="24"/>
          <w:lang w:val="zh-CN"/>
        </w:rPr>
        <w:t>中华人民共和国</w:t>
      </w:r>
      <w:r>
        <w:rPr>
          <w:rFonts w:hint="eastAsia" w:ascii="仿宋_GB2312" w:hAnsi="仿宋_GB2312" w:eastAsia="仿宋_GB2312" w:cs="仿宋_GB2312"/>
          <w:kern w:val="0"/>
          <w:sz w:val="24"/>
          <w:lang w:val="zh-CN"/>
        </w:rPr>
        <w:t>政府采购法》《</w:t>
      </w:r>
      <w:r>
        <w:rPr>
          <w:rFonts w:hint="eastAsia" w:ascii="仿宋_GB2312" w:hAnsi="楷体" w:eastAsia="仿宋_GB2312"/>
          <w:sz w:val="24"/>
          <w:lang w:val="zh-CN"/>
        </w:rPr>
        <w:t>中华人民共和国</w:t>
      </w:r>
      <w:r>
        <w:rPr>
          <w:rFonts w:hint="eastAsia" w:ascii="仿宋_GB2312" w:hAnsi="仿宋_GB2312" w:eastAsia="仿宋_GB2312" w:cs="仿宋_GB2312"/>
          <w:kern w:val="0"/>
          <w:sz w:val="24"/>
          <w:lang w:val="zh-CN"/>
        </w:rPr>
        <w:t>招标投标</w:t>
      </w:r>
    </w:p>
    <w:p>
      <w:pPr>
        <w:autoSpaceDE w:val="0"/>
        <w:autoSpaceDN w:val="0"/>
        <w:spacing w:line="360" w:lineRule="auto"/>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法》</w:t>
      </w:r>
      <w:r>
        <w:rPr>
          <w:rFonts w:hint="eastAsia" w:ascii="仿宋_GB2312" w:hAnsi="楷体" w:eastAsia="仿宋_GB2312"/>
          <w:sz w:val="24"/>
          <w:lang w:val="zh-CN"/>
        </w:rPr>
        <w:t>《中华人民共和国民法典》</w:t>
      </w:r>
      <w:r>
        <w:rPr>
          <w:rFonts w:hint="eastAsia" w:ascii="仿宋_GB2312" w:hAnsi="仿宋_GB2312" w:eastAsia="仿宋_GB2312" w:cs="仿宋_GB2312"/>
          <w:kern w:val="0"/>
          <w:sz w:val="24"/>
          <w:lang w:val="zh-CN"/>
        </w:rPr>
        <w:t>等法律法规，诚实守信，合法经营，坚决抵制各种违法违纪行为。</w:t>
      </w:r>
      <w:r>
        <w:rPr>
          <w:rFonts w:ascii="仿宋_GB2312" w:hAnsi="仿宋_GB2312" w:eastAsia="仿宋_GB2312" w:cs="仿宋_GB2312"/>
          <w:kern w:val="0"/>
          <w:sz w:val="24"/>
          <w:lang w:val="zh-CN"/>
        </w:rPr>
        <w:t xml:space="preserve"> </w:t>
      </w:r>
    </w:p>
    <w:p>
      <w:pPr>
        <w:autoSpaceDE w:val="0"/>
        <w:autoSpaceDN w:val="0"/>
        <w:spacing w:line="360" w:lineRule="auto"/>
        <w:ind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如违反上述承诺，你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有权立即取消我单位响应、成交或在建项目的建设资格，有权拒绝我单位在一定时期内进入你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ascii="仿宋_GB2312" w:hAnsi="仿宋_GB2312" w:eastAsia="仿宋_GB2312" w:cs="仿宋_GB2312"/>
          <w:kern w:val="0"/>
          <w:sz w:val="24"/>
          <w:lang w:val="zh-CN"/>
        </w:rPr>
      </w:pPr>
    </w:p>
    <w:p>
      <w:pPr>
        <w:autoSpaceDE w:val="0"/>
        <w:autoSpaceDN w:val="0"/>
        <w:spacing w:line="360" w:lineRule="auto"/>
        <w:ind w:left="2"/>
        <w:jc w:val="left"/>
        <w:rPr>
          <w:rFonts w:ascii="仿宋_GB2312" w:hAnsi="仿宋_GB2312" w:eastAsia="仿宋_GB2312" w:cs="仿宋_GB2312"/>
          <w:kern w:val="0"/>
          <w:sz w:val="24"/>
          <w:lang w:val="zh-CN"/>
        </w:rPr>
      </w:pPr>
    </w:p>
    <w:p>
      <w:pPr>
        <w:autoSpaceDE w:val="0"/>
        <w:autoSpaceDN w:val="0"/>
        <w:spacing w:line="360" w:lineRule="auto"/>
        <w:ind w:firstLine="5040" w:firstLineChars="2100"/>
        <w:jc w:val="left"/>
        <w:rPr>
          <w:rFonts w:ascii="仿宋_GB2312" w:hAnsi="仿宋" w:eastAsia="仿宋_GB2312" w:cs="仿宋_GB2312"/>
          <w:kern w:val="0"/>
          <w:sz w:val="24"/>
        </w:rPr>
      </w:pPr>
      <w:r>
        <w:rPr>
          <w:rFonts w:hint="eastAsia" w:ascii="仿宋_GB2312" w:hAnsi="仿宋_GB2312" w:eastAsia="仿宋_GB2312" w:cs="仿宋_GB2312"/>
          <w:kern w:val="0"/>
          <w:sz w:val="24"/>
          <w:lang w:eastAsia="zh-CN"/>
        </w:rPr>
        <w:t>供应商全称（盖单位公章或电子签章）</w:t>
      </w:r>
      <w:r>
        <w:rPr>
          <w:rFonts w:hint="eastAsia" w:ascii="仿宋_GB2312" w:hAnsi="仿宋" w:eastAsia="仿宋_GB2312" w:cs="仿宋_GB2312"/>
          <w:kern w:val="0"/>
          <w:sz w:val="24"/>
          <w:lang w:val="zh-CN"/>
        </w:rPr>
        <w:t>：</w:t>
      </w:r>
    </w:p>
    <w:p>
      <w:pPr>
        <w:autoSpaceDE w:val="0"/>
        <w:autoSpaceDN w:val="0"/>
        <w:spacing w:line="360" w:lineRule="auto"/>
        <w:ind w:right="960" w:firstLine="5040" w:firstLineChars="210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tabs>
          <w:tab w:val="left" w:pos="0"/>
        </w:tabs>
        <w:autoSpaceDE w:val="0"/>
        <w:autoSpaceDN w:val="0"/>
        <w:spacing w:line="360" w:lineRule="auto"/>
        <w:ind w:firstLine="2409" w:firstLineChars="800"/>
        <w:rPr>
          <w:rFonts w:ascii="仿宋_GB2312" w:hAnsi="仿宋" w:eastAsia="仿宋_GB2312" w:cs="仿宋_GB2312"/>
          <w:b/>
          <w:bCs/>
          <w:sz w:val="30"/>
          <w:szCs w:val="30"/>
        </w:rPr>
      </w:pPr>
    </w:p>
    <w:p>
      <w:pPr>
        <w:tabs>
          <w:tab w:val="left" w:pos="0"/>
        </w:tabs>
        <w:autoSpaceDE w:val="0"/>
        <w:autoSpaceDN w:val="0"/>
        <w:spacing w:line="360" w:lineRule="auto"/>
        <w:ind w:firstLine="2409" w:firstLineChars="800"/>
        <w:rPr>
          <w:rFonts w:ascii="仿宋_GB2312" w:hAnsi="仿宋" w:eastAsia="仿宋_GB2312" w:cs="仿宋_GB2312"/>
          <w:b/>
          <w:bCs/>
          <w:sz w:val="30"/>
          <w:szCs w:val="30"/>
        </w:rPr>
      </w:pPr>
    </w:p>
    <w:p>
      <w:pPr>
        <w:tabs>
          <w:tab w:val="left" w:pos="0"/>
        </w:tabs>
        <w:autoSpaceDE w:val="0"/>
        <w:autoSpaceDN w:val="0"/>
        <w:spacing w:line="360" w:lineRule="auto"/>
        <w:jc w:val="center"/>
        <w:rPr>
          <w:rFonts w:ascii="仿宋_GB2312" w:hAnsi="仿宋" w:eastAsia="仿宋_GB2312" w:cs="仿宋_GB2312"/>
          <w:b/>
          <w:bCs/>
          <w:sz w:val="30"/>
          <w:szCs w:val="30"/>
        </w:rPr>
      </w:pPr>
    </w:p>
    <w:p>
      <w:pPr>
        <w:widowControl/>
        <w:adjustRightInd/>
        <w:jc w:val="left"/>
        <w:rPr>
          <w:rFonts w:ascii="仿宋_GB2312" w:hAnsi="仿宋" w:eastAsia="仿宋_GB2312" w:cs="仿宋_GB2312"/>
          <w:b/>
          <w:bCs/>
          <w:sz w:val="30"/>
          <w:szCs w:val="30"/>
        </w:rPr>
      </w:pPr>
      <w:r>
        <w:rPr>
          <w:rFonts w:ascii="仿宋_GB2312" w:hAnsi="仿宋" w:eastAsia="仿宋_GB2312" w:cs="仿宋_GB2312"/>
          <w:b/>
          <w:bCs/>
          <w:sz w:val="30"/>
          <w:szCs w:val="30"/>
        </w:rPr>
        <w:br w:type="page"/>
      </w:r>
    </w:p>
    <w:p>
      <w:pPr>
        <w:spacing w:line="360" w:lineRule="auto"/>
        <w:jc w:val="center"/>
        <w:outlineLvl w:val="0"/>
        <w:rPr>
          <w:rFonts w:ascii="仿宋_GB2312" w:hAnsi="仿宋" w:eastAsia="仿宋_GB2312" w:cs="仿宋_GB2312"/>
          <w:b/>
          <w:kern w:val="0"/>
          <w:sz w:val="36"/>
          <w:szCs w:val="36"/>
        </w:rPr>
      </w:pPr>
      <w:bookmarkStart w:id="544" w:name="_Toc17614"/>
      <w:r>
        <w:rPr>
          <w:rFonts w:hint="eastAsia" w:ascii="仿宋_GB2312" w:hAnsi="仿宋" w:eastAsia="仿宋_GB2312" w:cs="仿宋_GB2312"/>
          <w:b/>
          <w:kern w:val="0"/>
          <w:sz w:val="36"/>
          <w:szCs w:val="36"/>
        </w:rPr>
        <w:t>报价文件部分</w:t>
      </w:r>
      <w:bookmarkEnd w:id="544"/>
    </w:p>
    <w:p>
      <w:pPr>
        <w:snapToGrid w:val="0"/>
        <w:spacing w:line="360" w:lineRule="auto"/>
        <w:jc w:val="center"/>
        <w:outlineLvl w:val="0"/>
        <w:rPr>
          <w:rFonts w:ascii="仿宋_GB2312" w:hAnsi="仿宋" w:eastAsia="仿宋_GB2312" w:cs="仿宋_GB2312"/>
          <w:b/>
          <w:kern w:val="0"/>
          <w:sz w:val="32"/>
          <w:szCs w:val="32"/>
        </w:rPr>
      </w:pPr>
      <w:bookmarkStart w:id="545" w:name="_Toc31049"/>
      <w:r>
        <w:rPr>
          <w:rFonts w:hint="eastAsia" w:ascii="仿宋_GB2312" w:hAnsi="仿宋" w:eastAsia="仿宋_GB2312" w:cs="仿宋_GB2312"/>
          <w:b/>
          <w:kern w:val="0"/>
          <w:sz w:val="32"/>
          <w:szCs w:val="32"/>
        </w:rPr>
        <w:t>一、初始报价一览表</w:t>
      </w:r>
      <w:bookmarkEnd w:id="545"/>
    </w:p>
    <w:p>
      <w:pPr>
        <w:ind w:right="480"/>
        <w:rPr>
          <w:color w:val="000000" w:themeColor="text1"/>
          <w:szCs w:val="21"/>
          <w14:textFill>
            <w14:solidFill>
              <w14:schemeClr w14:val="tx1"/>
            </w14:solidFill>
          </w14:textFill>
        </w:rPr>
      </w:pPr>
    </w:p>
    <w:p>
      <w:pPr>
        <w:ind w:righ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p>
      <w:pPr>
        <w:ind w:righ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采购编号：</w:t>
      </w:r>
    </w:p>
    <w:p>
      <w:pPr>
        <w:ind w:righ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价格单位：元人民币</w:t>
      </w:r>
    </w:p>
    <w:p>
      <w:pPr>
        <w:pStyle w:val="25"/>
        <w:rPr>
          <w:rFonts w:hint="eastAsia" w:ascii="仿宋" w:hAnsi="仿宋" w:eastAsia="仿宋" w:cs="仿宋"/>
          <w:color w:val="000000" w:themeColor="text1"/>
          <w14:textFill>
            <w14:solidFill>
              <w14:schemeClr w14:val="tx1"/>
            </w14:solidFill>
          </w14:textFill>
        </w:rPr>
      </w:pPr>
    </w:p>
    <w:tbl>
      <w:tblPr>
        <w:tblStyle w:val="61"/>
        <w:tblW w:w="927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08"/>
        <w:gridCol w:w="54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1" w:hRule="atLeast"/>
          <w:jc w:val="center"/>
        </w:trPr>
        <w:tc>
          <w:tcPr>
            <w:tcW w:w="3808" w:type="dxa"/>
            <w:noWrap/>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初始报价</w:t>
            </w:r>
          </w:p>
        </w:tc>
        <w:tc>
          <w:tcPr>
            <w:tcW w:w="5471" w:type="dxa"/>
            <w:noWrap/>
            <w:vAlign w:val="center"/>
          </w:tcPr>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小写：</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大写：</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w:t>
            </w:r>
          </w:p>
          <w:p>
            <w:pPr>
              <w:rPr>
                <w:rFonts w:hint="eastAsia" w:ascii="仿宋" w:hAnsi="仿宋" w:eastAsia="仿宋" w:cs="仿宋"/>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3808" w:type="dxa"/>
            <w:noWrap/>
            <w:vAlign w:val="center"/>
          </w:tcPr>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工</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期</w:t>
            </w:r>
          </w:p>
        </w:tc>
        <w:tc>
          <w:tcPr>
            <w:tcW w:w="5471" w:type="dxa"/>
            <w:noWrap/>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3808" w:type="dxa"/>
            <w:noWrap/>
            <w:vAlign w:val="center"/>
          </w:tcPr>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备</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注（如有）</w:t>
            </w:r>
          </w:p>
        </w:tc>
        <w:tc>
          <w:tcPr>
            <w:tcW w:w="5471" w:type="dxa"/>
            <w:noWrap/>
            <w:vAlign w:val="center"/>
          </w:tcPr>
          <w:p>
            <w:pPr>
              <w:rPr>
                <w:rFonts w:hint="eastAsia" w:ascii="仿宋" w:hAnsi="仿宋" w:eastAsia="仿宋" w:cs="仿宋"/>
                <w:color w:val="000000" w:themeColor="text1"/>
                <w:sz w:val="24"/>
                <w:szCs w:val="24"/>
                <w14:textFill>
                  <w14:solidFill>
                    <w14:schemeClr w14:val="tx1"/>
                  </w14:solidFill>
                </w14:textFill>
              </w:rPr>
            </w:pPr>
          </w:p>
        </w:tc>
      </w:tr>
    </w:tbl>
    <w:p>
      <w:pPr>
        <w:spacing w:line="360" w:lineRule="auto"/>
        <w:jc w:val="left"/>
        <w:rPr>
          <w:rFonts w:hint="eastAsia" w:ascii="仿宋" w:hAnsi="仿宋" w:eastAsia="仿宋" w:cs="仿宋"/>
          <w:color w:val="000000" w:themeColor="text1"/>
          <w:szCs w:val="21"/>
          <w14:textFill>
            <w14:solidFill>
              <w14:schemeClr w14:val="tx1"/>
            </w14:solidFill>
          </w14:textFill>
        </w:rPr>
      </w:pPr>
    </w:p>
    <w:p>
      <w:pPr>
        <w:snapToGrid w:val="0"/>
        <w:spacing w:line="360" w:lineRule="auto"/>
        <w:ind w:left="480"/>
        <w:rPr>
          <w:rFonts w:ascii="仿宋_GB2312" w:hAnsi="仿宋" w:eastAsia="仿宋_GB2312" w:cs="仿宋_GB2312"/>
          <w:b/>
          <w:kern w:val="0"/>
          <w:szCs w:val="21"/>
          <w:lang w:val="zh-CN"/>
        </w:rPr>
      </w:pPr>
      <w:r>
        <w:rPr>
          <w:rFonts w:hint="eastAsia" w:ascii="仿宋_GB2312" w:hAnsi="仿宋" w:eastAsia="仿宋_GB2312" w:cs="仿宋_GB2312"/>
          <w:b/>
          <w:kern w:val="0"/>
          <w:szCs w:val="21"/>
          <w:lang w:val="zh-CN"/>
        </w:rPr>
        <w:t>注：</w:t>
      </w:r>
    </w:p>
    <w:p>
      <w:pPr>
        <w:snapToGrid w:val="0"/>
        <w:spacing w:line="360" w:lineRule="auto"/>
        <w:ind w:left="-2" w:leftChars="-1" w:firstLine="420" w:firstLineChars="200"/>
        <w:rPr>
          <w:rFonts w:ascii="仿宋_GB2312" w:hAnsi="仿宋" w:eastAsia="仿宋_GB2312" w:cs="仿宋_GB2312"/>
          <w:kern w:val="0"/>
          <w:szCs w:val="21"/>
          <w:lang w:val="zh-CN"/>
        </w:rPr>
      </w:pPr>
      <w:r>
        <w:rPr>
          <w:rFonts w:ascii="仿宋_GB2312" w:hAnsi="仿宋" w:eastAsia="仿宋_GB2312" w:cs="仿宋_GB2312"/>
          <w:kern w:val="0"/>
          <w:szCs w:val="21"/>
          <w:lang w:val="zh-CN"/>
        </w:rPr>
        <w:t>1、</w:t>
      </w:r>
      <w:r>
        <w:rPr>
          <w:rFonts w:hint="eastAsia" w:ascii="仿宋_GB2312" w:hAnsi="仿宋" w:eastAsia="仿宋_GB2312" w:cs="仿宋_GB2312"/>
          <w:kern w:val="0"/>
          <w:szCs w:val="21"/>
          <w:lang w:val="zh-CN"/>
        </w:rPr>
        <w:t>供应商</w:t>
      </w:r>
      <w:r>
        <w:rPr>
          <w:rFonts w:ascii="仿宋_GB2312" w:hAnsi="仿宋" w:eastAsia="仿宋_GB2312" w:cs="仿宋_GB2312"/>
          <w:kern w:val="0"/>
          <w:szCs w:val="21"/>
          <w:lang w:val="zh-CN"/>
        </w:rPr>
        <w:t>需按本表格式填写，不得自行更改。</w:t>
      </w:r>
    </w:p>
    <w:p>
      <w:pPr>
        <w:snapToGrid w:val="0"/>
        <w:spacing w:line="360" w:lineRule="auto"/>
        <w:ind w:firstLine="420" w:firstLineChars="200"/>
        <w:rPr>
          <w:rFonts w:ascii="仿宋_GB2312" w:hAnsi="仿宋" w:eastAsia="仿宋_GB2312" w:cs="仿宋_GB2312"/>
          <w:kern w:val="0"/>
          <w:szCs w:val="21"/>
          <w:lang w:val="zh-CN"/>
        </w:rPr>
      </w:pPr>
      <w:r>
        <w:rPr>
          <w:rFonts w:ascii="仿宋_GB2312" w:hAnsi="仿宋" w:eastAsia="仿宋_GB2312" w:cs="仿宋_GB2312"/>
          <w:kern w:val="0"/>
          <w:szCs w:val="21"/>
          <w:lang w:val="zh-CN"/>
        </w:rPr>
        <w:t>2、有关本项目实施所涉及的一切费用均计入报价。</w:t>
      </w:r>
      <w:r>
        <w:rPr>
          <w:rFonts w:hint="eastAsia" w:ascii="仿宋_GB2312" w:hAnsi="仿宋" w:eastAsia="仿宋_GB2312" w:cs="仿宋_GB2312"/>
          <w:b/>
          <w:kern w:val="0"/>
          <w:szCs w:val="21"/>
          <w:lang w:val="zh-CN"/>
        </w:rPr>
        <w:t>采购人将以合同形式有偿取得货物或服务，不接受供应商给予的赠品、回扣或者与采购无关的其他商品、服务</w:t>
      </w:r>
      <w:r>
        <w:rPr>
          <w:rFonts w:hint="eastAsia" w:ascii="仿宋_GB2312" w:hAnsi="仿宋" w:eastAsia="仿宋_GB2312" w:cs="仿宋_GB2312"/>
          <w:kern w:val="0"/>
          <w:szCs w:val="21"/>
          <w:lang w:val="zh-CN"/>
        </w:rPr>
        <w:t>，</w:t>
      </w:r>
      <w:r>
        <w:rPr>
          <w:rFonts w:hint="eastAsia" w:ascii="仿宋_GB2312" w:hAnsi="仿宋" w:eastAsia="仿宋_GB2312" w:cs="仿宋_GB2312"/>
          <w:b/>
          <w:kern w:val="0"/>
          <w:szCs w:val="21"/>
          <w:lang w:val="zh-CN"/>
        </w:rPr>
        <w:t>不得出现“</w:t>
      </w:r>
      <w:r>
        <w:rPr>
          <w:rFonts w:ascii="仿宋_GB2312" w:hAnsi="仿宋" w:eastAsia="仿宋_GB2312" w:cs="仿宋_GB2312"/>
          <w:b/>
          <w:kern w:val="0"/>
          <w:szCs w:val="21"/>
          <w:lang w:val="zh-CN"/>
        </w:rPr>
        <w:t>0元”“免费赠送”等形式的无偿报价</w:t>
      </w:r>
      <w:r>
        <w:rPr>
          <w:rFonts w:hint="eastAsia" w:ascii="仿宋_GB2312" w:hAnsi="仿宋" w:eastAsia="仿宋_GB2312" w:cs="仿宋_GB2312"/>
          <w:b/>
          <w:kern w:val="0"/>
          <w:szCs w:val="21"/>
          <w:lang w:val="zh-CN"/>
        </w:rPr>
        <w:t>，</w:t>
      </w:r>
      <w:r>
        <w:rPr>
          <w:rFonts w:hint="eastAsia" w:ascii="仿宋_GB2312" w:hAnsi="仿宋" w:eastAsia="仿宋_GB2312" w:cs="仿宋_GB2312"/>
          <w:b/>
          <w:kern w:val="0"/>
          <w:szCs w:val="21"/>
        </w:rPr>
        <w:t>否则视为</w:t>
      </w:r>
      <w:r>
        <w:rPr>
          <w:rFonts w:hint="eastAsia" w:ascii="仿宋_GB2312" w:hAnsi="仿宋" w:eastAsia="仿宋_GB2312"/>
          <w:b/>
          <w:szCs w:val="21"/>
        </w:rPr>
        <w:t>响应文件含有采购人不能接受的附加条件的，响应无效</w:t>
      </w:r>
      <w:r>
        <w:rPr>
          <w:rFonts w:hint="eastAsia" w:ascii="仿宋_GB2312" w:hAnsi="仿宋" w:eastAsia="仿宋_GB2312" w:cs="仿宋_GB2312"/>
          <w:b/>
          <w:kern w:val="0"/>
          <w:szCs w:val="21"/>
          <w:lang w:val="zh-CN"/>
        </w:rPr>
        <w:t>。采购内容未包含在《初始报价一览表》名称栏中，供应商不能作出合理解释的，视为磋商响应文件含有采购人不能接受的附加条件的，响应无效。</w:t>
      </w:r>
    </w:p>
    <w:p>
      <w:pPr>
        <w:snapToGrid w:val="0"/>
        <w:spacing w:line="360" w:lineRule="auto"/>
        <w:ind w:firstLine="420" w:firstLineChars="200"/>
        <w:jc w:val="left"/>
        <w:rPr>
          <w:rFonts w:ascii="仿宋_GB2312" w:hAnsi="仿宋" w:eastAsia="仿宋_GB2312" w:cs="仿宋_GB2312"/>
          <w:kern w:val="0"/>
          <w:szCs w:val="21"/>
          <w:lang w:val="zh-CN"/>
        </w:rPr>
      </w:pPr>
      <w:r>
        <w:rPr>
          <w:rFonts w:ascii="仿宋_GB2312" w:hAnsi="仿宋" w:eastAsia="仿宋_GB2312" w:cs="仿宋_GB2312"/>
          <w:kern w:val="0"/>
          <w:szCs w:val="21"/>
          <w:lang w:val="zh-CN"/>
        </w:rPr>
        <w:t>3、以上表格要求细分项目及报价，在“规格型号（或具体服务）”一栏中，货物类项目填写规格型号，服务类项目填写具体服务。</w:t>
      </w:r>
    </w:p>
    <w:p>
      <w:pPr>
        <w:snapToGrid w:val="0"/>
        <w:spacing w:line="360" w:lineRule="auto"/>
        <w:ind w:firstLine="420" w:firstLineChars="200"/>
        <w:jc w:val="left"/>
        <w:rPr>
          <w:rFonts w:ascii="仿宋_GB2312" w:hAnsi="仿宋" w:eastAsia="仿宋_GB2312" w:cs="仿宋_GB2312"/>
          <w:kern w:val="0"/>
          <w:szCs w:val="21"/>
          <w:lang w:val="zh-CN"/>
        </w:rPr>
      </w:pPr>
      <w:r>
        <w:rPr>
          <w:rFonts w:ascii="仿宋_GB2312" w:hAnsi="仿宋" w:eastAsia="仿宋_GB2312" w:cs="仿宋_GB2312"/>
          <w:kern w:val="0"/>
          <w:szCs w:val="21"/>
          <w:lang w:val="zh-CN"/>
        </w:rPr>
        <w:t>4、特别提示：</w:t>
      </w:r>
      <w:r>
        <w:rPr>
          <w:rFonts w:hint="eastAsia" w:ascii="仿宋_GB2312" w:hAnsi="仿宋" w:eastAsia="仿宋_GB2312" w:cs="仿宋_GB2312"/>
          <w:kern w:val="0"/>
          <w:szCs w:val="21"/>
          <w:lang w:val="zh-CN"/>
        </w:rPr>
        <w:t>采购代理机构</w:t>
      </w:r>
      <w:r>
        <w:rPr>
          <w:rFonts w:ascii="仿宋_GB2312" w:hAnsi="仿宋" w:eastAsia="仿宋_GB2312" w:cs="仿宋_GB2312"/>
          <w:kern w:val="0"/>
          <w:szCs w:val="21"/>
          <w:lang w:val="zh-CN"/>
        </w:rPr>
        <w:t>将对项目名称和项目编号，</w:t>
      </w:r>
      <w:r>
        <w:rPr>
          <w:rFonts w:hint="eastAsia" w:ascii="仿宋_GB2312" w:hAnsi="仿宋" w:eastAsia="仿宋_GB2312" w:cs="仿宋_GB2312"/>
          <w:kern w:val="0"/>
          <w:szCs w:val="21"/>
          <w:lang w:val="zh-CN"/>
        </w:rPr>
        <w:t>成交</w:t>
      </w:r>
      <w:r>
        <w:rPr>
          <w:rFonts w:ascii="仿宋_GB2312" w:hAnsi="仿宋" w:eastAsia="仿宋_GB2312" w:cs="仿宋_GB2312"/>
          <w:kern w:val="0"/>
          <w:szCs w:val="21"/>
          <w:lang w:val="zh-CN"/>
        </w:rPr>
        <w:t>供应商名称、地址和中标金额，主要中标标的</w:t>
      </w:r>
      <w:r>
        <w:rPr>
          <w:rFonts w:hint="eastAsia" w:ascii="仿宋_GB2312" w:hAnsi="仿宋" w:eastAsia="仿宋_GB2312" w:cs="仿宋_GB2312"/>
          <w:kern w:val="0"/>
          <w:szCs w:val="21"/>
          <w:lang w:val="zh-CN"/>
        </w:rPr>
        <w:t>的名称、规格型号、数量、单价、服务要求等予以公示。</w:t>
      </w:r>
    </w:p>
    <w:p>
      <w:pPr>
        <w:snapToGrid w:val="0"/>
        <w:spacing w:line="360" w:lineRule="auto"/>
        <w:ind w:firstLine="420" w:firstLineChars="200"/>
        <w:jc w:val="left"/>
        <w:rPr>
          <w:rFonts w:ascii="仿宋_GB2312" w:hAnsi="仿宋" w:eastAsia="仿宋_GB2312" w:cs="仿宋_GB2312"/>
          <w:kern w:val="0"/>
          <w:szCs w:val="21"/>
          <w:lang w:val="zh-CN"/>
        </w:rPr>
      </w:pPr>
      <w:r>
        <w:rPr>
          <w:rFonts w:ascii="仿宋_GB2312" w:hAnsi="仿宋" w:eastAsia="仿宋_GB2312" w:cs="仿宋_GB2312"/>
          <w:kern w:val="0"/>
          <w:szCs w:val="21"/>
          <w:lang w:val="zh-CN"/>
        </w:rPr>
        <w:t>5、</w:t>
      </w:r>
      <w:r>
        <w:rPr>
          <w:rFonts w:hint="eastAsia" w:ascii="仿宋_GB2312" w:hAnsi="仿宋" w:eastAsia="仿宋_GB2312" w:cs="仿宋_GB2312"/>
          <w:kern w:val="0"/>
          <w:szCs w:val="21"/>
          <w:lang w:val="zh-CN"/>
        </w:rPr>
        <w:t>符合磋商文件中列明的可享受中小企业扶持政策的供应商，请填写中小企业声明函。注：供应商</w:t>
      </w:r>
      <w:r>
        <w:rPr>
          <w:rFonts w:ascii="仿宋_GB2312" w:hAnsi="仿宋" w:eastAsia="仿宋_GB2312" w:cs="仿宋_GB2312"/>
          <w:kern w:val="0"/>
          <w:szCs w:val="21"/>
          <w:lang w:val="zh-CN"/>
        </w:rPr>
        <w:t>提供</w:t>
      </w:r>
      <w:r>
        <w:rPr>
          <w:rFonts w:hint="eastAsia" w:ascii="仿宋_GB2312" w:hAnsi="仿宋" w:eastAsia="仿宋_GB2312" w:cs="仿宋_GB2312"/>
          <w:kern w:val="0"/>
          <w:szCs w:val="21"/>
          <w:lang w:val="zh-CN"/>
        </w:rPr>
        <w:t>的中小企业</w:t>
      </w:r>
      <w:r>
        <w:rPr>
          <w:rFonts w:ascii="仿宋_GB2312" w:hAnsi="仿宋" w:eastAsia="仿宋_GB2312" w:cs="仿宋_GB2312"/>
          <w:kern w:val="0"/>
          <w:szCs w:val="21"/>
          <w:lang w:val="zh-CN"/>
        </w:rPr>
        <w:t>声明函内容不实的，属于提供虚假材料谋取中标、成交，依照《中华人民共和国政府采购法》等国家有关规定追究相应责任。</w:t>
      </w:r>
    </w:p>
    <w:p>
      <w:pPr>
        <w:spacing w:line="360" w:lineRule="auto"/>
        <w:ind w:right="-874" w:rightChars="-416" w:firstLine="5280" w:firstLineChars="2200"/>
        <w:rPr>
          <w:rFonts w:ascii="仿宋_GB2312" w:hAnsi="仿宋_GB2312" w:eastAsia="仿宋_GB2312" w:cs="仿宋_GB2312"/>
          <w:kern w:val="0"/>
          <w:sz w:val="24"/>
        </w:rPr>
      </w:pPr>
      <w:r>
        <w:rPr>
          <w:rFonts w:hint="eastAsia" w:ascii="仿宋_GB2312" w:hAnsi="仿宋_GB2312" w:eastAsia="仿宋_GB2312" w:cs="仿宋_GB2312"/>
          <w:kern w:val="0"/>
          <w:sz w:val="24"/>
          <w:lang w:val="zh-CN"/>
        </w:rPr>
        <w:t>供应商全称（盖单位公章或电子签章）：</w:t>
      </w:r>
    </w:p>
    <w:p>
      <w:pPr>
        <w:autoSpaceDE w:val="0"/>
        <w:autoSpaceDN w:val="0"/>
        <w:spacing w:line="360" w:lineRule="auto"/>
        <w:ind w:left="5040" w:hanging="5040" w:hangingChars="2100"/>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 xml:space="preserve">                                            日期：    年  月   日</w:t>
      </w:r>
    </w:p>
    <w:p>
      <w:pPr>
        <w:pStyle w:val="60"/>
        <w:ind w:firstLine="420"/>
        <w:sectPr>
          <w:footerReference r:id="rId11" w:type="first"/>
          <w:footerReference r:id="rId10" w:type="default"/>
          <w:pgSz w:w="11906" w:h="16838"/>
          <w:pgMar w:top="1174" w:right="1417" w:bottom="1151" w:left="1417" w:header="851" w:footer="992" w:gutter="0"/>
          <w:cols w:space="0" w:num="1"/>
          <w:titlePg/>
          <w:docGrid w:linePitch="312" w:charSpace="0"/>
        </w:sectPr>
      </w:pPr>
    </w:p>
    <w:p>
      <w:pPr>
        <w:spacing w:line="240" w:lineRule="auto"/>
        <w:ind w:firstLine="0" w:firstLineChars="0"/>
        <w:jc w:val="center"/>
        <w:rPr>
          <w:rFonts w:hint="eastAsia" w:ascii="宋体" w:hAnsi="宋体" w:eastAsia="宋体" w:cs="Times New Roman"/>
          <w:sz w:val="36"/>
          <w:szCs w:val="36"/>
          <w:lang w:eastAsia="zh-CN"/>
        </w:rPr>
      </w:pPr>
      <w:r>
        <w:rPr>
          <w:rFonts w:hint="eastAsia" w:ascii="仿宋_GB2312" w:hAnsi="仿宋" w:eastAsia="仿宋_GB2312" w:cs="仿宋_GB2312"/>
          <w:b/>
          <w:kern w:val="0"/>
          <w:sz w:val="32"/>
          <w:szCs w:val="32"/>
        </w:rPr>
        <w:t>二、</w:t>
      </w:r>
      <w:r>
        <w:rPr>
          <w:rFonts w:hint="eastAsia" w:ascii="宋体" w:hAnsi="宋体" w:eastAsia="宋体" w:cs="Times New Roman"/>
          <w:sz w:val="36"/>
          <w:szCs w:val="36"/>
          <w:lang w:eastAsia="zh-CN"/>
        </w:rPr>
        <w:t>工程量清单</w:t>
      </w:r>
    </w:p>
    <w:p>
      <w:pPr>
        <w:pStyle w:val="17"/>
        <w:rPr>
          <w:rFonts w:hint="eastAsia"/>
        </w:rPr>
      </w:pPr>
    </w:p>
    <w:p>
      <w:pPr>
        <w:snapToGrid w:val="0"/>
        <w:spacing w:line="360" w:lineRule="auto"/>
        <w:jc w:val="center"/>
        <w:outlineLvl w:val="1"/>
        <w:rPr>
          <w:rFonts w:ascii="仿宋_GB2312" w:hAnsi="仿宋" w:eastAsia="仿宋_GB2312" w:cs="仿宋_GB2312"/>
          <w:b/>
          <w:kern w:val="0"/>
          <w:sz w:val="32"/>
          <w:szCs w:val="32"/>
        </w:rPr>
      </w:pPr>
      <w:r>
        <w:rPr>
          <w:rFonts w:hint="eastAsia" w:ascii="宋体" w:hAnsi="宋体" w:eastAsia="宋体" w:cs="宋体"/>
          <w:b w:val="0"/>
          <w:bCs/>
          <w:sz w:val="24"/>
          <w:szCs w:val="24"/>
          <w:lang w:eastAsia="zh-CN"/>
        </w:rPr>
        <w:t>详见附件。</w:t>
      </w:r>
    </w:p>
    <w:p>
      <w:pPr>
        <w:snapToGrid w:val="0"/>
        <w:spacing w:line="300" w:lineRule="auto"/>
        <w:rPr>
          <w:color w:val="000000" w:themeColor="text1"/>
          <w:szCs w:val="21"/>
          <w14:textFill>
            <w14:solidFill>
              <w14:schemeClr w14:val="tx1"/>
            </w14:solidFill>
          </w14:textFill>
        </w:rPr>
      </w:pPr>
    </w:p>
    <w:p>
      <w:pPr>
        <w:tabs>
          <w:tab w:val="left" w:pos="720"/>
        </w:tabs>
        <w:spacing w:after="120" w:afterLines="50" w:line="360" w:lineRule="auto"/>
        <w:jc w:val="center"/>
        <w:rPr>
          <w:rFonts w:ascii="Arial" w:hAnsi="Arial" w:eastAsia="黑体" w:cs="Arial"/>
          <w:bCs/>
          <w:color w:val="auto"/>
          <w:sz w:val="36"/>
          <w:szCs w:val="48"/>
          <w:highlight w:val="none"/>
        </w:rPr>
      </w:pPr>
      <w:r>
        <w:rPr>
          <w:rFonts w:hint="eastAsia" w:ascii="Arial" w:hAnsi="Arial" w:eastAsia="黑体" w:cs="Arial"/>
          <w:bCs/>
          <w:color w:val="auto"/>
          <w:sz w:val="36"/>
          <w:szCs w:val="48"/>
          <w:highlight w:val="none"/>
        </w:rPr>
        <w:t>磋商总报价</w:t>
      </w:r>
    </w:p>
    <w:p>
      <w:pPr>
        <w:tabs>
          <w:tab w:val="left" w:pos="720"/>
        </w:tabs>
        <w:spacing w:after="120" w:afterLines="50" w:line="360" w:lineRule="auto"/>
        <w:rPr>
          <w:rFonts w:ascii="Arial" w:hAnsi="Arial" w:cs="Arial"/>
          <w:color w:val="auto"/>
          <w:highlight w:val="none"/>
        </w:rPr>
      </w:pPr>
    </w:p>
    <w:p>
      <w:pPr>
        <w:tabs>
          <w:tab w:val="left" w:pos="720"/>
        </w:tabs>
        <w:spacing w:after="120" w:afterLines="50" w:line="360" w:lineRule="auto"/>
        <w:rPr>
          <w:rFonts w:ascii="宋体" w:hAnsi="宋体" w:cs="Arial"/>
          <w:color w:val="auto"/>
          <w:highlight w:val="none"/>
        </w:rPr>
      </w:pPr>
    </w:p>
    <w:p>
      <w:pPr>
        <w:tabs>
          <w:tab w:val="left" w:pos="720"/>
        </w:tabs>
        <w:spacing w:after="240" w:afterLines="100" w:line="360" w:lineRule="auto"/>
        <w:ind w:firstLine="960" w:firstLineChars="400"/>
        <w:rPr>
          <w:rFonts w:ascii="宋体" w:hAnsi="宋体" w:cs="Arial"/>
          <w:color w:val="auto"/>
          <w:sz w:val="24"/>
          <w:highlight w:val="none"/>
          <w:u w:val="single"/>
        </w:rPr>
      </w:pPr>
      <w:r>
        <w:rPr>
          <w:rFonts w:hint="eastAsia" w:ascii="宋体" w:hAnsi="宋体" w:cs="Arial"/>
          <w:color w:val="auto"/>
          <w:sz w:val="24"/>
          <w:highlight w:val="none"/>
        </w:rPr>
        <w:t>采购</w:t>
      </w:r>
      <w:r>
        <w:rPr>
          <w:rFonts w:ascii="宋体" w:hAnsi="宋体" w:cs="Arial"/>
          <w:color w:val="auto"/>
          <w:sz w:val="24"/>
          <w:highlight w:val="none"/>
        </w:rPr>
        <w:t>人：</w:t>
      </w:r>
      <w:r>
        <w:rPr>
          <w:rFonts w:ascii="宋体" w:hAnsi="宋体" w:cs="Arial"/>
          <w:color w:val="auto"/>
          <w:sz w:val="24"/>
          <w:highlight w:val="none"/>
          <w:u w:val="single"/>
        </w:rPr>
        <w:t xml:space="preserve">                                                  </w:t>
      </w:r>
    </w:p>
    <w:p>
      <w:pPr>
        <w:tabs>
          <w:tab w:val="left" w:pos="720"/>
        </w:tabs>
        <w:spacing w:after="240" w:afterLines="100" w:line="360" w:lineRule="auto"/>
        <w:ind w:firstLine="960" w:firstLineChars="400"/>
        <w:rPr>
          <w:rFonts w:ascii="宋体" w:hAnsi="宋体" w:cs="Arial"/>
          <w:color w:val="auto"/>
          <w:sz w:val="24"/>
          <w:highlight w:val="none"/>
        </w:rPr>
      </w:pPr>
      <w:r>
        <w:rPr>
          <w:rFonts w:ascii="宋体" w:hAnsi="宋体" w:cs="Arial"/>
          <w:color w:val="auto"/>
          <w:sz w:val="24"/>
          <w:highlight w:val="none"/>
        </w:rPr>
        <w:t>工程名称：</w:t>
      </w:r>
      <w:r>
        <w:rPr>
          <w:rFonts w:ascii="宋体" w:hAnsi="宋体" w:cs="Arial"/>
          <w:color w:val="auto"/>
          <w:sz w:val="24"/>
          <w:highlight w:val="none"/>
          <w:u w:val="single"/>
        </w:rPr>
        <w:t xml:space="preserve">                                                  </w:t>
      </w:r>
    </w:p>
    <w:p>
      <w:pPr>
        <w:tabs>
          <w:tab w:val="left" w:pos="720"/>
        </w:tabs>
        <w:spacing w:after="240" w:afterLines="100" w:line="360" w:lineRule="auto"/>
        <w:ind w:firstLine="960" w:firstLineChars="400"/>
        <w:rPr>
          <w:rFonts w:ascii="宋体" w:hAnsi="宋体" w:cs="Arial"/>
          <w:color w:val="auto"/>
          <w:highlight w:val="none"/>
          <w:u w:val="single"/>
        </w:rPr>
      </w:pPr>
      <w:r>
        <w:rPr>
          <w:rFonts w:hint="eastAsia" w:ascii="宋体" w:hAnsi="宋体" w:cs="Arial"/>
          <w:color w:val="auto"/>
          <w:sz w:val="24"/>
          <w:highlight w:val="none"/>
        </w:rPr>
        <w:t>磋商</w:t>
      </w:r>
      <w:r>
        <w:rPr>
          <w:rFonts w:ascii="宋体" w:hAnsi="宋体" w:cs="Arial"/>
          <w:color w:val="auto"/>
          <w:sz w:val="24"/>
          <w:highlight w:val="none"/>
        </w:rPr>
        <w:t>总价</w:t>
      </w:r>
      <w:r>
        <w:rPr>
          <w:rFonts w:ascii="宋体" w:hAnsi="宋体" w:cs="Arial"/>
          <w:color w:val="auto"/>
          <w:highlight w:val="none"/>
        </w:rPr>
        <w:t>（小写）：</w:t>
      </w:r>
      <w:r>
        <w:rPr>
          <w:rFonts w:ascii="宋体" w:hAnsi="宋体" w:cs="Arial"/>
          <w:color w:val="auto"/>
          <w:highlight w:val="none"/>
          <w:u w:val="single"/>
        </w:rPr>
        <w:t xml:space="preserve">     </w:t>
      </w:r>
      <w:r>
        <w:rPr>
          <w:rFonts w:hint="eastAsia" w:ascii="宋体" w:hAnsi="宋体" w:cs="Arial"/>
          <w:color w:val="auto"/>
          <w:highlight w:val="none"/>
          <w:u w:val="single"/>
        </w:rPr>
        <w:t xml:space="preserve">       </w:t>
      </w:r>
      <w:r>
        <w:rPr>
          <w:rFonts w:ascii="宋体" w:hAnsi="宋体" w:cs="Arial"/>
          <w:color w:val="auto"/>
          <w:highlight w:val="none"/>
          <w:u w:val="single"/>
        </w:rPr>
        <w:t xml:space="preserve">                                      </w:t>
      </w:r>
    </w:p>
    <w:p>
      <w:pPr>
        <w:tabs>
          <w:tab w:val="left" w:pos="720"/>
        </w:tabs>
        <w:spacing w:after="240" w:afterLines="100" w:line="360" w:lineRule="auto"/>
        <w:rPr>
          <w:rFonts w:ascii="宋体" w:hAnsi="宋体" w:cs="Arial"/>
          <w:color w:val="auto"/>
          <w:highlight w:val="none"/>
        </w:rPr>
      </w:pPr>
      <w:r>
        <w:rPr>
          <w:rFonts w:ascii="宋体" w:hAnsi="宋体" w:cs="Arial"/>
          <w:color w:val="auto"/>
          <w:highlight w:val="none"/>
        </w:rPr>
        <w:t xml:space="preserve">        </w:t>
      </w:r>
      <w:r>
        <w:rPr>
          <w:rFonts w:hint="eastAsia" w:ascii="宋体" w:hAnsi="宋体" w:cs="Arial"/>
          <w:color w:val="auto"/>
          <w:highlight w:val="none"/>
        </w:rPr>
        <w:t xml:space="preserve">          </w:t>
      </w:r>
      <w:r>
        <w:rPr>
          <w:rFonts w:ascii="宋体" w:hAnsi="宋体" w:cs="Arial"/>
          <w:color w:val="auto"/>
          <w:highlight w:val="none"/>
        </w:rPr>
        <w:t>（大写）：</w:t>
      </w:r>
      <w:r>
        <w:rPr>
          <w:rFonts w:ascii="宋体" w:hAnsi="宋体" w:cs="Arial"/>
          <w:color w:val="auto"/>
          <w:highlight w:val="none"/>
          <w:u w:val="single"/>
        </w:rPr>
        <w:t xml:space="preserve">       </w:t>
      </w:r>
      <w:r>
        <w:rPr>
          <w:rFonts w:hint="eastAsia" w:ascii="宋体" w:hAnsi="宋体" w:cs="Arial"/>
          <w:color w:val="auto"/>
          <w:highlight w:val="none"/>
          <w:u w:val="single"/>
        </w:rPr>
        <w:t xml:space="preserve"> </w:t>
      </w:r>
      <w:r>
        <w:rPr>
          <w:rFonts w:ascii="宋体" w:hAnsi="宋体" w:cs="Arial"/>
          <w:color w:val="auto"/>
          <w:highlight w:val="none"/>
          <w:u w:val="single"/>
        </w:rPr>
        <w:t xml:space="preserve">    </w:t>
      </w:r>
      <w:r>
        <w:rPr>
          <w:rFonts w:hint="eastAsia" w:ascii="宋体" w:hAnsi="宋体" w:cs="Arial"/>
          <w:color w:val="auto"/>
          <w:highlight w:val="none"/>
          <w:u w:val="single"/>
        </w:rPr>
        <w:t xml:space="preserve">       </w:t>
      </w:r>
      <w:r>
        <w:rPr>
          <w:rFonts w:ascii="宋体" w:hAnsi="宋体" w:cs="Arial"/>
          <w:color w:val="auto"/>
          <w:highlight w:val="none"/>
          <w:u w:val="single"/>
        </w:rPr>
        <w:t xml:space="preserve">                               </w:t>
      </w:r>
    </w:p>
    <w:p>
      <w:pPr>
        <w:tabs>
          <w:tab w:val="left" w:pos="720"/>
        </w:tabs>
        <w:spacing w:after="120" w:afterLines="50" w:line="360" w:lineRule="auto"/>
        <w:ind w:firstLine="3675" w:firstLineChars="1750"/>
        <w:rPr>
          <w:rFonts w:ascii="宋体" w:hAnsi="宋体" w:cs="Arial"/>
          <w:color w:val="auto"/>
          <w:highlight w:val="none"/>
        </w:rPr>
      </w:pPr>
    </w:p>
    <w:p>
      <w:pPr>
        <w:tabs>
          <w:tab w:val="left" w:pos="720"/>
        </w:tabs>
        <w:spacing w:after="120" w:afterLines="50" w:line="360" w:lineRule="auto"/>
        <w:ind w:firstLine="960" w:firstLineChars="400"/>
        <w:rPr>
          <w:rFonts w:ascii="宋体" w:hAnsi="宋体" w:cs="Arial"/>
          <w:color w:val="auto"/>
          <w:sz w:val="24"/>
          <w:highlight w:val="none"/>
          <w:u w:val="single"/>
        </w:rPr>
      </w:pPr>
      <w:r>
        <w:rPr>
          <w:rFonts w:hint="eastAsia" w:ascii="宋体" w:hAnsi="宋体" w:cs="Arial"/>
          <w:color w:val="auto"/>
          <w:sz w:val="24"/>
          <w:highlight w:val="none"/>
        </w:rPr>
        <w:t>供应商</w:t>
      </w:r>
      <w:r>
        <w:rPr>
          <w:rFonts w:ascii="宋体" w:hAnsi="宋体" w:cs="Arial"/>
          <w:color w:val="auto"/>
          <w:sz w:val="24"/>
          <w:highlight w:val="none"/>
        </w:rPr>
        <w:t>：</w:t>
      </w:r>
      <w:r>
        <w:rPr>
          <w:rFonts w:ascii="宋体" w:hAnsi="宋体" w:cs="Arial"/>
          <w:color w:val="auto"/>
          <w:sz w:val="24"/>
          <w:highlight w:val="none"/>
          <w:u w:val="single"/>
        </w:rPr>
        <w:t xml:space="preserve">    </w:t>
      </w:r>
      <w:r>
        <w:rPr>
          <w:rFonts w:hint="eastAsia" w:ascii="宋体" w:hAnsi="宋体" w:cs="Arial"/>
          <w:color w:val="auto"/>
          <w:sz w:val="24"/>
          <w:highlight w:val="none"/>
          <w:u w:val="single"/>
        </w:rPr>
        <w:t xml:space="preserve">              </w:t>
      </w:r>
      <w:r>
        <w:rPr>
          <w:rFonts w:ascii="宋体" w:hAnsi="宋体" w:cs="Arial"/>
          <w:color w:val="auto"/>
          <w:sz w:val="24"/>
          <w:highlight w:val="none"/>
          <w:u w:val="single"/>
        </w:rPr>
        <w:t xml:space="preserve">                                </w:t>
      </w:r>
      <w:r>
        <w:rPr>
          <w:rFonts w:ascii="宋体" w:hAnsi="宋体" w:cs="Arial"/>
          <w:color w:val="auto"/>
          <w:sz w:val="24"/>
          <w:highlight w:val="none"/>
        </w:rPr>
        <w:t xml:space="preserve">  </w:t>
      </w:r>
    </w:p>
    <w:p>
      <w:pPr>
        <w:tabs>
          <w:tab w:val="left" w:pos="720"/>
        </w:tabs>
        <w:spacing w:after="120" w:afterLines="50" w:line="360" w:lineRule="auto"/>
        <w:jc w:val="center"/>
        <w:rPr>
          <w:rFonts w:ascii="宋体" w:hAnsi="宋体" w:cs="Arial"/>
          <w:color w:val="auto"/>
          <w:highlight w:val="none"/>
        </w:rPr>
      </w:pPr>
      <w:r>
        <w:rPr>
          <w:rFonts w:ascii="宋体" w:hAnsi="宋体" w:cs="Arial"/>
          <w:color w:val="auto"/>
          <w:highlight w:val="none"/>
        </w:rPr>
        <w:t xml:space="preserve">     </w:t>
      </w:r>
      <w:r>
        <w:rPr>
          <w:rFonts w:hint="eastAsia" w:ascii="宋体" w:hAnsi="宋体" w:cs="Arial"/>
          <w:color w:val="auto"/>
          <w:highlight w:val="none"/>
        </w:rPr>
        <w:t xml:space="preserve">   </w:t>
      </w:r>
      <w:r>
        <w:rPr>
          <w:rFonts w:ascii="Arial" w:hAnsi="Arial" w:cs="Arial"/>
          <w:color w:val="auto"/>
          <w:highlight w:val="none"/>
        </w:rPr>
        <w:t>（单位盖章）</w:t>
      </w:r>
    </w:p>
    <w:p>
      <w:pPr>
        <w:tabs>
          <w:tab w:val="left" w:pos="720"/>
        </w:tabs>
        <w:spacing w:after="120" w:afterLines="50" w:line="360" w:lineRule="auto"/>
        <w:rPr>
          <w:rFonts w:ascii="宋体" w:hAnsi="宋体" w:cs="Arial"/>
          <w:color w:val="auto"/>
          <w:highlight w:val="none"/>
        </w:rPr>
      </w:pPr>
    </w:p>
    <w:p>
      <w:pPr>
        <w:tabs>
          <w:tab w:val="left" w:pos="720"/>
        </w:tabs>
        <w:spacing w:after="120" w:afterLines="50" w:line="360" w:lineRule="auto"/>
        <w:ind w:firstLine="960" w:firstLineChars="400"/>
        <w:rPr>
          <w:rFonts w:ascii="宋体" w:hAnsi="宋体" w:cs="Arial"/>
          <w:color w:val="auto"/>
          <w:sz w:val="24"/>
          <w:highlight w:val="none"/>
        </w:rPr>
      </w:pPr>
      <w:r>
        <w:rPr>
          <w:rFonts w:ascii="宋体" w:hAnsi="宋体" w:cs="Arial"/>
          <w:color w:val="auto"/>
          <w:sz w:val="24"/>
          <w:highlight w:val="none"/>
        </w:rPr>
        <w:t xml:space="preserve">法定代表人                          </w:t>
      </w:r>
    </w:p>
    <w:p>
      <w:pPr>
        <w:tabs>
          <w:tab w:val="left" w:pos="720"/>
        </w:tabs>
        <w:spacing w:after="120" w:afterLines="50" w:line="360" w:lineRule="auto"/>
        <w:ind w:firstLine="960" w:firstLineChars="400"/>
        <w:rPr>
          <w:rFonts w:ascii="宋体" w:hAnsi="宋体" w:cs="Arial"/>
          <w:color w:val="auto"/>
          <w:highlight w:val="none"/>
        </w:rPr>
      </w:pPr>
      <w:r>
        <w:rPr>
          <w:rFonts w:ascii="宋体" w:hAnsi="宋体" w:cs="Arial"/>
          <w:color w:val="auto"/>
          <w:sz w:val="24"/>
          <w:highlight w:val="none"/>
        </w:rPr>
        <w:t>或其授权人</w:t>
      </w:r>
      <w:r>
        <w:rPr>
          <w:rFonts w:ascii="宋体" w:hAnsi="宋体" w:cs="Arial"/>
          <w:color w:val="auto"/>
          <w:highlight w:val="none"/>
        </w:rPr>
        <w:t>：</w:t>
      </w:r>
      <w:r>
        <w:rPr>
          <w:rFonts w:ascii="宋体" w:hAnsi="宋体" w:cs="Arial"/>
          <w:color w:val="auto"/>
          <w:highlight w:val="none"/>
          <w:u w:val="single"/>
        </w:rPr>
        <w:t xml:space="preserve">    </w:t>
      </w:r>
      <w:r>
        <w:rPr>
          <w:rFonts w:hint="eastAsia" w:ascii="宋体" w:hAnsi="宋体" w:cs="Arial"/>
          <w:color w:val="auto"/>
          <w:highlight w:val="none"/>
          <w:u w:val="single"/>
        </w:rPr>
        <w:t xml:space="preserve">                    </w:t>
      </w:r>
      <w:r>
        <w:rPr>
          <w:rFonts w:ascii="宋体" w:hAnsi="宋体" w:cs="Arial"/>
          <w:color w:val="auto"/>
          <w:highlight w:val="none"/>
          <w:u w:val="single"/>
        </w:rPr>
        <w:t xml:space="preserve">                              </w:t>
      </w:r>
    </w:p>
    <w:p>
      <w:pPr>
        <w:tabs>
          <w:tab w:val="left" w:pos="720"/>
        </w:tabs>
        <w:spacing w:after="120" w:afterLines="50" w:line="360" w:lineRule="auto"/>
        <w:rPr>
          <w:rFonts w:ascii="宋体" w:hAnsi="宋体" w:cs="Arial"/>
          <w:color w:val="auto"/>
          <w:highlight w:val="none"/>
        </w:rPr>
      </w:pPr>
      <w:r>
        <w:rPr>
          <w:rFonts w:ascii="宋体" w:hAnsi="宋体" w:cs="Arial"/>
          <w:color w:val="auto"/>
          <w:highlight w:val="none"/>
        </w:rPr>
        <w:t xml:space="preserve">                                    </w:t>
      </w:r>
      <w:r>
        <w:rPr>
          <w:rFonts w:ascii="Arial" w:hAnsi="Arial" w:cs="Arial"/>
          <w:color w:val="auto"/>
          <w:highlight w:val="none"/>
        </w:rPr>
        <w:t>（签字或盖章）</w:t>
      </w:r>
    </w:p>
    <w:p>
      <w:pPr>
        <w:tabs>
          <w:tab w:val="left" w:pos="720"/>
        </w:tabs>
        <w:spacing w:after="120" w:afterLines="50" w:line="360" w:lineRule="auto"/>
        <w:ind w:firstLine="960" w:firstLineChars="400"/>
        <w:rPr>
          <w:rFonts w:ascii="宋体" w:hAnsi="宋体" w:cs="Arial"/>
          <w:color w:val="auto"/>
          <w:sz w:val="24"/>
          <w:highlight w:val="none"/>
        </w:rPr>
      </w:pPr>
      <w:r>
        <w:rPr>
          <w:rFonts w:hint="eastAsia" w:ascii="宋体" w:hAnsi="宋体" w:cs="Arial"/>
          <w:color w:val="auto"/>
          <w:sz w:val="24"/>
          <w:highlight w:val="none"/>
        </w:rPr>
        <w:t>编制人</w:t>
      </w:r>
      <w:r>
        <w:rPr>
          <w:rFonts w:ascii="宋体" w:hAnsi="宋体" w:cs="Arial"/>
          <w:color w:val="auto"/>
          <w:sz w:val="24"/>
          <w:highlight w:val="none"/>
        </w:rPr>
        <w:t>：</w:t>
      </w:r>
      <w:r>
        <w:rPr>
          <w:rFonts w:ascii="宋体" w:hAnsi="宋体" w:cs="Arial"/>
          <w:color w:val="auto"/>
          <w:sz w:val="24"/>
          <w:highlight w:val="none"/>
          <w:u w:val="single"/>
        </w:rPr>
        <w:t xml:space="preserve">           </w:t>
      </w:r>
      <w:r>
        <w:rPr>
          <w:rFonts w:hint="eastAsia" w:ascii="宋体" w:hAnsi="宋体" w:cs="Arial"/>
          <w:color w:val="auto"/>
          <w:sz w:val="24"/>
          <w:highlight w:val="none"/>
          <w:u w:val="single"/>
        </w:rPr>
        <w:t xml:space="preserve">             </w:t>
      </w:r>
      <w:r>
        <w:rPr>
          <w:rFonts w:ascii="宋体" w:hAnsi="宋体" w:cs="Arial"/>
          <w:color w:val="auto"/>
          <w:sz w:val="24"/>
          <w:highlight w:val="none"/>
          <w:u w:val="single"/>
        </w:rPr>
        <w:t xml:space="preserve">                         </w:t>
      </w:r>
    </w:p>
    <w:p>
      <w:pPr>
        <w:tabs>
          <w:tab w:val="left" w:pos="720"/>
        </w:tabs>
        <w:spacing w:after="120" w:afterLines="50" w:line="360" w:lineRule="auto"/>
        <w:rPr>
          <w:rFonts w:ascii="宋体" w:hAnsi="宋体" w:cs="Arial"/>
          <w:color w:val="auto"/>
          <w:highlight w:val="none"/>
        </w:rPr>
      </w:pPr>
      <w:r>
        <w:rPr>
          <w:rFonts w:ascii="宋体" w:hAnsi="宋体" w:cs="Arial"/>
          <w:color w:val="auto"/>
          <w:highlight w:val="none"/>
        </w:rPr>
        <w:t xml:space="preserve">                               </w:t>
      </w:r>
      <w:r>
        <w:rPr>
          <w:rFonts w:hint="eastAsia" w:ascii="宋体" w:hAnsi="宋体" w:cs="Arial"/>
          <w:color w:val="auto"/>
          <w:highlight w:val="none"/>
        </w:rPr>
        <w:t xml:space="preserve">     </w:t>
      </w:r>
      <w:r>
        <w:rPr>
          <w:rFonts w:ascii="Arial" w:hAnsi="Arial" w:cs="Arial"/>
          <w:color w:val="auto"/>
          <w:highlight w:val="none"/>
        </w:rPr>
        <w:t>（</w:t>
      </w:r>
      <w:r>
        <w:rPr>
          <w:rFonts w:hint="eastAsia" w:ascii="Arial" w:hAnsi="Arial" w:cs="Arial"/>
          <w:color w:val="auto"/>
          <w:highlight w:val="none"/>
        </w:rPr>
        <w:t>造价人员签字</w:t>
      </w:r>
      <w:r>
        <w:rPr>
          <w:rFonts w:ascii="Arial" w:hAnsi="Arial" w:cs="Arial"/>
          <w:color w:val="auto"/>
          <w:highlight w:val="none"/>
        </w:rPr>
        <w:t>）</w:t>
      </w:r>
    </w:p>
    <w:p>
      <w:pPr>
        <w:tabs>
          <w:tab w:val="left" w:pos="720"/>
        </w:tabs>
        <w:spacing w:after="120" w:afterLines="50" w:line="360" w:lineRule="auto"/>
        <w:rPr>
          <w:rFonts w:ascii="宋体" w:hAnsi="宋体" w:cs="Arial"/>
          <w:color w:val="auto"/>
          <w:highlight w:val="none"/>
        </w:rPr>
      </w:pPr>
    </w:p>
    <w:p>
      <w:pPr>
        <w:tabs>
          <w:tab w:val="left" w:pos="720"/>
        </w:tabs>
        <w:spacing w:after="120" w:afterLines="50" w:line="360" w:lineRule="auto"/>
        <w:ind w:firstLine="960" w:firstLineChars="400"/>
        <w:rPr>
          <w:rFonts w:ascii="宋体" w:hAnsi="宋体" w:cs="Arial"/>
          <w:color w:val="auto"/>
          <w:sz w:val="24"/>
          <w:highlight w:val="none"/>
        </w:rPr>
      </w:pPr>
    </w:p>
    <w:p>
      <w:pPr>
        <w:tabs>
          <w:tab w:val="left" w:pos="720"/>
        </w:tabs>
        <w:spacing w:after="120" w:afterLines="50" w:line="360" w:lineRule="auto"/>
        <w:ind w:firstLine="960" w:firstLineChars="400"/>
        <w:rPr>
          <w:rFonts w:ascii="宋体"/>
          <w:color w:val="auto"/>
          <w:kern w:val="0"/>
          <w:sz w:val="24"/>
          <w:highlight w:val="none"/>
        </w:rPr>
      </w:pPr>
      <w:r>
        <w:rPr>
          <w:rFonts w:ascii="宋体" w:hAnsi="宋体" w:cs="Arial"/>
          <w:color w:val="auto"/>
          <w:sz w:val="24"/>
          <w:highlight w:val="none"/>
        </w:rPr>
        <w:t>编制时间：</w:t>
      </w:r>
      <w:r>
        <w:rPr>
          <w:rFonts w:hint="eastAsia" w:ascii="宋体" w:hAnsi="宋体" w:cs="Arial"/>
          <w:color w:val="auto"/>
          <w:sz w:val="24"/>
          <w:highlight w:val="none"/>
          <w:u w:val="single"/>
        </w:rPr>
        <w:t xml:space="preserve">         </w:t>
      </w:r>
      <w:r>
        <w:rPr>
          <w:rFonts w:hint="eastAsia" w:ascii="宋体" w:hAnsi="宋体" w:cs="Arial"/>
          <w:color w:val="auto"/>
          <w:sz w:val="24"/>
          <w:highlight w:val="none"/>
        </w:rPr>
        <w:t xml:space="preserve"> 年 </w:t>
      </w:r>
      <w:r>
        <w:rPr>
          <w:rFonts w:hint="eastAsia" w:ascii="宋体" w:hAnsi="宋体" w:cs="Arial"/>
          <w:color w:val="auto"/>
          <w:sz w:val="24"/>
          <w:highlight w:val="none"/>
          <w:u w:val="single"/>
        </w:rPr>
        <w:t xml:space="preserve">      </w:t>
      </w:r>
      <w:r>
        <w:rPr>
          <w:rFonts w:hint="eastAsia" w:ascii="宋体" w:hAnsi="宋体" w:cs="Arial"/>
          <w:color w:val="auto"/>
          <w:sz w:val="24"/>
          <w:highlight w:val="none"/>
        </w:rPr>
        <w:t>月</w:t>
      </w:r>
      <w:r>
        <w:rPr>
          <w:rFonts w:hint="eastAsia" w:ascii="宋体" w:hAnsi="宋体" w:cs="Arial"/>
          <w:color w:val="auto"/>
          <w:sz w:val="24"/>
          <w:highlight w:val="none"/>
          <w:u w:val="single"/>
        </w:rPr>
        <w:t xml:space="preserve">      </w:t>
      </w:r>
      <w:r>
        <w:rPr>
          <w:rFonts w:hint="eastAsia" w:ascii="宋体" w:hAnsi="宋体" w:cs="Arial"/>
          <w:color w:val="auto"/>
          <w:sz w:val="24"/>
          <w:highlight w:val="none"/>
        </w:rPr>
        <w:t>日</w:t>
      </w:r>
    </w:p>
    <w:p>
      <w:pPr>
        <w:snapToGrid w:val="0"/>
        <w:spacing w:line="300" w:lineRule="auto"/>
        <w:rPr>
          <w:rFonts w:hint="eastAsia" w:ascii="仿宋" w:hAnsi="仿宋" w:eastAsia="仿宋" w:cs="仿宋"/>
          <w:color w:val="000000" w:themeColor="text1"/>
          <w:szCs w:val="21"/>
          <w14:textFill>
            <w14:solidFill>
              <w14:schemeClr w14:val="tx1"/>
            </w14:solidFill>
          </w14:textFill>
        </w:rPr>
      </w:pPr>
    </w:p>
    <w:p>
      <w:pPr>
        <w:pStyle w:val="33"/>
        <w:snapToGrid w:val="0"/>
        <w:spacing w:line="300" w:lineRule="auto"/>
        <w:ind w:firstLine="480"/>
        <w:rPr>
          <w:rFonts w:hint="eastAsia" w:ascii="仿宋" w:hAnsi="仿宋" w:eastAsia="仿宋" w:cs="仿宋"/>
          <w:color w:val="000000" w:themeColor="text1"/>
          <w:szCs w:val="21"/>
          <w14:textFill>
            <w14:solidFill>
              <w14:schemeClr w14:val="tx1"/>
            </w14:solidFill>
          </w14:textFill>
        </w:rPr>
      </w:pPr>
    </w:p>
    <w:p>
      <w:pPr>
        <w:pStyle w:val="33"/>
        <w:snapToGrid w:val="0"/>
        <w:spacing w:line="300" w:lineRule="auto"/>
        <w:ind w:firstLine="480"/>
        <w:rPr>
          <w:rFonts w:hint="eastAsia" w:ascii="仿宋" w:hAnsi="仿宋" w:eastAsia="仿宋" w:cs="仿宋"/>
          <w:color w:val="000000" w:themeColor="text1"/>
          <w:sz w:val="24"/>
          <w:szCs w:val="24"/>
          <w:lang w:val="en-GB"/>
          <w14:textFill>
            <w14:solidFill>
              <w14:schemeClr w14:val="tx1"/>
            </w14:solidFill>
          </w14:textFill>
        </w:rPr>
      </w:pPr>
    </w:p>
    <w:p>
      <w:pPr>
        <w:widowControl/>
        <w:wordWrap w:val="0"/>
        <w:spacing w:line="360" w:lineRule="auto"/>
        <w:rPr>
          <w:rFonts w:hint="eastAsia" w:ascii="仿宋" w:hAnsi="仿宋" w:eastAsia="仿宋" w:cs="仿宋"/>
          <w:b/>
          <w:sz w:val="36"/>
          <w:szCs w:val="36"/>
        </w:rPr>
      </w:pPr>
      <w:r>
        <w:rPr>
          <w:rFonts w:hint="eastAsia" w:ascii="仿宋" w:hAnsi="仿宋" w:eastAsia="仿宋" w:cs="仿宋"/>
          <w:szCs w:val="21"/>
        </w:rPr>
        <w:t xml:space="preserve">      </w:t>
      </w:r>
      <w:r>
        <w:rPr>
          <w:rFonts w:hint="eastAsia" w:ascii="仿宋" w:hAnsi="仿宋" w:eastAsia="仿宋" w:cs="仿宋"/>
          <w:b/>
          <w:sz w:val="36"/>
          <w:szCs w:val="36"/>
        </w:rPr>
        <w:br w:type="page"/>
      </w:r>
    </w:p>
    <w:p>
      <w:pPr>
        <w:snapToGrid w:val="0"/>
        <w:spacing w:line="360" w:lineRule="auto"/>
        <w:jc w:val="center"/>
        <w:outlineLvl w:val="0"/>
        <w:rPr>
          <w:rFonts w:hint="eastAsia" w:ascii="仿宋" w:hAnsi="仿宋" w:eastAsia="仿宋" w:cs="仿宋"/>
          <w:b/>
          <w:kern w:val="0"/>
          <w:sz w:val="32"/>
          <w:szCs w:val="32"/>
        </w:rPr>
      </w:pPr>
      <w:bookmarkStart w:id="546" w:name="_Toc9800"/>
      <w:r>
        <w:rPr>
          <w:rFonts w:hint="eastAsia" w:ascii="仿宋" w:hAnsi="仿宋" w:eastAsia="仿宋" w:cs="仿宋"/>
          <w:b/>
          <w:kern w:val="0"/>
          <w:sz w:val="32"/>
          <w:szCs w:val="32"/>
        </w:rPr>
        <w:t>附件</w:t>
      </w:r>
      <w:bookmarkEnd w:id="546"/>
    </w:p>
    <w:p>
      <w:pPr>
        <w:spacing w:line="360" w:lineRule="auto"/>
        <w:rPr>
          <w:rFonts w:hint="eastAsia" w:ascii="仿宋" w:hAnsi="仿宋" w:eastAsia="仿宋" w:cs="仿宋"/>
          <w:b/>
          <w:spacing w:val="6"/>
          <w:sz w:val="32"/>
          <w:szCs w:val="32"/>
        </w:rPr>
      </w:pPr>
      <w:r>
        <w:rPr>
          <w:rFonts w:hint="eastAsia" w:ascii="仿宋" w:hAnsi="仿宋" w:eastAsia="仿宋" w:cs="仿宋"/>
          <w:b/>
          <w:spacing w:val="6"/>
          <w:sz w:val="32"/>
          <w:szCs w:val="32"/>
        </w:rPr>
        <w:t>附件1：</w:t>
      </w:r>
    </w:p>
    <w:p>
      <w:pPr>
        <w:spacing w:line="360" w:lineRule="auto"/>
        <w:jc w:val="center"/>
        <w:rPr>
          <w:rFonts w:hint="eastAsia" w:ascii="仿宋" w:hAnsi="仿宋" w:eastAsia="仿宋" w:cs="仿宋"/>
          <w:b/>
          <w:spacing w:val="6"/>
          <w:sz w:val="32"/>
          <w:szCs w:val="32"/>
        </w:rPr>
      </w:pPr>
      <w:bookmarkStart w:id="547" w:name="OLE_LINK13"/>
      <w:bookmarkStart w:id="548" w:name="OLE_LINK14"/>
      <w:r>
        <w:rPr>
          <w:rFonts w:hint="eastAsia" w:ascii="仿宋" w:hAnsi="仿宋" w:eastAsia="仿宋" w:cs="仿宋"/>
          <w:b/>
          <w:spacing w:val="6"/>
          <w:sz w:val="32"/>
          <w:szCs w:val="32"/>
        </w:rPr>
        <w:t>残疾人福利性单位声明函</w:t>
      </w:r>
    </w:p>
    <w:bookmarkEnd w:id="547"/>
    <w:bookmarkEnd w:id="548"/>
    <w:p>
      <w:pPr>
        <w:spacing w:line="360" w:lineRule="auto"/>
        <w:rPr>
          <w:rFonts w:hint="eastAsia" w:ascii="仿宋" w:hAnsi="仿宋" w:eastAsia="仿宋" w:cs="仿宋"/>
          <w:b/>
          <w:spacing w:val="6"/>
          <w:sz w:val="30"/>
          <w:szCs w:val="30"/>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lang w:val="zh-CN"/>
        </w:rPr>
        <w:t>供应商全称（盖单位公章或电子签章）</w:t>
      </w:r>
      <w:r>
        <w:rPr>
          <w:rFonts w:hint="eastAsia" w:ascii="仿宋" w:hAnsi="仿宋" w:eastAsia="仿宋" w:cs="仿宋"/>
          <w:sz w:val="24"/>
        </w:rPr>
        <w:t>：</w:t>
      </w:r>
    </w:p>
    <w:p>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日  期：</w:t>
      </w:r>
    </w:p>
    <w:p>
      <w:pPr>
        <w:pStyle w:val="3"/>
      </w:pPr>
    </w:p>
    <w:p>
      <w:pPr>
        <w:rPr>
          <w:rFonts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br w:type="page"/>
      </w:r>
    </w:p>
    <w:p>
      <w:pPr>
        <w:spacing w:line="360" w:lineRule="auto"/>
        <w:jc w:val="left"/>
        <w:rPr>
          <w:rFonts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t>附件2：质疑函范本及制作说明</w:t>
      </w:r>
    </w:p>
    <w:p>
      <w:pPr>
        <w:spacing w:line="360" w:lineRule="auto"/>
        <w:jc w:val="center"/>
        <w:rPr>
          <w:rFonts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t>质疑函范本</w:t>
      </w:r>
    </w:p>
    <w:p>
      <w:pPr>
        <w:snapToGrid w:val="0"/>
        <w:spacing w:before="240" w:beforeLines="100" w:line="360" w:lineRule="auto"/>
        <w:rPr>
          <w:rFonts w:ascii="仿宋_GB2312" w:hAnsi="仿宋_GB2312" w:eastAsia="仿宋_GB2312" w:cs="仿宋_GB2312"/>
          <w:bCs/>
          <w:sz w:val="24"/>
        </w:rPr>
      </w:pPr>
      <w:r>
        <w:rPr>
          <w:rFonts w:hint="eastAsia" w:ascii="仿宋_GB2312" w:hAnsi="仿宋_GB2312" w:eastAsia="仿宋_GB2312" w:cs="仿宋_GB2312"/>
          <w:bCs/>
          <w:sz w:val="24"/>
        </w:rPr>
        <w:t>一、质疑供应商基本信息</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质疑供应商：</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地址：</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联系人：</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授权代表：</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地址： </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bCs/>
          <w:sz w:val="24"/>
        </w:rPr>
      </w:pPr>
      <w:r>
        <w:rPr>
          <w:rFonts w:hint="eastAsia" w:ascii="仿宋_GB2312" w:hAnsi="仿宋_GB2312" w:eastAsia="仿宋_GB2312" w:cs="仿宋_GB2312"/>
          <w:bCs/>
          <w:sz w:val="24"/>
        </w:rPr>
        <w:t>二、质疑项目基本情况</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质疑项目的名称：</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质疑项目的编号：</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包号：</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采购人名称：</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采购文件获取日期：</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bCs/>
          <w:sz w:val="24"/>
        </w:rPr>
      </w:pPr>
      <w:r>
        <w:rPr>
          <w:rFonts w:hint="eastAsia" w:ascii="仿宋_GB2312" w:hAnsi="仿宋_GB2312" w:eastAsia="仿宋_GB2312" w:cs="仿宋_GB2312"/>
          <w:bCs/>
          <w:sz w:val="24"/>
        </w:rPr>
        <w:t>三、质疑事项具体内容</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质疑事项1：</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事实依据：</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法律依据：</w:t>
      </w: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u w:val="dotted"/>
        </w:rPr>
        <w:t xml:space="preserve">                                                     </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质疑事项2</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w:t>
      </w:r>
    </w:p>
    <w:p>
      <w:pPr>
        <w:snapToGrid w:val="0"/>
        <w:spacing w:line="360" w:lineRule="auto"/>
        <w:rPr>
          <w:rFonts w:ascii="仿宋_GB2312" w:hAnsi="仿宋_GB2312" w:eastAsia="仿宋_GB2312" w:cs="仿宋_GB2312"/>
          <w:bCs/>
          <w:sz w:val="24"/>
        </w:rPr>
      </w:pPr>
      <w:r>
        <w:rPr>
          <w:rFonts w:hint="eastAsia" w:ascii="仿宋_GB2312" w:hAnsi="仿宋_GB2312" w:eastAsia="仿宋_GB2312" w:cs="仿宋_GB2312"/>
          <w:bCs/>
          <w:sz w:val="24"/>
        </w:rPr>
        <w:t>四、与质疑事项相关的质疑请求</w:t>
      </w:r>
    </w:p>
    <w:p>
      <w:pPr>
        <w:snapToGrid w:val="0"/>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请求：</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签字(签章)：                   公章：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日期：    </w:t>
      </w:r>
    </w:p>
    <w:p>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质疑函制作说明：</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1.供应商提出质疑时，应提交质疑函和必要的证明材料。</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2.质疑供应商若委托代理人进行质疑的，质疑函应按要求列明“授权代表”的有关内容，并在附件中提交由质疑</w:t>
      </w:r>
      <w:r>
        <w:rPr>
          <w:rFonts w:hint="eastAsia" w:ascii="仿宋_GB2312" w:hAnsi="仿宋_GB2312" w:eastAsia="仿宋_GB2312" w:cs="仿宋_GB2312"/>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3.质疑供应商若对项目的某一分包进行质疑，质疑函中应列明具体分包号。</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4.质疑函的质疑事项应具体、明确，并有必要的事实依据和法律依据。</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5.质疑函的质疑请求应与质疑事项相关。</w:t>
      </w:r>
    </w:p>
    <w:p>
      <w:pPr>
        <w:widowControl/>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仿宋_GB2312" w:hAnsi="仿宋_GB2312" w:eastAsia="仿宋_GB2312" w:cs="仿宋_GB2312"/>
          <w:sz w:val="30"/>
          <w:szCs w:val="30"/>
        </w:rPr>
      </w:pPr>
    </w:p>
    <w:p>
      <w:pPr>
        <w:spacing w:line="360" w:lineRule="auto"/>
        <w:jc w:val="left"/>
        <w:rPr>
          <w:rFonts w:ascii="仿宋_GB2312" w:hAnsi="仿宋_GB2312" w:eastAsia="仿宋_GB2312" w:cs="仿宋_GB2312"/>
          <w:b/>
          <w:spacing w:val="6"/>
          <w:sz w:val="32"/>
          <w:szCs w:val="32"/>
        </w:rPr>
      </w:pPr>
      <w:r>
        <w:rPr>
          <w:rFonts w:hint="eastAsia" w:ascii="仿宋_GB2312" w:hAnsi="仿宋_GB2312" w:eastAsia="仿宋_GB2312" w:cs="仿宋_GB2312"/>
          <w:b/>
          <w:sz w:val="24"/>
        </w:rPr>
        <w:br w:type="page"/>
      </w:r>
      <w:r>
        <w:rPr>
          <w:rFonts w:hint="eastAsia" w:ascii="仿宋_GB2312" w:hAnsi="仿宋_GB2312" w:eastAsia="仿宋_GB2312" w:cs="仿宋_GB2312"/>
          <w:b/>
          <w:spacing w:val="6"/>
          <w:sz w:val="32"/>
          <w:szCs w:val="32"/>
        </w:rPr>
        <w:t>附件3：投诉书范本及制作说明</w:t>
      </w:r>
    </w:p>
    <w:p>
      <w:pPr>
        <w:spacing w:line="360" w:lineRule="auto"/>
        <w:jc w:val="center"/>
        <w:rPr>
          <w:rFonts w:ascii="仿宋_GB2312" w:hAnsi="仿宋_GB2312" w:eastAsia="仿宋_GB2312" w:cs="仿宋_GB2312"/>
          <w:b/>
          <w:sz w:val="24"/>
        </w:rPr>
      </w:pPr>
    </w:p>
    <w:p>
      <w:pPr>
        <w:spacing w:line="360" w:lineRule="auto"/>
        <w:jc w:val="center"/>
        <w:rPr>
          <w:rFonts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t>投诉书范本</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一、投诉相关主体基本情况</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投诉人：</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tabs>
          <w:tab w:val="left" w:pos="6510"/>
        </w:tabs>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法定代表人/主要负责人：</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 xml:space="preserve">  </w:t>
      </w:r>
    </w:p>
    <w:p>
      <w:pPr>
        <w:tabs>
          <w:tab w:val="left" w:pos="6510"/>
        </w:tabs>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授权代表：</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被投诉人1：</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联系人：</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被投诉人2</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相关供应商：</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联系人：</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二、投诉项目基本情况</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采购项目名称：</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采购项目编号：</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包号：</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采购人名称：</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u w:val="single"/>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代理机构名称：</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采购文件公告:</w:t>
      </w:r>
      <w:r>
        <w:rPr>
          <w:rFonts w:hint="eastAsia" w:ascii="仿宋_GB2312" w:hAnsi="仿宋_GB2312" w:eastAsia="仿宋_GB2312" w:cs="仿宋_GB2312"/>
          <w:sz w:val="24"/>
          <w:u w:val="dotted"/>
        </w:rPr>
        <w:t xml:space="preserve">是/否 </w:t>
      </w:r>
      <w:r>
        <w:rPr>
          <w:rFonts w:hint="eastAsia" w:ascii="仿宋_GB2312" w:hAnsi="仿宋_GB2312" w:eastAsia="仿宋_GB2312" w:cs="仿宋_GB2312"/>
          <w:sz w:val="24"/>
        </w:rPr>
        <w:t>公告期限：</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采购结果公告:</w:t>
      </w:r>
      <w:r>
        <w:rPr>
          <w:rFonts w:hint="eastAsia" w:ascii="仿宋_GB2312" w:hAnsi="仿宋_GB2312" w:eastAsia="仿宋_GB2312" w:cs="仿宋_GB2312"/>
          <w:sz w:val="24"/>
          <w:u w:val="dotted"/>
        </w:rPr>
        <w:t xml:space="preserve">是/否 </w:t>
      </w:r>
      <w:r>
        <w:rPr>
          <w:rFonts w:hint="eastAsia" w:ascii="仿宋_GB2312" w:hAnsi="仿宋_GB2312" w:eastAsia="仿宋_GB2312" w:cs="仿宋_GB2312"/>
          <w:sz w:val="24"/>
        </w:rPr>
        <w:t>公告期限：</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三、质疑基本情况</w:t>
      </w:r>
    </w:p>
    <w:p>
      <w:pPr>
        <w:spacing w:line="360" w:lineRule="auto"/>
        <w:ind w:firstLine="480" w:firstLineChars="200"/>
        <w:rPr>
          <w:rFonts w:ascii="仿宋_GB2312" w:hAnsi="仿宋_GB2312" w:eastAsia="仿宋_GB2312" w:cs="仿宋_GB2312"/>
          <w:sz w:val="24"/>
          <w:u w:val="dotted"/>
        </w:rPr>
      </w:pPr>
      <w:r>
        <w:rPr>
          <w:rFonts w:hint="eastAsia" w:ascii="仿宋_GB2312" w:hAnsi="仿宋_GB2312" w:eastAsia="仿宋_GB2312" w:cs="仿宋_GB2312"/>
          <w:sz w:val="24"/>
        </w:rPr>
        <w:t>投诉人于</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日,向</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提出质疑，质疑事项为：</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 xml:space="preserve">  </w:t>
      </w:r>
    </w:p>
    <w:p>
      <w:pPr>
        <w:spacing w:line="360" w:lineRule="auto"/>
        <w:ind w:firstLine="360" w:firstLineChars="150"/>
        <w:rPr>
          <w:rFonts w:ascii="仿宋_GB2312" w:hAnsi="仿宋_GB2312" w:eastAsia="仿宋_GB2312" w:cs="仿宋_GB2312"/>
          <w:sz w:val="24"/>
        </w:rPr>
      </w:pPr>
      <w:r>
        <w:rPr>
          <w:rFonts w:hint="eastAsia" w:ascii="仿宋_GB2312" w:hAnsi="仿宋_GB2312" w:eastAsia="仿宋_GB2312" w:cs="仿宋_GB2312"/>
          <w:sz w:val="24"/>
          <w:u w:val="dotted"/>
        </w:rPr>
        <w:t>采购人/代理机构</w:t>
      </w:r>
      <w:r>
        <w:rPr>
          <w:rFonts w:hint="eastAsia" w:ascii="仿宋_GB2312" w:hAnsi="仿宋_GB2312" w:eastAsia="仿宋_GB2312" w:cs="仿宋_GB2312"/>
          <w:sz w:val="24"/>
        </w:rPr>
        <w:t>于</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日,就质疑事项作出了答复/没有在法定期限内作出答复。</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四、投诉事项具体内容</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投诉事项 1：</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事实依据：</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法律依据：</w:t>
      </w: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u w:val="dotted"/>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投诉事项2</w:t>
      </w:r>
    </w:p>
    <w:p>
      <w:pPr>
        <w:spacing w:line="360" w:lineRule="auto"/>
        <w:rPr>
          <w:rFonts w:ascii="仿宋_GB2312" w:hAnsi="仿宋_GB2312" w:eastAsia="仿宋_GB2312" w:cs="仿宋_GB2312"/>
          <w:sz w:val="24"/>
          <w:u w:val="dotted"/>
        </w:rPr>
      </w:pPr>
      <w:r>
        <w:rPr>
          <w:rFonts w:hint="eastAsia" w:ascii="仿宋_GB2312" w:hAnsi="仿宋_GB2312" w:eastAsia="仿宋_GB2312" w:cs="仿宋_GB2312"/>
          <w:sz w:val="24"/>
        </w:rPr>
        <w:t>……</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五、与投诉事项相关的投诉请求</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请求：</w:t>
      </w:r>
      <w:r>
        <w:rPr>
          <w:rFonts w:hint="eastAsia" w:ascii="仿宋_GB2312" w:hAnsi="仿宋_GB2312" w:eastAsia="仿宋_GB2312" w:cs="仿宋_GB2312"/>
          <w:sz w:val="24"/>
          <w:u w:val="dotted"/>
        </w:rPr>
        <w:t xml:space="preserve">                                              </w:t>
      </w:r>
      <w:r>
        <w:rPr>
          <w:rFonts w:hint="eastAsia" w:ascii="仿宋_GB2312" w:hAnsi="仿宋_GB2312" w:eastAsia="仿宋_GB2312" w:cs="仿宋_GB2312"/>
          <w:sz w:val="24"/>
        </w:rPr>
        <w:t xml:space="preserve"> </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签字(签章)：                   公章：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日期：    </w:t>
      </w:r>
    </w:p>
    <w:p>
      <w:pPr>
        <w:spacing w:line="360" w:lineRule="auto"/>
        <w:rPr>
          <w:rFonts w:ascii="仿宋_GB2312" w:hAnsi="仿宋_GB2312" w:eastAsia="仿宋_GB2312" w:cs="仿宋_GB2312"/>
          <w:b/>
          <w:sz w:val="24"/>
        </w:rPr>
      </w:pPr>
    </w:p>
    <w:p>
      <w:pPr>
        <w:spacing w:line="360" w:lineRule="auto"/>
        <w:rPr>
          <w:rFonts w:ascii="仿宋_GB2312" w:hAnsi="仿宋_GB2312" w:eastAsia="仿宋_GB2312" w:cs="仿宋_GB2312"/>
          <w:b/>
          <w:sz w:val="24"/>
        </w:rPr>
      </w:pPr>
    </w:p>
    <w:p>
      <w:pPr>
        <w:spacing w:line="360" w:lineRule="auto"/>
        <w:rPr>
          <w:rFonts w:ascii="仿宋_GB2312" w:hAnsi="仿宋_GB2312" w:eastAsia="仿宋_GB2312" w:cs="仿宋_GB2312"/>
          <w:b/>
          <w:sz w:val="22"/>
          <w:szCs w:val="22"/>
        </w:rPr>
      </w:pPr>
      <w:r>
        <w:rPr>
          <w:rFonts w:hint="eastAsia" w:ascii="仿宋_GB2312" w:hAnsi="仿宋_GB2312" w:eastAsia="仿宋_GB2312" w:cs="仿宋_GB2312"/>
          <w:b/>
          <w:sz w:val="22"/>
          <w:szCs w:val="22"/>
        </w:rPr>
        <w:t>投诉书制作说明：</w:t>
      </w:r>
    </w:p>
    <w:p>
      <w:pPr>
        <w:widowControl/>
        <w:spacing w:line="360" w:lineRule="auto"/>
        <w:ind w:firstLine="440" w:firstLineChars="200"/>
        <w:rPr>
          <w:rFonts w:ascii="仿宋_GB2312" w:hAnsi="仿宋_GB2312" w:eastAsia="仿宋_GB2312" w:cs="仿宋_GB2312"/>
          <w:kern w:val="0"/>
          <w:sz w:val="22"/>
          <w:szCs w:val="22"/>
        </w:rPr>
      </w:pPr>
      <w:r>
        <w:rPr>
          <w:rFonts w:hint="eastAsia" w:ascii="仿宋_GB2312" w:hAnsi="仿宋_GB2312" w:eastAsia="仿宋_GB2312" w:cs="仿宋_GB2312"/>
          <w:sz w:val="22"/>
          <w:szCs w:val="22"/>
        </w:rPr>
        <w:t>1.投诉人提起投诉时，应当提交投诉书和必要的证明材料，并按照被投诉人和与投诉事项有关的供应商数量提供投诉书副本。</w:t>
      </w:r>
    </w:p>
    <w:p>
      <w:pPr>
        <w:widowControl/>
        <w:spacing w:line="360" w:lineRule="auto"/>
        <w:ind w:firstLine="440" w:firstLineChars="200"/>
        <w:jc w:val="left"/>
        <w:rPr>
          <w:rFonts w:ascii="仿宋_GB2312" w:hAnsi="仿宋_GB2312" w:eastAsia="仿宋_GB2312" w:cs="仿宋_GB2312"/>
          <w:kern w:val="0"/>
          <w:sz w:val="22"/>
          <w:szCs w:val="22"/>
        </w:rPr>
      </w:pPr>
      <w:r>
        <w:rPr>
          <w:rFonts w:hint="eastAsia" w:ascii="仿宋_GB2312" w:hAnsi="仿宋_GB2312" w:eastAsia="仿宋_GB2312" w:cs="仿宋_GB2312"/>
          <w:sz w:val="22"/>
          <w:szCs w:val="22"/>
        </w:rPr>
        <w:t>2.投诉人若委托代理人进行投诉的，投诉书应按照要求列明“授权代表”的有关内容，并在附件中提交由</w:t>
      </w:r>
      <w:r>
        <w:rPr>
          <w:rFonts w:hint="eastAsia" w:ascii="仿宋_GB2312" w:hAnsi="仿宋_GB2312" w:eastAsia="仿宋_GB2312" w:cs="仿宋_GB2312"/>
          <w:kern w:val="0"/>
          <w:sz w:val="22"/>
          <w:szCs w:val="22"/>
        </w:rPr>
        <w:t>投诉人签署的授权委托书。授权委托书应当载明代理人的姓名或者名称、代理事项、具体权限、期限和相关事项。</w:t>
      </w:r>
    </w:p>
    <w:p>
      <w:pPr>
        <w:widowControl/>
        <w:spacing w:line="360" w:lineRule="auto"/>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3.投诉人若对项目的某一分包进行投诉，投诉书应列明具体分包号。</w:t>
      </w:r>
    </w:p>
    <w:p>
      <w:pPr>
        <w:widowControl/>
        <w:spacing w:line="360" w:lineRule="auto"/>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4.投诉书应简要列明质疑事项，质疑函、质疑答复等作为附件材料提供。</w:t>
      </w:r>
    </w:p>
    <w:p>
      <w:pPr>
        <w:widowControl/>
        <w:spacing w:line="360" w:lineRule="auto"/>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5.投诉书的投诉事项应具体、明确，并有必要的事实依据和法律依据。</w:t>
      </w:r>
    </w:p>
    <w:p>
      <w:pPr>
        <w:widowControl/>
        <w:spacing w:line="360" w:lineRule="auto"/>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6.投诉书的投诉请求应与投诉事项相关。</w:t>
      </w:r>
    </w:p>
    <w:p>
      <w:pPr>
        <w:widowControl/>
        <w:spacing w:line="360" w:lineRule="auto"/>
        <w:ind w:firstLine="440" w:firstLineChars="200"/>
        <w:jc w:val="left"/>
        <w:rPr>
          <w:rFonts w:ascii="仿宋_GB2312" w:hAnsi="仿宋_GB2312" w:eastAsia="仿宋_GB2312" w:cs="仿宋_GB2312"/>
          <w:kern w:val="0"/>
          <w:sz w:val="22"/>
          <w:szCs w:val="22"/>
        </w:rPr>
      </w:pPr>
      <w:r>
        <w:rPr>
          <w:rFonts w:hint="eastAsia" w:ascii="仿宋_GB2312" w:hAnsi="仿宋_GB2312" w:eastAsia="仿宋_GB2312" w:cs="仿宋_GB2312"/>
          <w:sz w:val="22"/>
          <w:szCs w:val="22"/>
        </w:rPr>
        <w:t>7.投诉人为自然人的，投诉书应当由本人签字；投诉人为法人或者其他组织的，投诉书应当由法定代表人、主要负责人，或者其授权代表签字或者盖章，并加盖公章。</w:t>
      </w:r>
    </w:p>
    <w:p>
      <w:pPr>
        <w:rPr>
          <w:rFonts w:ascii="仿宋_GB2312" w:hAnsi="仿宋_GB2312" w:eastAsia="仿宋_GB2312" w:cs="仿宋_GB2312"/>
          <w:b/>
          <w:sz w:val="24"/>
        </w:rPr>
      </w:pPr>
    </w:p>
    <w:p>
      <w:pPr>
        <w:widowControl/>
        <w:adjustRightInd/>
        <w:jc w:val="left"/>
        <w:rPr>
          <w:rFonts w:ascii="仿宋_GB2312" w:hAnsi="仿宋_GB2312" w:eastAsia="仿宋_GB2312" w:cs="仿宋_GB2312"/>
          <w:b/>
          <w:sz w:val="24"/>
        </w:rPr>
      </w:pPr>
      <w:r>
        <w:rPr>
          <w:rFonts w:hint="eastAsia" w:ascii="仿宋_GB2312" w:hAnsi="仿宋_GB2312" w:eastAsia="仿宋_GB2312" w:cs="仿宋_GB2312"/>
          <w:b/>
          <w:sz w:val="24"/>
        </w:rPr>
        <w:br w:type="page"/>
      </w:r>
    </w:p>
    <w:p>
      <w:pPr>
        <w:autoSpaceDE w:val="0"/>
        <w:autoSpaceDN w:val="0"/>
        <w:rPr>
          <w:rFonts w:ascii="仿宋" w:hAnsi="仿宋" w:eastAsia="仿宋"/>
          <w:b/>
          <w:spacing w:val="6"/>
          <w:sz w:val="32"/>
          <w:szCs w:val="32"/>
        </w:rPr>
      </w:pPr>
      <w:r>
        <w:rPr>
          <w:rFonts w:hint="eastAsia" w:ascii="仿宋" w:hAnsi="仿宋" w:eastAsia="仿宋"/>
          <w:b/>
          <w:spacing w:val="6"/>
          <w:sz w:val="32"/>
          <w:szCs w:val="32"/>
        </w:rPr>
        <w:t>附件</w:t>
      </w:r>
      <w:r>
        <w:rPr>
          <w:rFonts w:ascii="仿宋" w:hAnsi="仿宋" w:eastAsia="仿宋"/>
          <w:b/>
          <w:spacing w:val="6"/>
          <w:sz w:val="32"/>
          <w:szCs w:val="32"/>
        </w:rPr>
        <w:t>4：</w:t>
      </w:r>
    </w:p>
    <w:p>
      <w:pPr>
        <w:autoSpaceDE w:val="0"/>
        <w:autoSpaceDN w:val="0"/>
        <w:rPr>
          <w:rFonts w:ascii="仿宋" w:hAnsi="仿宋" w:eastAsia="仿宋"/>
          <w:b/>
          <w:spacing w:val="6"/>
          <w:sz w:val="32"/>
          <w:szCs w:val="32"/>
        </w:rPr>
      </w:pPr>
    </w:p>
    <w:p>
      <w:pPr>
        <w:autoSpaceDE w:val="0"/>
        <w:autoSpaceDN w:val="0"/>
        <w:jc w:val="center"/>
        <w:rPr>
          <w:rFonts w:ascii="仿宋" w:hAnsi="仿宋" w:eastAsia="仿宋"/>
          <w:b/>
          <w:bCs/>
          <w:sz w:val="32"/>
          <w:szCs w:val="32"/>
        </w:rPr>
      </w:pPr>
      <w:r>
        <w:rPr>
          <w:rFonts w:hint="eastAsia" w:ascii="仿宋" w:hAnsi="仿宋" w:eastAsia="仿宋"/>
          <w:b/>
          <w:bCs/>
          <w:sz w:val="32"/>
          <w:szCs w:val="32"/>
        </w:rPr>
        <w:t>业务专用章使用说明函</w:t>
      </w:r>
    </w:p>
    <w:p>
      <w:pPr>
        <w:spacing w:line="360" w:lineRule="auto"/>
        <w:rPr>
          <w:rFonts w:ascii="仿宋" w:hAnsi="仿宋" w:eastAsia="仿宋" w:cs="仿宋_GB2312"/>
          <w:sz w:val="24"/>
          <w:u w:val="single"/>
        </w:rPr>
      </w:pPr>
    </w:p>
    <w:p>
      <w:pPr>
        <w:spacing w:line="360" w:lineRule="auto"/>
        <w:rPr>
          <w:rFonts w:ascii="仿宋" w:hAnsi="仿宋" w:eastAsia="仿宋"/>
          <w:sz w:val="24"/>
        </w:rPr>
      </w:pPr>
      <w:r>
        <w:rPr>
          <w:rFonts w:hint="eastAsia" w:ascii="仿宋" w:hAnsi="仿宋" w:eastAsia="仿宋" w:cs="仿宋_GB2312"/>
          <w:sz w:val="24"/>
          <w:u w:val="single"/>
        </w:rPr>
        <w:t>（采购人）、（采购代理机构）</w:t>
      </w:r>
    </w:p>
    <w:p>
      <w:pPr>
        <w:spacing w:line="360" w:lineRule="auto"/>
        <w:ind w:firstLine="480" w:firstLineChars="200"/>
        <w:rPr>
          <w:rFonts w:ascii="仿宋" w:hAnsi="仿宋" w:eastAsia="仿宋" w:cs="宋体"/>
          <w:sz w:val="24"/>
        </w:rPr>
      </w:pPr>
      <w:r>
        <w:rPr>
          <w:rFonts w:hint="eastAsia" w:ascii="仿宋" w:hAnsi="仿宋" w:eastAsia="仿宋" w:cs="仿宋_GB2312"/>
          <w:kern w:val="0"/>
          <w:sz w:val="24"/>
          <w:lang w:val="zh-CN"/>
        </w:rPr>
        <w:t>我方</w:t>
      </w:r>
      <w:r>
        <w:rPr>
          <w:rFonts w:ascii="仿宋" w:hAnsi="仿宋" w:eastAsia="仿宋" w:cs="仿宋_GB2312"/>
          <w:kern w:val="0"/>
          <w:sz w:val="24"/>
          <w:u w:val="single"/>
          <w:lang w:val="zh-CN"/>
        </w:rPr>
        <w:t xml:space="preserve">                         </w:t>
      </w:r>
      <w:r>
        <w:rPr>
          <w:rFonts w:ascii="仿宋" w:hAnsi="仿宋" w:eastAsia="仿宋" w:cs="仿宋_GB2312"/>
          <w:sz w:val="24"/>
        </w:rPr>
        <w:t>(</w:t>
      </w:r>
      <w:r>
        <w:rPr>
          <w:rFonts w:hint="eastAsia" w:ascii="仿宋" w:hAnsi="仿宋" w:eastAsia="仿宋" w:cs="仿宋_GB2312"/>
          <w:sz w:val="24"/>
        </w:rPr>
        <w:t>供应商</w:t>
      </w:r>
      <w:r>
        <w:rPr>
          <w:rFonts w:ascii="仿宋" w:hAnsi="仿宋" w:eastAsia="仿宋" w:cs="仿宋_GB2312"/>
          <w:sz w:val="24"/>
        </w:rPr>
        <w:t>全称)</w:t>
      </w:r>
      <w:r>
        <w:rPr>
          <w:rFonts w:hint="eastAsia" w:ascii="仿宋" w:hAnsi="仿宋" w:eastAsia="仿宋"/>
          <w:sz w:val="24"/>
        </w:rPr>
        <w:t>是中华人民共和国依法登记注册的合法企业，</w:t>
      </w:r>
      <w:r>
        <w:rPr>
          <w:rFonts w:hint="eastAsia" w:ascii="仿宋" w:hAnsi="仿宋" w:eastAsia="仿宋" w:cs="宋体"/>
          <w:bCs/>
          <w:sz w:val="24"/>
        </w:rPr>
        <w:t>在参加</w:t>
      </w:r>
      <w:r>
        <w:rPr>
          <w:rFonts w:hint="eastAsia" w:ascii="仿宋" w:hAnsi="仿宋" w:eastAsia="仿宋" w:cs="仿宋_GB2312"/>
          <w:sz w:val="24"/>
        </w:rPr>
        <w:t>你方组织的</w:t>
      </w:r>
      <w:r>
        <w:rPr>
          <w:rFonts w:hint="eastAsia" w:ascii="仿宋_GB2312" w:hAnsi="仿宋" w:eastAsia="仿宋_GB2312" w:cs="仿宋_GB2312"/>
          <w:sz w:val="24"/>
          <w:lang w:eastAsia="zh-CN"/>
        </w:rPr>
        <w:t>天山牧歌二期31号楼地下一二层装修工程项目</w:t>
      </w:r>
      <w:r>
        <w:rPr>
          <w:rFonts w:hint="eastAsia" w:ascii="仿宋" w:hAnsi="仿宋" w:eastAsia="仿宋" w:cs="仿宋_GB2312"/>
          <w:sz w:val="24"/>
        </w:rPr>
        <w:t>【编号：</w:t>
      </w:r>
      <w:r>
        <w:rPr>
          <w:rFonts w:hint="eastAsia" w:ascii="仿宋" w:hAnsi="仿宋" w:eastAsia="仿宋" w:cs="仿宋_GB2312"/>
          <w:b w:val="0"/>
          <w:i w:val="0"/>
          <w:sz w:val="24"/>
          <w:lang w:eastAsia="zh-CN"/>
        </w:rPr>
        <w:t>2023-ZFCG-0073-01</w:t>
      </w:r>
      <w:r>
        <w:rPr>
          <w:rFonts w:ascii="仿宋" w:hAnsi="仿宋" w:eastAsia="仿宋" w:cs="仿宋_GB2312"/>
          <w:sz w:val="24"/>
        </w:rPr>
        <w:t>】</w:t>
      </w:r>
      <w:r>
        <w:rPr>
          <w:rFonts w:hint="eastAsia" w:ascii="仿宋" w:hAnsi="仿宋" w:eastAsia="仿宋" w:cs="仿宋_GB2312"/>
          <w:sz w:val="24"/>
        </w:rPr>
        <w:t>采购</w:t>
      </w:r>
      <w:r>
        <w:rPr>
          <w:rFonts w:hint="eastAsia" w:ascii="仿宋" w:hAnsi="仿宋" w:eastAsia="仿宋" w:cs="宋体"/>
          <w:bCs/>
          <w:sz w:val="24"/>
        </w:rPr>
        <w:t>活动中作如下说明：</w:t>
      </w:r>
      <w:r>
        <w:rPr>
          <w:rFonts w:hint="eastAsia" w:ascii="仿宋" w:hAnsi="仿宋" w:eastAsia="仿宋" w:cs="宋体"/>
          <w:sz w:val="24"/>
        </w:rPr>
        <w:t>我方所使用的“</w:t>
      </w:r>
      <w:r>
        <w:rPr>
          <w:rFonts w:ascii="仿宋" w:hAnsi="仿宋" w:eastAsia="仿宋" w:cs="仿宋_GB2312"/>
          <w:sz w:val="24"/>
        </w:rPr>
        <w:t>XX</w:t>
      </w:r>
      <w:r>
        <w:rPr>
          <w:rFonts w:hint="eastAsia" w:ascii="仿宋" w:hAnsi="仿宋" w:eastAsia="仿宋" w:cs="宋体"/>
          <w:sz w:val="24"/>
        </w:rPr>
        <w:t>专用章”与法定名称章具有同等的法律效力，对使用“</w:t>
      </w:r>
      <w:r>
        <w:rPr>
          <w:rFonts w:ascii="仿宋" w:hAnsi="仿宋" w:eastAsia="仿宋" w:cs="仿宋_GB2312"/>
          <w:sz w:val="24"/>
        </w:rPr>
        <w:t>XX</w:t>
      </w:r>
      <w:r>
        <w:rPr>
          <w:rFonts w:hint="eastAsia" w:ascii="仿宋" w:hAnsi="仿宋" w:eastAsia="仿宋" w:cs="宋体"/>
          <w:sz w:val="24"/>
        </w:rPr>
        <w:t>专用章”的行为予以完全承认，并愿意承担相应责任。</w:t>
      </w:r>
      <w:r>
        <w:rPr>
          <w:rFonts w:ascii="仿宋" w:hAnsi="仿宋" w:eastAsia="仿宋" w:cs="宋体"/>
          <w:sz w:val="24"/>
        </w:rPr>
        <w:t xml:space="preserve">   </w:t>
      </w:r>
    </w:p>
    <w:p>
      <w:pPr>
        <w:spacing w:line="360" w:lineRule="auto"/>
        <w:ind w:firstLine="480" w:firstLineChars="200"/>
        <w:rPr>
          <w:rFonts w:ascii="仿宋" w:hAnsi="仿宋" w:eastAsia="仿宋" w:cs="宋体"/>
          <w:sz w:val="24"/>
        </w:rPr>
      </w:pPr>
      <w:r>
        <w:rPr>
          <w:rFonts w:hint="eastAsia" w:ascii="仿宋" w:hAnsi="仿宋" w:eastAsia="仿宋" w:cs="宋体"/>
          <w:sz w:val="24"/>
        </w:rPr>
        <w:t>特此说明。</w:t>
      </w:r>
    </w:p>
    <w:p>
      <w:pPr>
        <w:spacing w:line="360" w:lineRule="auto"/>
        <w:ind w:firstLine="494"/>
        <w:rPr>
          <w:rFonts w:ascii="仿宋" w:hAnsi="仿宋" w:eastAsia="仿宋" w:cs="宋体"/>
          <w:sz w:val="24"/>
        </w:rPr>
      </w:pPr>
    </w:p>
    <w:p>
      <w:pPr>
        <w:spacing w:line="360" w:lineRule="auto"/>
        <w:ind w:firstLine="494"/>
        <w:rPr>
          <w:rFonts w:ascii="仿宋" w:hAnsi="仿宋" w:eastAsia="仿宋" w:cs="宋体"/>
          <w:sz w:val="24"/>
        </w:rPr>
      </w:pPr>
    </w:p>
    <w:p>
      <w:pPr>
        <w:spacing w:line="360" w:lineRule="auto"/>
        <w:ind w:right="480" w:firstLine="4080" w:firstLineChars="1700"/>
        <w:rPr>
          <w:rFonts w:ascii="仿宋" w:hAnsi="仿宋" w:eastAsia="仿宋" w:cs="宋体"/>
          <w:sz w:val="24"/>
        </w:rPr>
      </w:pPr>
      <w:r>
        <w:rPr>
          <w:rFonts w:hint="eastAsia" w:ascii="仿宋" w:hAnsi="仿宋" w:eastAsia="仿宋" w:cs="宋体"/>
          <w:sz w:val="24"/>
        </w:rPr>
        <w:t>供应商（法定名称章）：</w:t>
      </w:r>
    </w:p>
    <w:p>
      <w:pPr>
        <w:ind w:right="1440" w:firstLine="494"/>
        <w:jc w:val="center"/>
        <w:rPr>
          <w:rFonts w:ascii="仿宋" w:hAnsi="仿宋" w:eastAsia="仿宋" w:cs="宋体"/>
          <w:sz w:val="24"/>
        </w:rPr>
      </w:pPr>
      <w:r>
        <w:rPr>
          <w:rFonts w:ascii="仿宋" w:hAnsi="仿宋" w:eastAsia="仿宋" w:cs="宋体"/>
          <w:sz w:val="24"/>
        </w:rPr>
        <w:t xml:space="preserve">                日期：       年     月     日</w:t>
      </w:r>
    </w:p>
    <w:p>
      <w:pPr>
        <w:rPr>
          <w:rFonts w:ascii="仿宋" w:hAnsi="仿宋" w:eastAsia="仿宋" w:cs="宋体"/>
          <w:b/>
          <w:bCs/>
          <w:sz w:val="24"/>
        </w:rPr>
      </w:pPr>
    </w:p>
    <w:p>
      <w:pPr>
        <w:rPr>
          <w:rFonts w:ascii="仿宋" w:hAnsi="仿宋" w:eastAsia="仿宋" w:cs="宋体"/>
          <w:sz w:val="24"/>
        </w:rPr>
      </w:pPr>
      <w:r>
        <w:rPr>
          <w:rFonts w:hint="eastAsia" w:ascii="仿宋" w:hAnsi="仿宋" w:eastAsia="仿宋" w:cs="宋体"/>
          <w:b/>
          <w:bCs/>
          <w:sz w:val="24"/>
        </w:rPr>
        <w:t>附：</w:t>
      </w:r>
    </w:p>
    <w:p>
      <w:pPr>
        <w:spacing w:line="360" w:lineRule="auto"/>
        <w:rPr>
          <w:rFonts w:ascii="仿宋" w:hAnsi="仿宋" w:eastAsia="仿宋"/>
          <w:bCs/>
          <w:sz w:val="24"/>
        </w:rPr>
      </w:pPr>
      <w:r>
        <w:rPr>
          <w:rFonts w:ascii="仿宋" w:hAnsi="仿宋" w:eastAsia="仿宋"/>
          <w:b/>
          <w:bCs/>
          <w:sz w:val="24"/>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8255" b="1524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ascii="仿宋" w:hAnsi="仿宋" w:eastAsia="仿宋"/>
          <w:b/>
          <w:bCs/>
          <w:sz w:val="24"/>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5080" t="4445" r="13970" b="1524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WcsNC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Q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NZyw0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仿宋" w:hAnsi="仿宋" w:eastAsia="仿宋"/>
          <w:b/>
          <w:bCs/>
          <w:sz w:val="24"/>
        </w:rPr>
        <w:t>供应商</w:t>
      </w:r>
      <w:r>
        <w:rPr>
          <w:rFonts w:hint="eastAsia" w:ascii="仿宋" w:hAnsi="仿宋" w:eastAsia="仿宋" w:cs="宋体"/>
          <w:sz w:val="24"/>
        </w:rPr>
        <w:t>法定名称章（印模）</w:t>
      </w:r>
      <w:r>
        <w:rPr>
          <w:rFonts w:ascii="仿宋" w:hAnsi="仿宋" w:eastAsia="仿宋" w:cs="宋体"/>
          <w:sz w:val="24"/>
        </w:rPr>
        <w:t xml:space="preserve">                </w:t>
      </w:r>
      <w:r>
        <w:rPr>
          <w:rFonts w:hint="eastAsia" w:ascii="仿宋" w:hAnsi="仿宋" w:eastAsia="仿宋" w:cs="宋体"/>
          <w:sz w:val="24"/>
        </w:rPr>
        <w:t>供应商“</w:t>
      </w:r>
      <w:r>
        <w:rPr>
          <w:rFonts w:ascii="仿宋" w:hAnsi="仿宋" w:eastAsia="仿宋" w:cs="仿宋_GB2312"/>
          <w:sz w:val="24"/>
        </w:rPr>
        <w:t>XX</w:t>
      </w:r>
      <w:r>
        <w:rPr>
          <w:rFonts w:hint="eastAsia" w:ascii="仿宋" w:hAnsi="仿宋" w:eastAsia="仿宋" w:cs="宋体"/>
          <w:sz w:val="24"/>
        </w:rPr>
        <w:t>专用章”（印模）</w:t>
      </w: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autoSpaceDE w:val="0"/>
        <w:autoSpaceDN w:val="0"/>
        <w:jc w:val="center"/>
        <w:rPr>
          <w:rFonts w:ascii="仿宋" w:hAnsi="仿宋" w:eastAsia="仿宋"/>
          <w:b/>
          <w:spacing w:val="6"/>
          <w:sz w:val="32"/>
          <w:szCs w:val="32"/>
        </w:rPr>
      </w:pPr>
    </w:p>
    <w:p>
      <w:pPr>
        <w:rPr>
          <w:rFonts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ascii="仿宋" w:hAnsi="仿宋" w:eastAsia="仿宋"/>
          <w:b/>
          <w:bCs/>
          <w:sz w:val="32"/>
          <w:szCs w:val="32"/>
        </w:rPr>
      </w:pPr>
      <w:r>
        <w:rPr>
          <w:rFonts w:hint="eastAsia" w:ascii="仿宋" w:hAnsi="仿宋" w:eastAsia="仿宋"/>
          <w:b/>
          <w:spacing w:val="6"/>
          <w:sz w:val="32"/>
          <w:szCs w:val="32"/>
        </w:rPr>
        <w:t>附件</w:t>
      </w:r>
      <w:r>
        <w:rPr>
          <w:rFonts w:ascii="仿宋" w:hAnsi="仿宋" w:eastAsia="仿宋"/>
          <w:b/>
          <w:spacing w:val="6"/>
          <w:sz w:val="32"/>
          <w:szCs w:val="32"/>
        </w:rPr>
        <w:t>5</w:t>
      </w:r>
      <w:r>
        <w:rPr>
          <w:rFonts w:hint="eastAsia" w:ascii="仿宋" w:hAnsi="仿宋" w:eastAsia="仿宋"/>
          <w:b/>
          <w:spacing w:val="6"/>
          <w:sz w:val="32"/>
          <w:szCs w:val="32"/>
        </w:rPr>
        <w:t>：</w:t>
      </w:r>
      <w:r>
        <w:rPr>
          <w:rFonts w:hint="eastAsia" w:ascii="仿宋_GB2312" w:hAnsi="宋体" w:eastAsia="仿宋_GB2312"/>
          <w:b/>
          <w:sz w:val="32"/>
          <w:szCs w:val="32"/>
        </w:rPr>
        <w:t>中小企业声明函</w:t>
      </w:r>
    </w:p>
    <w:p>
      <w:pPr>
        <w:keepNext w:val="0"/>
        <w:keepLines w:val="0"/>
        <w:pageBreakBefore w:val="0"/>
        <w:widowControl w:val="0"/>
        <w:kinsoku/>
        <w:wordWrap/>
        <w:overflowPunct/>
        <w:topLinePunct w:val="0"/>
        <w:bidi w:val="0"/>
        <w:adjustRightInd w:val="0"/>
        <w:snapToGrid/>
        <w:spacing w:line="360" w:lineRule="auto"/>
        <w:jc w:val="center"/>
        <w:textAlignment w:val="auto"/>
        <w:rPr>
          <w:rFonts w:hint="eastAsia" w:ascii="仿宋_GB2312" w:hAnsi="宋体" w:eastAsia="仿宋_GB2312"/>
          <w:b/>
          <w:sz w:val="28"/>
          <w:szCs w:val="28"/>
        </w:rPr>
      </w:pPr>
      <w:r>
        <w:rPr>
          <w:rFonts w:hint="eastAsia" w:ascii="仿宋_GB2312" w:hAnsi="宋体" w:eastAsia="仿宋_GB2312"/>
          <w:b/>
          <w:sz w:val="28"/>
          <w:szCs w:val="28"/>
        </w:rPr>
        <w:t>中小企业声明函（工程、服务）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u w:val="single"/>
        </w:rPr>
        <w:t>本公司（联合体）</w:t>
      </w:r>
      <w:r>
        <w:rPr>
          <w:rFonts w:hint="eastAsia" w:ascii="仿宋" w:hAnsi="仿宋" w:eastAsia="仿宋" w:cs="仿宋"/>
          <w:sz w:val="24"/>
          <w:szCs w:val="24"/>
        </w:rPr>
        <w:t xml:space="preserve"> 郑重声明， 根据《政府采购促进中小企业发展管理办法》（财库﹝ 2020﹞ 46 号） 的规定， </w:t>
      </w:r>
      <w:r>
        <w:rPr>
          <w:rFonts w:hint="eastAsia" w:ascii="仿宋" w:hAnsi="仿宋" w:eastAsia="仿宋" w:cs="仿宋"/>
          <w:sz w:val="24"/>
          <w:szCs w:val="24"/>
          <w:u w:val="single"/>
        </w:rPr>
        <w:t xml:space="preserve">本公司（联合体） </w:t>
      </w:r>
      <w:r>
        <w:rPr>
          <w:rFonts w:hint="eastAsia" w:ascii="仿宋" w:hAnsi="仿宋" w:eastAsia="仿宋" w:cs="仿宋"/>
          <w:sz w:val="24"/>
          <w:szCs w:val="24"/>
        </w:rPr>
        <w:t>参加</w:t>
      </w:r>
      <w:r>
        <w:rPr>
          <w:rFonts w:hint="eastAsia" w:ascii="仿宋" w:hAnsi="仿宋" w:eastAsia="仿宋" w:cs="仿宋"/>
          <w:sz w:val="24"/>
          <w:szCs w:val="24"/>
          <w:u w:val="single"/>
        </w:rPr>
        <w:t xml:space="preserve">（单位名称） </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 xml:space="preserve"> 采购活动， 工程的运营单位全部为符合政策要求的</w:t>
      </w:r>
      <w:r>
        <w:rPr>
          <w:rFonts w:hint="eastAsia" w:ascii="仿宋" w:hAnsi="仿宋" w:eastAsia="仿宋" w:cs="仿宋"/>
          <w:sz w:val="24"/>
          <w:szCs w:val="24"/>
          <w:u w:val="single"/>
        </w:rPr>
        <w:t>中小企业（或者： 服务全部由符合政策要求的中小企业承接）</w:t>
      </w:r>
      <w:r>
        <w:rPr>
          <w:rFonts w:hint="eastAsia" w:ascii="仿宋" w:hAnsi="仿宋" w:eastAsia="仿宋" w:cs="仿宋"/>
          <w:sz w:val="24"/>
          <w:szCs w:val="24"/>
        </w:rPr>
        <w:t>。相关企业（ 含联合体中的中小企业、 签订分包意向协议的中小企业） 的具体情况如下：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1. </w:t>
      </w:r>
      <w:r>
        <w:rPr>
          <w:rFonts w:hint="eastAsia" w:ascii="仿宋" w:hAnsi="仿宋" w:eastAsia="仿宋" w:cs="仿宋"/>
          <w:sz w:val="24"/>
          <w:szCs w:val="24"/>
          <w:u w:val="single"/>
        </w:rPr>
        <w:t xml:space="preserve">（标的名称） </w:t>
      </w:r>
      <w:r>
        <w:rPr>
          <w:rFonts w:hint="eastAsia" w:ascii="仿宋" w:hAnsi="仿宋" w:eastAsia="仿宋" w:cs="仿宋"/>
          <w:sz w:val="24"/>
          <w:szCs w:val="24"/>
        </w:rPr>
        <w:t>， 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；承建（ 承接） 企业为</w:t>
      </w:r>
      <w:r>
        <w:rPr>
          <w:rFonts w:hint="eastAsia" w:ascii="仿宋" w:hAnsi="仿宋" w:eastAsia="仿宋" w:cs="仿宋"/>
          <w:sz w:val="24"/>
          <w:szCs w:val="24"/>
          <w:u w:val="single"/>
        </w:rPr>
        <w:t>（企业名称）</w:t>
      </w:r>
      <w:r>
        <w:rPr>
          <w:rFonts w:hint="eastAsia" w:ascii="仿宋" w:hAnsi="仿宋" w:eastAsia="仿宋" w:cs="仿宋"/>
          <w:sz w:val="24"/>
          <w:szCs w:val="24"/>
        </w:rPr>
        <w:t>， 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 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 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w:t>
      </w:r>
      <w:r>
        <w:rPr>
          <w:rFonts w:hint="eastAsia" w:ascii="仿宋" w:hAnsi="仿宋" w:eastAsia="仿宋" w:cs="仿宋"/>
          <w:sz w:val="24"/>
          <w:szCs w:val="24"/>
          <w:vertAlign w:val="superscript"/>
        </w:rPr>
        <w:t>1</w:t>
      </w:r>
      <w:r>
        <w:rPr>
          <w:rFonts w:hint="eastAsia" w:ascii="仿宋" w:hAnsi="仿宋" w:eastAsia="仿宋" w:cs="仿宋"/>
          <w:sz w:val="24"/>
          <w:szCs w:val="24"/>
        </w:rPr>
        <w:t>， 属于</w:t>
      </w:r>
      <w:r>
        <w:rPr>
          <w:rFonts w:hint="eastAsia" w:ascii="仿宋" w:hAnsi="仿宋" w:eastAsia="仿宋" w:cs="仿宋"/>
          <w:sz w:val="24"/>
          <w:szCs w:val="24"/>
          <w:u w:val="single"/>
        </w:rPr>
        <w:t>（中型企业、小型企业、 微型企业）</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u w:val="single"/>
        </w:rPr>
        <w:t>（标的名称）</w:t>
      </w:r>
      <w:r>
        <w:rPr>
          <w:rFonts w:hint="eastAsia" w:ascii="仿宋" w:hAnsi="仿宋" w:eastAsia="仿宋" w:cs="仿宋"/>
          <w:sz w:val="24"/>
          <w:szCs w:val="24"/>
        </w:rPr>
        <w:t xml:space="preserve"> ， 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；承建（ 承接） 企业为</w:t>
      </w:r>
      <w:r>
        <w:rPr>
          <w:rFonts w:hint="eastAsia" w:ascii="仿宋" w:hAnsi="仿宋" w:eastAsia="仿宋" w:cs="仿宋"/>
          <w:sz w:val="24"/>
          <w:szCs w:val="24"/>
          <w:u w:val="single"/>
        </w:rPr>
        <w:t>（企业名称）</w:t>
      </w:r>
      <w:r>
        <w:rPr>
          <w:rFonts w:hint="eastAsia" w:ascii="仿宋" w:hAnsi="仿宋" w:eastAsia="仿宋" w:cs="仿宋"/>
          <w:sz w:val="24"/>
          <w:szCs w:val="24"/>
        </w:rPr>
        <w:t>， 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 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 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 属于</w:t>
      </w:r>
      <w:r>
        <w:rPr>
          <w:rFonts w:hint="eastAsia" w:ascii="仿宋" w:hAnsi="仿宋" w:eastAsia="仿宋" w:cs="仿宋"/>
          <w:sz w:val="24"/>
          <w:szCs w:val="24"/>
          <w:u w:val="single"/>
        </w:rPr>
        <w:t>（中型企业、小型企业、 微型企业）</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以上企业， 不属于大企业的分支机构， 不存在控股股东为大企业的情形， 也不存在与大企业的负责人为同一人的情形。本企业对上述声明内容的真实性负责。 如有虚假， 将依法承担相应责任。</w:t>
      </w:r>
    </w:p>
    <w:p>
      <w:pPr>
        <w:spacing w:line="360" w:lineRule="auto"/>
        <w:ind w:firstLine="480" w:firstLineChars="200"/>
        <w:jc w:val="right"/>
        <w:rPr>
          <w:rFonts w:ascii="仿宋" w:hAnsi="仿宋" w:eastAsia="仿宋" w:cs="仿宋"/>
          <w:sz w:val="24"/>
          <w:szCs w:val="24"/>
        </w:rPr>
      </w:pPr>
      <w:r>
        <w:rPr>
          <w:rFonts w:hint="eastAsia" w:ascii="仿宋" w:hAnsi="仿宋" w:eastAsia="仿宋" w:cs="仿宋"/>
          <w:sz w:val="24"/>
          <w:szCs w:val="24"/>
        </w:rPr>
        <w:t>企业名称（盖章）：</w:t>
      </w:r>
    </w:p>
    <w:p>
      <w:pPr>
        <w:spacing w:line="360" w:lineRule="auto"/>
        <w:ind w:firstLine="480" w:firstLineChars="200"/>
        <w:jc w:val="right"/>
        <w:rPr>
          <w:rFonts w:ascii="仿宋" w:hAnsi="仿宋" w:eastAsia="仿宋" w:cs="仿宋"/>
          <w:sz w:val="24"/>
          <w:szCs w:val="24"/>
        </w:rPr>
      </w:pPr>
      <w:r>
        <w:rPr>
          <w:rFonts w:hint="eastAsia" w:ascii="仿宋" w:hAnsi="仿宋" w:eastAsia="仿宋" w:cs="仿宋"/>
          <w:sz w:val="24"/>
          <w:szCs w:val="24"/>
        </w:rPr>
        <w:t>日 期：</w:t>
      </w:r>
    </w:p>
    <w:p>
      <w:pPr>
        <w:spacing w:line="360" w:lineRule="auto"/>
        <w:jc w:val="left"/>
        <w:rPr>
          <w:rFonts w:ascii="仿宋_GB2312" w:hAnsi="宋体" w:eastAsia="仿宋_GB2312"/>
          <w:sz w:val="18"/>
          <w:szCs w:val="18"/>
        </w:rPr>
      </w:pPr>
    </w:p>
    <w:p>
      <w:pPr>
        <w:spacing w:line="360" w:lineRule="auto"/>
        <w:ind w:right="-90" w:rightChars="0" w:firstLine="420" w:firstLineChars="200"/>
        <w:rPr>
          <w:rFonts w:ascii="仿宋_GB2312" w:hAnsi="仿宋" w:eastAsia="仿宋_GB2312" w:cs="仿宋_GB2312"/>
          <w:sz w:val="21"/>
          <w:szCs w:val="21"/>
        </w:rPr>
      </w:pPr>
      <w:r>
        <w:rPr>
          <w:rFonts w:hint="eastAsia" w:ascii="仿宋_GB2312" w:hAnsi="仿宋" w:eastAsia="仿宋_GB2312" w:cs="仿宋_GB2312"/>
          <w:sz w:val="21"/>
          <w:szCs w:val="21"/>
        </w:rPr>
        <w:t>注：</w:t>
      </w:r>
      <w:r>
        <w:rPr>
          <w:rFonts w:hint="eastAsia" w:ascii="仿宋_GB2312" w:hAnsi="仿宋" w:eastAsia="仿宋_GB2312" w:cs="仿宋_GB2312"/>
          <w:b/>
          <w:bCs/>
          <w:sz w:val="21"/>
          <w:szCs w:val="21"/>
        </w:rPr>
        <w:t>1.填写要求：①“标的名称”、“采购文件中明确的所属行业”依据磋商文件第三部分供应商须知前附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成交的，依法承担法律责任。</w:t>
      </w:r>
    </w:p>
    <w:p>
      <w:pPr>
        <w:spacing w:line="360" w:lineRule="auto"/>
        <w:ind w:right="-90" w:rightChars="0" w:firstLine="420" w:firstLineChars="200"/>
        <w:rPr>
          <w:rFonts w:ascii="仿宋_GB2312" w:hAnsi="仿宋" w:eastAsia="仿宋_GB2312" w:cs="仿宋_GB2312"/>
          <w:sz w:val="21"/>
          <w:szCs w:val="21"/>
        </w:rPr>
      </w:pPr>
      <w:r>
        <w:rPr>
          <w:rFonts w:hint="eastAsia" w:ascii="仿宋_GB2312" w:hAnsi="仿宋" w:eastAsia="仿宋_GB2312" w:cs="仿宋_GB2312"/>
          <w:sz w:val="21"/>
          <w:szCs w:val="21"/>
        </w:rPr>
        <w:t>2.符合《关于促进残疾人就业政府采购政策的通知》（财库〔</w:t>
      </w:r>
      <w:r>
        <w:rPr>
          <w:rFonts w:ascii="仿宋_GB2312" w:hAnsi="仿宋" w:eastAsia="仿宋_GB2312" w:cs="仿宋_GB2312"/>
          <w:sz w:val="21"/>
          <w:szCs w:val="21"/>
        </w:rPr>
        <w:t>2017〕141号）规定的条件并提供《残疾人福利性单位声明函》（附件1）的残疾人福利性单位视同小型、微型企业；根据《关于政府采购支持监狱企业发展有关问题的通知》（财库[2014]68号）的规定，</w:t>
      </w:r>
      <w:r>
        <w:rPr>
          <w:rFonts w:hint="eastAsia" w:ascii="仿宋_GB2312" w:hAnsi="仿宋" w:eastAsia="仿宋_GB2312" w:cs="仿宋_GB2312"/>
          <w:sz w:val="21"/>
          <w:szCs w:val="21"/>
        </w:rPr>
        <w:t>供应商</w:t>
      </w:r>
      <w:r>
        <w:rPr>
          <w:rFonts w:ascii="仿宋_GB2312" w:hAnsi="仿宋" w:eastAsia="仿宋_GB2312" w:cs="仿宋_GB2312"/>
          <w:sz w:val="21"/>
          <w:szCs w:val="21"/>
        </w:rPr>
        <w:t>提供由省级以上监狱管理局、戒毒管理局（含新疆生产建设兵团）出具的属于监狱企业证明文件的，视同为小型和微型企业。</w:t>
      </w:r>
    </w:p>
    <w:p>
      <w:pPr>
        <w:rPr>
          <w:rFonts w:ascii="仿宋_GB2312" w:hAnsi="宋体" w:eastAsia="仿宋_GB2312"/>
          <w:b/>
          <w:sz w:val="32"/>
          <w:szCs w:val="32"/>
        </w:rPr>
      </w:pPr>
      <w:r>
        <w:rPr>
          <w:rFonts w:ascii="仿宋" w:hAnsi="仿宋" w:eastAsia="仿宋" w:cs="仿宋"/>
          <w:b/>
          <w:sz w:val="30"/>
          <w:szCs w:val="30"/>
        </w:rPr>
        <w:t>中小企业相关政策</w:t>
      </w:r>
    </w:p>
    <w:p>
      <w:pPr>
        <w:pStyle w:val="624"/>
        <w:snapToGrid w:val="0"/>
        <w:spacing w:line="500" w:lineRule="exact"/>
        <w:ind w:firstLine="400"/>
        <w:rPr>
          <w:rFonts w:ascii="仿宋" w:hAnsi="仿宋" w:eastAsia="仿宋" w:cs="仿宋"/>
          <w:b/>
          <w:sz w:val="28"/>
          <w:szCs w:val="28"/>
        </w:rPr>
      </w:pPr>
      <w:r>
        <w:rPr>
          <w:rFonts w:ascii="仿宋" w:hAnsi="仿宋" w:eastAsia="仿宋" w:cs="仿宋"/>
          <w:szCs w:val="21"/>
        </w:rPr>
        <w:t>工业和信息化部组织开发了中小企业规模类型自测小程序，并于2020年2月27日上线运行，在国务院客户端和工业和信息化部网站上均有链接（http://202.106.120.146/baosong/appweb/orgScale.html），广大中小企业和各类社会机构填写企业所属的行业和指标数据自动生成企业规模类型测试结果。</w:t>
      </w:r>
    </w:p>
    <w:p>
      <w:pPr>
        <w:pStyle w:val="624"/>
        <w:snapToGrid w:val="0"/>
        <w:spacing w:line="500" w:lineRule="exact"/>
        <w:ind w:firstLine="562"/>
        <w:jc w:val="center"/>
        <w:rPr>
          <w:rFonts w:ascii="仿宋" w:hAnsi="仿宋" w:eastAsia="仿宋" w:cs="仿宋"/>
          <w:b/>
          <w:sz w:val="28"/>
          <w:szCs w:val="28"/>
        </w:rPr>
      </w:pPr>
      <w:r>
        <w:rPr>
          <w:rFonts w:ascii="仿宋" w:hAnsi="仿宋" w:eastAsia="仿宋" w:cs="仿宋"/>
          <w:b/>
          <w:sz w:val="28"/>
          <w:szCs w:val="28"/>
        </w:rPr>
        <w:t>中小企业划型标准规定</w:t>
      </w:r>
    </w:p>
    <w:p>
      <w:pPr>
        <w:pStyle w:val="624"/>
        <w:adjustRightInd w:val="0"/>
        <w:snapToGrid w:val="0"/>
        <w:spacing w:line="360" w:lineRule="auto"/>
        <w:ind w:firstLine="424"/>
        <w:rPr>
          <w:rFonts w:ascii="仿宋" w:hAnsi="仿宋" w:eastAsia="仿宋" w:cs="仿宋"/>
          <w:spacing w:val="6"/>
          <w:szCs w:val="21"/>
        </w:rPr>
      </w:pP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一、根据《中华人民共和国中小企业促进法》和《</w:t>
      </w:r>
      <w:r>
        <w:fldChar w:fldCharType="begin"/>
      </w:r>
      <w:r>
        <w:instrText xml:space="preserve"> HYPERLINK "https://www.shui5.cn/article/47/26142.html" </w:instrText>
      </w:r>
      <w:r>
        <w:fldChar w:fldCharType="separate"/>
      </w:r>
      <w:r>
        <w:rPr>
          <w:rFonts w:ascii="仿宋" w:hAnsi="仿宋" w:eastAsia="仿宋" w:cs="仿宋"/>
          <w:spacing w:val="6"/>
          <w:szCs w:val="21"/>
        </w:rPr>
        <w:t>国务院关于进一步促进中小企业发展的若干意见</w:t>
      </w:r>
      <w:r>
        <w:rPr>
          <w:rFonts w:ascii="仿宋" w:hAnsi="仿宋" w:eastAsia="仿宋" w:cs="仿宋"/>
          <w:spacing w:val="6"/>
          <w:szCs w:val="21"/>
        </w:rPr>
        <w:fldChar w:fldCharType="end"/>
      </w:r>
      <w:r>
        <w:rPr>
          <w:rFonts w:ascii="仿宋" w:hAnsi="仿宋" w:eastAsia="仿宋" w:cs="仿宋"/>
          <w:spacing w:val="6"/>
          <w:szCs w:val="21"/>
        </w:rPr>
        <w:t>》（</w:t>
      </w:r>
      <w:r>
        <w:fldChar w:fldCharType="begin"/>
      </w:r>
      <w:r>
        <w:instrText xml:space="preserve"> HYPERLINK "https://www.shui5.cn/article/47/26142.html" </w:instrText>
      </w:r>
      <w:r>
        <w:fldChar w:fldCharType="separate"/>
      </w:r>
      <w:r>
        <w:rPr>
          <w:rFonts w:ascii="仿宋" w:hAnsi="仿宋" w:eastAsia="仿宋" w:cs="仿宋"/>
          <w:spacing w:val="6"/>
          <w:szCs w:val="21"/>
        </w:rPr>
        <w:t>国发〔2009〕36号</w:t>
      </w:r>
      <w:r>
        <w:rPr>
          <w:rFonts w:ascii="仿宋" w:hAnsi="仿宋" w:eastAsia="仿宋" w:cs="仿宋"/>
          <w:spacing w:val="6"/>
          <w:szCs w:val="21"/>
        </w:rPr>
        <w:fldChar w:fldCharType="end"/>
      </w:r>
      <w:r>
        <w:rPr>
          <w:rFonts w:ascii="仿宋" w:hAnsi="仿宋" w:eastAsia="仿宋" w:cs="仿宋"/>
          <w:spacing w:val="6"/>
          <w:szCs w:val="21"/>
        </w:rPr>
        <w:t>)，制定本规定。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二、中小企业划分为中型、小型、微型三种类型，具体标准根据企业从业人员、营业收入、资产总额等指标，结合行业特点制定。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四、各行业划型标准为：</w:t>
      </w:r>
    </w:p>
    <w:p>
      <w:pPr>
        <w:pStyle w:val="624"/>
        <w:adjustRightInd w:val="0"/>
        <w:snapToGrid w:val="0"/>
        <w:spacing w:line="360" w:lineRule="auto"/>
        <w:ind w:firstLine="424"/>
        <w:rPr>
          <w:rFonts w:ascii="仿宋" w:hAnsi="仿宋" w:eastAsia="仿宋" w:cs="仿宋"/>
          <w:spacing w:val="6"/>
          <w:szCs w:val="21"/>
        </w:rPr>
      </w:pP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　　（一）农、林、牧、渔业。营业收入20000万元以下的为中小微型企业。其中，营业收入500万元及以上的为中型企业，营业收入50万元及以上的为小型企业，营业收入50万元以下的为微型企业。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（十三）房地产开发经营。营业收入</w:t>
      </w:r>
      <w:r>
        <w:rPr>
          <w:rFonts w:hint="eastAsia" w:ascii="仿宋" w:hAnsi="仿宋" w:eastAsia="仿宋" w:cs="仿宋"/>
          <w:spacing w:val="6"/>
          <w:szCs w:val="21"/>
          <w:lang w:eastAsia="zh-CN"/>
        </w:rPr>
        <w:t>300000</w:t>
      </w:r>
      <w:r>
        <w:rPr>
          <w:rFonts w:ascii="仿宋" w:hAnsi="仿宋" w:eastAsia="仿宋" w:cs="仿宋"/>
          <w:spacing w:val="6"/>
          <w:szCs w:val="21"/>
        </w:rPr>
        <w:t>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（十五）租赁和商务服务业。从业人员300人以下或资产总额</w:t>
      </w:r>
      <w:r>
        <w:rPr>
          <w:rFonts w:hint="eastAsia" w:ascii="仿宋" w:hAnsi="仿宋" w:eastAsia="仿宋" w:cs="仿宋"/>
          <w:spacing w:val="6"/>
          <w:szCs w:val="21"/>
          <w:lang w:eastAsia="zh-CN"/>
        </w:rPr>
        <w:t>25300</w:t>
      </w:r>
      <w:r>
        <w:rPr>
          <w:rFonts w:ascii="仿宋" w:hAnsi="仿宋" w:eastAsia="仿宋" w:cs="仿宋"/>
          <w:spacing w:val="6"/>
          <w:szCs w:val="21"/>
        </w:rPr>
        <w:t>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（十六）其他未列明行业。从业人员300人以下的为中小微型企业。其中，从业人员100人及以上的为中型企业；从业人员10人及以上的为小型企业；从业人员10人以下的为微型企业。</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五、企业类型的划分以统计部门的统计数据为依据。</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六、本规定适用于在中华人民共和国境内依法设立的各类所有制和各种组织形式的企业。个体工商户和本规定以外的行业，参照本规定进行划型。</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八、本规定由工业和信息化部、国家统计局会同有关部门根据《国民经济行业分类》修订情况和企业发展变化情况适时修订。</w:t>
      </w:r>
    </w:p>
    <w:p>
      <w:pPr>
        <w:pStyle w:val="624"/>
        <w:adjustRightInd w:val="0"/>
        <w:snapToGrid w:val="0"/>
        <w:spacing w:line="360" w:lineRule="auto"/>
        <w:ind w:firstLine="424"/>
        <w:rPr>
          <w:rFonts w:ascii="仿宋" w:hAnsi="仿宋" w:eastAsia="仿宋" w:cs="仿宋"/>
          <w:spacing w:val="6"/>
          <w:szCs w:val="21"/>
        </w:rPr>
      </w:pPr>
      <w:r>
        <w:rPr>
          <w:rFonts w:ascii="仿宋" w:hAnsi="仿宋" w:eastAsia="仿宋" w:cs="仿宋"/>
          <w:spacing w:val="6"/>
          <w:szCs w:val="21"/>
        </w:rPr>
        <w:t>九、本规定由工业和信息化部、国家统计局会同有关部门负责解释。</w:t>
      </w:r>
    </w:p>
    <w:p>
      <w:pPr>
        <w:pStyle w:val="624"/>
        <w:adjustRightInd w:val="0"/>
        <w:snapToGrid w:val="0"/>
        <w:spacing w:line="360" w:lineRule="auto"/>
        <w:ind w:firstLine="424"/>
        <w:rPr>
          <w:rFonts w:ascii="仿宋" w:hAnsi="仿宋" w:eastAsia="仿宋" w:cs="仿宋"/>
          <w:szCs w:val="21"/>
        </w:rPr>
        <w:sectPr>
          <w:pgSz w:w="11906" w:h="16838"/>
          <w:pgMar w:top="1247" w:right="1588" w:bottom="1089" w:left="1588" w:header="851" w:footer="992" w:gutter="0"/>
          <w:cols w:space="720" w:num="1"/>
          <w:docGrid w:linePitch="312" w:charSpace="0"/>
        </w:sectPr>
      </w:pPr>
      <w:r>
        <w:rPr>
          <w:rFonts w:ascii="仿宋" w:hAnsi="仿宋" w:eastAsia="仿宋" w:cs="仿宋"/>
          <w:spacing w:val="6"/>
          <w:szCs w:val="21"/>
        </w:rPr>
        <w:t>十、本规定自发布之日起执行，原国家经贸委、原国家计委、财政部和国家统计局2003年颁布的《</w:t>
      </w:r>
      <w:r>
        <w:fldChar w:fldCharType="begin"/>
      </w:r>
      <w:r>
        <w:instrText xml:space="preserve"> HYPERLINK "https://www.shui5.cn/article/df/24263.html" </w:instrText>
      </w:r>
      <w:r>
        <w:fldChar w:fldCharType="separate"/>
      </w:r>
      <w:r>
        <w:rPr>
          <w:rFonts w:ascii="仿宋" w:hAnsi="仿宋" w:eastAsia="仿宋" w:cs="仿宋"/>
          <w:spacing w:val="6"/>
          <w:szCs w:val="21"/>
        </w:rPr>
        <w:t>中小企业标准暂行规定</w:t>
      </w:r>
      <w:r>
        <w:rPr>
          <w:rFonts w:ascii="仿宋" w:hAnsi="仿宋" w:eastAsia="仿宋" w:cs="仿宋"/>
          <w:spacing w:val="6"/>
          <w:szCs w:val="21"/>
        </w:rPr>
        <w:fldChar w:fldCharType="end"/>
      </w:r>
      <w:r>
        <w:rPr>
          <w:rFonts w:ascii="仿宋" w:hAnsi="仿宋" w:eastAsia="仿宋" w:cs="仿宋"/>
          <w:spacing w:val="6"/>
          <w:szCs w:val="21"/>
        </w:rPr>
        <w:t>》</w:t>
      </w:r>
      <w:r>
        <w:fldChar w:fldCharType="begin"/>
      </w:r>
      <w:r>
        <w:instrText xml:space="preserve"> HYPERLINK "https://www.shui5.cn/article/df/24263.html" </w:instrText>
      </w:r>
      <w:r>
        <w:fldChar w:fldCharType="separate"/>
      </w:r>
      <w:r>
        <w:rPr>
          <w:rFonts w:ascii="仿宋" w:hAnsi="仿宋" w:eastAsia="仿宋" w:cs="仿宋"/>
          <w:spacing w:val="6"/>
          <w:szCs w:val="21"/>
        </w:rPr>
        <w:t>国经贸中小企[2003]143号</w:t>
      </w:r>
      <w:r>
        <w:rPr>
          <w:rFonts w:ascii="仿宋" w:hAnsi="仿宋" w:eastAsia="仿宋" w:cs="仿宋"/>
          <w:spacing w:val="6"/>
          <w:szCs w:val="21"/>
        </w:rPr>
        <w:fldChar w:fldCharType="end"/>
      </w:r>
      <w:r>
        <w:rPr>
          <w:rFonts w:ascii="仿宋" w:hAnsi="仿宋" w:eastAsia="仿宋" w:cs="仿宋"/>
          <w:spacing w:val="6"/>
          <w:szCs w:val="21"/>
        </w:rPr>
        <w:t>同时废止。</w:t>
      </w:r>
      <w:r>
        <w:rPr>
          <w:rFonts w:ascii="仿宋" w:hAnsi="仿宋" w:eastAsia="仿宋" w:cs="仿宋"/>
          <w:szCs w:val="21"/>
        </w:rPr>
        <w:t xml:space="preserve"> </w:t>
      </w:r>
    </w:p>
    <w:p>
      <w:pPr>
        <w:pStyle w:val="624"/>
        <w:adjustRightInd w:val="0"/>
        <w:snapToGrid w:val="0"/>
        <w:spacing w:line="360" w:lineRule="auto"/>
        <w:ind w:firstLine="400"/>
        <w:rPr>
          <w:rFonts w:ascii="仿宋" w:hAnsi="仿宋" w:eastAsia="仿宋" w:cs="仿宋"/>
          <w:b/>
          <w:sz w:val="30"/>
          <w:szCs w:val="30"/>
        </w:rPr>
      </w:pPr>
      <w:r>
        <w:rPr>
          <w:rFonts w:ascii="仿宋" w:hAnsi="仿宋" w:eastAsia="仿宋" w:cs="仿宋"/>
        </w:rPr>
        <w:drawing>
          <wp:inline distT="0" distB="0" distL="114300" distR="114300">
            <wp:extent cx="8089265" cy="4888230"/>
            <wp:effectExtent l="0" t="0" r="127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rot="16200000">
                      <a:off x="0" y="0"/>
                      <a:ext cx="8089265" cy="4888230"/>
                    </a:xfrm>
                    <a:prstGeom prst="rect">
                      <a:avLst/>
                    </a:prstGeom>
                    <a:noFill/>
                    <a:ln>
                      <a:noFill/>
                    </a:ln>
                  </pic:spPr>
                </pic:pic>
              </a:graphicData>
            </a:graphic>
          </wp:inline>
        </w:drawing>
      </w:r>
    </w:p>
    <w:p>
      <w:pPr>
        <w:pStyle w:val="3"/>
      </w:pPr>
    </w:p>
    <w:p/>
    <w:p>
      <w:pPr>
        <w:spacing w:line="360" w:lineRule="auto"/>
        <w:ind w:right="420"/>
      </w:pPr>
    </w:p>
    <w:p>
      <w:pPr>
        <w:rPr>
          <w:rFonts w:hint="eastAsia" w:ascii="仿宋" w:hAnsi="仿宋" w:eastAsia="仿宋" w:cs="仿宋"/>
          <w:sz w:val="20"/>
          <w:szCs w:val="22"/>
        </w:rPr>
      </w:pPr>
    </w:p>
    <w:sectPr>
      <w:pgSz w:w="11906" w:h="16838"/>
      <w:pgMar w:top="1174" w:right="1417" w:bottom="1151" w:left="1417" w:header="851"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Futura Hv">
    <w:altName w:val="Lucida Sans Unicode"/>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65"/>
      </w:rPr>
    </w:pPr>
    <w:r>
      <w:fldChar w:fldCharType="begin"/>
    </w:r>
    <w:r>
      <w:rPr>
        <w:rStyle w:val="65"/>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3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single" w:color="auto" w:sz="4" w:space="0"/>
      </w:pBdr>
      <w:ind w:firstLine="181" w:firstLineChars="100"/>
      <w:jc w:val="right"/>
      <w:rPr>
        <w:rFonts w:hint="eastAsia" w:ascii="宋体" w:hAnsi="宋体" w:eastAsia="仿宋_GB2312" w:cs="宋体"/>
        <w:bCs/>
        <w:i w:val="0"/>
        <w:iCs w:val="0"/>
        <w:kern w:val="2"/>
        <w:sz w:val="18"/>
        <w:szCs w:val="18"/>
        <w:lang w:val="en-US" w:eastAsia="zh-CN"/>
      </w:rPr>
    </w:pPr>
    <w:r>
      <w:rPr>
        <w:sz w:val="18"/>
        <w:lang w:val="en-US"/>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345430" cy="9215755"/>
          <wp:effectExtent l="0" t="0" r="1270" b="4445"/>
          <wp:wrapNone/>
          <wp:docPr id="5" name="WordPictureWatermark3039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30391" descr="公司logo"/>
                  <pic:cNvPicPr>
                    <a:picLocks noChangeAspect="1"/>
                  </pic:cNvPicPr>
                </pic:nvPicPr>
                <pic:blipFill>
                  <a:blip r:embed="rId1">
                    <a:lum bright="70000" contrast="-70000"/>
                  </a:blip>
                  <a:stretch>
                    <a:fillRect/>
                  </a:stretch>
                </pic:blipFill>
                <pic:spPr>
                  <a:xfrm>
                    <a:off x="0" y="0"/>
                    <a:ext cx="5345430" cy="9215755"/>
                  </a:xfrm>
                  <a:prstGeom prst="rect">
                    <a:avLst/>
                  </a:prstGeom>
                </pic:spPr>
              </pic:pic>
            </a:graphicData>
          </a:graphic>
        </wp:anchor>
      </w:drawing>
    </w:r>
    <w:r>
      <w:rPr>
        <w:rFonts w:hint="eastAsia" w:eastAsia="仿宋_GB2312"/>
        <w:b w:val="0"/>
        <w:i/>
        <w:iCs/>
        <w:sz w:val="18"/>
        <w:szCs w:val="18"/>
      </w:rPr>
      <w:t xml:space="preserve">       </w:t>
    </w:r>
    <w:r>
      <w:rPr>
        <w:rFonts w:hint="eastAsia" w:eastAsia="仿宋_GB2312"/>
        <w:b w:val="0"/>
        <w:i w:val="0"/>
        <w:iCs/>
        <w:sz w:val="18"/>
        <w:szCs w:val="18"/>
        <w:lang w:eastAsia="zh-CN"/>
      </w:rPr>
      <w:t>天山牧歌二期31号楼地下一二层装修工程（二次）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b w:val="0"/>
        <w:i w:val="0"/>
        <w:lang w:eastAsia="zh-CN"/>
      </w:rPr>
      <w:t>天山牧歌二期31号楼地下一二层装修工程（二次）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60E34"/>
    <w:multiLevelType w:val="singleLevel"/>
    <w:tmpl w:val="80660E34"/>
    <w:lvl w:ilvl="0" w:tentative="0">
      <w:start w:val="1"/>
      <w:numFmt w:val="decimal"/>
      <w:lvlText w:val="%1."/>
      <w:lvlJc w:val="left"/>
      <w:pPr>
        <w:tabs>
          <w:tab w:val="left" w:pos="397"/>
        </w:tabs>
        <w:ind w:left="340" w:hanging="340"/>
      </w:pPr>
      <w:rPr>
        <w:rFonts w:hint="default"/>
      </w:rPr>
    </w:lvl>
  </w:abstractNum>
  <w:abstractNum w:abstractNumId="1">
    <w:nsid w:val="8E020B7A"/>
    <w:multiLevelType w:val="multilevel"/>
    <w:tmpl w:val="8E020B7A"/>
    <w:lvl w:ilvl="0" w:tentative="0">
      <w:start w:val="11"/>
      <w:numFmt w:val="decimal"/>
      <w:lvlText w:val="%1."/>
      <w:lvlJc w:val="left"/>
      <w:pPr>
        <w:ind w:left="425" w:hanging="425"/>
      </w:pPr>
      <w:rPr>
        <w:rFonts w:hint="default" w:ascii="宋体" w:hAnsi="宋体" w:eastAsia="宋体" w:cs="宋体"/>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ascii="宋体" w:hAnsi="宋体" w:eastAsia="宋体" w:cs="宋体"/>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962016DF"/>
    <w:multiLevelType w:val="multilevel"/>
    <w:tmpl w:val="962016DF"/>
    <w:lvl w:ilvl="0" w:tentative="0">
      <w:start w:val="18"/>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97211B0E"/>
    <w:multiLevelType w:val="multilevel"/>
    <w:tmpl w:val="97211B0E"/>
    <w:lvl w:ilvl="0" w:tentative="0">
      <w:start w:val="15"/>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B1E04445"/>
    <w:multiLevelType w:val="multilevel"/>
    <w:tmpl w:val="B1E04445"/>
    <w:lvl w:ilvl="0" w:tentative="0">
      <w:start w:val="2"/>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B96E7FB5"/>
    <w:multiLevelType w:val="multilevel"/>
    <w:tmpl w:val="B96E7FB5"/>
    <w:lvl w:ilvl="0" w:tentative="0">
      <w:start w:val="7"/>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BBB98913"/>
    <w:multiLevelType w:val="multilevel"/>
    <w:tmpl w:val="BBB98913"/>
    <w:lvl w:ilvl="0" w:tentative="0">
      <w:start w:val="27"/>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C3422329"/>
    <w:multiLevelType w:val="multilevel"/>
    <w:tmpl w:val="C3422329"/>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8">
    <w:nsid w:val="C48E556B"/>
    <w:multiLevelType w:val="multilevel"/>
    <w:tmpl w:val="C48E556B"/>
    <w:lvl w:ilvl="0" w:tentative="0">
      <w:start w:val="11"/>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9">
    <w:nsid w:val="CAC07571"/>
    <w:multiLevelType w:val="singleLevel"/>
    <w:tmpl w:val="CAC07571"/>
    <w:lvl w:ilvl="0" w:tentative="0">
      <w:start w:val="1"/>
      <w:numFmt w:val="decimal"/>
      <w:lvlText w:val="%1."/>
      <w:lvlJc w:val="center"/>
      <w:pPr>
        <w:tabs>
          <w:tab w:val="left" w:pos="42"/>
        </w:tabs>
        <w:ind w:left="71" w:hanging="45"/>
      </w:pPr>
      <w:rPr>
        <w:rFonts w:hint="default" w:ascii="宋体" w:hAnsi="宋体" w:eastAsia="宋体" w:cs="宋体"/>
      </w:rPr>
    </w:lvl>
  </w:abstractNum>
  <w:abstractNum w:abstractNumId="10">
    <w:nsid w:val="DFDB276E"/>
    <w:multiLevelType w:val="singleLevel"/>
    <w:tmpl w:val="DFDB276E"/>
    <w:lvl w:ilvl="0" w:tentative="0">
      <w:start w:val="1"/>
      <w:numFmt w:val="chineseCounting"/>
      <w:suff w:val="nothing"/>
      <w:lvlText w:val="%1、"/>
      <w:lvlJc w:val="left"/>
      <w:pPr>
        <w:ind w:left="0" w:firstLine="420"/>
      </w:pPr>
      <w:rPr>
        <w:rFonts w:hint="eastAsia"/>
      </w:rPr>
    </w:lvl>
  </w:abstractNum>
  <w:abstractNum w:abstractNumId="11">
    <w:nsid w:val="E1ACEA70"/>
    <w:multiLevelType w:val="multilevel"/>
    <w:tmpl w:val="E1ACEA70"/>
    <w:lvl w:ilvl="0" w:tentative="0">
      <w:start w:val="4"/>
      <w:numFmt w:val="decimal"/>
      <w:lvlText w:val="%1."/>
      <w:lvlJc w:val="left"/>
      <w:pPr>
        <w:ind w:left="425" w:hanging="425"/>
      </w:pPr>
      <w:rPr>
        <w:rFonts w:hint="default"/>
      </w:rPr>
    </w:lvl>
    <w:lvl w:ilvl="1" w:tentative="0">
      <w:start w:val="3"/>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2">
    <w:nsid w:val="E20630FF"/>
    <w:multiLevelType w:val="multilevel"/>
    <w:tmpl w:val="E20630FF"/>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3">
    <w:nsid w:val="E79DFC4E"/>
    <w:multiLevelType w:val="multilevel"/>
    <w:tmpl w:val="E79DFC4E"/>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4">
    <w:nsid w:val="EC6B8095"/>
    <w:multiLevelType w:val="multilevel"/>
    <w:tmpl w:val="EC6B8095"/>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5">
    <w:nsid w:val="EDF9013E"/>
    <w:multiLevelType w:val="multilevel"/>
    <w:tmpl w:val="EDF9013E"/>
    <w:lvl w:ilvl="0" w:tentative="0">
      <w:start w:val="14"/>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6">
    <w:nsid w:val="FFFFFF81"/>
    <w:multiLevelType w:val="singleLevel"/>
    <w:tmpl w:val="FFFFFF81"/>
    <w:lvl w:ilvl="0" w:tentative="0">
      <w:start w:val="1"/>
      <w:numFmt w:val="bullet"/>
      <w:pStyle w:val="15"/>
      <w:lvlText w:val=""/>
      <w:lvlJc w:val="left"/>
      <w:pPr>
        <w:tabs>
          <w:tab w:val="left" w:pos="1440"/>
        </w:tabs>
        <w:ind w:left="1440" w:hanging="360"/>
      </w:pPr>
      <w:rPr>
        <w:rFonts w:hint="default" w:ascii="Symbol" w:hAnsi="Symbol" w:eastAsia="Symbol"/>
      </w:rPr>
    </w:lvl>
  </w:abstractNum>
  <w:abstractNum w:abstractNumId="17">
    <w:nsid w:val="00000002"/>
    <w:multiLevelType w:val="multilevel"/>
    <w:tmpl w:val="00000002"/>
    <w:lvl w:ilvl="0" w:tentative="0">
      <w:start w:val="16"/>
      <w:numFmt w:val="decimal"/>
      <w:lvlText w:val="%1"/>
      <w:lvlJc w:val="left"/>
      <w:pPr>
        <w:ind w:left="630" w:hanging="630"/>
      </w:pPr>
      <w:rPr>
        <w:rFonts w:hint="default"/>
      </w:rPr>
    </w:lvl>
    <w:lvl w:ilvl="1" w:tentative="0">
      <w:start w:val="1"/>
      <w:numFmt w:val="decimal"/>
      <w:lvlText w:val="%1.%2"/>
      <w:lvlJc w:val="left"/>
      <w:pPr>
        <w:ind w:left="840" w:hanging="630"/>
      </w:pPr>
      <w:rPr>
        <w:rFonts w:hint="default"/>
      </w:rPr>
    </w:lvl>
    <w:lvl w:ilvl="2" w:tentative="0">
      <w:start w:val="2"/>
      <w:numFmt w:val="decimal"/>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2700" w:hanging="144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480" w:hanging="1800"/>
      </w:pPr>
      <w:rPr>
        <w:rFonts w:hint="default"/>
      </w:rPr>
    </w:lvl>
  </w:abstractNum>
  <w:abstractNum w:abstractNumId="18">
    <w:nsid w:val="00000007"/>
    <w:multiLevelType w:val="multilevel"/>
    <w:tmpl w:val="00000007"/>
    <w:lvl w:ilvl="0" w:tentative="0">
      <w:start w:val="1"/>
      <w:numFmt w:val="bullet"/>
      <w:pStyle w:val="103"/>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pStyle w:val="342"/>
      <w:lvlText w:val=""/>
      <w:lvlJc w:val="left"/>
      <w:pPr>
        <w:tabs>
          <w:tab w:val="left" w:pos="1680"/>
        </w:tabs>
        <w:ind w:left="1680" w:hanging="420"/>
      </w:pPr>
      <w:rPr>
        <w:rFonts w:hint="default" w:ascii="Wingdings" w:hAnsi="Wingdings"/>
      </w:rPr>
    </w:lvl>
    <w:lvl w:ilvl="3" w:tentative="0">
      <w:start w:val="1"/>
      <w:numFmt w:val="bullet"/>
      <w:pStyle w:val="175"/>
      <w:lvlText w:val=""/>
      <w:lvlJc w:val="left"/>
      <w:pPr>
        <w:tabs>
          <w:tab w:val="left" w:pos="2100"/>
        </w:tabs>
        <w:ind w:left="2100" w:hanging="420"/>
      </w:pPr>
      <w:rPr>
        <w:rFonts w:hint="default" w:ascii="Wingdings" w:hAnsi="Wingdings"/>
      </w:rPr>
    </w:lvl>
    <w:lvl w:ilvl="4" w:tentative="0">
      <w:start w:val="1"/>
      <w:numFmt w:val="bullet"/>
      <w:pStyle w:val="411"/>
      <w:lvlText w:val=""/>
      <w:lvlJc w:val="left"/>
      <w:pPr>
        <w:tabs>
          <w:tab w:val="left" w:pos="2520"/>
        </w:tabs>
        <w:ind w:left="2520" w:hanging="420"/>
      </w:pPr>
      <w:rPr>
        <w:rFonts w:hint="default" w:ascii="Wingdings" w:hAnsi="Wingdings"/>
      </w:rPr>
    </w:lvl>
    <w:lvl w:ilvl="5" w:tentative="0">
      <w:start w:val="1"/>
      <w:numFmt w:val="bullet"/>
      <w:pStyle w:val="173"/>
      <w:lvlText w:val=""/>
      <w:lvlJc w:val="left"/>
      <w:pPr>
        <w:tabs>
          <w:tab w:val="left" w:pos="2940"/>
        </w:tabs>
        <w:ind w:left="2940" w:hanging="420"/>
      </w:pPr>
      <w:rPr>
        <w:rFonts w:hint="default" w:ascii="Wingdings" w:hAnsi="Wingdings"/>
      </w:rPr>
    </w:lvl>
    <w:lvl w:ilvl="6" w:tentative="0">
      <w:start w:val="1"/>
      <w:numFmt w:val="bullet"/>
      <w:pStyle w:val="400"/>
      <w:lvlText w:val=""/>
      <w:lvlJc w:val="left"/>
      <w:pPr>
        <w:tabs>
          <w:tab w:val="left" w:pos="3360"/>
        </w:tabs>
        <w:ind w:left="3360" w:hanging="420"/>
      </w:pPr>
      <w:rPr>
        <w:rFonts w:hint="default" w:ascii="Wingdings" w:hAnsi="Wingdings"/>
      </w:rPr>
    </w:lvl>
    <w:lvl w:ilvl="7" w:tentative="0">
      <w:start w:val="1"/>
      <w:numFmt w:val="bullet"/>
      <w:pStyle w:val="280"/>
      <w:lvlText w:val=""/>
      <w:lvlJc w:val="left"/>
      <w:pPr>
        <w:tabs>
          <w:tab w:val="left" w:pos="3780"/>
        </w:tabs>
        <w:ind w:left="3780" w:hanging="420"/>
      </w:pPr>
      <w:rPr>
        <w:rFonts w:hint="default" w:ascii="Wingdings" w:hAnsi="Wingdings"/>
      </w:rPr>
    </w:lvl>
    <w:lvl w:ilvl="8" w:tentative="0">
      <w:start w:val="1"/>
      <w:numFmt w:val="bullet"/>
      <w:pStyle w:val="373"/>
      <w:lvlText w:val=""/>
      <w:lvlJc w:val="left"/>
      <w:pPr>
        <w:tabs>
          <w:tab w:val="left" w:pos="4200"/>
        </w:tabs>
        <w:ind w:left="4200" w:hanging="420"/>
      </w:pPr>
      <w:rPr>
        <w:rFonts w:hint="default" w:ascii="Wingdings" w:hAnsi="Wingdings"/>
      </w:rPr>
    </w:lvl>
  </w:abstractNum>
  <w:abstractNum w:abstractNumId="19">
    <w:nsid w:val="00000008"/>
    <w:multiLevelType w:val="multilevel"/>
    <w:tmpl w:val="00000008"/>
    <w:lvl w:ilvl="0" w:tentative="0">
      <w:start w:val="12"/>
      <w:numFmt w:val="decimal"/>
      <w:lvlText w:val="%1"/>
      <w:lvlJc w:val="left"/>
      <w:pPr>
        <w:ind w:left="630" w:hanging="630"/>
      </w:pPr>
      <w:rPr>
        <w:rFonts w:hint="default"/>
      </w:rPr>
    </w:lvl>
    <w:lvl w:ilvl="1" w:tentative="0">
      <w:start w:val="4"/>
      <w:numFmt w:val="decimal"/>
      <w:lvlText w:val="%1.%2"/>
      <w:lvlJc w:val="left"/>
      <w:pPr>
        <w:ind w:left="840" w:hanging="630"/>
      </w:pPr>
      <w:rPr>
        <w:rFonts w:hint="default"/>
      </w:rPr>
    </w:lvl>
    <w:lvl w:ilvl="2" w:tentative="0">
      <w:start w:val="6"/>
      <w:numFmt w:val="decimal"/>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2700" w:hanging="144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480" w:hanging="1800"/>
      </w:pPr>
      <w:rPr>
        <w:rFonts w:hint="default"/>
      </w:rPr>
    </w:lvl>
  </w:abstractNum>
  <w:abstractNum w:abstractNumId="20">
    <w:nsid w:val="0000000A"/>
    <w:multiLevelType w:val="multilevel"/>
    <w:tmpl w:val="0000000A"/>
    <w:lvl w:ilvl="0" w:tentative="0">
      <w:start w:val="1"/>
      <w:numFmt w:val="decimal"/>
      <w:pStyle w:val="5"/>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4C46C8E"/>
    <w:multiLevelType w:val="multilevel"/>
    <w:tmpl w:val="04C46C8E"/>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2">
    <w:nsid w:val="11744E57"/>
    <w:multiLevelType w:val="multilevel"/>
    <w:tmpl w:val="11744E57"/>
    <w:lvl w:ilvl="0" w:tentative="0">
      <w:start w:val="1"/>
      <w:numFmt w:val="decimal"/>
      <w:pStyle w:val="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6"/>
      <w:lvlText w:val="%1.%2.%3"/>
      <w:lvlJc w:val="left"/>
      <w:pPr>
        <w:tabs>
          <w:tab w:val="left" w:pos="900"/>
        </w:tabs>
        <w:ind w:left="90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23">
    <w:nsid w:val="12ECF7D5"/>
    <w:multiLevelType w:val="multilevel"/>
    <w:tmpl w:val="12ECF7D5"/>
    <w:lvl w:ilvl="0" w:tentative="0">
      <w:start w:val="3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4">
    <w:nsid w:val="13E9CB99"/>
    <w:multiLevelType w:val="multilevel"/>
    <w:tmpl w:val="13E9CB99"/>
    <w:lvl w:ilvl="0" w:tentative="0">
      <w:start w:val="4"/>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5">
    <w:nsid w:val="16D76FFA"/>
    <w:multiLevelType w:val="multilevel"/>
    <w:tmpl w:val="16D76FFA"/>
    <w:lvl w:ilvl="0" w:tentative="0">
      <w:start w:val="17"/>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6">
    <w:nsid w:val="207439DD"/>
    <w:multiLevelType w:val="multilevel"/>
    <w:tmpl w:val="207439DD"/>
    <w:lvl w:ilvl="0" w:tentative="0">
      <w:start w:val="4"/>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7">
    <w:nsid w:val="2A4E901C"/>
    <w:multiLevelType w:val="multilevel"/>
    <w:tmpl w:val="2A4E901C"/>
    <w:lvl w:ilvl="0" w:tentative="0">
      <w:start w:val="20"/>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8">
    <w:nsid w:val="2EA85F27"/>
    <w:multiLevelType w:val="multilevel"/>
    <w:tmpl w:val="2EA85F27"/>
    <w:lvl w:ilvl="0" w:tentative="0">
      <w:start w:val="6"/>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9">
    <w:nsid w:val="2ED9EEBE"/>
    <w:multiLevelType w:val="multilevel"/>
    <w:tmpl w:val="2ED9EEBE"/>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0">
    <w:nsid w:val="320E0114"/>
    <w:multiLevelType w:val="multilevel"/>
    <w:tmpl w:val="320E0114"/>
    <w:lvl w:ilvl="0" w:tentative="0">
      <w:start w:val="13"/>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1">
    <w:nsid w:val="32FAC5EF"/>
    <w:multiLevelType w:val="multilevel"/>
    <w:tmpl w:val="32FAC5EF"/>
    <w:lvl w:ilvl="0" w:tentative="0">
      <w:start w:val="4"/>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2">
    <w:nsid w:val="36ED0084"/>
    <w:multiLevelType w:val="multilevel"/>
    <w:tmpl w:val="36ED0084"/>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3">
    <w:nsid w:val="4A976031"/>
    <w:multiLevelType w:val="multilevel"/>
    <w:tmpl w:val="4A976031"/>
    <w:lvl w:ilvl="0" w:tentative="0">
      <w:start w:val="11"/>
      <w:numFmt w:val="decimal"/>
      <w:lvlText w:val="%1."/>
      <w:lvlJc w:val="left"/>
      <w:pPr>
        <w:ind w:left="425" w:hanging="425"/>
      </w:pPr>
      <w:rPr>
        <w:rFonts w:hint="default" w:ascii="宋体" w:hAnsi="宋体" w:eastAsia="宋体" w:cs="宋体"/>
      </w:rPr>
    </w:lvl>
    <w:lvl w:ilvl="1" w:tentative="0">
      <w:start w:val="3"/>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4">
    <w:nsid w:val="4CFA10E1"/>
    <w:multiLevelType w:val="multilevel"/>
    <w:tmpl w:val="4CFA10E1"/>
    <w:lvl w:ilvl="0" w:tentative="0">
      <w:start w:val="25"/>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5">
    <w:nsid w:val="4D67B4D0"/>
    <w:multiLevelType w:val="multilevel"/>
    <w:tmpl w:val="4D67B4D0"/>
    <w:lvl w:ilvl="0" w:tentative="0">
      <w:start w:val="5"/>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37">
    <w:nsid w:val="4FEBB958"/>
    <w:multiLevelType w:val="singleLevel"/>
    <w:tmpl w:val="4FEBB958"/>
    <w:lvl w:ilvl="0" w:tentative="0">
      <w:start w:val="1"/>
      <w:numFmt w:val="decimal"/>
      <w:suff w:val="nothing"/>
      <w:lvlText w:val="%1、"/>
      <w:lvlJc w:val="left"/>
    </w:lvl>
  </w:abstractNum>
  <w:abstractNum w:abstractNumId="38">
    <w:nsid w:val="5063E2BC"/>
    <w:multiLevelType w:val="multilevel"/>
    <w:tmpl w:val="5063E2BC"/>
    <w:lvl w:ilvl="0" w:tentative="0">
      <w:start w:val="29"/>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9">
    <w:nsid w:val="52B48799"/>
    <w:multiLevelType w:val="multilevel"/>
    <w:tmpl w:val="52B48799"/>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0">
    <w:nsid w:val="5737B475"/>
    <w:multiLevelType w:val="multilevel"/>
    <w:tmpl w:val="5737B475"/>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1">
    <w:nsid w:val="578B3BD2"/>
    <w:multiLevelType w:val="multilevel"/>
    <w:tmpl w:val="578B3BD2"/>
    <w:lvl w:ilvl="0" w:tentative="0">
      <w:start w:val="1"/>
      <w:numFmt w:val="decimal"/>
      <w:pStyle w:val="414"/>
      <w:lvlText w:val="%1"/>
      <w:lvlJc w:val="left"/>
      <w:pPr>
        <w:tabs>
          <w:tab w:val="left" w:pos="480"/>
        </w:tabs>
        <w:ind w:left="480" w:hanging="480"/>
      </w:pPr>
      <w:rPr>
        <w:rFonts w:hint="eastAsia"/>
        <w:sz w:val="44"/>
        <w:szCs w:val="44"/>
      </w:rPr>
    </w:lvl>
    <w:lvl w:ilvl="1" w:tentative="0">
      <w:start w:val="1"/>
      <w:numFmt w:val="decimal"/>
      <w:pStyle w:val="335"/>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3"/>
      <w:lvlText w:val="%1.%2.%3.%4.%5"/>
      <w:lvlJc w:val="left"/>
      <w:pPr>
        <w:tabs>
          <w:tab w:val="left" w:pos="1080"/>
        </w:tabs>
        <w:ind w:left="1080" w:hanging="1080"/>
      </w:pPr>
      <w:rPr>
        <w:rFonts w:hint="default"/>
      </w:rPr>
    </w:lvl>
    <w:lvl w:ilvl="5" w:tentative="0">
      <w:start w:val="1"/>
      <w:numFmt w:val="decimal"/>
      <w:pStyle w:val="217"/>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2">
    <w:nsid w:val="64338D45"/>
    <w:multiLevelType w:val="multilevel"/>
    <w:tmpl w:val="64338D45"/>
    <w:lvl w:ilvl="0" w:tentative="0">
      <w:start w:val="6"/>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3">
    <w:nsid w:val="660117B0"/>
    <w:multiLevelType w:val="multilevel"/>
    <w:tmpl w:val="660117B0"/>
    <w:lvl w:ilvl="0" w:tentative="0">
      <w:start w:val="12"/>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4">
    <w:nsid w:val="662A2411"/>
    <w:multiLevelType w:val="multilevel"/>
    <w:tmpl w:val="662A2411"/>
    <w:lvl w:ilvl="0" w:tentative="0">
      <w:start w:val="3"/>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5">
    <w:nsid w:val="73596DCC"/>
    <w:multiLevelType w:val="multilevel"/>
    <w:tmpl w:val="73596DCC"/>
    <w:lvl w:ilvl="0" w:tentative="0">
      <w:start w:val="1"/>
      <w:numFmt w:val="bullet"/>
      <w:pStyle w:val="321"/>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6">
    <w:nsid w:val="75AFE56F"/>
    <w:multiLevelType w:val="multilevel"/>
    <w:tmpl w:val="75AFE56F"/>
    <w:lvl w:ilvl="0" w:tentative="0">
      <w:start w:val="19"/>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22"/>
  </w:num>
  <w:num w:numId="2">
    <w:abstractNumId w:val="20"/>
  </w:num>
  <w:num w:numId="3">
    <w:abstractNumId w:val="16"/>
  </w:num>
  <w:num w:numId="4">
    <w:abstractNumId w:val="18"/>
  </w:num>
  <w:num w:numId="5">
    <w:abstractNumId w:val="41"/>
  </w:num>
  <w:num w:numId="6">
    <w:abstractNumId w:val="45"/>
  </w:num>
  <w:num w:numId="7">
    <w:abstractNumId w:val="0"/>
  </w:num>
  <w:num w:numId="8">
    <w:abstractNumId w:val="14"/>
  </w:num>
  <w:num w:numId="9">
    <w:abstractNumId w:val="7"/>
  </w:num>
  <w:num w:numId="10">
    <w:abstractNumId w:val="40"/>
  </w:num>
  <w:num w:numId="11">
    <w:abstractNumId w:val="21"/>
  </w:num>
  <w:num w:numId="12">
    <w:abstractNumId w:val="26"/>
  </w:num>
  <w:num w:numId="13">
    <w:abstractNumId w:val="9"/>
  </w:num>
  <w:num w:numId="14">
    <w:abstractNumId w:val="4"/>
  </w:num>
  <w:num w:numId="15">
    <w:abstractNumId w:val="44"/>
  </w:num>
  <w:num w:numId="16">
    <w:abstractNumId w:val="24"/>
  </w:num>
  <w:num w:numId="17">
    <w:abstractNumId w:val="11"/>
  </w:num>
  <w:num w:numId="18">
    <w:abstractNumId w:val="35"/>
  </w:num>
  <w:num w:numId="19">
    <w:abstractNumId w:val="28"/>
  </w:num>
  <w:num w:numId="20">
    <w:abstractNumId w:val="29"/>
  </w:num>
  <w:num w:numId="21">
    <w:abstractNumId w:val="8"/>
  </w:num>
  <w:num w:numId="22">
    <w:abstractNumId w:val="1"/>
  </w:num>
  <w:num w:numId="23">
    <w:abstractNumId w:val="33"/>
  </w:num>
  <w:num w:numId="24">
    <w:abstractNumId w:val="43"/>
  </w:num>
  <w:num w:numId="25">
    <w:abstractNumId w:val="30"/>
  </w:num>
  <w:num w:numId="26">
    <w:abstractNumId w:val="15"/>
  </w:num>
  <w:num w:numId="27">
    <w:abstractNumId w:val="3"/>
  </w:num>
  <w:num w:numId="28">
    <w:abstractNumId w:val="25"/>
  </w:num>
  <w:num w:numId="29">
    <w:abstractNumId w:val="2"/>
  </w:num>
  <w:num w:numId="30">
    <w:abstractNumId w:val="46"/>
  </w:num>
  <w:num w:numId="31">
    <w:abstractNumId w:val="27"/>
  </w:num>
  <w:num w:numId="32">
    <w:abstractNumId w:val="34"/>
  </w:num>
  <w:num w:numId="33">
    <w:abstractNumId w:val="6"/>
  </w:num>
  <w:num w:numId="34">
    <w:abstractNumId w:val="38"/>
  </w:num>
  <w:num w:numId="35">
    <w:abstractNumId w:val="23"/>
  </w:num>
  <w:num w:numId="36">
    <w:abstractNumId w:val="37"/>
  </w:num>
  <w:num w:numId="37">
    <w:abstractNumId w:val="10"/>
  </w:num>
  <w:num w:numId="38">
    <w:abstractNumId w:val="12"/>
  </w:num>
  <w:num w:numId="39">
    <w:abstractNumId w:val="13"/>
  </w:num>
  <w:num w:numId="40">
    <w:abstractNumId w:val="31"/>
  </w:num>
  <w:num w:numId="41">
    <w:abstractNumId w:val="42"/>
  </w:num>
  <w:num w:numId="42">
    <w:abstractNumId w:val="5"/>
  </w:num>
  <w:num w:numId="43">
    <w:abstractNumId w:val="19"/>
  </w:num>
  <w:num w:numId="44">
    <w:abstractNumId w:val="17"/>
  </w:num>
  <w:num w:numId="45">
    <w:abstractNumId w:val="36"/>
  </w:num>
  <w:num w:numId="46">
    <w:abstractNumId w:val="39"/>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OTQ3OGU4YzhmZDk4M2UzYmNhMDA2NmEyMzViYzAifQ=="/>
    <w:docVar w:name="KSO_WPS_MARK_KEY" w:val="ec62f164-a369-4e0b-99e3-03c71f0fbbb1"/>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4D39"/>
    <w:rsid w:val="0005501B"/>
    <w:rsid w:val="000554C7"/>
    <w:rsid w:val="00055A61"/>
    <w:rsid w:val="00056118"/>
    <w:rsid w:val="000578A3"/>
    <w:rsid w:val="00057FC8"/>
    <w:rsid w:val="000600BA"/>
    <w:rsid w:val="00061A3C"/>
    <w:rsid w:val="00061B5E"/>
    <w:rsid w:val="000620B0"/>
    <w:rsid w:val="000646CA"/>
    <w:rsid w:val="00064D05"/>
    <w:rsid w:val="00065868"/>
    <w:rsid w:val="000665C4"/>
    <w:rsid w:val="00067821"/>
    <w:rsid w:val="0006785E"/>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5674"/>
    <w:rsid w:val="000A5A46"/>
    <w:rsid w:val="000B0E04"/>
    <w:rsid w:val="000B4B56"/>
    <w:rsid w:val="000B53F1"/>
    <w:rsid w:val="000B54C1"/>
    <w:rsid w:val="000B62AC"/>
    <w:rsid w:val="000B6BDF"/>
    <w:rsid w:val="000C0A43"/>
    <w:rsid w:val="000C1ADE"/>
    <w:rsid w:val="000C1C38"/>
    <w:rsid w:val="000C222C"/>
    <w:rsid w:val="000C2264"/>
    <w:rsid w:val="000C4727"/>
    <w:rsid w:val="000C47AE"/>
    <w:rsid w:val="000C51AD"/>
    <w:rsid w:val="000C5374"/>
    <w:rsid w:val="000C5EC0"/>
    <w:rsid w:val="000C6688"/>
    <w:rsid w:val="000C7BEB"/>
    <w:rsid w:val="000D11E5"/>
    <w:rsid w:val="000D1D28"/>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C1F"/>
    <w:rsid w:val="001B219B"/>
    <w:rsid w:val="001B2703"/>
    <w:rsid w:val="001B2ABD"/>
    <w:rsid w:val="001B46B2"/>
    <w:rsid w:val="001B494D"/>
    <w:rsid w:val="001B4CA8"/>
    <w:rsid w:val="001B572D"/>
    <w:rsid w:val="001B738E"/>
    <w:rsid w:val="001B7B69"/>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2D33"/>
    <w:rsid w:val="00202F99"/>
    <w:rsid w:val="00203C85"/>
    <w:rsid w:val="00205298"/>
    <w:rsid w:val="002054F4"/>
    <w:rsid w:val="00210B9C"/>
    <w:rsid w:val="00212E87"/>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E31"/>
    <w:rsid w:val="00237FA2"/>
    <w:rsid w:val="00240F67"/>
    <w:rsid w:val="00241144"/>
    <w:rsid w:val="00242009"/>
    <w:rsid w:val="00242510"/>
    <w:rsid w:val="00243F5D"/>
    <w:rsid w:val="0024415B"/>
    <w:rsid w:val="00247422"/>
    <w:rsid w:val="00247BA2"/>
    <w:rsid w:val="00251CB4"/>
    <w:rsid w:val="002531BD"/>
    <w:rsid w:val="002533FE"/>
    <w:rsid w:val="002537FC"/>
    <w:rsid w:val="002543EF"/>
    <w:rsid w:val="00255146"/>
    <w:rsid w:val="0025631F"/>
    <w:rsid w:val="00256986"/>
    <w:rsid w:val="00257246"/>
    <w:rsid w:val="00263044"/>
    <w:rsid w:val="00263759"/>
    <w:rsid w:val="0026385E"/>
    <w:rsid w:val="002645DB"/>
    <w:rsid w:val="0026470B"/>
    <w:rsid w:val="0026486D"/>
    <w:rsid w:val="00264CEB"/>
    <w:rsid w:val="002660C3"/>
    <w:rsid w:val="00266DE1"/>
    <w:rsid w:val="00266E08"/>
    <w:rsid w:val="00267E43"/>
    <w:rsid w:val="00273C5F"/>
    <w:rsid w:val="00274C6D"/>
    <w:rsid w:val="002751CA"/>
    <w:rsid w:val="0027544D"/>
    <w:rsid w:val="002778AB"/>
    <w:rsid w:val="002802A5"/>
    <w:rsid w:val="00281BCB"/>
    <w:rsid w:val="00282CA4"/>
    <w:rsid w:val="0028583E"/>
    <w:rsid w:val="00285FF3"/>
    <w:rsid w:val="0028744E"/>
    <w:rsid w:val="0028766A"/>
    <w:rsid w:val="00287936"/>
    <w:rsid w:val="002903C5"/>
    <w:rsid w:val="00290A99"/>
    <w:rsid w:val="00290EAF"/>
    <w:rsid w:val="0029159A"/>
    <w:rsid w:val="00292AA1"/>
    <w:rsid w:val="0029499D"/>
    <w:rsid w:val="00294A13"/>
    <w:rsid w:val="00295073"/>
    <w:rsid w:val="0029704D"/>
    <w:rsid w:val="002979C5"/>
    <w:rsid w:val="00297AF5"/>
    <w:rsid w:val="002A02D6"/>
    <w:rsid w:val="002A07C4"/>
    <w:rsid w:val="002A0921"/>
    <w:rsid w:val="002A2001"/>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EDB"/>
    <w:rsid w:val="00312378"/>
    <w:rsid w:val="00312DFC"/>
    <w:rsid w:val="0031318C"/>
    <w:rsid w:val="00313C9D"/>
    <w:rsid w:val="00314C5A"/>
    <w:rsid w:val="0031531A"/>
    <w:rsid w:val="00315394"/>
    <w:rsid w:val="00315A0E"/>
    <w:rsid w:val="00315D77"/>
    <w:rsid w:val="00316CDE"/>
    <w:rsid w:val="00317012"/>
    <w:rsid w:val="0032226B"/>
    <w:rsid w:val="00324B2F"/>
    <w:rsid w:val="00326106"/>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60304"/>
    <w:rsid w:val="00365427"/>
    <w:rsid w:val="003669C8"/>
    <w:rsid w:val="00366CEB"/>
    <w:rsid w:val="00366D8A"/>
    <w:rsid w:val="003679D3"/>
    <w:rsid w:val="00367A87"/>
    <w:rsid w:val="003703CE"/>
    <w:rsid w:val="00371C6D"/>
    <w:rsid w:val="003726FA"/>
    <w:rsid w:val="00372C89"/>
    <w:rsid w:val="00372E9A"/>
    <w:rsid w:val="00374677"/>
    <w:rsid w:val="0037632F"/>
    <w:rsid w:val="00377B26"/>
    <w:rsid w:val="00381014"/>
    <w:rsid w:val="00381F60"/>
    <w:rsid w:val="00382C74"/>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24"/>
    <w:rsid w:val="003A03EF"/>
    <w:rsid w:val="003A12B6"/>
    <w:rsid w:val="003A20D5"/>
    <w:rsid w:val="003A24CC"/>
    <w:rsid w:val="003A2EE8"/>
    <w:rsid w:val="003A373C"/>
    <w:rsid w:val="003A5378"/>
    <w:rsid w:val="003A5567"/>
    <w:rsid w:val="003A7E2B"/>
    <w:rsid w:val="003A7E40"/>
    <w:rsid w:val="003B0336"/>
    <w:rsid w:val="003B0A3A"/>
    <w:rsid w:val="003B4810"/>
    <w:rsid w:val="003B514E"/>
    <w:rsid w:val="003B5E0A"/>
    <w:rsid w:val="003B613B"/>
    <w:rsid w:val="003B636A"/>
    <w:rsid w:val="003C011C"/>
    <w:rsid w:val="003C0EB6"/>
    <w:rsid w:val="003C435B"/>
    <w:rsid w:val="003C4EBE"/>
    <w:rsid w:val="003C685A"/>
    <w:rsid w:val="003C6E9C"/>
    <w:rsid w:val="003C7F12"/>
    <w:rsid w:val="003D03D6"/>
    <w:rsid w:val="003D04C3"/>
    <w:rsid w:val="003D14C8"/>
    <w:rsid w:val="003D1517"/>
    <w:rsid w:val="003D2DA0"/>
    <w:rsid w:val="003D34C3"/>
    <w:rsid w:val="003D5ADB"/>
    <w:rsid w:val="003D663E"/>
    <w:rsid w:val="003D6793"/>
    <w:rsid w:val="003D6B03"/>
    <w:rsid w:val="003D75D8"/>
    <w:rsid w:val="003E0746"/>
    <w:rsid w:val="003E0E7C"/>
    <w:rsid w:val="003E336A"/>
    <w:rsid w:val="003E60DA"/>
    <w:rsid w:val="003E61F6"/>
    <w:rsid w:val="003E6439"/>
    <w:rsid w:val="003E6E00"/>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28E6"/>
    <w:rsid w:val="0044739A"/>
    <w:rsid w:val="004475F7"/>
    <w:rsid w:val="00447DFB"/>
    <w:rsid w:val="00450B22"/>
    <w:rsid w:val="004533CE"/>
    <w:rsid w:val="004543AB"/>
    <w:rsid w:val="00454BF5"/>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64C6"/>
    <w:rsid w:val="00477247"/>
    <w:rsid w:val="004776BB"/>
    <w:rsid w:val="00480DC5"/>
    <w:rsid w:val="00481886"/>
    <w:rsid w:val="00482288"/>
    <w:rsid w:val="00483984"/>
    <w:rsid w:val="00483BC7"/>
    <w:rsid w:val="00483CF0"/>
    <w:rsid w:val="00484D4D"/>
    <w:rsid w:val="0048664F"/>
    <w:rsid w:val="004868AD"/>
    <w:rsid w:val="00486D00"/>
    <w:rsid w:val="00487FE1"/>
    <w:rsid w:val="00490707"/>
    <w:rsid w:val="00490815"/>
    <w:rsid w:val="004914E8"/>
    <w:rsid w:val="00492B76"/>
    <w:rsid w:val="0049333E"/>
    <w:rsid w:val="0049418F"/>
    <w:rsid w:val="00495DC6"/>
    <w:rsid w:val="00497AAD"/>
    <w:rsid w:val="00497D1A"/>
    <w:rsid w:val="00497FE6"/>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730"/>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5E2D"/>
    <w:rsid w:val="00536B03"/>
    <w:rsid w:val="00537917"/>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779"/>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6C3"/>
    <w:rsid w:val="00584F04"/>
    <w:rsid w:val="005857F7"/>
    <w:rsid w:val="0058767F"/>
    <w:rsid w:val="00587D7B"/>
    <w:rsid w:val="005901B7"/>
    <w:rsid w:val="005904DB"/>
    <w:rsid w:val="00592825"/>
    <w:rsid w:val="005931BD"/>
    <w:rsid w:val="00594437"/>
    <w:rsid w:val="005955EB"/>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AC8"/>
    <w:rsid w:val="00611B59"/>
    <w:rsid w:val="00611FBA"/>
    <w:rsid w:val="0061272A"/>
    <w:rsid w:val="00613AA2"/>
    <w:rsid w:val="006155F1"/>
    <w:rsid w:val="00615FAB"/>
    <w:rsid w:val="00620055"/>
    <w:rsid w:val="006212D3"/>
    <w:rsid w:val="0062213A"/>
    <w:rsid w:val="00623A5E"/>
    <w:rsid w:val="00625008"/>
    <w:rsid w:val="00626930"/>
    <w:rsid w:val="00626BAC"/>
    <w:rsid w:val="00626F04"/>
    <w:rsid w:val="006271C3"/>
    <w:rsid w:val="0063001E"/>
    <w:rsid w:val="00630D58"/>
    <w:rsid w:val="00631005"/>
    <w:rsid w:val="00632727"/>
    <w:rsid w:val="00633EF3"/>
    <w:rsid w:val="00634AA8"/>
    <w:rsid w:val="00635B73"/>
    <w:rsid w:val="006368A8"/>
    <w:rsid w:val="00636CC7"/>
    <w:rsid w:val="00637F27"/>
    <w:rsid w:val="00643F89"/>
    <w:rsid w:val="00644BED"/>
    <w:rsid w:val="00644E2E"/>
    <w:rsid w:val="00645CB4"/>
    <w:rsid w:val="006470DC"/>
    <w:rsid w:val="00651F59"/>
    <w:rsid w:val="00652CF5"/>
    <w:rsid w:val="0065343E"/>
    <w:rsid w:val="00653C7C"/>
    <w:rsid w:val="006558CD"/>
    <w:rsid w:val="00656D49"/>
    <w:rsid w:val="00656E4D"/>
    <w:rsid w:val="006576BA"/>
    <w:rsid w:val="00662401"/>
    <w:rsid w:val="00662D3D"/>
    <w:rsid w:val="00662F1F"/>
    <w:rsid w:val="00664936"/>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78D"/>
    <w:rsid w:val="006C09CC"/>
    <w:rsid w:val="006C09F4"/>
    <w:rsid w:val="006C3EFE"/>
    <w:rsid w:val="006C4D29"/>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60AC"/>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604D"/>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7BF9"/>
    <w:rsid w:val="007F2C38"/>
    <w:rsid w:val="007F30C6"/>
    <w:rsid w:val="007F3651"/>
    <w:rsid w:val="007F3752"/>
    <w:rsid w:val="007F4318"/>
    <w:rsid w:val="007F47DA"/>
    <w:rsid w:val="007F4E52"/>
    <w:rsid w:val="007F4F84"/>
    <w:rsid w:val="007F55A4"/>
    <w:rsid w:val="007F661E"/>
    <w:rsid w:val="007F75BB"/>
    <w:rsid w:val="00800766"/>
    <w:rsid w:val="00801D90"/>
    <w:rsid w:val="0080348B"/>
    <w:rsid w:val="00803EB0"/>
    <w:rsid w:val="00803EEF"/>
    <w:rsid w:val="008052CE"/>
    <w:rsid w:val="008052DB"/>
    <w:rsid w:val="0080705B"/>
    <w:rsid w:val="0081000F"/>
    <w:rsid w:val="0081264E"/>
    <w:rsid w:val="00812A1A"/>
    <w:rsid w:val="00812DFF"/>
    <w:rsid w:val="0081383A"/>
    <w:rsid w:val="00814DE6"/>
    <w:rsid w:val="00814FC7"/>
    <w:rsid w:val="00816FE0"/>
    <w:rsid w:val="00817416"/>
    <w:rsid w:val="00817583"/>
    <w:rsid w:val="00817FAD"/>
    <w:rsid w:val="00821306"/>
    <w:rsid w:val="00821D85"/>
    <w:rsid w:val="0082207E"/>
    <w:rsid w:val="00823FFD"/>
    <w:rsid w:val="0082427D"/>
    <w:rsid w:val="0082646C"/>
    <w:rsid w:val="00830052"/>
    <w:rsid w:val="008300D0"/>
    <w:rsid w:val="0083257C"/>
    <w:rsid w:val="00833307"/>
    <w:rsid w:val="00833583"/>
    <w:rsid w:val="00833B5B"/>
    <w:rsid w:val="00833E9A"/>
    <w:rsid w:val="00834FEF"/>
    <w:rsid w:val="00836323"/>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94A"/>
    <w:rsid w:val="008C1570"/>
    <w:rsid w:val="008C2059"/>
    <w:rsid w:val="008C58E7"/>
    <w:rsid w:val="008C65F4"/>
    <w:rsid w:val="008C7368"/>
    <w:rsid w:val="008D0E65"/>
    <w:rsid w:val="008D1FAF"/>
    <w:rsid w:val="008D2259"/>
    <w:rsid w:val="008D33FE"/>
    <w:rsid w:val="008D3B9F"/>
    <w:rsid w:val="008D3D02"/>
    <w:rsid w:val="008D54C0"/>
    <w:rsid w:val="008D5760"/>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9000F2"/>
    <w:rsid w:val="0090079D"/>
    <w:rsid w:val="00900D2C"/>
    <w:rsid w:val="00901F0E"/>
    <w:rsid w:val="0090408F"/>
    <w:rsid w:val="0090446A"/>
    <w:rsid w:val="00904DC3"/>
    <w:rsid w:val="00905469"/>
    <w:rsid w:val="0090629C"/>
    <w:rsid w:val="009065C6"/>
    <w:rsid w:val="00906EA2"/>
    <w:rsid w:val="00907278"/>
    <w:rsid w:val="009128B8"/>
    <w:rsid w:val="00915679"/>
    <w:rsid w:val="009159C2"/>
    <w:rsid w:val="009175AF"/>
    <w:rsid w:val="00920A06"/>
    <w:rsid w:val="009221CB"/>
    <w:rsid w:val="00922320"/>
    <w:rsid w:val="00923643"/>
    <w:rsid w:val="009261DB"/>
    <w:rsid w:val="0092623E"/>
    <w:rsid w:val="00931C63"/>
    <w:rsid w:val="00931D10"/>
    <w:rsid w:val="0093386D"/>
    <w:rsid w:val="00934E17"/>
    <w:rsid w:val="00935194"/>
    <w:rsid w:val="00936378"/>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4F8"/>
    <w:rsid w:val="00A116AC"/>
    <w:rsid w:val="00A117D5"/>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A45"/>
    <w:rsid w:val="00A4534D"/>
    <w:rsid w:val="00A46C6D"/>
    <w:rsid w:val="00A472B8"/>
    <w:rsid w:val="00A502F5"/>
    <w:rsid w:val="00A504F4"/>
    <w:rsid w:val="00A51577"/>
    <w:rsid w:val="00A51B47"/>
    <w:rsid w:val="00A526CE"/>
    <w:rsid w:val="00A54DC0"/>
    <w:rsid w:val="00A550C9"/>
    <w:rsid w:val="00A55228"/>
    <w:rsid w:val="00A564DE"/>
    <w:rsid w:val="00A61B91"/>
    <w:rsid w:val="00A63335"/>
    <w:rsid w:val="00A63685"/>
    <w:rsid w:val="00A63DDD"/>
    <w:rsid w:val="00A66473"/>
    <w:rsid w:val="00A66E28"/>
    <w:rsid w:val="00A70590"/>
    <w:rsid w:val="00A71542"/>
    <w:rsid w:val="00A71FA0"/>
    <w:rsid w:val="00A72B5A"/>
    <w:rsid w:val="00A72C1A"/>
    <w:rsid w:val="00A74021"/>
    <w:rsid w:val="00A7463E"/>
    <w:rsid w:val="00A765B1"/>
    <w:rsid w:val="00A772F2"/>
    <w:rsid w:val="00A77828"/>
    <w:rsid w:val="00A8073D"/>
    <w:rsid w:val="00A807A2"/>
    <w:rsid w:val="00A80D02"/>
    <w:rsid w:val="00A812A8"/>
    <w:rsid w:val="00A82D32"/>
    <w:rsid w:val="00A82EAE"/>
    <w:rsid w:val="00A839DC"/>
    <w:rsid w:val="00A84BA2"/>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288"/>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971"/>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56B8"/>
    <w:rsid w:val="00B37B8E"/>
    <w:rsid w:val="00B40222"/>
    <w:rsid w:val="00B404C3"/>
    <w:rsid w:val="00B40BA6"/>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ED9"/>
    <w:rsid w:val="00BA2C82"/>
    <w:rsid w:val="00BA2E8A"/>
    <w:rsid w:val="00BA583B"/>
    <w:rsid w:val="00BA5EC7"/>
    <w:rsid w:val="00BA6319"/>
    <w:rsid w:val="00BA63CE"/>
    <w:rsid w:val="00BA6551"/>
    <w:rsid w:val="00BA6791"/>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64A"/>
    <w:rsid w:val="00BD2B4D"/>
    <w:rsid w:val="00BD2DAE"/>
    <w:rsid w:val="00BD2FB9"/>
    <w:rsid w:val="00BD31C2"/>
    <w:rsid w:val="00BD450A"/>
    <w:rsid w:val="00BD4717"/>
    <w:rsid w:val="00BD48BC"/>
    <w:rsid w:val="00BD48EA"/>
    <w:rsid w:val="00BD4BA8"/>
    <w:rsid w:val="00BD6B0E"/>
    <w:rsid w:val="00BD6F56"/>
    <w:rsid w:val="00BD7941"/>
    <w:rsid w:val="00BE0C55"/>
    <w:rsid w:val="00BE11A2"/>
    <w:rsid w:val="00BE246C"/>
    <w:rsid w:val="00BE2657"/>
    <w:rsid w:val="00BE37AE"/>
    <w:rsid w:val="00BE73C3"/>
    <w:rsid w:val="00BF03C0"/>
    <w:rsid w:val="00BF21D4"/>
    <w:rsid w:val="00BF4A15"/>
    <w:rsid w:val="00BF4E27"/>
    <w:rsid w:val="00BF6D77"/>
    <w:rsid w:val="00C0378E"/>
    <w:rsid w:val="00C04258"/>
    <w:rsid w:val="00C05AFD"/>
    <w:rsid w:val="00C0724C"/>
    <w:rsid w:val="00C07AEF"/>
    <w:rsid w:val="00C07C11"/>
    <w:rsid w:val="00C10015"/>
    <w:rsid w:val="00C12ECB"/>
    <w:rsid w:val="00C1373A"/>
    <w:rsid w:val="00C13AD4"/>
    <w:rsid w:val="00C14ABD"/>
    <w:rsid w:val="00C151E0"/>
    <w:rsid w:val="00C20051"/>
    <w:rsid w:val="00C20B79"/>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68F9"/>
    <w:rsid w:val="00C405C8"/>
    <w:rsid w:val="00C41E09"/>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4E90"/>
    <w:rsid w:val="00C75A8F"/>
    <w:rsid w:val="00C81716"/>
    <w:rsid w:val="00C82795"/>
    <w:rsid w:val="00C832CB"/>
    <w:rsid w:val="00C84085"/>
    <w:rsid w:val="00C8722F"/>
    <w:rsid w:val="00C8779E"/>
    <w:rsid w:val="00C87850"/>
    <w:rsid w:val="00C87BD0"/>
    <w:rsid w:val="00C90B95"/>
    <w:rsid w:val="00C90CA9"/>
    <w:rsid w:val="00C9354F"/>
    <w:rsid w:val="00C93B40"/>
    <w:rsid w:val="00C93D48"/>
    <w:rsid w:val="00C93DB5"/>
    <w:rsid w:val="00C97DD7"/>
    <w:rsid w:val="00CA0492"/>
    <w:rsid w:val="00CA0A04"/>
    <w:rsid w:val="00CA3CAB"/>
    <w:rsid w:val="00CA6A2E"/>
    <w:rsid w:val="00CB52A4"/>
    <w:rsid w:val="00CB537C"/>
    <w:rsid w:val="00CB6675"/>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D0336E"/>
    <w:rsid w:val="00D04F01"/>
    <w:rsid w:val="00D04F8B"/>
    <w:rsid w:val="00D054EF"/>
    <w:rsid w:val="00D05637"/>
    <w:rsid w:val="00D05BA9"/>
    <w:rsid w:val="00D06E71"/>
    <w:rsid w:val="00D0764E"/>
    <w:rsid w:val="00D07D82"/>
    <w:rsid w:val="00D10BE1"/>
    <w:rsid w:val="00D11FE3"/>
    <w:rsid w:val="00D13D50"/>
    <w:rsid w:val="00D14919"/>
    <w:rsid w:val="00D14E25"/>
    <w:rsid w:val="00D152D6"/>
    <w:rsid w:val="00D16525"/>
    <w:rsid w:val="00D165D8"/>
    <w:rsid w:val="00D1724E"/>
    <w:rsid w:val="00D17C81"/>
    <w:rsid w:val="00D206F6"/>
    <w:rsid w:val="00D237E0"/>
    <w:rsid w:val="00D25676"/>
    <w:rsid w:val="00D25F78"/>
    <w:rsid w:val="00D27129"/>
    <w:rsid w:val="00D2738C"/>
    <w:rsid w:val="00D279E7"/>
    <w:rsid w:val="00D3046D"/>
    <w:rsid w:val="00D31B07"/>
    <w:rsid w:val="00D32FA0"/>
    <w:rsid w:val="00D33112"/>
    <w:rsid w:val="00D331CB"/>
    <w:rsid w:val="00D3426E"/>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154B"/>
    <w:rsid w:val="00DB3490"/>
    <w:rsid w:val="00DB4F12"/>
    <w:rsid w:val="00DB5256"/>
    <w:rsid w:val="00DB53A2"/>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FF1"/>
    <w:rsid w:val="00DF6FD2"/>
    <w:rsid w:val="00DF7724"/>
    <w:rsid w:val="00DF7C43"/>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43006"/>
    <w:rsid w:val="00E43551"/>
    <w:rsid w:val="00E43C59"/>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71809"/>
    <w:rsid w:val="00E71D1E"/>
    <w:rsid w:val="00E721D0"/>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D0B"/>
    <w:rsid w:val="00E93195"/>
    <w:rsid w:val="00E93F21"/>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530"/>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2864"/>
    <w:rsid w:val="00F03E4C"/>
    <w:rsid w:val="00F0665D"/>
    <w:rsid w:val="00F06D42"/>
    <w:rsid w:val="00F07134"/>
    <w:rsid w:val="00F07378"/>
    <w:rsid w:val="00F10B81"/>
    <w:rsid w:val="00F11353"/>
    <w:rsid w:val="00F14CD1"/>
    <w:rsid w:val="00F15115"/>
    <w:rsid w:val="00F15D8C"/>
    <w:rsid w:val="00F16E1A"/>
    <w:rsid w:val="00F20197"/>
    <w:rsid w:val="00F20607"/>
    <w:rsid w:val="00F208BB"/>
    <w:rsid w:val="00F20D7A"/>
    <w:rsid w:val="00F210BE"/>
    <w:rsid w:val="00F211FC"/>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642"/>
    <w:rsid w:val="00F419B8"/>
    <w:rsid w:val="00F41C0F"/>
    <w:rsid w:val="00F42856"/>
    <w:rsid w:val="00F43390"/>
    <w:rsid w:val="00F43EF6"/>
    <w:rsid w:val="00F4482B"/>
    <w:rsid w:val="00F44F02"/>
    <w:rsid w:val="00F4526B"/>
    <w:rsid w:val="00F462DF"/>
    <w:rsid w:val="00F4662D"/>
    <w:rsid w:val="00F468AC"/>
    <w:rsid w:val="00F47316"/>
    <w:rsid w:val="00F47507"/>
    <w:rsid w:val="00F5052D"/>
    <w:rsid w:val="00F50BF0"/>
    <w:rsid w:val="00F51A82"/>
    <w:rsid w:val="00F5254B"/>
    <w:rsid w:val="00F53A44"/>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44FD"/>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AE2"/>
    <w:rsid w:val="00FD5546"/>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F0B4F"/>
    <w:rsid w:val="00FF1AD3"/>
    <w:rsid w:val="00FF49F4"/>
    <w:rsid w:val="00FF651D"/>
    <w:rsid w:val="00FF68CA"/>
    <w:rsid w:val="010651D9"/>
    <w:rsid w:val="0116312F"/>
    <w:rsid w:val="01213882"/>
    <w:rsid w:val="017B3C02"/>
    <w:rsid w:val="019A3838"/>
    <w:rsid w:val="01AA1480"/>
    <w:rsid w:val="02235B0E"/>
    <w:rsid w:val="026A11FE"/>
    <w:rsid w:val="02AB3D4B"/>
    <w:rsid w:val="02BD36A4"/>
    <w:rsid w:val="02C1356F"/>
    <w:rsid w:val="02D54924"/>
    <w:rsid w:val="02DA0C0E"/>
    <w:rsid w:val="03795BF7"/>
    <w:rsid w:val="03D07644"/>
    <w:rsid w:val="03DD35E4"/>
    <w:rsid w:val="041751E6"/>
    <w:rsid w:val="04877E26"/>
    <w:rsid w:val="049F168E"/>
    <w:rsid w:val="053B29F3"/>
    <w:rsid w:val="05B4741B"/>
    <w:rsid w:val="065A6178"/>
    <w:rsid w:val="065E5CD7"/>
    <w:rsid w:val="06CA1B54"/>
    <w:rsid w:val="06DA075B"/>
    <w:rsid w:val="07293490"/>
    <w:rsid w:val="075562B7"/>
    <w:rsid w:val="081F7B22"/>
    <w:rsid w:val="082B15CF"/>
    <w:rsid w:val="089332B7"/>
    <w:rsid w:val="089A5F51"/>
    <w:rsid w:val="091837BC"/>
    <w:rsid w:val="092F6318"/>
    <w:rsid w:val="09635222"/>
    <w:rsid w:val="096B2097"/>
    <w:rsid w:val="09EC22C7"/>
    <w:rsid w:val="09EC23CF"/>
    <w:rsid w:val="0A081A83"/>
    <w:rsid w:val="0A261F09"/>
    <w:rsid w:val="0A382368"/>
    <w:rsid w:val="0A5B7E63"/>
    <w:rsid w:val="0A686F49"/>
    <w:rsid w:val="0B335FE1"/>
    <w:rsid w:val="0BD244E5"/>
    <w:rsid w:val="0BD7795F"/>
    <w:rsid w:val="0C451EF5"/>
    <w:rsid w:val="0C6048D0"/>
    <w:rsid w:val="0C6236CC"/>
    <w:rsid w:val="0C87121B"/>
    <w:rsid w:val="0CB16402"/>
    <w:rsid w:val="0CE560AB"/>
    <w:rsid w:val="0CF4714D"/>
    <w:rsid w:val="0D35126B"/>
    <w:rsid w:val="0D692839"/>
    <w:rsid w:val="0DC12A1D"/>
    <w:rsid w:val="0DED4D07"/>
    <w:rsid w:val="0DF702FE"/>
    <w:rsid w:val="0E0132C0"/>
    <w:rsid w:val="0E3F698B"/>
    <w:rsid w:val="0EA370F2"/>
    <w:rsid w:val="0EEB2B2D"/>
    <w:rsid w:val="0EFD592E"/>
    <w:rsid w:val="0F0534BD"/>
    <w:rsid w:val="0F1756A9"/>
    <w:rsid w:val="0F21508F"/>
    <w:rsid w:val="0F2C31E8"/>
    <w:rsid w:val="0F4E1CE6"/>
    <w:rsid w:val="0F783207"/>
    <w:rsid w:val="0F816ACD"/>
    <w:rsid w:val="0FA22032"/>
    <w:rsid w:val="0FA43FFC"/>
    <w:rsid w:val="0FBD6E6C"/>
    <w:rsid w:val="103C0F1F"/>
    <w:rsid w:val="107D739E"/>
    <w:rsid w:val="108A20F6"/>
    <w:rsid w:val="10B00808"/>
    <w:rsid w:val="10B047CF"/>
    <w:rsid w:val="10EA1EE2"/>
    <w:rsid w:val="10F460E3"/>
    <w:rsid w:val="10FC16EA"/>
    <w:rsid w:val="110248AB"/>
    <w:rsid w:val="11220703"/>
    <w:rsid w:val="112E661A"/>
    <w:rsid w:val="116E48C1"/>
    <w:rsid w:val="11851C0B"/>
    <w:rsid w:val="118963A1"/>
    <w:rsid w:val="119A3908"/>
    <w:rsid w:val="119F4A7B"/>
    <w:rsid w:val="11BB73DB"/>
    <w:rsid w:val="11BC6C71"/>
    <w:rsid w:val="11D72467"/>
    <w:rsid w:val="127723A9"/>
    <w:rsid w:val="12C32D62"/>
    <w:rsid w:val="13072A44"/>
    <w:rsid w:val="13A24995"/>
    <w:rsid w:val="13AC7923"/>
    <w:rsid w:val="14347775"/>
    <w:rsid w:val="14376071"/>
    <w:rsid w:val="145044FA"/>
    <w:rsid w:val="1454205C"/>
    <w:rsid w:val="146A15AA"/>
    <w:rsid w:val="14D15E38"/>
    <w:rsid w:val="151A3375"/>
    <w:rsid w:val="154B2DBE"/>
    <w:rsid w:val="15B0069D"/>
    <w:rsid w:val="167119A1"/>
    <w:rsid w:val="17017F86"/>
    <w:rsid w:val="173C2D6C"/>
    <w:rsid w:val="175D340E"/>
    <w:rsid w:val="17665529"/>
    <w:rsid w:val="178763DD"/>
    <w:rsid w:val="17BE7C25"/>
    <w:rsid w:val="17E05DED"/>
    <w:rsid w:val="1854026E"/>
    <w:rsid w:val="18581E27"/>
    <w:rsid w:val="18A0517D"/>
    <w:rsid w:val="19111AC2"/>
    <w:rsid w:val="19122E2A"/>
    <w:rsid w:val="198359F0"/>
    <w:rsid w:val="1A20727A"/>
    <w:rsid w:val="1A6661B5"/>
    <w:rsid w:val="1ADD15C5"/>
    <w:rsid w:val="1B204418"/>
    <w:rsid w:val="1B2A271F"/>
    <w:rsid w:val="1B890139"/>
    <w:rsid w:val="1B966EEF"/>
    <w:rsid w:val="1B9D34D1"/>
    <w:rsid w:val="1C157672"/>
    <w:rsid w:val="1C1B73F4"/>
    <w:rsid w:val="1C4E71BE"/>
    <w:rsid w:val="1C4E77C9"/>
    <w:rsid w:val="1D266CE1"/>
    <w:rsid w:val="1D3963AF"/>
    <w:rsid w:val="1D4E37F9"/>
    <w:rsid w:val="1D526A56"/>
    <w:rsid w:val="1DD261D8"/>
    <w:rsid w:val="1E23203A"/>
    <w:rsid w:val="1E560BB7"/>
    <w:rsid w:val="1E610255"/>
    <w:rsid w:val="1E714A66"/>
    <w:rsid w:val="1EC4411D"/>
    <w:rsid w:val="1EC57AEB"/>
    <w:rsid w:val="1F090C74"/>
    <w:rsid w:val="1F3709E9"/>
    <w:rsid w:val="1F5B65F2"/>
    <w:rsid w:val="1FD1489B"/>
    <w:rsid w:val="1FE868A9"/>
    <w:rsid w:val="20075B68"/>
    <w:rsid w:val="201C7BDE"/>
    <w:rsid w:val="20672C08"/>
    <w:rsid w:val="20CF4C51"/>
    <w:rsid w:val="20F12ED7"/>
    <w:rsid w:val="211E26D6"/>
    <w:rsid w:val="21283D08"/>
    <w:rsid w:val="221C344A"/>
    <w:rsid w:val="2274785E"/>
    <w:rsid w:val="22D8603F"/>
    <w:rsid w:val="22FB28B0"/>
    <w:rsid w:val="23FC3835"/>
    <w:rsid w:val="2443398C"/>
    <w:rsid w:val="245276D1"/>
    <w:rsid w:val="24FD4458"/>
    <w:rsid w:val="250775A5"/>
    <w:rsid w:val="258F1E36"/>
    <w:rsid w:val="25B440B3"/>
    <w:rsid w:val="25B763DF"/>
    <w:rsid w:val="25CC37A0"/>
    <w:rsid w:val="25E46D6D"/>
    <w:rsid w:val="260D24A3"/>
    <w:rsid w:val="262B1754"/>
    <w:rsid w:val="26BC60C2"/>
    <w:rsid w:val="26F87B72"/>
    <w:rsid w:val="271433BD"/>
    <w:rsid w:val="27BC197A"/>
    <w:rsid w:val="281A7ED8"/>
    <w:rsid w:val="281D4DFF"/>
    <w:rsid w:val="28AE0A0C"/>
    <w:rsid w:val="28C83B50"/>
    <w:rsid w:val="28F90ABD"/>
    <w:rsid w:val="2934651F"/>
    <w:rsid w:val="295E519C"/>
    <w:rsid w:val="29A94291"/>
    <w:rsid w:val="29C16DD8"/>
    <w:rsid w:val="29D532D8"/>
    <w:rsid w:val="2A6E1037"/>
    <w:rsid w:val="2AA1365A"/>
    <w:rsid w:val="2AB033FD"/>
    <w:rsid w:val="2B2975EA"/>
    <w:rsid w:val="2BD443F5"/>
    <w:rsid w:val="2BE91131"/>
    <w:rsid w:val="2C067EBA"/>
    <w:rsid w:val="2C3F192C"/>
    <w:rsid w:val="2C626979"/>
    <w:rsid w:val="2D306A77"/>
    <w:rsid w:val="2D61767E"/>
    <w:rsid w:val="2DD15014"/>
    <w:rsid w:val="2E141EF5"/>
    <w:rsid w:val="2F762E67"/>
    <w:rsid w:val="2FD25781"/>
    <w:rsid w:val="2FF24A22"/>
    <w:rsid w:val="302C0C3B"/>
    <w:rsid w:val="30BC651C"/>
    <w:rsid w:val="30C520DB"/>
    <w:rsid w:val="30E107B4"/>
    <w:rsid w:val="31777AF4"/>
    <w:rsid w:val="319C6071"/>
    <w:rsid w:val="31CA749A"/>
    <w:rsid w:val="31E9231A"/>
    <w:rsid w:val="32DB72BE"/>
    <w:rsid w:val="32FD564D"/>
    <w:rsid w:val="332A4581"/>
    <w:rsid w:val="342E63AB"/>
    <w:rsid w:val="345D260B"/>
    <w:rsid w:val="34DB5522"/>
    <w:rsid w:val="35074561"/>
    <w:rsid w:val="35B21919"/>
    <w:rsid w:val="365302AE"/>
    <w:rsid w:val="36894365"/>
    <w:rsid w:val="36CB0CA8"/>
    <w:rsid w:val="3729730D"/>
    <w:rsid w:val="377F4883"/>
    <w:rsid w:val="37881557"/>
    <w:rsid w:val="384D4981"/>
    <w:rsid w:val="386569C8"/>
    <w:rsid w:val="38E1266E"/>
    <w:rsid w:val="39224DAA"/>
    <w:rsid w:val="3974239A"/>
    <w:rsid w:val="39A13F14"/>
    <w:rsid w:val="39CE129E"/>
    <w:rsid w:val="3A19387C"/>
    <w:rsid w:val="3A3B384F"/>
    <w:rsid w:val="3A3C334E"/>
    <w:rsid w:val="3A43356C"/>
    <w:rsid w:val="3A4B2C79"/>
    <w:rsid w:val="3A7166BD"/>
    <w:rsid w:val="3AAF722D"/>
    <w:rsid w:val="3AF10C17"/>
    <w:rsid w:val="3B3E520B"/>
    <w:rsid w:val="3B4007CD"/>
    <w:rsid w:val="3B630596"/>
    <w:rsid w:val="3B927D7A"/>
    <w:rsid w:val="3C12666A"/>
    <w:rsid w:val="3C3D7136"/>
    <w:rsid w:val="3C5F759A"/>
    <w:rsid w:val="3C844E74"/>
    <w:rsid w:val="3C85293C"/>
    <w:rsid w:val="3C9419A9"/>
    <w:rsid w:val="3CA84C0C"/>
    <w:rsid w:val="3CB43221"/>
    <w:rsid w:val="3D202D44"/>
    <w:rsid w:val="3D5C78D4"/>
    <w:rsid w:val="3DB1150E"/>
    <w:rsid w:val="3DE90CA8"/>
    <w:rsid w:val="3E570308"/>
    <w:rsid w:val="3E6842C3"/>
    <w:rsid w:val="40204E05"/>
    <w:rsid w:val="4086308D"/>
    <w:rsid w:val="40AE7F87"/>
    <w:rsid w:val="40F016C6"/>
    <w:rsid w:val="40F77B80"/>
    <w:rsid w:val="411B48E7"/>
    <w:rsid w:val="4125649B"/>
    <w:rsid w:val="41962EF5"/>
    <w:rsid w:val="42073DF3"/>
    <w:rsid w:val="421A3B26"/>
    <w:rsid w:val="4267663F"/>
    <w:rsid w:val="42754E47"/>
    <w:rsid w:val="429D02B3"/>
    <w:rsid w:val="42E1381E"/>
    <w:rsid w:val="43922329"/>
    <w:rsid w:val="43AC6A00"/>
    <w:rsid w:val="43D67F21"/>
    <w:rsid w:val="43FB717C"/>
    <w:rsid w:val="44020D16"/>
    <w:rsid w:val="44191BBB"/>
    <w:rsid w:val="44477C42"/>
    <w:rsid w:val="44554CBC"/>
    <w:rsid w:val="4504286C"/>
    <w:rsid w:val="451E447A"/>
    <w:rsid w:val="45252F0E"/>
    <w:rsid w:val="45345B76"/>
    <w:rsid w:val="45436477"/>
    <w:rsid w:val="459A14BC"/>
    <w:rsid w:val="45A04342"/>
    <w:rsid w:val="45BD3146"/>
    <w:rsid w:val="45CC5F4C"/>
    <w:rsid w:val="45CD7101"/>
    <w:rsid w:val="46E26BDC"/>
    <w:rsid w:val="47307808"/>
    <w:rsid w:val="48215B7E"/>
    <w:rsid w:val="486F747C"/>
    <w:rsid w:val="48886D6C"/>
    <w:rsid w:val="49804BB7"/>
    <w:rsid w:val="49903D94"/>
    <w:rsid w:val="49DF3B3C"/>
    <w:rsid w:val="49EB5DA8"/>
    <w:rsid w:val="4AB50890"/>
    <w:rsid w:val="4B7A3887"/>
    <w:rsid w:val="4BCB2D04"/>
    <w:rsid w:val="4C12586E"/>
    <w:rsid w:val="4C615253"/>
    <w:rsid w:val="4CF47E61"/>
    <w:rsid w:val="4D3A62CF"/>
    <w:rsid w:val="4D4C3002"/>
    <w:rsid w:val="4D861CF6"/>
    <w:rsid w:val="4F0458B0"/>
    <w:rsid w:val="4F144C0B"/>
    <w:rsid w:val="4F2953A8"/>
    <w:rsid w:val="4F3F1A48"/>
    <w:rsid w:val="4F4F2B41"/>
    <w:rsid w:val="4FD70497"/>
    <w:rsid w:val="4FD7209B"/>
    <w:rsid w:val="5010728A"/>
    <w:rsid w:val="50983A7B"/>
    <w:rsid w:val="513F5357"/>
    <w:rsid w:val="51A0432A"/>
    <w:rsid w:val="526112FD"/>
    <w:rsid w:val="527140E5"/>
    <w:rsid w:val="527B23BF"/>
    <w:rsid w:val="5292508F"/>
    <w:rsid w:val="52976ACD"/>
    <w:rsid w:val="52A96B6F"/>
    <w:rsid w:val="52CE2288"/>
    <w:rsid w:val="52D82877"/>
    <w:rsid w:val="53E73A84"/>
    <w:rsid w:val="54044FB7"/>
    <w:rsid w:val="547B509B"/>
    <w:rsid w:val="549B551B"/>
    <w:rsid w:val="54BE3577"/>
    <w:rsid w:val="54CC7EAC"/>
    <w:rsid w:val="550764A4"/>
    <w:rsid w:val="551926E0"/>
    <w:rsid w:val="555A2783"/>
    <w:rsid w:val="55654C60"/>
    <w:rsid w:val="55CE0A58"/>
    <w:rsid w:val="56515F3B"/>
    <w:rsid w:val="566A0472"/>
    <w:rsid w:val="571511AC"/>
    <w:rsid w:val="572052E3"/>
    <w:rsid w:val="572B71CA"/>
    <w:rsid w:val="58AE4F0C"/>
    <w:rsid w:val="58DD011A"/>
    <w:rsid w:val="596F60AE"/>
    <w:rsid w:val="59A815C0"/>
    <w:rsid w:val="59B83EF9"/>
    <w:rsid w:val="5A2A7C7B"/>
    <w:rsid w:val="5B527A35"/>
    <w:rsid w:val="5C4D7CA8"/>
    <w:rsid w:val="5C515894"/>
    <w:rsid w:val="5C7C076A"/>
    <w:rsid w:val="5C80234E"/>
    <w:rsid w:val="5D9613BA"/>
    <w:rsid w:val="5DB34EE4"/>
    <w:rsid w:val="5E261785"/>
    <w:rsid w:val="5E2A6A47"/>
    <w:rsid w:val="5E516CB9"/>
    <w:rsid w:val="5E8A398A"/>
    <w:rsid w:val="5EC31348"/>
    <w:rsid w:val="5EC450EE"/>
    <w:rsid w:val="5EED715D"/>
    <w:rsid w:val="5F2B6F1B"/>
    <w:rsid w:val="5FCC5339"/>
    <w:rsid w:val="5FEB66AA"/>
    <w:rsid w:val="600A4D82"/>
    <w:rsid w:val="60E53485"/>
    <w:rsid w:val="60EC4488"/>
    <w:rsid w:val="61054A27"/>
    <w:rsid w:val="611D2366"/>
    <w:rsid w:val="6139363A"/>
    <w:rsid w:val="61AB53ED"/>
    <w:rsid w:val="621023F8"/>
    <w:rsid w:val="62425ACF"/>
    <w:rsid w:val="62494122"/>
    <w:rsid w:val="62885958"/>
    <w:rsid w:val="62D17DD9"/>
    <w:rsid w:val="62F16356"/>
    <w:rsid w:val="62F17F61"/>
    <w:rsid w:val="631D301E"/>
    <w:rsid w:val="632D5BB8"/>
    <w:rsid w:val="633842F6"/>
    <w:rsid w:val="63F73D10"/>
    <w:rsid w:val="6479547D"/>
    <w:rsid w:val="64CE2EAA"/>
    <w:rsid w:val="64D64111"/>
    <w:rsid w:val="65295CAB"/>
    <w:rsid w:val="652F155D"/>
    <w:rsid w:val="65C6174B"/>
    <w:rsid w:val="65C77C89"/>
    <w:rsid w:val="65EA2FE4"/>
    <w:rsid w:val="662001A3"/>
    <w:rsid w:val="662E75B1"/>
    <w:rsid w:val="66342C2E"/>
    <w:rsid w:val="663E784C"/>
    <w:rsid w:val="669E4EAC"/>
    <w:rsid w:val="67170A94"/>
    <w:rsid w:val="672B0C77"/>
    <w:rsid w:val="67647EAE"/>
    <w:rsid w:val="67C1666E"/>
    <w:rsid w:val="68014CBD"/>
    <w:rsid w:val="683B115F"/>
    <w:rsid w:val="6841330B"/>
    <w:rsid w:val="685867EC"/>
    <w:rsid w:val="686E167F"/>
    <w:rsid w:val="686F717E"/>
    <w:rsid w:val="68815DFE"/>
    <w:rsid w:val="68A66960"/>
    <w:rsid w:val="68E65C61"/>
    <w:rsid w:val="691C1682"/>
    <w:rsid w:val="697F0A14"/>
    <w:rsid w:val="69D05529"/>
    <w:rsid w:val="6A051F0D"/>
    <w:rsid w:val="6A17386D"/>
    <w:rsid w:val="6A446655"/>
    <w:rsid w:val="6A486BD3"/>
    <w:rsid w:val="6AA81420"/>
    <w:rsid w:val="6AED777A"/>
    <w:rsid w:val="6C0B435C"/>
    <w:rsid w:val="6C316B4C"/>
    <w:rsid w:val="6C741BBA"/>
    <w:rsid w:val="6CA1081C"/>
    <w:rsid w:val="6CCB1F66"/>
    <w:rsid w:val="6D033285"/>
    <w:rsid w:val="6D2154B9"/>
    <w:rsid w:val="6DA46816"/>
    <w:rsid w:val="6DCF0A71"/>
    <w:rsid w:val="6DDA60F0"/>
    <w:rsid w:val="6DE44E65"/>
    <w:rsid w:val="6E2C43ED"/>
    <w:rsid w:val="6E6B10E2"/>
    <w:rsid w:val="6E8E12EF"/>
    <w:rsid w:val="6E906D9A"/>
    <w:rsid w:val="6F143527"/>
    <w:rsid w:val="6F257424"/>
    <w:rsid w:val="6FAC782C"/>
    <w:rsid w:val="6FE447A1"/>
    <w:rsid w:val="6FF11ABB"/>
    <w:rsid w:val="705E0797"/>
    <w:rsid w:val="709D7FBB"/>
    <w:rsid w:val="70F34A4D"/>
    <w:rsid w:val="71347EB1"/>
    <w:rsid w:val="718874D8"/>
    <w:rsid w:val="71940950"/>
    <w:rsid w:val="71C01745"/>
    <w:rsid w:val="71CC2C03"/>
    <w:rsid w:val="71D43752"/>
    <w:rsid w:val="71E511AB"/>
    <w:rsid w:val="7231619E"/>
    <w:rsid w:val="72762A5C"/>
    <w:rsid w:val="72AB5F51"/>
    <w:rsid w:val="730647AA"/>
    <w:rsid w:val="737F0B27"/>
    <w:rsid w:val="7395275D"/>
    <w:rsid w:val="739C3AEB"/>
    <w:rsid w:val="73A17EFA"/>
    <w:rsid w:val="73DD6243"/>
    <w:rsid w:val="73F73418"/>
    <w:rsid w:val="7413559A"/>
    <w:rsid w:val="74251D33"/>
    <w:rsid w:val="7467234B"/>
    <w:rsid w:val="749C4185"/>
    <w:rsid w:val="74B52688"/>
    <w:rsid w:val="74DA2DCD"/>
    <w:rsid w:val="754C32EF"/>
    <w:rsid w:val="756248C1"/>
    <w:rsid w:val="758F74DF"/>
    <w:rsid w:val="75B15059"/>
    <w:rsid w:val="75DA2C18"/>
    <w:rsid w:val="75F51480"/>
    <w:rsid w:val="76CD7981"/>
    <w:rsid w:val="7711659E"/>
    <w:rsid w:val="773F29EF"/>
    <w:rsid w:val="775319EF"/>
    <w:rsid w:val="7783749C"/>
    <w:rsid w:val="779A47E6"/>
    <w:rsid w:val="77AB3C65"/>
    <w:rsid w:val="78333E5C"/>
    <w:rsid w:val="78511348"/>
    <w:rsid w:val="788A485A"/>
    <w:rsid w:val="78AC0EF3"/>
    <w:rsid w:val="790F1C77"/>
    <w:rsid w:val="79132DE8"/>
    <w:rsid w:val="79C27F0E"/>
    <w:rsid w:val="79F93A46"/>
    <w:rsid w:val="7A67303B"/>
    <w:rsid w:val="7A8A1FED"/>
    <w:rsid w:val="7A9E639B"/>
    <w:rsid w:val="7AAB1D04"/>
    <w:rsid w:val="7ABA4368"/>
    <w:rsid w:val="7B257FFD"/>
    <w:rsid w:val="7B4231CA"/>
    <w:rsid w:val="7B4B7D30"/>
    <w:rsid w:val="7BFF7723"/>
    <w:rsid w:val="7C0466D2"/>
    <w:rsid w:val="7C2B1DA5"/>
    <w:rsid w:val="7C501917"/>
    <w:rsid w:val="7CF91FAF"/>
    <w:rsid w:val="7D584F27"/>
    <w:rsid w:val="7DB06B11"/>
    <w:rsid w:val="7DF4317E"/>
    <w:rsid w:val="7E3314F0"/>
    <w:rsid w:val="7E343F39"/>
    <w:rsid w:val="7E64308B"/>
    <w:rsid w:val="7E8A7362"/>
    <w:rsid w:val="7E9A331D"/>
    <w:rsid w:val="7FCD5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0"/>
    <w:qFormat/>
    <w:uiPriority w:val="0"/>
    <w:pPr>
      <w:keepNext/>
      <w:keepLines/>
      <w:numPr>
        <w:ilvl w:val="0"/>
        <w:numId w:val="1"/>
      </w:numPr>
      <w:spacing w:before="340" w:after="330" w:line="578" w:lineRule="auto"/>
      <w:outlineLvl w:val="0"/>
    </w:pPr>
    <w:rPr>
      <w:bCs/>
      <w:kern w:val="44"/>
      <w:sz w:val="44"/>
      <w:szCs w:val="44"/>
    </w:rPr>
  </w:style>
  <w:style w:type="paragraph" w:styleId="5">
    <w:name w:val="heading 2"/>
    <w:basedOn w:val="1"/>
    <w:next w:val="1"/>
    <w:link w:val="632"/>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6">
    <w:name w:val="heading 3"/>
    <w:basedOn w:val="1"/>
    <w:next w:val="1"/>
    <w:link w:val="633"/>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600"/>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8">
    <w:name w:val="heading 5"/>
    <w:basedOn w:val="1"/>
    <w:next w:val="1"/>
    <w:link w:val="574"/>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613"/>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link w:val="48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472"/>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link w:val="52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546"/>
    <w:qFormat/>
    <w:uiPriority w:val="0"/>
    <w:pPr>
      <w:ind w:firstLine="420"/>
    </w:pPr>
    <w:rPr>
      <w:szCs w:val="20"/>
    </w:rPr>
  </w:style>
  <w:style w:type="paragraph" w:styleId="3">
    <w:name w:val="Body Text"/>
    <w:basedOn w:val="1"/>
    <w:next w:val="2"/>
    <w:link w:val="513"/>
    <w:qFormat/>
    <w:uiPriority w:val="0"/>
    <w:pPr>
      <w:autoSpaceDE w:val="0"/>
      <w:autoSpaceDN w:val="0"/>
      <w:spacing w:line="360" w:lineRule="auto"/>
    </w:pPr>
    <w:rPr>
      <w:rFonts w:ascii="宋体"/>
      <w:sz w:val="24"/>
      <w:szCs w:val="21"/>
      <w:lang w:val="zh-CN"/>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5">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7">
    <w:name w:val="Normal Indent"/>
    <w:basedOn w:val="1"/>
    <w:next w:val="1"/>
    <w:link w:val="614"/>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semiHidden/>
    <w:qFormat/>
    <w:uiPriority w:val="0"/>
    <w:pPr>
      <w:shd w:val="clear" w:color="auto" w:fill="000080"/>
    </w:pPr>
  </w:style>
  <w:style w:type="paragraph" w:styleId="21">
    <w:name w:val="toa heading"/>
    <w:basedOn w:val="1"/>
    <w:next w:val="1"/>
    <w:qFormat/>
    <w:uiPriority w:val="99"/>
    <w:pPr>
      <w:spacing w:before="120"/>
    </w:pPr>
    <w:rPr>
      <w:rFonts w:ascii="Arial" w:hAnsi="Arial" w:eastAsia="仿宋"/>
      <w:sz w:val="24"/>
      <w:szCs w:val="20"/>
    </w:rPr>
  </w:style>
  <w:style w:type="paragraph" w:styleId="22">
    <w:name w:val="annotation text"/>
    <w:basedOn w:val="1"/>
    <w:link w:val="615"/>
    <w:qFormat/>
    <w:uiPriority w:val="0"/>
    <w:pPr>
      <w:jc w:val="left"/>
    </w:pPr>
  </w:style>
  <w:style w:type="paragraph" w:styleId="23">
    <w:name w:val="Salutation"/>
    <w:basedOn w:val="1"/>
    <w:next w:val="1"/>
    <w:link w:val="483"/>
    <w:qFormat/>
    <w:uiPriority w:val="0"/>
    <w:rPr>
      <w:rFonts w:ascii="仿宋_GB2312" w:eastAsia="仿宋_GB2312"/>
      <w:sz w:val="28"/>
      <w:szCs w:val="20"/>
    </w:rPr>
  </w:style>
  <w:style w:type="paragraph" w:styleId="24">
    <w:name w:val="Body Text 3"/>
    <w:basedOn w:val="1"/>
    <w:link w:val="582"/>
    <w:qFormat/>
    <w:uiPriority w:val="0"/>
    <w:pPr>
      <w:jc w:val="center"/>
    </w:pPr>
    <w:rPr>
      <w:szCs w:val="20"/>
    </w:rPr>
  </w:style>
  <w:style w:type="paragraph" w:styleId="25">
    <w:name w:val="Body Text Indent"/>
    <w:basedOn w:val="1"/>
    <w:next w:val="1"/>
    <w:link w:val="476"/>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2"/>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490"/>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9"/>
    <w:qFormat/>
    <w:uiPriority w:val="0"/>
    <w:pPr>
      <w:ind w:left="100" w:leftChars="2500"/>
    </w:pPr>
    <w:rPr>
      <w:rFonts w:ascii="宋体"/>
      <w:sz w:val="24"/>
      <w:szCs w:val="21"/>
      <w:lang w:val="zh-CN"/>
    </w:rPr>
  </w:style>
  <w:style w:type="paragraph" w:styleId="37">
    <w:name w:val="Body Text Indent 2"/>
    <w:basedOn w:val="1"/>
    <w:link w:val="504"/>
    <w:qFormat/>
    <w:uiPriority w:val="0"/>
    <w:pPr>
      <w:spacing w:line="360" w:lineRule="auto"/>
      <w:ind w:firstLine="601"/>
      <w:textAlignment w:val="baseline"/>
    </w:pPr>
    <w:rPr>
      <w:rFonts w:ascii="宋体"/>
      <w:kern w:val="0"/>
      <w:sz w:val="28"/>
      <w:szCs w:val="20"/>
    </w:rPr>
  </w:style>
  <w:style w:type="paragraph" w:styleId="38">
    <w:name w:val="Balloon Text"/>
    <w:basedOn w:val="1"/>
    <w:link w:val="616"/>
    <w:semiHidden/>
    <w:qFormat/>
    <w:uiPriority w:val="0"/>
    <w:rPr>
      <w:sz w:val="18"/>
      <w:szCs w:val="18"/>
    </w:rPr>
  </w:style>
  <w:style w:type="paragraph" w:styleId="39">
    <w:name w:val="footer"/>
    <w:basedOn w:val="1"/>
    <w:qFormat/>
    <w:uiPriority w:val="0"/>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6"/>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7"/>
    <w:link w:val="474"/>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9"/>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next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2"/>
    <w:next w:val="22"/>
    <w:semiHidden/>
    <w:qFormat/>
    <w:uiPriority w:val="0"/>
    <w:rPr>
      <w:b/>
      <w:bCs/>
    </w:rPr>
  </w:style>
  <w:style w:type="paragraph" w:styleId="60">
    <w:name w:val="Body Text First Indent 2"/>
    <w:basedOn w:val="25"/>
    <w:link w:val="503"/>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0"/>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character" w:styleId="72">
    <w:name w:val="HTML Sample"/>
    <w:basedOn w:val="63"/>
    <w:qFormat/>
    <w:uiPriority w:val="0"/>
    <w:rPr>
      <w:rFonts w:ascii="Courier New" w:hAnsi="Courier New"/>
    </w:rPr>
  </w:style>
  <w:style w:type="paragraph" w:styleId="73">
    <w:name w:val="Quote"/>
    <w:basedOn w:val="1"/>
    <w:next w:val="1"/>
    <w:qFormat/>
    <w:uiPriority w:val="29"/>
    <w:pPr>
      <w:spacing w:beforeLines="50" w:afterLines="50" w:line="360" w:lineRule="auto"/>
    </w:pPr>
    <w:rPr>
      <w:i/>
      <w:iCs/>
      <w:color w:val="000000"/>
      <w:sz w:val="21"/>
      <w:szCs w:val="24"/>
      <w:lang w:val="zh-CN"/>
    </w:rPr>
  </w:style>
  <w:style w:type="paragraph" w:customStyle="1" w:styleId="7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5">
    <w:name w:val="冯"/>
    <w:basedOn w:val="1"/>
    <w:link w:val="517"/>
    <w:qFormat/>
    <w:uiPriority w:val="0"/>
    <w:pPr>
      <w:widowControl/>
      <w:adjustRightInd/>
      <w:spacing w:line="360" w:lineRule="auto"/>
      <w:ind w:firstLine="480" w:firstLineChars="200"/>
    </w:pPr>
    <w:rPr>
      <w:rFonts w:ascii="宋体" w:hAnsi="宋体"/>
      <w:color w:val="000000"/>
      <w:kern w:val="0"/>
      <w:sz w:val="24"/>
    </w:rPr>
  </w:style>
  <w:style w:type="paragraph" w:customStyle="1" w:styleId="76">
    <w:name w:val="样式3"/>
    <w:basedOn w:val="77"/>
    <w:qFormat/>
    <w:uiPriority w:val="0"/>
    <w:pPr>
      <w:tabs>
        <w:tab w:val="left" w:pos="2790"/>
        <w:tab w:val="left" w:pos="4230"/>
      </w:tabs>
      <w:spacing w:beforeLines="100"/>
      <w:jc w:val="left"/>
    </w:pPr>
  </w:style>
  <w:style w:type="paragraph" w:customStyle="1" w:styleId="7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8">
    <w:name w:val="P1"/>
    <w:basedOn w:val="1"/>
    <w:qFormat/>
    <w:uiPriority w:val="0"/>
    <w:pPr>
      <w:adjustRightInd/>
      <w:spacing w:line="288" w:lineRule="auto"/>
      <w:ind w:firstLine="425" w:firstLineChars="200"/>
    </w:pPr>
  </w:style>
  <w:style w:type="paragraph" w:customStyle="1" w:styleId="79">
    <w:name w:val="Char1 Char Char Char"/>
    <w:basedOn w:val="1"/>
    <w:qFormat/>
    <w:uiPriority w:val="0"/>
    <w:rPr>
      <w:rFonts w:ascii="Tahoma" w:hAnsi="Tahoma"/>
      <w:sz w:val="24"/>
      <w:szCs w:val="20"/>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4">
    <w:name w:val="样式7"/>
    <w:basedOn w:val="85"/>
    <w:next w:val="1"/>
    <w:qFormat/>
    <w:uiPriority w:val="0"/>
    <w:pPr>
      <w:spacing w:afterLines="50"/>
      <w:jc w:val="left"/>
      <w:outlineLvl w:val="3"/>
    </w:pPr>
    <w:rPr>
      <w:sz w:val="24"/>
      <w:szCs w:val="24"/>
    </w:rPr>
  </w:style>
  <w:style w:type="paragraph" w:customStyle="1" w:styleId="8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6">
    <w:name w:val="Bulleted List"/>
    <w:basedOn w:val="1"/>
    <w:qFormat/>
    <w:uiPriority w:val="0"/>
    <w:pPr>
      <w:numPr>
        <w:ilvl w:val="1"/>
        <w:numId w:val="4"/>
      </w:numPr>
      <w:adjustRightInd/>
    </w:pPr>
  </w:style>
  <w:style w:type="paragraph" w:customStyle="1" w:styleId="87">
    <w:name w:val="Char3"/>
    <w:basedOn w:val="1"/>
    <w:qFormat/>
    <w:uiPriority w:val="0"/>
    <w:pPr>
      <w:adjustRightInd/>
    </w:pPr>
    <w:rPr>
      <w:rFonts w:ascii="仿宋_GB2312" w:eastAsia="仿宋_GB2312"/>
      <w:b/>
      <w:sz w:val="32"/>
      <w:szCs w:val="32"/>
    </w:rPr>
  </w:style>
  <w:style w:type="paragraph" w:customStyle="1" w:styleId="88">
    <w:name w:val="Char Char1 Char Char Char Char Char Char"/>
    <w:basedOn w:val="1"/>
    <w:qFormat/>
    <w:uiPriority w:val="0"/>
    <w:rPr>
      <w:rFonts w:ascii="仿宋_GB2312" w:eastAsia="仿宋_GB2312"/>
      <w:b/>
      <w:sz w:val="32"/>
      <w:szCs w:val="20"/>
    </w:rPr>
  </w:style>
  <w:style w:type="paragraph" w:customStyle="1" w:styleId="89">
    <w:name w:val="文本正文 Char"/>
    <w:basedOn w:val="1"/>
    <w:qFormat/>
    <w:uiPriority w:val="0"/>
    <w:pPr>
      <w:spacing w:line="360" w:lineRule="auto"/>
      <w:ind w:firstLine="200" w:firstLineChars="200"/>
    </w:pPr>
    <w:rPr>
      <w:kern w:val="0"/>
      <w:sz w:val="24"/>
      <w:szCs w:val="20"/>
    </w:rPr>
  </w:style>
  <w:style w:type="paragraph" w:customStyle="1" w:styleId="9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3">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9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5">
    <w:name w:val="样式 标题 22h2L1 Heading 2H2sect 1.2H21sect 1.21H22sect 1.2..."/>
    <w:basedOn w:val="5"/>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6">
    <w:name w:val="正文首行缩进1"/>
    <w:basedOn w:val="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7">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9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9">
    <w:name w:val="Char1"/>
    <w:basedOn w:val="1"/>
    <w:qFormat/>
    <w:uiPriority w:val="0"/>
    <w:rPr>
      <w:rFonts w:ascii="仿宋_GB2312" w:eastAsia="仿宋_GB2312"/>
      <w:b/>
      <w:sz w:val="32"/>
      <w:szCs w:val="32"/>
    </w:rPr>
  </w:style>
  <w:style w:type="paragraph" w:customStyle="1" w:styleId="100">
    <w:name w:val="CM14"/>
    <w:basedOn w:val="101"/>
    <w:next w:val="101"/>
    <w:qFormat/>
    <w:uiPriority w:val="0"/>
    <w:pPr>
      <w:spacing w:after="68"/>
    </w:pPr>
    <w:rPr>
      <w:rFonts w:ascii="FHLHE E+ Futura Bk" w:eastAsia="FHLHE E+ Futura Bk" w:cs="Times New Roman"/>
      <w:color w:val="auto"/>
    </w:rPr>
  </w:style>
  <w:style w:type="paragraph" w:customStyle="1" w:styleId="101">
    <w:name w:val="Default"/>
    <w:basedOn w:val="58"/>
    <w:next w:val="4"/>
    <w:link w:val="628"/>
    <w:qFormat/>
    <w:uiPriority w:val="0"/>
    <w:pPr>
      <w:widowControl w:val="0"/>
    </w:pPr>
    <w:rPr>
      <w:rFonts w:ascii="仿宋_GB2312" w:eastAsia="仿宋_GB2312" w:cs="仿宋_GB2312"/>
      <w:color w:val="000000"/>
      <w:szCs w:val="24"/>
      <w:lang w:val="en-US"/>
    </w:rPr>
  </w:style>
  <w:style w:type="paragraph" w:customStyle="1" w:styleId="102">
    <w:name w:val="正文文字缩进2字"/>
    <w:basedOn w:val="3"/>
    <w:qFormat/>
    <w:uiPriority w:val="0"/>
    <w:pPr>
      <w:autoSpaceDE/>
      <w:autoSpaceDN/>
      <w:adjustRightInd/>
      <w:spacing w:before="60" w:after="60"/>
      <w:ind w:firstLine="200" w:firstLineChars="200"/>
    </w:pPr>
    <w:rPr>
      <w:rFonts w:ascii="Times New Roman"/>
      <w:szCs w:val="20"/>
      <w:lang w:val="en-US"/>
    </w:rPr>
  </w:style>
  <w:style w:type="paragraph" w:customStyle="1" w:styleId="103">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6">
    <w:name w:val="标书标题4"/>
    <w:basedOn w:val="7"/>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7">
    <w:name w:val="List Paragraph"/>
    <w:basedOn w:val="1"/>
    <w:qFormat/>
    <w:uiPriority w:val="0"/>
    <w:pPr>
      <w:spacing w:line="360" w:lineRule="auto"/>
      <w:ind w:firstLine="200" w:firstLineChars="200"/>
    </w:pPr>
    <w:rPr>
      <w:rFonts w:eastAsia="楷体_GB2312" w:cs="Lucida Sans"/>
      <w:sz w:val="24"/>
    </w:rPr>
  </w:style>
  <w:style w:type="paragraph" w:customStyle="1" w:styleId="108">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 w:val="24"/>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5">
    <w:name w:val="样式 正文缩进 + 首行缩进:  2 字符"/>
    <w:basedOn w:val="17"/>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8">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spacing w:line="360" w:lineRule="auto"/>
      <w:ind w:firstLine="480" w:firstLineChars="200"/>
    </w:pPr>
    <w:rPr>
      <w:rFonts w:hAnsi="宋体"/>
      <w:sz w:val="24"/>
      <w:szCs w:val="20"/>
    </w:rPr>
  </w:style>
  <w:style w:type="paragraph" w:customStyle="1" w:styleId="122">
    <w:name w:val="MM Topic 4"/>
    <w:basedOn w:val="7"/>
    <w:qFormat/>
    <w:uiPriority w:val="0"/>
    <w:pPr>
      <w:numPr>
        <w:ilvl w:val="0"/>
        <w:numId w:val="0"/>
      </w:numPr>
      <w:tabs>
        <w:tab w:val="left" w:pos="2100"/>
        <w:tab w:val="clear" w:pos="864"/>
      </w:tabs>
      <w:adjustRightInd/>
      <w:ind w:left="2100" w:hanging="420"/>
    </w:pPr>
    <w:rPr>
      <w:lang w:val="en-US"/>
    </w:rPr>
  </w:style>
  <w:style w:type="paragraph" w:customStyle="1" w:styleId="12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 w:val="24"/>
      <w:szCs w:val="20"/>
    </w:rPr>
  </w:style>
  <w:style w:type="paragraph" w:customStyle="1" w:styleId="127">
    <w:name w:val="Char1 Char Char Char2"/>
    <w:basedOn w:val="1"/>
    <w:qFormat/>
    <w:uiPriority w:val="0"/>
    <w:pPr>
      <w:adjustRightInd/>
      <w:ind w:firstLine="200" w:firstLineChars="200"/>
    </w:pPr>
    <w:rPr>
      <w:rFonts w:ascii="Tahoma" w:hAnsi="Tahoma"/>
      <w:sz w:val="24"/>
      <w:szCs w:val="20"/>
    </w:rPr>
  </w:style>
  <w:style w:type="paragraph" w:customStyle="1" w:styleId="12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spacing w:line="360" w:lineRule="auto"/>
      <w:ind w:firstLine="480"/>
    </w:pPr>
    <w:rPr>
      <w:sz w:val="24"/>
    </w:r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9">
    <w:name w:val="章标题"/>
    <w:next w:val="140"/>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142">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4">
    <w:name w:val="表文字"/>
    <w:qFormat/>
    <w:uiPriority w:val="0"/>
    <w:rPr>
      <w:rFonts w:ascii="宋体" w:hAnsi="Times New Roman" w:eastAsia="宋体" w:cs="Times New Roman"/>
      <w:kern w:val="2"/>
      <w:lang w:val="en-US" w:eastAsia="zh-CN" w:bidi="ar-SA"/>
    </w:rPr>
  </w:style>
  <w:style w:type="paragraph" w:customStyle="1" w:styleId="145">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1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列表内容"/>
    <w:basedOn w:val="1"/>
    <w:next w:val="1"/>
    <w:qFormat/>
    <w:uiPriority w:val="0"/>
    <w:pPr>
      <w:widowControl/>
      <w:tabs>
        <w:tab w:val="left" w:pos="840"/>
      </w:tabs>
      <w:ind w:left="840" w:hanging="420"/>
      <w:jc w:val="left"/>
    </w:pPr>
    <w:rPr>
      <w:kern w:val="0"/>
      <w:sz w:val="18"/>
    </w:rPr>
  </w:style>
  <w:style w:type="paragraph" w:customStyle="1" w:styleId="14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1">
    <w:name w:val="body text bold"/>
    <w:basedOn w:val="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2">
    <w:name w:val="Char2 Char Char"/>
    <w:basedOn w:val="1"/>
    <w:qFormat/>
    <w:uiPriority w:val="0"/>
    <w:pPr>
      <w:adjustRightInd/>
    </w:pPr>
    <w:rPr>
      <w:rFonts w:ascii="Tahoma" w:hAnsi="Tahoma"/>
      <w:sz w:val="24"/>
      <w:szCs w:val="20"/>
    </w:rPr>
  </w:style>
  <w:style w:type="paragraph" w:customStyle="1" w:styleId="15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7">
    <w:name w:val="Char Char1 Char Char Char"/>
    <w:basedOn w:val="1"/>
    <w:qFormat/>
    <w:uiPriority w:val="0"/>
    <w:rPr>
      <w:rFonts w:ascii="仿宋_GB2312" w:eastAsia="仿宋_GB2312"/>
      <w:b/>
      <w:sz w:val="32"/>
      <w:szCs w:val="20"/>
    </w:rPr>
  </w:style>
  <w:style w:type="paragraph" w:customStyle="1" w:styleId="15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9">
    <w:name w:val="WW-正文文字缩进 2"/>
    <w:basedOn w:val="1"/>
    <w:qFormat/>
    <w:uiPriority w:val="0"/>
    <w:pPr>
      <w:suppressAutoHyphens/>
      <w:adjustRightInd/>
      <w:ind w:firstLine="420"/>
    </w:pPr>
    <w:rPr>
      <w:kern w:val="1"/>
      <w:szCs w:val="20"/>
    </w:rPr>
  </w:style>
  <w:style w:type="paragraph" w:customStyle="1" w:styleId="16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2">
    <w:name w:val="默认段落字体 Para Char Char Char Char"/>
    <w:basedOn w:val="1"/>
    <w:qFormat/>
    <w:uiPriority w:val="0"/>
    <w:pPr>
      <w:spacing w:line="360" w:lineRule="auto"/>
    </w:pPr>
    <w:rPr>
      <w:szCs w:val="20"/>
    </w:rPr>
  </w:style>
  <w:style w:type="paragraph" w:customStyle="1" w:styleId="163">
    <w:name w:val="Char Char11 Char Char Char"/>
    <w:basedOn w:val="1"/>
    <w:qFormat/>
    <w:uiPriority w:val="0"/>
    <w:pPr>
      <w:spacing w:line="360" w:lineRule="auto"/>
    </w:pPr>
    <w:rPr>
      <w:szCs w:val="20"/>
    </w:rPr>
  </w:style>
  <w:style w:type="paragraph" w:customStyle="1" w:styleId="16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6">
    <w:name w:val="左对齐表格文字"/>
    <w:basedOn w:val="1"/>
    <w:qFormat/>
    <w:uiPriority w:val="0"/>
    <w:pPr>
      <w:adjustRightInd/>
      <w:ind w:firstLine="200" w:firstLineChars="200"/>
      <w:jc w:val="right"/>
    </w:pPr>
  </w:style>
  <w:style w:type="paragraph" w:customStyle="1" w:styleId="167">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9">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170">
    <w:name w:val="无间隔1"/>
    <w:link w:val="532"/>
    <w:qFormat/>
    <w:uiPriority w:val="1"/>
    <w:rPr>
      <w:rFonts w:ascii="Calibri" w:hAnsi="Calibri" w:eastAsia="宋体" w:cs="Times New Roman"/>
      <w:sz w:val="22"/>
      <w:szCs w:val="22"/>
      <w:lang w:val="en-US" w:eastAsia="zh-CN" w:bidi="ar-SA"/>
    </w:rPr>
  </w:style>
  <w:style w:type="paragraph" w:customStyle="1" w:styleId="171">
    <w:name w:val="样式 样式 标题 4h4H4Fab-4T5Ref Heading 1rh1Heading sqlsect 1.2.3.... +..."/>
    <w:basedOn w:val="172"/>
    <w:link w:val="610"/>
    <w:qFormat/>
    <w:uiPriority w:val="0"/>
    <w:pPr>
      <w:tabs>
        <w:tab w:val="left" w:pos="2356"/>
      </w:tabs>
    </w:pPr>
  </w:style>
  <w:style w:type="paragraph" w:customStyle="1" w:styleId="172">
    <w:name w:val="样式 标题 4h4H4Fab-4T5Ref Heading 1rh1Heading sqlsect 1.2.3...."/>
    <w:basedOn w:val="7"/>
    <w:link w:val="560"/>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3">
    <w:name w:val="四级条标题"/>
    <w:basedOn w:val="174"/>
    <w:next w:val="140"/>
    <w:qFormat/>
    <w:uiPriority w:val="0"/>
    <w:pPr>
      <w:numPr>
        <w:ilvl w:val="5"/>
        <w:numId w:val="4"/>
      </w:numPr>
      <w:tabs>
        <w:tab w:val="left" w:pos="1680"/>
        <w:tab w:val="left" w:pos="2100"/>
        <w:tab w:val="left" w:pos="2520"/>
      </w:tabs>
      <w:outlineLvl w:val="5"/>
    </w:pPr>
  </w:style>
  <w:style w:type="paragraph" w:customStyle="1" w:styleId="174">
    <w:name w:val="三级条标题"/>
    <w:basedOn w:val="175"/>
    <w:next w:val="140"/>
    <w:qFormat/>
    <w:uiPriority w:val="0"/>
    <w:pPr>
      <w:numPr>
        <w:ilvl w:val="0"/>
        <w:numId w:val="0"/>
      </w:numPr>
      <w:tabs>
        <w:tab w:val="left" w:pos="1680"/>
        <w:tab w:val="left" w:pos="2100"/>
        <w:tab w:val="left" w:pos="2520"/>
      </w:tabs>
      <w:ind w:left="2520" w:hanging="420"/>
      <w:outlineLvl w:val="4"/>
    </w:pPr>
  </w:style>
  <w:style w:type="paragraph" w:customStyle="1" w:styleId="175">
    <w:name w:val="二级条标题"/>
    <w:basedOn w:val="176"/>
    <w:next w:val="140"/>
    <w:qFormat/>
    <w:uiPriority w:val="0"/>
    <w:pPr>
      <w:numPr>
        <w:ilvl w:val="3"/>
        <w:numId w:val="4"/>
      </w:numPr>
      <w:tabs>
        <w:tab w:val="left" w:pos="1680"/>
      </w:tabs>
      <w:ind w:left="0"/>
      <w:outlineLvl w:val="3"/>
    </w:pPr>
  </w:style>
  <w:style w:type="paragraph" w:customStyle="1" w:styleId="176">
    <w:name w:val="一级条标题"/>
    <w:basedOn w:val="139"/>
    <w:next w:val="140"/>
    <w:qFormat/>
    <w:uiPriority w:val="0"/>
    <w:pPr>
      <w:tabs>
        <w:tab w:val="left" w:pos="1680"/>
        <w:tab w:val="clear" w:pos="1260"/>
      </w:tabs>
      <w:spacing w:beforeLines="0" w:afterLines="0"/>
      <w:ind w:left="1680"/>
      <w:outlineLvl w:val="2"/>
    </w:pPr>
  </w:style>
  <w:style w:type="paragraph" w:customStyle="1" w:styleId="17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8">
    <w:name w:val="标准小四"/>
    <w:basedOn w:val="1"/>
    <w:qFormat/>
    <w:uiPriority w:val="0"/>
    <w:pPr>
      <w:spacing w:line="360" w:lineRule="auto"/>
      <w:ind w:firstLine="480" w:firstLineChars="200"/>
    </w:pPr>
    <w:rPr>
      <w:rFonts w:ascii="Arial" w:hAnsi="Arial"/>
      <w:sz w:val="24"/>
      <w:szCs w:val="21"/>
    </w:rPr>
  </w:style>
  <w:style w:type="paragraph" w:customStyle="1" w:styleId="179">
    <w:name w:val="表格"/>
    <w:basedOn w:val="1"/>
    <w:qFormat/>
    <w:uiPriority w:val="0"/>
    <w:pPr>
      <w:snapToGrid w:val="0"/>
      <w:ind w:firstLine="42" w:firstLineChars="21"/>
    </w:pPr>
    <w:rPr>
      <w:rFonts w:ascii="宋体" w:hAnsi="宋体"/>
      <w:kern w:val="0"/>
      <w:sz w:val="20"/>
      <w:szCs w:val="20"/>
    </w:rPr>
  </w:style>
  <w:style w:type="paragraph" w:customStyle="1" w:styleId="1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3">
    <w:name w:val="封面公司名"/>
    <w:qFormat/>
    <w:uiPriority w:val="0"/>
    <w:pPr>
      <w:jc w:val="center"/>
    </w:pPr>
    <w:rPr>
      <w:rFonts w:ascii="Arial" w:hAnsi="Arial" w:eastAsia="楷体_GB2312" w:cs="宋体"/>
      <w:bCs/>
      <w:kern w:val="2"/>
      <w:sz w:val="28"/>
      <w:lang w:val="en-US" w:eastAsia="zh-CN" w:bidi="ar-SA"/>
    </w:rPr>
  </w:style>
  <w:style w:type="paragraph" w:customStyle="1" w:styleId="184">
    <w:name w:val="Char2 Char Char Char1"/>
    <w:basedOn w:val="1"/>
    <w:qFormat/>
    <w:uiPriority w:val="0"/>
    <w:rPr>
      <w:rFonts w:ascii="仿宋_GB2312" w:eastAsia="仿宋_GB2312"/>
      <w:b/>
      <w:sz w:val="32"/>
      <w:szCs w:val="32"/>
    </w:rPr>
  </w:style>
  <w:style w:type="paragraph" w:customStyle="1" w:styleId="1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8">
    <w:name w:val="Char2"/>
    <w:basedOn w:val="1"/>
    <w:qFormat/>
    <w:uiPriority w:val="0"/>
    <w:rPr>
      <w:rFonts w:ascii="仿宋_GB2312" w:eastAsia="仿宋_GB2312"/>
      <w:b/>
      <w:sz w:val="32"/>
      <w:szCs w:val="32"/>
    </w:rPr>
  </w:style>
  <w:style w:type="paragraph" w:customStyle="1" w:styleId="18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0">
    <w:name w:val="小节"/>
    <w:basedOn w:val="6"/>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2">
    <w:name w:val="Char Char Char Char Char Char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193">
    <w:name w:val="!大节"/>
    <w:basedOn w:val="5"/>
    <w:qFormat/>
    <w:uiPriority w:val="0"/>
    <w:pPr>
      <w:numPr>
        <w:numId w:val="0"/>
      </w:numPr>
      <w:spacing w:before="260" w:after="260" w:line="415" w:lineRule="auto"/>
      <w:ind w:left="420" w:hanging="420"/>
    </w:pPr>
    <w:rPr>
      <w:rFonts w:ascii="Arial" w:hAnsi="Arial" w:eastAsia="微软雅黑"/>
      <w:lang w:val="en-US"/>
    </w:rPr>
  </w:style>
  <w:style w:type="paragraph" w:customStyle="1" w:styleId="194">
    <w:name w:val="Char Char4 Char Char"/>
    <w:basedOn w:val="1"/>
    <w:qFormat/>
    <w:uiPriority w:val="0"/>
    <w:pPr>
      <w:widowControl/>
      <w:adjustRightInd/>
      <w:spacing w:after="160" w:line="240" w:lineRule="exact"/>
      <w:jc w:val="left"/>
    </w:pPr>
  </w:style>
  <w:style w:type="paragraph" w:customStyle="1" w:styleId="195">
    <w:name w:val="Char2 Char Char1"/>
    <w:basedOn w:val="1"/>
    <w:qFormat/>
    <w:uiPriority w:val="0"/>
    <w:pPr>
      <w:adjustRightInd/>
    </w:pPr>
    <w:rPr>
      <w:rFonts w:ascii="Tahoma" w:hAnsi="Tahoma"/>
      <w:sz w:val="24"/>
      <w:szCs w:val="20"/>
    </w:rPr>
  </w:style>
  <w:style w:type="paragraph" w:customStyle="1" w:styleId="196">
    <w:name w:val="默认段落字体 Para Char Char Char Char Char Char Char"/>
    <w:basedOn w:val="1"/>
    <w:qFormat/>
    <w:uiPriority w:val="0"/>
    <w:rPr>
      <w:rFonts w:eastAsia="仿宋_GB2312"/>
      <w:sz w:val="28"/>
      <w:szCs w:val="20"/>
    </w:rPr>
  </w:style>
  <w:style w:type="paragraph" w:customStyle="1" w:styleId="19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8">
    <w:name w:val="正文21"/>
    <w:basedOn w:val="1"/>
    <w:qFormat/>
    <w:uiPriority w:val="0"/>
    <w:pPr>
      <w:adjustRightInd/>
      <w:spacing w:before="156" w:line="360" w:lineRule="auto"/>
      <w:ind w:firstLine="510" w:firstLineChars="200"/>
    </w:pPr>
    <w:rPr>
      <w:sz w:val="24"/>
      <w:szCs w:val="20"/>
    </w:rPr>
  </w:style>
  <w:style w:type="paragraph" w:customStyle="1" w:styleId="199">
    <w:name w:val="标题4_自定义"/>
    <w:basedOn w:val="7"/>
    <w:qFormat/>
    <w:uiPriority w:val="0"/>
    <w:pPr>
      <w:numPr>
        <w:numId w:val="0"/>
      </w:numPr>
      <w:adjustRightInd/>
      <w:spacing w:before="0" w:after="0" w:line="360" w:lineRule="auto"/>
    </w:pPr>
    <w:rPr>
      <w:rFonts w:ascii="Verdana" w:eastAsia="Verdana"/>
      <w:sz w:val="21"/>
      <w:lang w:val="en-US"/>
    </w:rPr>
  </w:style>
  <w:style w:type="paragraph" w:customStyle="1" w:styleId="200">
    <w:name w:val="加粗正文"/>
    <w:basedOn w:val="1"/>
    <w:qFormat/>
    <w:uiPriority w:val="0"/>
    <w:pPr>
      <w:adjustRightInd/>
      <w:spacing w:beforeLines="50" w:afterLines="50" w:line="360" w:lineRule="auto"/>
      <w:ind w:firstLine="422" w:firstLineChars="200"/>
    </w:pPr>
    <w:rPr>
      <w:b/>
      <w:bCs/>
      <w:szCs w:val="21"/>
    </w:rPr>
  </w:style>
  <w:style w:type="paragraph" w:customStyle="1" w:styleId="201">
    <w:name w:val="标题五"/>
    <w:basedOn w:val="1"/>
    <w:qFormat/>
    <w:uiPriority w:val="0"/>
    <w:pPr>
      <w:adjustRightInd/>
      <w:spacing w:beforeLines="50" w:line="360" w:lineRule="auto"/>
    </w:pPr>
    <w:rPr>
      <w:b/>
      <w:sz w:val="24"/>
    </w:rPr>
  </w:style>
  <w:style w:type="paragraph" w:customStyle="1" w:styleId="202">
    <w:name w:val="样式 标题 3H3 + 两端对齐"/>
    <w:basedOn w:val="6"/>
    <w:qFormat/>
    <w:uiPriority w:val="0"/>
    <w:pPr>
      <w:keepLines w:val="0"/>
      <w:numPr>
        <w:numId w:val="0"/>
      </w:numPr>
      <w:spacing w:before="0" w:after="0" w:line="240" w:lineRule="auto"/>
      <w:jc w:val="left"/>
    </w:pPr>
    <w:rPr>
      <w:rFonts w:cs="宋体"/>
      <w:sz w:val="21"/>
      <w:szCs w:val="20"/>
    </w:rPr>
  </w:style>
  <w:style w:type="paragraph" w:customStyle="1" w:styleId="203">
    <w:name w:val="Char Char11"/>
    <w:basedOn w:val="1"/>
    <w:qFormat/>
    <w:uiPriority w:val="0"/>
    <w:pPr>
      <w:spacing w:line="360" w:lineRule="auto"/>
    </w:pPr>
    <w:rPr>
      <w:szCs w:val="20"/>
    </w:rPr>
  </w:style>
  <w:style w:type="paragraph" w:customStyle="1" w:styleId="20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5">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6">
    <w:name w:val="样式 标题 1章节第一层h1H"/>
    <w:basedOn w:val="4"/>
    <w:qFormat/>
    <w:uiPriority w:val="0"/>
    <w:pPr>
      <w:keepNext w:val="0"/>
      <w:keepLines w:val="0"/>
      <w:numPr>
        <w:numId w:val="0"/>
      </w:numPr>
      <w:spacing w:before="0" w:after="0" w:line="240" w:lineRule="auto"/>
      <w:jc w:val="left"/>
      <w:outlineLvl w:val="9"/>
    </w:pPr>
    <w:rPr>
      <w:kern w:val="0"/>
      <w:sz w:val="52"/>
      <w:szCs w:val="52"/>
      <w:lang w:val="zh-CN"/>
    </w:rPr>
  </w:style>
  <w:style w:type="paragraph" w:customStyle="1" w:styleId="20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9">
    <w:name w:val="Char Char11 Char Char Char Char Char Char Char Char Char"/>
    <w:basedOn w:val="1"/>
    <w:qFormat/>
    <w:uiPriority w:val="0"/>
    <w:pPr>
      <w:spacing w:line="360" w:lineRule="auto"/>
    </w:pPr>
    <w:rPr>
      <w:szCs w:val="20"/>
    </w:rPr>
  </w:style>
  <w:style w:type="paragraph" w:customStyle="1" w:styleId="210">
    <w:name w:val="Char Char1 Char Char Char1"/>
    <w:basedOn w:val="1"/>
    <w:qFormat/>
    <w:uiPriority w:val="0"/>
    <w:rPr>
      <w:rFonts w:ascii="仿宋_GB2312" w:eastAsia="仿宋_GB2312"/>
      <w:b/>
      <w:sz w:val="32"/>
      <w:szCs w:val="32"/>
    </w:rPr>
  </w:style>
  <w:style w:type="paragraph" w:customStyle="1" w:styleId="211">
    <w:name w:val="样式 标题 4PIM 4H4h4bulletblbbH41H42H43H44H45H46H47H48...1"/>
    <w:basedOn w:val="7"/>
    <w:qFormat/>
    <w:uiPriority w:val="0"/>
    <w:pPr>
      <w:widowControl/>
      <w:jc w:val="left"/>
    </w:pPr>
    <w:rPr>
      <w:rFonts w:cs="宋体"/>
      <w:sz w:val="24"/>
      <w:szCs w:val="20"/>
    </w:rPr>
  </w:style>
  <w:style w:type="paragraph" w:customStyle="1" w:styleId="21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3">
    <w:name w:val="表格标题2"/>
    <w:basedOn w:val="214"/>
    <w:qFormat/>
    <w:uiPriority w:val="0"/>
    <w:rPr>
      <w:b/>
    </w:rPr>
  </w:style>
  <w:style w:type="paragraph" w:customStyle="1" w:styleId="214">
    <w:name w:val="表格内文"/>
    <w:basedOn w:val="1"/>
    <w:qFormat/>
    <w:uiPriority w:val="0"/>
    <w:pPr>
      <w:adjustRightInd/>
      <w:spacing w:line="360" w:lineRule="auto"/>
    </w:pPr>
    <w:rPr>
      <w:rFonts w:ascii="宋体" w:hAnsi="宋体" w:cs="宋体"/>
      <w:color w:val="000000"/>
      <w:szCs w:val="20"/>
    </w:rPr>
  </w:style>
  <w:style w:type="paragraph" w:customStyle="1" w:styleId="215">
    <w:name w:val="Char Char Char Char Char Char Char"/>
    <w:basedOn w:val="1"/>
    <w:qFormat/>
    <w:uiPriority w:val="0"/>
    <w:rPr>
      <w:rFonts w:ascii="仿宋_GB2312" w:eastAsia="仿宋_GB2312"/>
      <w:b/>
      <w:sz w:val="32"/>
      <w:szCs w:val="32"/>
    </w:rPr>
  </w:style>
  <w:style w:type="paragraph" w:customStyle="1" w:styleId="21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7">
    <w:name w:val="数字标题6"/>
    <w:basedOn w:val="9"/>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9">
    <w:name w:val="列出段落2"/>
    <w:basedOn w:val="1"/>
    <w:qFormat/>
    <w:uiPriority w:val="0"/>
    <w:pPr>
      <w:adjustRightInd/>
      <w:ind w:firstLine="420" w:firstLineChars="200"/>
    </w:pPr>
    <w:rPr>
      <w:rFonts w:ascii="宋体" w:hAnsi="宋体"/>
      <w:sz w:val="24"/>
    </w:rPr>
  </w:style>
  <w:style w:type="paragraph" w:customStyle="1" w:styleId="22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1">
    <w:name w:val="TOC 标题1"/>
    <w:basedOn w:val="4"/>
    <w:next w:val="1"/>
    <w:unhideWhenUsed/>
    <w:qFormat/>
    <w:uiPriority w:val="39"/>
    <w:pPr>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3">
    <w:name w:val="正文 首行缩进:  2 字符 Char"/>
    <w:basedOn w:val="1"/>
    <w:qFormat/>
    <w:uiPriority w:val="0"/>
    <w:pPr>
      <w:adjustRightInd/>
      <w:spacing w:line="360" w:lineRule="auto"/>
      <w:ind w:firstLine="480"/>
    </w:pPr>
    <w:rPr>
      <w:rFonts w:cs="宋体"/>
      <w:sz w:val="24"/>
      <w:szCs w:val="20"/>
    </w:rPr>
  </w:style>
  <w:style w:type="paragraph" w:customStyle="1" w:styleId="22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5">
    <w:name w:val="Table Text"/>
    <w:basedOn w:val="1"/>
    <w:qFormat/>
    <w:uiPriority w:val="0"/>
    <w:pPr>
      <w:widowControl/>
      <w:spacing w:before="60" w:after="60"/>
      <w:jc w:val="left"/>
    </w:pPr>
    <w:rPr>
      <w:kern w:val="0"/>
      <w:sz w:val="24"/>
    </w:rPr>
  </w:style>
  <w:style w:type="paragraph" w:customStyle="1" w:styleId="22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8">
    <w:name w:val="Char Char Char Char Char Char Char Char Char Char"/>
    <w:basedOn w:val="1"/>
    <w:qFormat/>
    <w:uiPriority w:val="0"/>
    <w:rPr>
      <w:rFonts w:ascii="仿宋_GB2312" w:eastAsia="仿宋_GB2312"/>
      <w:b/>
      <w:sz w:val="32"/>
      <w:szCs w:val="32"/>
    </w:rPr>
  </w:style>
  <w:style w:type="paragraph" w:customStyle="1" w:styleId="22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0">
    <w:name w:val="正文文字表格居中"/>
    <w:basedOn w:val="1"/>
    <w:next w:val="55"/>
    <w:qFormat/>
    <w:uiPriority w:val="0"/>
    <w:pPr>
      <w:snapToGrid w:val="0"/>
      <w:spacing w:line="360" w:lineRule="auto"/>
    </w:pPr>
    <w:rPr>
      <w:rFonts w:ascii="宋体"/>
      <w:b/>
      <w:sz w:val="24"/>
      <w:szCs w:val="20"/>
    </w:rPr>
  </w:style>
  <w:style w:type="paragraph" w:customStyle="1" w:styleId="231">
    <w:name w:val="模板普通正文"/>
    <w:basedOn w:val="25"/>
    <w:qFormat/>
    <w:uiPriority w:val="0"/>
    <w:pPr>
      <w:adjustRightInd/>
      <w:spacing w:beforeLines="50" w:after="10" w:line="360" w:lineRule="auto"/>
      <w:ind w:firstLine="175" w:firstLineChars="175"/>
      <w:jc w:val="left"/>
    </w:pPr>
    <w:rPr>
      <w:rFonts w:ascii="Times New Roman" w:hAnsi="Times New Roman"/>
    </w:rPr>
  </w:style>
  <w:style w:type="paragraph" w:customStyle="1" w:styleId="23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5">
    <w:name w:val="Char"/>
    <w:basedOn w:val="1"/>
    <w:qFormat/>
    <w:uiPriority w:val="0"/>
    <w:rPr>
      <w:rFonts w:ascii="仿宋_GB2312" w:eastAsia="仿宋_GB2312"/>
      <w:b/>
      <w:sz w:val="32"/>
      <w:szCs w:val="32"/>
    </w:rPr>
  </w:style>
  <w:style w:type="paragraph" w:customStyle="1" w:styleId="236">
    <w:name w:val="冯广丽"/>
    <w:basedOn w:val="1"/>
    <w:link w:val="473"/>
    <w:qFormat/>
    <w:uiPriority w:val="0"/>
    <w:pPr>
      <w:adjustRightInd/>
      <w:spacing w:line="360" w:lineRule="auto"/>
      <w:ind w:firstLine="480" w:firstLineChars="200"/>
    </w:pPr>
    <w:rPr>
      <w:rFonts w:ascii="宋体" w:hAnsi="宋体"/>
      <w:sz w:val="24"/>
      <w:szCs w:val="22"/>
    </w:rPr>
  </w:style>
  <w:style w:type="paragraph" w:customStyle="1" w:styleId="237">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238">
    <w:name w:val="Char31"/>
    <w:basedOn w:val="1"/>
    <w:qFormat/>
    <w:uiPriority w:val="0"/>
    <w:pPr>
      <w:adjustRightInd/>
      <w:ind w:firstLine="200" w:firstLineChars="200"/>
    </w:pPr>
    <w:rPr>
      <w:rFonts w:ascii="Tahoma" w:hAnsi="Tahoma"/>
      <w:sz w:val="24"/>
      <w:szCs w:val="20"/>
    </w:rPr>
  </w:style>
  <w:style w:type="paragraph" w:customStyle="1" w:styleId="239">
    <w:name w:val="Char Char11 Char Char Char1"/>
    <w:basedOn w:val="1"/>
    <w:qFormat/>
    <w:uiPriority w:val="0"/>
    <w:pPr>
      <w:spacing w:line="360" w:lineRule="auto"/>
    </w:pPr>
    <w:rPr>
      <w:szCs w:val="20"/>
    </w:rPr>
  </w:style>
  <w:style w:type="paragraph" w:customStyle="1" w:styleId="24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1">
    <w:name w:val="_Style 236"/>
    <w:qFormat/>
    <w:uiPriority w:val="0"/>
    <w:rPr>
      <w:rFonts w:ascii="Times New Roman" w:hAnsi="Times New Roman" w:eastAsia="宋体" w:cs="Times New Roman"/>
      <w:kern w:val="2"/>
      <w:sz w:val="21"/>
      <w:lang w:val="en-US" w:eastAsia="zh-CN" w:bidi="ar-SA"/>
    </w:rPr>
  </w:style>
  <w:style w:type="paragraph" w:customStyle="1" w:styleId="24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4">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7">
    <w:name w:val="文章标题"/>
    <w:next w:val="183"/>
    <w:qFormat/>
    <w:uiPriority w:val="0"/>
    <w:pPr>
      <w:spacing w:beforeLines="800" w:afterLines="100"/>
      <w:jc w:val="center"/>
    </w:pPr>
    <w:rPr>
      <w:rFonts w:ascii="Arial" w:hAnsi="Arial" w:eastAsia="黑体" w:cs="宋体"/>
      <w:bCs/>
      <w:kern w:val="2"/>
      <w:sz w:val="52"/>
      <w:lang w:val="en-US" w:eastAsia="zh-CN" w:bidi="ar-SA"/>
    </w:rPr>
  </w:style>
  <w:style w:type="paragraph" w:customStyle="1" w:styleId="248">
    <w:name w:val="4"/>
    <w:basedOn w:val="1"/>
    <w:next w:val="37"/>
    <w:qFormat/>
    <w:uiPriority w:val="0"/>
    <w:pPr>
      <w:spacing w:after="120" w:line="480" w:lineRule="auto"/>
      <w:ind w:left="420" w:leftChars="200"/>
    </w:pPr>
    <w:rPr>
      <w:sz w:val="24"/>
      <w:szCs w:val="20"/>
    </w:rPr>
  </w:style>
  <w:style w:type="paragraph" w:customStyle="1" w:styleId="24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0">
    <w:name w:val="Char Char Char Char Char Char Char Char Char Char Char1 Char"/>
    <w:basedOn w:val="1"/>
    <w:qFormat/>
    <w:uiPriority w:val="0"/>
    <w:pPr>
      <w:adjustRightInd/>
    </w:pPr>
    <w:rPr>
      <w:rFonts w:ascii="Tahoma" w:hAnsi="Tahoma"/>
      <w:sz w:val="24"/>
    </w:rPr>
  </w:style>
  <w:style w:type="paragraph" w:customStyle="1" w:styleId="251">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252">
    <w:name w:val="标书表格字体格式"/>
    <w:next w:val="156"/>
    <w:qFormat/>
    <w:uiPriority w:val="0"/>
    <w:rPr>
      <w:rFonts w:ascii="Times New Roman" w:hAnsi="Times New Roman" w:eastAsia="宋体" w:cs="Times New Roman"/>
      <w:kern w:val="2"/>
      <w:sz w:val="21"/>
      <w:szCs w:val="24"/>
      <w:lang w:val="en-US" w:eastAsia="zh-CN" w:bidi="ar-SA"/>
    </w:rPr>
  </w:style>
  <w:style w:type="paragraph" w:customStyle="1" w:styleId="25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5">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6">
    <w:name w:val="带编号样式"/>
    <w:basedOn w:val="89"/>
    <w:qFormat/>
    <w:uiPriority w:val="0"/>
    <w:pPr>
      <w:tabs>
        <w:tab w:val="left" w:pos="840"/>
      </w:tabs>
      <w:snapToGrid w:val="0"/>
      <w:ind w:left="840" w:firstLine="0" w:firstLineChars="0"/>
    </w:pPr>
    <w:rPr>
      <w:rFonts w:ascii="仿宋_GB2312" w:eastAsia="仿宋_GB2312"/>
      <w:color w:val="000000"/>
    </w:rPr>
  </w:style>
  <w:style w:type="paragraph" w:customStyle="1" w:styleId="257">
    <w:name w:val="正文文字 2"/>
    <w:basedOn w:val="101"/>
    <w:next w:val="101"/>
    <w:qFormat/>
    <w:uiPriority w:val="0"/>
    <w:rPr>
      <w:rFonts w:ascii="宋体" w:eastAsia="宋体" w:cs="Times New Roman"/>
      <w:color w:val="auto"/>
    </w:rPr>
  </w:style>
  <w:style w:type="paragraph" w:customStyle="1" w:styleId="2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9">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260">
    <w:name w:val="Char5"/>
    <w:basedOn w:val="1"/>
    <w:qFormat/>
    <w:uiPriority w:val="0"/>
    <w:rPr>
      <w:rFonts w:ascii="仿宋_GB2312" w:eastAsia="仿宋_GB2312"/>
      <w:b/>
      <w:sz w:val="32"/>
      <w:szCs w:val="32"/>
    </w:rPr>
  </w:style>
  <w:style w:type="paragraph" w:customStyle="1" w:styleId="26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3">
    <w:name w:val="Item List"/>
    <w:link w:val="47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5">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8">
    <w:name w:val="Char Char1 Char Char Char Char Char Char1"/>
    <w:basedOn w:val="1"/>
    <w:qFormat/>
    <w:uiPriority w:val="0"/>
    <w:rPr>
      <w:rFonts w:ascii="仿宋_GB2312" w:eastAsia="仿宋_GB2312"/>
      <w:b/>
      <w:sz w:val="32"/>
      <w:szCs w:val="20"/>
    </w:rPr>
  </w:style>
  <w:style w:type="paragraph" w:customStyle="1" w:styleId="269">
    <w:name w:val="Char Char Char Char Char Char Char Char Char Char Char Char1 Char"/>
    <w:basedOn w:val="1"/>
    <w:qFormat/>
    <w:uiPriority w:val="0"/>
    <w:rPr>
      <w:rFonts w:ascii="Tahoma" w:hAnsi="Tahoma" w:cs="仿宋_GB2312"/>
      <w:sz w:val="24"/>
      <w:szCs w:val="20"/>
    </w:rPr>
  </w:style>
  <w:style w:type="paragraph" w:customStyle="1" w:styleId="270">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2">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27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4">
    <w:name w:val="样式 正文文本缩进 + 段前: 2 字符"/>
    <w:basedOn w:val="1"/>
    <w:qFormat/>
    <w:uiPriority w:val="0"/>
    <w:pPr>
      <w:adjustRightInd/>
      <w:ind w:left="420" w:leftChars="200"/>
      <w:jc w:val="left"/>
    </w:pPr>
    <w:rPr>
      <w:sz w:val="28"/>
      <w:szCs w:val="20"/>
      <w:lang w:eastAsia="zh-TW"/>
    </w:rPr>
  </w:style>
  <w:style w:type="paragraph" w:customStyle="1" w:styleId="275">
    <w:name w:val="Char1 Char Char Char3"/>
    <w:basedOn w:val="1"/>
    <w:qFormat/>
    <w:uiPriority w:val="0"/>
    <w:pPr>
      <w:adjustRightInd/>
      <w:ind w:firstLine="200" w:firstLineChars="200"/>
    </w:pPr>
    <w:rPr>
      <w:rFonts w:ascii="Tahoma" w:hAnsi="Tahoma"/>
      <w:sz w:val="24"/>
      <w:szCs w:val="20"/>
    </w:rPr>
  </w:style>
  <w:style w:type="paragraph" w:customStyle="1" w:styleId="276">
    <w:name w:val="_Style 271"/>
    <w:basedOn w:val="4"/>
    <w:next w:val="1"/>
    <w:qFormat/>
    <w:uiPriority w:val="39"/>
    <w:pPr>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7">
    <w:name w:val="Char Char Char Char Char Char Char Char Char Char Char Char1 Char1"/>
    <w:basedOn w:val="1"/>
    <w:qFormat/>
    <w:uiPriority w:val="0"/>
    <w:rPr>
      <w:rFonts w:ascii="Tahoma" w:hAnsi="Tahoma" w:cs="仿宋_GB2312"/>
      <w:sz w:val="24"/>
      <w:szCs w:val="20"/>
    </w:rPr>
  </w:style>
  <w:style w:type="paragraph" w:customStyle="1" w:styleId="278">
    <w:name w:val="Char Char1 Char1"/>
    <w:basedOn w:val="1"/>
    <w:qFormat/>
    <w:uiPriority w:val="0"/>
    <w:rPr>
      <w:rFonts w:ascii="仿宋_GB2312" w:eastAsia="仿宋_GB2312"/>
      <w:b/>
      <w:sz w:val="32"/>
      <w:szCs w:val="32"/>
    </w:rPr>
  </w:style>
  <w:style w:type="paragraph" w:customStyle="1" w:styleId="279">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0">
    <w:name w:val="插图题注"/>
    <w:next w:val="1"/>
    <w:qFormat/>
    <w:uiPriority w:val="0"/>
    <w:pPr>
      <w:numPr>
        <w:ilvl w:val="7"/>
        <w:numId w:val="4"/>
      </w:numPr>
      <w:spacing w:afterLines="100"/>
      <w:ind w:left="1089" w:hanging="369"/>
      <w:jc w:val="center"/>
    </w:pPr>
    <w:rPr>
      <w:rFonts w:ascii="Arial" w:hAnsi="Arial" w:eastAsia="宋体" w:cs="Times New Roman"/>
      <w:sz w:val="18"/>
      <w:szCs w:val="18"/>
      <w:lang w:val="en-US" w:eastAsia="zh-CN" w:bidi="ar-SA"/>
    </w:rPr>
  </w:style>
  <w:style w:type="paragraph" w:customStyle="1" w:styleId="281">
    <w:name w:val="Bulleting First Indent 1"/>
    <w:basedOn w:val="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2">
    <w:name w:val="Char Char1"/>
    <w:basedOn w:val="1"/>
    <w:qFormat/>
    <w:uiPriority w:val="0"/>
    <w:pPr>
      <w:widowControl/>
      <w:spacing w:after="160" w:line="240" w:lineRule="exact"/>
      <w:jc w:val="left"/>
    </w:pPr>
    <w:rPr>
      <w:rFonts w:eastAsia="仿宋_GB2312"/>
      <w:sz w:val="28"/>
    </w:rPr>
  </w:style>
  <w:style w:type="paragraph" w:customStyle="1" w:styleId="283">
    <w:name w:val="单元格居中"/>
    <w:basedOn w:val="1"/>
    <w:qFormat/>
    <w:uiPriority w:val="0"/>
    <w:pPr>
      <w:adjustRightInd/>
      <w:spacing w:line="360" w:lineRule="auto"/>
      <w:jc w:val="center"/>
    </w:pPr>
    <w:rPr>
      <w:sz w:val="24"/>
    </w:rPr>
  </w:style>
  <w:style w:type="paragraph" w:customStyle="1" w:styleId="284">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5">
    <w:name w:val="样式 标题 1Level 1 HeadPIM 1Section Headh1l11Heading 0Datash..."/>
    <w:basedOn w:val="4"/>
    <w:qFormat/>
    <w:uiPriority w:val="0"/>
    <w:pPr>
      <w:keepNext w:val="0"/>
      <w:keepLines w:val="0"/>
      <w:numPr>
        <w:numId w:val="0"/>
      </w:numPr>
      <w:spacing w:before="0" w:after="100" w:line="360" w:lineRule="auto"/>
      <w:jc w:val="left"/>
    </w:pPr>
    <w:rPr>
      <w:rFonts w:ascii="宋体" w:hAnsi="宋体"/>
      <w:kern w:val="2"/>
      <w:sz w:val="24"/>
      <w:szCs w:val="20"/>
    </w:rPr>
  </w:style>
  <w:style w:type="paragraph" w:customStyle="1" w:styleId="28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7">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9">
    <w:name w:val="MM Empty"/>
    <w:basedOn w:val="1"/>
    <w:qFormat/>
    <w:uiPriority w:val="0"/>
    <w:pPr>
      <w:adjustRightInd/>
    </w:pPr>
  </w:style>
  <w:style w:type="paragraph" w:customStyle="1" w:styleId="290">
    <w:name w:val="文档正文"/>
    <w:basedOn w:val="1"/>
    <w:qFormat/>
    <w:uiPriority w:val="0"/>
    <w:pPr>
      <w:spacing w:line="480" w:lineRule="atLeast"/>
      <w:ind w:firstLine="567"/>
      <w:textAlignment w:val="baseline"/>
    </w:pPr>
    <w:rPr>
      <w:kern w:val="0"/>
      <w:sz w:val="24"/>
      <w:szCs w:val="20"/>
    </w:rPr>
  </w:style>
  <w:style w:type="paragraph" w:customStyle="1" w:styleId="29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2">
    <w:name w:val="Char Char1 Char Char1 Char Char1"/>
    <w:basedOn w:val="1"/>
    <w:qFormat/>
    <w:uiPriority w:val="0"/>
    <w:pPr>
      <w:tabs>
        <w:tab w:val="left" w:pos="840"/>
      </w:tabs>
      <w:ind w:left="840" w:hanging="420"/>
    </w:pPr>
    <w:rPr>
      <w:rFonts w:ascii="Tahoma" w:hAnsi="Tahoma"/>
      <w:sz w:val="24"/>
    </w:rPr>
  </w:style>
  <w:style w:type="paragraph" w:customStyle="1" w:styleId="293">
    <w:name w:val="样式 标题 2H2h2Underrubrik1prop2l2Chapter Titlesect 1.2DO NO..."/>
    <w:basedOn w:val="5"/>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4">
    <w:name w:val="Char Char Char Char Char Char Char Char Char Char1"/>
    <w:basedOn w:val="1"/>
    <w:qFormat/>
    <w:uiPriority w:val="0"/>
    <w:rPr>
      <w:rFonts w:ascii="仿宋_GB2312" w:eastAsia="仿宋_GB2312"/>
      <w:b/>
      <w:sz w:val="32"/>
      <w:szCs w:val="32"/>
    </w:rPr>
  </w:style>
  <w:style w:type="paragraph" w:customStyle="1" w:styleId="295">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6">
    <w:name w:val="默认段落字体 Para Char Char Char1 Char"/>
    <w:basedOn w:val="1"/>
    <w:qFormat/>
    <w:uiPriority w:val="0"/>
    <w:pPr>
      <w:spacing w:line="240" w:lineRule="atLeast"/>
      <w:ind w:left="420" w:firstLine="420"/>
    </w:pPr>
    <w:rPr>
      <w:sz w:val="24"/>
    </w:rPr>
  </w:style>
  <w:style w:type="paragraph" w:styleId="29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9">
    <w:name w:val="Char1 Char Char Char5"/>
    <w:basedOn w:val="1"/>
    <w:qFormat/>
    <w:uiPriority w:val="0"/>
    <w:pPr>
      <w:adjustRightInd/>
      <w:ind w:firstLine="200" w:firstLineChars="200"/>
    </w:pPr>
    <w:rPr>
      <w:rFonts w:ascii="Tahoma" w:hAnsi="Tahoma"/>
      <w:sz w:val="24"/>
      <w:szCs w:val="20"/>
    </w:rPr>
  </w:style>
  <w:style w:type="paragraph" w:customStyle="1" w:styleId="300">
    <w:name w:val="Char Char Char Char Char Char Char1"/>
    <w:basedOn w:val="1"/>
    <w:qFormat/>
    <w:uiPriority w:val="0"/>
    <w:rPr>
      <w:rFonts w:ascii="仿宋_GB2312" w:eastAsia="仿宋_GB2312"/>
      <w:b/>
      <w:sz w:val="32"/>
      <w:szCs w:val="32"/>
    </w:rPr>
  </w:style>
  <w:style w:type="paragraph" w:customStyle="1" w:styleId="30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2">
    <w:name w:val="正文表标题"/>
    <w:next w:val="1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4">
    <w:name w:val="四号　首行缩进"/>
    <w:basedOn w:val="1"/>
    <w:qFormat/>
    <w:uiPriority w:val="0"/>
    <w:pPr>
      <w:adjustRightInd/>
      <w:spacing w:line="360" w:lineRule="auto"/>
    </w:pPr>
    <w:rPr>
      <w:rFonts w:ascii="宋体" w:hAnsi="宋体"/>
      <w:szCs w:val="20"/>
    </w:rPr>
  </w:style>
  <w:style w:type="paragraph" w:customStyle="1" w:styleId="30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7">
    <w:name w:val="首行缩进"/>
    <w:basedOn w:val="1"/>
    <w:qFormat/>
    <w:uiPriority w:val="0"/>
    <w:pPr>
      <w:spacing w:line="360" w:lineRule="auto"/>
      <w:ind w:firstLine="480" w:firstLineChars="200"/>
    </w:pPr>
    <w:rPr>
      <w:rFonts w:ascii="宋体"/>
      <w:sz w:val="24"/>
      <w:szCs w:val="20"/>
    </w:rPr>
  </w:style>
  <w:style w:type="paragraph" w:customStyle="1" w:styleId="308">
    <w:name w:val="Char1 Char Char Char1"/>
    <w:basedOn w:val="1"/>
    <w:qFormat/>
    <w:uiPriority w:val="0"/>
    <w:pPr>
      <w:adjustRightInd/>
      <w:ind w:firstLine="200" w:firstLineChars="200"/>
    </w:pPr>
    <w:rPr>
      <w:rFonts w:ascii="Tahoma" w:hAnsi="Tahoma"/>
      <w:sz w:val="24"/>
      <w:szCs w:val="20"/>
    </w:rPr>
  </w:style>
  <w:style w:type="paragraph" w:customStyle="1" w:styleId="309">
    <w:name w:val="MM Topic 2"/>
    <w:basedOn w:val="5"/>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1">
    <w:name w:val="样式 样式2 + 左侧:  1 字符 右侧:  1 字符"/>
    <w:basedOn w:val="7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2">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哈哈正文"/>
    <w:basedOn w:val="1"/>
    <w:link w:val="498"/>
    <w:qFormat/>
    <w:uiPriority w:val="0"/>
    <w:pPr>
      <w:adjustRightInd/>
      <w:spacing w:line="360" w:lineRule="auto"/>
      <w:ind w:firstLine="200" w:firstLineChars="200"/>
    </w:pPr>
    <w:rPr>
      <w:rFonts w:ascii="宋体" w:hAnsi="宋体"/>
      <w:sz w:val="24"/>
      <w:szCs w:val="20"/>
    </w:rPr>
  </w:style>
  <w:style w:type="paragraph" w:customStyle="1" w:styleId="315">
    <w:name w:val="List Paragraph1"/>
    <w:basedOn w:val="1"/>
    <w:qFormat/>
    <w:uiPriority w:val="34"/>
    <w:pPr>
      <w:spacing w:line="360" w:lineRule="auto"/>
      <w:ind w:firstLine="200" w:firstLineChars="200"/>
    </w:pPr>
    <w:rPr>
      <w:rFonts w:eastAsia="楷体_GB2312" w:cs="Lucida Sans"/>
      <w:sz w:val="24"/>
    </w:rPr>
  </w:style>
  <w:style w:type="paragraph" w:customStyle="1" w:styleId="31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9">
    <w:name w:val="Char Char11 Char Char Char Char Char Char Char Char Char1"/>
    <w:basedOn w:val="1"/>
    <w:qFormat/>
    <w:uiPriority w:val="0"/>
    <w:pPr>
      <w:spacing w:line="360" w:lineRule="auto"/>
    </w:pPr>
    <w:rPr>
      <w:szCs w:val="20"/>
    </w:rPr>
  </w:style>
  <w:style w:type="paragraph" w:customStyle="1" w:styleId="320">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1">
    <w:name w:val="正文 项目2"/>
    <w:basedOn w:val="322"/>
    <w:qFormat/>
    <w:uiPriority w:val="0"/>
    <w:pPr>
      <w:numPr>
        <w:ilvl w:val="0"/>
        <w:numId w:val="6"/>
      </w:numPr>
      <w:tabs>
        <w:tab w:val="left" w:pos="840"/>
      </w:tabs>
      <w:spacing w:after="0"/>
    </w:pPr>
  </w:style>
  <w:style w:type="paragraph" w:customStyle="1" w:styleId="32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3">
    <w:name w:val="Char Char Char1 Char1"/>
    <w:basedOn w:val="1"/>
    <w:qFormat/>
    <w:uiPriority w:val="0"/>
    <w:rPr>
      <w:szCs w:val="20"/>
    </w:rPr>
  </w:style>
  <w:style w:type="paragraph" w:customStyle="1" w:styleId="32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6">
    <w:name w:val="封面"/>
    <w:basedOn w:val="1"/>
    <w:qFormat/>
    <w:uiPriority w:val="0"/>
    <w:pPr>
      <w:spacing w:line="360" w:lineRule="atLeast"/>
      <w:jc w:val="right"/>
      <w:textAlignment w:val="baseline"/>
    </w:pPr>
    <w:rPr>
      <w:rFonts w:ascii="Symbol" w:hAnsi="Symbol"/>
      <w:kern w:val="0"/>
      <w:szCs w:val="20"/>
    </w:rPr>
  </w:style>
  <w:style w:type="paragraph" w:customStyle="1" w:styleId="327">
    <w:name w:val="正文（缩进2汉字）"/>
    <w:basedOn w:val="1"/>
    <w:link w:val="58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8">
    <w:name w:val="数字标题3"/>
    <w:basedOn w:val="6"/>
    <w:next w:val="1"/>
    <w:qFormat/>
    <w:uiPriority w:val="0"/>
    <w:pPr>
      <w:numPr>
        <w:numId w:val="0"/>
      </w:numPr>
      <w:spacing w:line="240" w:lineRule="auto"/>
    </w:pPr>
    <w:rPr>
      <w:sz w:val="28"/>
      <w:szCs w:val="28"/>
    </w:rPr>
  </w:style>
  <w:style w:type="paragraph" w:customStyle="1" w:styleId="32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1">
    <w:name w:val="正文（首行缩进2字符）"/>
    <w:basedOn w:val="1"/>
    <w:qFormat/>
    <w:uiPriority w:val="0"/>
    <w:pPr>
      <w:adjustRightInd/>
      <w:spacing w:line="360" w:lineRule="auto"/>
      <w:ind w:firstLine="480" w:firstLineChars="200"/>
    </w:pPr>
    <w:rPr>
      <w:sz w:val="24"/>
      <w:szCs w:val="20"/>
    </w:rPr>
  </w:style>
  <w:style w:type="paragraph" w:customStyle="1" w:styleId="33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3">
    <w:name w:val="正文段"/>
    <w:basedOn w:val="1"/>
    <w:qFormat/>
    <w:uiPriority w:val="0"/>
    <w:pPr>
      <w:widowControl/>
      <w:snapToGrid w:val="0"/>
      <w:spacing w:afterLines="50"/>
      <w:ind w:firstLine="200" w:firstLineChars="200"/>
    </w:pPr>
    <w:rPr>
      <w:kern w:val="0"/>
      <w:sz w:val="24"/>
      <w:szCs w:val="20"/>
    </w:rPr>
  </w:style>
  <w:style w:type="paragraph" w:customStyle="1" w:styleId="334">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5">
    <w:name w:val="数字标题2"/>
    <w:basedOn w:val="5"/>
    <w:next w:val="1"/>
    <w:qFormat/>
    <w:uiPriority w:val="0"/>
    <w:pPr>
      <w:numPr>
        <w:ilvl w:val="1"/>
        <w:numId w:val="5"/>
      </w:numPr>
      <w:tabs>
        <w:tab w:val="clear" w:pos="432"/>
      </w:tabs>
    </w:pPr>
    <w:rPr>
      <w:rFonts w:ascii="Times New Roman" w:eastAsia="宋体"/>
      <w:i/>
      <w:sz w:val="36"/>
      <w:szCs w:val="36"/>
      <w:lang w:val="en-US"/>
    </w:rPr>
  </w:style>
  <w:style w:type="paragraph" w:customStyle="1" w:styleId="336">
    <w:name w:val="彩色列表 - 强调文字颜色 11"/>
    <w:basedOn w:val="1"/>
    <w:qFormat/>
    <w:uiPriority w:val="0"/>
    <w:pPr>
      <w:adjustRightInd/>
      <w:ind w:firstLine="420" w:firstLineChars="200"/>
    </w:pPr>
    <w:rPr>
      <w:rFonts w:ascii="Calibri" w:hAnsi="Calibri"/>
      <w:szCs w:val="22"/>
    </w:rPr>
  </w:style>
  <w:style w:type="paragraph" w:customStyle="1" w:styleId="337">
    <w:name w:val="数字标题4"/>
    <w:basedOn w:val="7"/>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9">
    <w:name w:val="样式1 + (中宋体"/>
    <w:basedOn w:val="16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0">
    <w:name w:val="仿宋正文"/>
    <w:basedOn w:val="1"/>
    <w:link w:val="463"/>
    <w:qFormat/>
    <w:uiPriority w:val="0"/>
    <w:pPr>
      <w:adjustRightInd/>
      <w:spacing w:line="360" w:lineRule="auto"/>
      <w:ind w:firstLine="480" w:firstLineChars="200"/>
    </w:pPr>
    <w:rPr>
      <w:rFonts w:ascii="仿宋_GB2312" w:eastAsia="仿宋_GB2312"/>
      <w:sz w:val="24"/>
      <w:szCs w:val="20"/>
    </w:rPr>
  </w:style>
  <w:style w:type="paragraph" w:customStyle="1" w:styleId="341">
    <w:name w:val="正文（标题三）"/>
    <w:basedOn w:val="1"/>
    <w:qFormat/>
    <w:uiPriority w:val="0"/>
    <w:pPr>
      <w:spacing w:line="360" w:lineRule="auto"/>
      <w:ind w:firstLine="200" w:firstLineChars="200"/>
    </w:pPr>
    <w:rPr>
      <w:sz w:val="24"/>
    </w:rPr>
  </w:style>
  <w:style w:type="paragraph" w:customStyle="1" w:styleId="342">
    <w:name w:val="MM Topic 3"/>
    <w:basedOn w:val="6"/>
    <w:qFormat/>
    <w:uiPriority w:val="0"/>
    <w:pPr>
      <w:numPr>
        <w:numId w:val="4"/>
      </w:numPr>
      <w:tabs>
        <w:tab w:val="left" w:pos="840"/>
        <w:tab w:val="left" w:pos="1680"/>
        <w:tab w:val="clear" w:pos="900"/>
      </w:tabs>
      <w:adjustRightInd/>
    </w:pPr>
  </w:style>
  <w:style w:type="paragraph" w:customStyle="1" w:styleId="34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4">
    <w:name w:val="图中文字"/>
    <w:basedOn w:val="1"/>
    <w:qFormat/>
    <w:uiPriority w:val="0"/>
    <w:pPr>
      <w:snapToGrid w:val="0"/>
      <w:spacing w:line="0" w:lineRule="atLeast"/>
      <w:ind w:firstLine="200" w:firstLineChars="200"/>
      <w:jc w:val="center"/>
    </w:pPr>
    <w:rPr>
      <w:sz w:val="24"/>
      <w:szCs w:val="20"/>
    </w:rPr>
  </w:style>
  <w:style w:type="paragraph" w:customStyle="1" w:styleId="345">
    <w:name w:val="正文－恩普"/>
    <w:basedOn w:val="17"/>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346">
    <w:name w:val="Char21"/>
    <w:basedOn w:val="1"/>
    <w:qFormat/>
    <w:uiPriority w:val="0"/>
    <w:pPr>
      <w:adjustRightInd/>
      <w:ind w:firstLine="200" w:firstLineChars="200"/>
    </w:pPr>
    <w:rPr>
      <w:rFonts w:ascii="仿宋_GB2312" w:eastAsia="仿宋_GB2312"/>
      <w:b/>
      <w:sz w:val="32"/>
      <w:szCs w:val="32"/>
    </w:rPr>
  </w:style>
  <w:style w:type="paragraph" w:customStyle="1" w:styleId="34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8">
    <w:name w:val="标题4-dyf"/>
    <w:basedOn w:val="7"/>
    <w:link w:val="553"/>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9">
    <w:name w:val="Char1 Char Char Char4"/>
    <w:basedOn w:val="1"/>
    <w:qFormat/>
    <w:uiPriority w:val="0"/>
    <w:pPr>
      <w:adjustRightInd/>
      <w:ind w:firstLine="200" w:firstLineChars="200"/>
    </w:pPr>
    <w:rPr>
      <w:rFonts w:ascii="Tahoma" w:hAnsi="Tahoma"/>
      <w:sz w:val="24"/>
      <w:szCs w:val="20"/>
    </w:rPr>
  </w:style>
  <w:style w:type="paragraph" w:customStyle="1" w:styleId="350">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2">
    <w:name w:val="Char23"/>
    <w:basedOn w:val="1"/>
    <w:qFormat/>
    <w:uiPriority w:val="0"/>
    <w:rPr>
      <w:rFonts w:ascii="仿宋_GB2312" w:eastAsia="仿宋_GB2312"/>
      <w:b/>
      <w:sz w:val="32"/>
      <w:szCs w:val="32"/>
    </w:rPr>
  </w:style>
  <w:style w:type="paragraph" w:customStyle="1" w:styleId="35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6">
    <w:name w:val="此正文"/>
    <w:basedOn w:val="1"/>
    <w:link w:val="441"/>
    <w:qFormat/>
    <w:uiPriority w:val="0"/>
    <w:pPr>
      <w:adjustRightInd/>
      <w:spacing w:line="360" w:lineRule="auto"/>
      <w:ind w:firstLine="200" w:firstLineChars="200"/>
    </w:pPr>
    <w:rPr>
      <w:sz w:val="24"/>
    </w:rPr>
  </w:style>
  <w:style w:type="paragraph" w:customStyle="1" w:styleId="3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9">
    <w:name w:val="Char3 Char Char Char"/>
    <w:basedOn w:val="1"/>
    <w:qFormat/>
    <w:uiPriority w:val="0"/>
    <w:pPr>
      <w:widowControl/>
      <w:adjustRightInd/>
      <w:spacing w:after="160" w:line="240" w:lineRule="exact"/>
      <w:jc w:val="left"/>
    </w:pPr>
    <w:rPr>
      <w:szCs w:val="20"/>
    </w:rPr>
  </w:style>
  <w:style w:type="paragraph" w:customStyle="1" w:styleId="360">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1">
    <w:name w:val="Normal0"/>
    <w:qFormat/>
    <w:uiPriority w:val="0"/>
    <w:rPr>
      <w:rFonts w:ascii="Times New Roman" w:hAnsi="Times New Roman" w:eastAsia="宋体" w:cs="Times New Roman"/>
      <w:lang w:val="en-US" w:eastAsia="en-US" w:bidi="ar-SA"/>
    </w:rPr>
  </w:style>
  <w:style w:type="paragraph" w:customStyle="1" w:styleId="36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3">
    <w:name w:val="a1"/>
    <w:basedOn w:val="1"/>
    <w:qFormat/>
    <w:uiPriority w:val="0"/>
    <w:pPr>
      <w:widowControl/>
      <w:spacing w:line="300" w:lineRule="atLeast"/>
      <w:jc w:val="left"/>
    </w:pPr>
    <w:rPr>
      <w:rFonts w:ascii="宋体" w:hAnsi="宋体"/>
      <w:kern w:val="0"/>
      <w:sz w:val="18"/>
      <w:szCs w:val="20"/>
    </w:rPr>
  </w:style>
  <w:style w:type="paragraph" w:customStyle="1" w:styleId="36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6">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7">
    <w:name w:val="Thf"/>
    <w:basedOn w:val="92"/>
    <w:qFormat/>
    <w:uiPriority w:val="0"/>
    <w:pPr>
      <w:ind w:left="0"/>
    </w:pPr>
  </w:style>
  <w:style w:type="paragraph" w:customStyle="1" w:styleId="368">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2">
    <w:name w:val="_Style 12"/>
    <w:basedOn w:val="20"/>
    <w:qFormat/>
    <w:uiPriority w:val="0"/>
    <w:pPr>
      <w:snapToGrid w:val="0"/>
      <w:spacing w:line="360" w:lineRule="auto"/>
    </w:pPr>
  </w:style>
  <w:style w:type="paragraph" w:customStyle="1" w:styleId="373">
    <w:name w:val="表格题注"/>
    <w:next w:val="1"/>
    <w:qFormat/>
    <w:uiPriority w:val="0"/>
    <w:pPr>
      <w:keepLines/>
      <w:numPr>
        <w:ilvl w:val="8"/>
        <w:numId w:val="4"/>
      </w:numPr>
      <w:spacing w:beforeLines="100"/>
      <w:ind w:left="1089" w:hanging="369"/>
      <w:jc w:val="center"/>
    </w:pPr>
    <w:rPr>
      <w:rFonts w:ascii="Arial" w:hAnsi="Arial" w:eastAsia="宋体" w:cs="Times New Roman"/>
      <w:sz w:val="18"/>
      <w:szCs w:val="18"/>
      <w:lang w:val="en-US" w:eastAsia="zh-CN" w:bidi="ar-SA"/>
    </w:rPr>
  </w:style>
  <w:style w:type="paragraph" w:customStyle="1" w:styleId="37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5">
    <w:name w:val="标书标题2"/>
    <w:basedOn w:val="5"/>
    <w:qFormat/>
    <w:uiPriority w:val="0"/>
    <w:pPr>
      <w:keepLines w:val="0"/>
      <w:widowControl/>
      <w:numPr>
        <w:numId w:val="0"/>
      </w:numPr>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376">
    <w:name w:val="Char Char"/>
    <w:basedOn w:val="1"/>
    <w:qFormat/>
    <w:uiPriority w:val="0"/>
    <w:pPr>
      <w:spacing w:line="360" w:lineRule="auto"/>
    </w:pPr>
    <w:rPr>
      <w:rFonts w:ascii="Tahoma" w:hAnsi="Tahoma"/>
      <w:sz w:val="24"/>
      <w:szCs w:val="20"/>
    </w:rPr>
  </w:style>
  <w:style w:type="paragraph" w:customStyle="1" w:styleId="377">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378">
    <w:name w:val="样式 标题 1 + 黑色 段前: 0.5 行 段后: 0.5 行1"/>
    <w:basedOn w:val="4"/>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pPr>
    <w:rPr>
      <w:rFonts w:ascii="黑体" w:hAnsi="黑体" w:eastAsia="黑体" w:cs="Arial"/>
      <w:caps/>
      <w:color w:val="FFFFFF"/>
      <w:kern w:val="2"/>
      <w:sz w:val="30"/>
      <w:szCs w:val="20"/>
    </w:rPr>
  </w:style>
  <w:style w:type="paragraph" w:customStyle="1" w:styleId="379">
    <w:name w:val="彩色列表 - 强调文字颜色 12"/>
    <w:basedOn w:val="1"/>
    <w:qFormat/>
    <w:uiPriority w:val="0"/>
    <w:pPr>
      <w:adjustRightInd/>
      <w:ind w:firstLine="420" w:firstLineChars="200"/>
    </w:pPr>
    <w:rPr>
      <w:rFonts w:ascii="Calibri" w:hAnsi="Calibri"/>
      <w:szCs w:val="22"/>
    </w:rPr>
  </w:style>
  <w:style w:type="paragraph" w:customStyle="1" w:styleId="38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1">
    <w:name w:val="Char19"/>
    <w:basedOn w:val="1"/>
    <w:qFormat/>
    <w:uiPriority w:val="0"/>
    <w:pPr>
      <w:adjustRightInd/>
    </w:pPr>
    <w:rPr>
      <w:szCs w:val="20"/>
    </w:rPr>
  </w:style>
  <w:style w:type="paragraph" w:customStyle="1" w:styleId="382">
    <w:name w:val="CSS1级正文 Char"/>
    <w:basedOn w:val="3"/>
    <w:qFormat/>
    <w:uiPriority w:val="0"/>
    <w:pPr>
      <w:autoSpaceDE/>
      <w:autoSpaceDN/>
      <w:snapToGrid w:val="0"/>
      <w:ind w:firstLine="480" w:firstLineChars="200"/>
    </w:pPr>
    <w:rPr>
      <w:rFonts w:ascii="Times New Roman"/>
      <w:szCs w:val="24"/>
      <w:lang w:val="en-US"/>
    </w:rPr>
  </w:style>
  <w:style w:type="paragraph" w:customStyle="1" w:styleId="383">
    <w:name w:val="正文（首行缩进）"/>
    <w:basedOn w:val="25"/>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5">
    <w:name w:val="表格（小）"/>
    <w:basedOn w:val="1"/>
    <w:qFormat/>
    <w:uiPriority w:val="0"/>
    <w:pPr>
      <w:adjustRightInd/>
      <w:snapToGrid w:val="0"/>
      <w:spacing w:line="300" w:lineRule="auto"/>
    </w:pPr>
    <w:rPr>
      <w:rFonts w:eastAsia="仿宋"/>
      <w:szCs w:val="21"/>
    </w:rPr>
  </w:style>
  <w:style w:type="paragraph" w:customStyle="1" w:styleId="38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0">
    <w:name w:val="Char Char Char Char2"/>
    <w:basedOn w:val="1"/>
    <w:qFormat/>
    <w:uiPriority w:val="0"/>
    <w:rPr>
      <w:rFonts w:ascii="Tahoma" w:hAnsi="Tahoma"/>
      <w:sz w:val="24"/>
      <w:szCs w:val="20"/>
    </w:rPr>
  </w:style>
  <w:style w:type="paragraph" w:customStyle="1" w:styleId="391">
    <w:name w:val="p0"/>
    <w:basedOn w:val="1"/>
    <w:qFormat/>
    <w:uiPriority w:val="0"/>
    <w:pPr>
      <w:widowControl/>
      <w:adjustRightInd/>
    </w:pPr>
    <w:rPr>
      <w:kern w:val="0"/>
      <w:szCs w:val="21"/>
    </w:rPr>
  </w:style>
  <w:style w:type="paragraph" w:customStyle="1" w:styleId="39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4">
    <w:name w:val="默认段落样式"/>
    <w:basedOn w:val="395"/>
    <w:qFormat/>
    <w:uiPriority w:val="0"/>
    <w:pPr>
      <w:spacing w:before="0"/>
      <w:ind w:firstLine="480"/>
      <w:outlineLvl w:val="2"/>
    </w:pPr>
    <w:rPr>
      <w:rFonts w:ascii="仿宋_GB2312" w:hAnsi="宋体" w:eastAsia="仿宋_GB2312"/>
      <w:color w:val="000000"/>
      <w:szCs w:val="24"/>
    </w:rPr>
  </w:style>
  <w:style w:type="paragraph" w:customStyle="1" w:styleId="395">
    <w:name w:val="正文2"/>
    <w:basedOn w:val="1"/>
    <w:link w:val="448"/>
    <w:qFormat/>
    <w:uiPriority w:val="0"/>
    <w:pPr>
      <w:spacing w:before="156" w:line="360" w:lineRule="auto"/>
      <w:ind w:firstLine="510" w:firstLineChars="200"/>
    </w:pPr>
    <w:rPr>
      <w:sz w:val="24"/>
      <w:szCs w:val="20"/>
    </w:rPr>
  </w:style>
  <w:style w:type="paragraph" w:customStyle="1" w:styleId="39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9">
    <w:name w:val="bullet"/>
    <w:basedOn w:val="1"/>
    <w:qFormat/>
    <w:uiPriority w:val="0"/>
    <w:pPr>
      <w:tabs>
        <w:tab w:val="left" w:pos="840"/>
      </w:tabs>
      <w:adjustRightInd/>
      <w:ind w:left="840" w:hanging="420"/>
    </w:pPr>
  </w:style>
  <w:style w:type="paragraph" w:customStyle="1" w:styleId="400">
    <w:name w:val="五级条标题"/>
    <w:basedOn w:val="173"/>
    <w:next w:val="140"/>
    <w:qFormat/>
    <w:uiPriority w:val="0"/>
    <w:pPr>
      <w:numPr>
        <w:ilvl w:val="6"/>
      </w:numPr>
      <w:tabs>
        <w:tab w:val="clear" w:pos="2940"/>
      </w:tabs>
      <w:outlineLvl w:val="6"/>
    </w:pPr>
  </w:style>
  <w:style w:type="paragraph" w:customStyle="1" w:styleId="401">
    <w:name w:val="Char Char Char Char Char Char Char Char"/>
    <w:basedOn w:val="1"/>
    <w:qFormat/>
    <w:uiPriority w:val="0"/>
    <w:pPr>
      <w:tabs>
        <w:tab w:val="left" w:pos="360"/>
      </w:tabs>
    </w:pPr>
    <w:rPr>
      <w:sz w:val="24"/>
      <w:szCs w:val="20"/>
    </w:rPr>
  </w:style>
  <w:style w:type="paragraph" w:customStyle="1" w:styleId="4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3">
    <w:name w:val="数字标题5"/>
    <w:basedOn w:val="8"/>
    <w:next w:val="1"/>
    <w:qFormat/>
    <w:uiPriority w:val="0"/>
    <w:pPr>
      <w:numPr>
        <w:numId w:val="5"/>
      </w:numPr>
      <w:tabs>
        <w:tab w:val="left" w:pos="480"/>
        <w:tab w:val="left" w:pos="1080"/>
        <w:tab w:val="clear" w:pos="1008"/>
      </w:tabs>
    </w:pPr>
  </w:style>
  <w:style w:type="paragraph" w:customStyle="1" w:styleId="40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5">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7">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408">
    <w:name w:val="0"/>
    <w:basedOn w:val="1"/>
    <w:qFormat/>
    <w:uiPriority w:val="0"/>
    <w:pPr>
      <w:widowControl/>
    </w:pPr>
    <w:rPr>
      <w:kern w:val="0"/>
      <w:sz w:val="24"/>
      <w:szCs w:val="20"/>
    </w:rPr>
  </w:style>
  <w:style w:type="paragraph" w:customStyle="1" w:styleId="409">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0">
    <w:name w:val="b11_01b"/>
    <w:basedOn w:val="1"/>
    <w:next w:val="1"/>
    <w:link w:val="55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1">
    <w:name w:val="MM Topic 5"/>
    <w:basedOn w:val="8"/>
    <w:qFormat/>
    <w:uiPriority w:val="0"/>
    <w:pPr>
      <w:numPr>
        <w:numId w:val="4"/>
      </w:numPr>
      <w:tabs>
        <w:tab w:val="left" w:pos="840"/>
        <w:tab w:val="left" w:pos="2520"/>
        <w:tab w:val="clear" w:pos="1008"/>
      </w:tabs>
      <w:adjustRightInd/>
    </w:pPr>
  </w:style>
  <w:style w:type="paragraph" w:customStyle="1" w:styleId="412">
    <w:name w:val="样式 标题 3标题 3 Char第二层条h33Bold Headbh章标题1小标题level_3PIM 3..."/>
    <w:basedOn w:val="6"/>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4">
    <w:name w:val="数字标题1"/>
    <w:basedOn w:val="4"/>
    <w:next w:val="1"/>
    <w:qFormat/>
    <w:uiPriority w:val="0"/>
    <w:pPr>
      <w:numPr>
        <w:numId w:val="5"/>
      </w:numPr>
      <w:tabs>
        <w:tab w:val="left" w:pos="480"/>
        <w:tab w:val="clear" w:pos="432"/>
      </w:tabs>
    </w:pPr>
  </w:style>
  <w:style w:type="paragraph" w:customStyle="1" w:styleId="415">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6">
    <w:name w:val="标书标题3"/>
    <w:basedOn w:val="6"/>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2">
    <w:name w:val="MM Topic 1"/>
    <w:basedOn w:val="4"/>
    <w:qFormat/>
    <w:uiPriority w:val="0"/>
    <w:pPr>
      <w:numPr>
        <w:numId w:val="0"/>
      </w:numPr>
      <w:tabs>
        <w:tab w:val="left" w:pos="840"/>
        <w:tab w:val="clear" w:pos="432"/>
      </w:tabs>
      <w:adjustRightInd/>
      <w:ind w:left="840" w:hanging="420"/>
    </w:pPr>
  </w:style>
  <w:style w:type="paragraph" w:customStyle="1" w:styleId="423">
    <w:name w:val="Char Char Char Char Char Char Char Char1"/>
    <w:basedOn w:val="1"/>
    <w:qFormat/>
    <w:uiPriority w:val="0"/>
    <w:pPr>
      <w:tabs>
        <w:tab w:val="left" w:pos="360"/>
      </w:tabs>
    </w:pPr>
    <w:rPr>
      <w:sz w:val="24"/>
      <w:szCs w:val="20"/>
    </w:rPr>
  </w:style>
  <w:style w:type="paragraph" w:customStyle="1" w:styleId="42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5">
    <w:name w:val="Char3 Char Char Char1"/>
    <w:basedOn w:val="1"/>
    <w:qFormat/>
    <w:uiPriority w:val="0"/>
    <w:pPr>
      <w:widowControl/>
      <w:adjustRightInd/>
      <w:spacing w:after="160" w:line="240" w:lineRule="exact"/>
      <w:jc w:val="left"/>
    </w:pPr>
    <w:rPr>
      <w:szCs w:val="20"/>
    </w:rPr>
  </w:style>
  <w:style w:type="paragraph" w:customStyle="1" w:styleId="426">
    <w:name w:val="Char Char12"/>
    <w:basedOn w:val="1"/>
    <w:qFormat/>
    <w:uiPriority w:val="0"/>
    <w:pPr>
      <w:widowControl/>
      <w:spacing w:after="160" w:line="240" w:lineRule="exact"/>
      <w:jc w:val="left"/>
    </w:pPr>
    <w:rPr>
      <w:rFonts w:eastAsia="仿宋_GB2312"/>
      <w:sz w:val="28"/>
    </w:rPr>
  </w:style>
  <w:style w:type="paragraph" w:customStyle="1" w:styleId="42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9">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0">
    <w:name w:val="单元格左对齐"/>
    <w:basedOn w:val="1"/>
    <w:qFormat/>
    <w:uiPriority w:val="0"/>
    <w:pPr>
      <w:adjustRightInd/>
      <w:spacing w:line="360" w:lineRule="auto"/>
    </w:pPr>
    <w:rPr>
      <w:sz w:val="24"/>
    </w:rPr>
  </w:style>
  <w:style w:type="paragraph" w:customStyle="1" w:styleId="431">
    <w:name w:val="Char11"/>
    <w:basedOn w:val="1"/>
    <w:qFormat/>
    <w:uiPriority w:val="0"/>
    <w:pPr>
      <w:tabs>
        <w:tab w:val="left" w:pos="432"/>
      </w:tabs>
      <w:adjustRightInd/>
      <w:spacing w:beforeLines="50" w:afterLines="50"/>
      <w:ind w:left="432" w:hanging="432" w:firstLineChars="200"/>
    </w:pPr>
    <w:rPr>
      <w:sz w:val="24"/>
    </w:rPr>
  </w:style>
  <w:style w:type="paragraph" w:customStyle="1" w:styleId="43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3">
    <w:name w:val="正文文本 Char"/>
    <w:qFormat/>
    <w:uiPriority w:val="0"/>
    <w:rPr>
      <w:rFonts w:eastAsia="宋体"/>
      <w:kern w:val="2"/>
      <w:sz w:val="24"/>
      <w:szCs w:val="24"/>
      <w:lang w:val="en-US" w:eastAsia="zh-CN" w:bidi="ar-SA"/>
    </w:rPr>
  </w:style>
  <w:style w:type="character" w:customStyle="1" w:styleId="434">
    <w:name w:val="myp1111"/>
    <w:qFormat/>
    <w:uiPriority w:val="0"/>
    <w:rPr>
      <w:rFonts w:hint="default" w:ascii="ˎ̥" w:hAnsi="ˎ̥"/>
      <w:color w:val="000000"/>
      <w:sz w:val="20"/>
      <w:szCs w:val="20"/>
      <w:u w:val="none"/>
    </w:rPr>
  </w:style>
  <w:style w:type="character" w:customStyle="1" w:styleId="435">
    <w:name w:val="mdeck"/>
    <w:qFormat/>
    <w:uiPriority w:val="0"/>
    <w:rPr>
      <w:rFonts w:ascii="仿宋_GB2312" w:eastAsia="微软雅黑"/>
      <w:b/>
      <w:kern w:val="2"/>
      <w:sz w:val="32"/>
      <w:szCs w:val="32"/>
      <w:lang w:val="en-US" w:eastAsia="zh-CN" w:bidi="ar-SA"/>
    </w:rPr>
  </w:style>
  <w:style w:type="character" w:customStyle="1" w:styleId="436">
    <w:name w:val="签名 字符"/>
    <w:link w:val="41"/>
    <w:qFormat/>
    <w:uiPriority w:val="0"/>
    <w:rPr>
      <w:rFonts w:eastAsia="仿宋_GB2312"/>
      <w:sz w:val="24"/>
    </w:rPr>
  </w:style>
  <w:style w:type="character" w:customStyle="1" w:styleId="437">
    <w:name w:val="tw4winMark"/>
    <w:qFormat/>
    <w:uiPriority w:val="0"/>
    <w:rPr>
      <w:rFonts w:ascii="Courier New" w:hAnsi="Courier New" w:cs="Courier New"/>
      <w:vanish/>
      <w:color w:val="800080"/>
      <w:sz w:val="24"/>
      <w:szCs w:val="24"/>
      <w:vertAlign w:val="subscript"/>
    </w:rPr>
  </w:style>
  <w:style w:type="character" w:customStyle="1" w:styleId="4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9">
    <w:name w:val="Balloon Text Char"/>
    <w:semiHidden/>
    <w:qFormat/>
    <w:locked/>
    <w:uiPriority w:val="0"/>
    <w:rPr>
      <w:rFonts w:eastAsia="宋体"/>
      <w:kern w:val="2"/>
      <w:sz w:val="18"/>
      <w:szCs w:val="18"/>
      <w:lang w:val="en-US" w:eastAsia="zh-CN" w:bidi="ar-SA"/>
    </w:rPr>
  </w:style>
  <w:style w:type="character" w:customStyle="1" w:styleId="440">
    <w:name w:val="正文非缩进 Char"/>
    <w:qFormat/>
    <w:uiPriority w:val="0"/>
    <w:rPr>
      <w:rFonts w:ascii="宋体" w:eastAsia="宋体"/>
      <w:snapToGrid w:val="0"/>
      <w:color w:val="000000"/>
      <w:kern w:val="28"/>
      <w:sz w:val="28"/>
      <w:lang w:val="en-US" w:eastAsia="zh-CN" w:bidi="ar-SA"/>
    </w:rPr>
  </w:style>
  <w:style w:type="character" w:customStyle="1" w:styleId="441">
    <w:name w:val="此正文 Char"/>
    <w:link w:val="356"/>
    <w:qFormat/>
    <w:uiPriority w:val="0"/>
    <w:rPr>
      <w:kern w:val="2"/>
      <w:sz w:val="24"/>
      <w:szCs w:val="24"/>
    </w:rPr>
  </w:style>
  <w:style w:type="character" w:customStyle="1" w:styleId="442">
    <w:name w:val="Ò³Ã¼ Char Char"/>
    <w:qFormat/>
    <w:uiPriority w:val="0"/>
    <w:rPr>
      <w:rFonts w:eastAsia="宋体"/>
      <w:kern w:val="2"/>
      <w:sz w:val="18"/>
      <w:lang w:val="en-US" w:eastAsia="zh-CN" w:bidi="ar-SA"/>
    </w:rPr>
  </w:style>
  <w:style w:type="character" w:customStyle="1" w:styleId="443">
    <w:name w:val="style91"/>
    <w:qFormat/>
    <w:uiPriority w:val="0"/>
    <w:rPr>
      <w:color w:val="333333"/>
    </w:rPr>
  </w:style>
  <w:style w:type="character" w:customStyle="1" w:styleId="444">
    <w:name w:val="标书1 Char"/>
    <w:qFormat/>
    <w:uiPriority w:val="0"/>
    <w:rPr>
      <w:rFonts w:eastAsia="宋体"/>
      <w:b/>
      <w:bCs/>
      <w:kern w:val="44"/>
      <w:sz w:val="44"/>
      <w:szCs w:val="44"/>
      <w:lang w:val="en-US" w:eastAsia="zh-CN" w:bidi="ar-SA"/>
    </w:rPr>
  </w:style>
  <w:style w:type="character" w:customStyle="1" w:styleId="445">
    <w:name w:val="ca-131"/>
    <w:qFormat/>
    <w:uiPriority w:val="0"/>
    <w:rPr>
      <w:rFonts w:hint="eastAsia" w:ascii="仿宋_GB2312" w:eastAsia="仿宋_GB2312"/>
      <w:b/>
      <w:bCs/>
      <w:color w:val="000000"/>
      <w:spacing w:val="-20"/>
      <w:sz w:val="24"/>
      <w:szCs w:val="24"/>
    </w:rPr>
  </w:style>
  <w:style w:type="character" w:customStyle="1" w:styleId="446">
    <w:name w:val="标书正文格式 Char"/>
    <w:qFormat/>
    <w:uiPriority w:val="0"/>
    <w:rPr>
      <w:rFonts w:eastAsia="楷体_GB2312"/>
      <w:kern w:val="2"/>
      <w:sz w:val="24"/>
      <w:szCs w:val="24"/>
      <w:lang w:bidi="ar-SA"/>
    </w:rPr>
  </w:style>
  <w:style w:type="character" w:customStyle="1" w:styleId="447">
    <w:name w:val="Char Char6"/>
    <w:qFormat/>
    <w:uiPriority w:val="0"/>
    <w:rPr>
      <w:rFonts w:eastAsia="宋体"/>
      <w:kern w:val="2"/>
      <w:sz w:val="21"/>
      <w:szCs w:val="24"/>
      <w:lang w:val="en-US" w:eastAsia="zh-CN" w:bidi="ar-SA"/>
    </w:rPr>
  </w:style>
  <w:style w:type="character" w:customStyle="1" w:styleId="448">
    <w:name w:val="正文2 Char Char"/>
    <w:link w:val="395"/>
    <w:qFormat/>
    <w:uiPriority w:val="0"/>
    <w:rPr>
      <w:rFonts w:eastAsia="宋体"/>
      <w:kern w:val="2"/>
      <w:sz w:val="24"/>
      <w:lang w:val="en-US" w:eastAsia="zh-CN" w:bidi="ar-SA"/>
    </w:rPr>
  </w:style>
  <w:style w:type="character" w:customStyle="1" w:styleId="449">
    <w:name w:val="content"/>
    <w:qFormat/>
    <w:uiPriority w:val="0"/>
  </w:style>
  <w:style w:type="character" w:customStyle="1" w:styleId="450">
    <w:name w:val="正文文本 2 Char"/>
    <w:qFormat/>
    <w:uiPriority w:val="0"/>
    <w:rPr>
      <w:rFonts w:eastAsia="宋体"/>
      <w:kern w:val="2"/>
      <w:sz w:val="21"/>
      <w:szCs w:val="24"/>
      <w:lang w:val="en-US" w:eastAsia="zh-CN" w:bidi="ar-SA"/>
    </w:rPr>
  </w:style>
  <w:style w:type="character" w:customStyle="1" w:styleId="451">
    <w:name w:val="Heading 2 Hidden Char"/>
    <w:qFormat/>
    <w:uiPriority w:val="0"/>
    <w:rPr>
      <w:rFonts w:ascii="仿宋_GB2312" w:eastAsia="仿宋_GB2312"/>
      <w:b/>
      <w:bCs/>
      <w:kern w:val="2"/>
      <w:sz w:val="24"/>
      <w:szCs w:val="24"/>
      <w:lang w:val="zh-CN" w:eastAsia="zh-CN" w:bidi="ar-SA"/>
    </w:rPr>
  </w:style>
  <w:style w:type="character" w:customStyle="1" w:styleId="452">
    <w:name w:val="首行缩进 Char"/>
    <w:qFormat/>
    <w:uiPriority w:val="0"/>
    <w:rPr>
      <w:rFonts w:ascii="宋体" w:eastAsia="宋体"/>
      <w:kern w:val="2"/>
      <w:sz w:val="24"/>
      <w:lang w:val="en-US" w:eastAsia="zh-CN" w:bidi="ar-SA"/>
    </w:rPr>
  </w:style>
  <w:style w:type="character" w:customStyle="1" w:styleId="45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4">
    <w:name w:val="普通文字 Char Char1"/>
    <w:qFormat/>
    <w:uiPriority w:val="0"/>
    <w:rPr>
      <w:rFonts w:ascii="宋体" w:hAnsi="Courier New"/>
      <w:kern w:val="2"/>
      <w:sz w:val="21"/>
    </w:rPr>
  </w:style>
  <w:style w:type="character" w:customStyle="1" w:styleId="455">
    <w:name w:val="Footer-Even Char"/>
    <w:qFormat/>
    <w:uiPriority w:val="0"/>
    <w:rPr>
      <w:rFonts w:eastAsia="宋体"/>
      <w:kern w:val="2"/>
      <w:sz w:val="18"/>
      <w:lang w:val="en-US" w:eastAsia="zh-CN" w:bidi="ar-SA"/>
    </w:rPr>
  </w:style>
  <w:style w:type="character" w:customStyle="1" w:styleId="456">
    <w:name w:val="dandyren_title1"/>
    <w:qFormat/>
    <w:uiPriority w:val="0"/>
    <w:rPr>
      <w:b/>
      <w:bCs/>
      <w:color w:val="FF6633"/>
      <w:sz w:val="18"/>
      <w:szCs w:val="18"/>
    </w:rPr>
  </w:style>
  <w:style w:type="character" w:customStyle="1" w:styleId="457">
    <w:name w:val="标题 3 Char2"/>
    <w:qFormat/>
    <w:uiPriority w:val="0"/>
    <w:rPr>
      <w:rFonts w:eastAsia="宋体"/>
      <w:b/>
      <w:bCs/>
      <w:kern w:val="2"/>
      <w:sz w:val="32"/>
      <w:szCs w:val="32"/>
      <w:lang w:val="en-US" w:eastAsia="zh-CN" w:bidi="ar-SA"/>
    </w:rPr>
  </w:style>
  <w:style w:type="character" w:customStyle="1" w:styleId="458">
    <w:name w:val="gray6"/>
    <w:basedOn w:val="63"/>
    <w:qFormat/>
    <w:uiPriority w:val="0"/>
  </w:style>
  <w:style w:type="character" w:customStyle="1" w:styleId="459">
    <w:name w:val="标准正文格式 Char"/>
    <w:qFormat/>
    <w:uiPriority w:val="0"/>
    <w:rPr>
      <w:rFonts w:ascii="宋体" w:eastAsia="仿宋_GB2312" w:cs="宋体"/>
      <w:color w:val="000000"/>
      <w:sz w:val="24"/>
      <w:lang w:val="en-US" w:eastAsia="zh-CN" w:bidi="ar-SA"/>
    </w:rPr>
  </w:style>
  <w:style w:type="character" w:customStyle="1" w:styleId="460">
    <w:name w:val="Char Char3"/>
    <w:qFormat/>
    <w:uiPriority w:val="0"/>
    <w:rPr>
      <w:rFonts w:eastAsia="宋体"/>
      <w:kern w:val="2"/>
      <w:sz w:val="21"/>
      <w:szCs w:val="24"/>
      <w:lang w:val="en-US" w:eastAsia="zh-CN" w:bidi="ar-SA"/>
    </w:rPr>
  </w:style>
  <w:style w:type="character" w:customStyle="1" w:styleId="461">
    <w:name w:val="px14"/>
    <w:qFormat/>
    <w:uiPriority w:val="0"/>
    <w:rPr>
      <w:rFonts w:ascii="仿宋_GB2312" w:eastAsia="微软雅黑" w:cs="Times New Roman"/>
      <w:b/>
      <w:kern w:val="2"/>
      <w:sz w:val="32"/>
      <w:szCs w:val="32"/>
      <w:lang w:val="en-US" w:eastAsia="zh-CN" w:bidi="ar-SA"/>
    </w:rPr>
  </w:style>
  <w:style w:type="character" w:customStyle="1" w:styleId="462">
    <w:name w:val="txt"/>
    <w:qFormat/>
    <w:uiPriority w:val="0"/>
    <w:rPr>
      <w:rFonts w:ascii="仿宋_GB2312" w:eastAsia="微软雅黑"/>
      <w:b/>
      <w:kern w:val="2"/>
      <w:sz w:val="32"/>
      <w:szCs w:val="32"/>
      <w:lang w:val="en-US" w:eastAsia="zh-CN" w:bidi="ar-SA"/>
    </w:rPr>
  </w:style>
  <w:style w:type="character" w:customStyle="1" w:styleId="463">
    <w:name w:val="仿宋正文 Char"/>
    <w:link w:val="340"/>
    <w:qFormat/>
    <w:uiPriority w:val="0"/>
    <w:rPr>
      <w:rFonts w:ascii="仿宋_GB2312" w:eastAsia="仿宋_GB2312"/>
      <w:kern w:val="2"/>
      <w:sz w:val="24"/>
      <w:lang w:val="en-US" w:eastAsia="zh-CN" w:bidi="ar-SA"/>
    </w:rPr>
  </w:style>
  <w:style w:type="character" w:customStyle="1" w:styleId="464">
    <w:name w:val="Comment Text Char"/>
    <w:semiHidden/>
    <w:qFormat/>
    <w:locked/>
    <w:uiPriority w:val="0"/>
    <w:rPr>
      <w:rFonts w:ascii="宋体" w:hAnsi="宋体" w:eastAsia="宋体"/>
      <w:kern w:val="2"/>
      <w:sz w:val="24"/>
      <w:lang w:val="en-US" w:eastAsia="zh-CN" w:bidi="ar-SA"/>
    </w:rPr>
  </w:style>
  <w:style w:type="character" w:customStyle="1" w:styleId="465">
    <w:name w:val="tw4winExternal"/>
    <w:qFormat/>
    <w:uiPriority w:val="0"/>
    <w:rPr>
      <w:rFonts w:ascii="Courier New" w:hAnsi="Courier New" w:cs="Courier New"/>
      <w:color w:val="808080"/>
    </w:rPr>
  </w:style>
  <w:style w:type="character" w:customStyle="1" w:styleId="466">
    <w:name w:val="Char Char10"/>
    <w:semiHidden/>
    <w:qFormat/>
    <w:uiPriority w:val="0"/>
    <w:rPr>
      <w:rFonts w:ascii="宋体" w:hAnsi="宋体"/>
      <w:kern w:val="2"/>
      <w:sz w:val="21"/>
      <w:szCs w:val="24"/>
    </w:rPr>
  </w:style>
  <w:style w:type="character" w:customStyle="1" w:styleId="467">
    <w:name w:val="Bold"/>
    <w:qFormat/>
    <w:uiPriority w:val="0"/>
    <w:rPr>
      <w:rFonts w:ascii="Arial" w:hAnsi="Arial" w:eastAsia="黑体" w:cs="Times New Roman"/>
      <w:b/>
      <w:kern w:val="2"/>
      <w:sz w:val="32"/>
      <w:szCs w:val="32"/>
      <w:lang w:val="en-US" w:eastAsia="zh-CN" w:bidi="ar-SA"/>
    </w:rPr>
  </w:style>
  <w:style w:type="character" w:customStyle="1" w:styleId="468">
    <w:name w:val="Font Style82"/>
    <w:qFormat/>
    <w:uiPriority w:val="99"/>
    <w:rPr>
      <w:rFonts w:ascii="宋体" w:eastAsia="宋体" w:cs="宋体"/>
      <w:color w:val="000000"/>
      <w:sz w:val="14"/>
      <w:szCs w:val="14"/>
    </w:rPr>
  </w:style>
  <w:style w:type="character" w:customStyle="1" w:styleId="469">
    <w:name w:val="标题 2 Char"/>
    <w:qFormat/>
    <w:uiPriority w:val="0"/>
    <w:rPr>
      <w:rFonts w:ascii="Arial" w:hAnsi="Arial" w:eastAsia="黑体"/>
      <w:b/>
      <w:kern w:val="2"/>
      <w:sz w:val="32"/>
      <w:lang w:val="en-US" w:eastAsia="zh-CN"/>
    </w:rPr>
  </w:style>
  <w:style w:type="character" w:customStyle="1" w:styleId="470">
    <w:name w:val="h3 Char"/>
    <w:qFormat/>
    <w:uiPriority w:val="0"/>
    <w:rPr>
      <w:rFonts w:eastAsia="宋体"/>
      <w:b/>
      <w:kern w:val="2"/>
      <w:sz w:val="32"/>
      <w:lang w:val="en-US" w:eastAsia="zh-CN" w:bidi="ar-SA"/>
    </w:rPr>
  </w:style>
  <w:style w:type="character" w:customStyle="1" w:styleId="471">
    <w:name w:val="页眉 Char1"/>
    <w:qFormat/>
    <w:uiPriority w:val="0"/>
    <w:rPr>
      <w:rFonts w:eastAsia="宋体"/>
      <w:kern w:val="2"/>
      <w:sz w:val="18"/>
      <w:szCs w:val="18"/>
      <w:lang w:val="en-US" w:eastAsia="zh-CN" w:bidi="ar-SA"/>
    </w:rPr>
  </w:style>
  <w:style w:type="character" w:customStyle="1" w:styleId="472">
    <w:name w:val="标题 8 字符"/>
    <w:link w:val="11"/>
    <w:qFormat/>
    <w:uiPriority w:val="0"/>
    <w:rPr>
      <w:rFonts w:ascii="Arial" w:hAnsi="Arial" w:eastAsia="黑体"/>
      <w:kern w:val="2"/>
      <w:sz w:val="24"/>
      <w:szCs w:val="24"/>
    </w:rPr>
  </w:style>
  <w:style w:type="character" w:customStyle="1" w:styleId="473">
    <w:name w:val="冯广丽 Char"/>
    <w:link w:val="236"/>
    <w:qFormat/>
    <w:uiPriority w:val="0"/>
    <w:rPr>
      <w:rFonts w:ascii="宋体" w:hAnsi="宋体"/>
      <w:kern w:val="2"/>
      <w:sz w:val="24"/>
      <w:szCs w:val="22"/>
    </w:rPr>
  </w:style>
  <w:style w:type="character" w:customStyle="1" w:styleId="474">
    <w:name w:val="脚注文本 字符"/>
    <w:link w:val="49"/>
    <w:qFormat/>
    <w:uiPriority w:val="0"/>
    <w:rPr>
      <w:color w:val="0000FF"/>
      <w:sz w:val="21"/>
    </w:rPr>
  </w:style>
  <w:style w:type="character" w:customStyle="1" w:styleId="475">
    <w:name w:val="font12gray1"/>
    <w:qFormat/>
    <w:uiPriority w:val="0"/>
    <w:rPr>
      <w:rFonts w:ascii="仿宋_GB2312" w:eastAsia="微软雅黑"/>
      <w:b/>
      <w:spacing w:val="300"/>
      <w:kern w:val="2"/>
      <w:sz w:val="18"/>
      <w:szCs w:val="18"/>
      <w:lang w:val="en-US" w:eastAsia="zh-CN" w:bidi="ar-SA"/>
    </w:rPr>
  </w:style>
  <w:style w:type="character" w:customStyle="1" w:styleId="476">
    <w:name w:val="正文文本缩进 字符"/>
    <w:link w:val="25"/>
    <w:qFormat/>
    <w:uiPriority w:val="0"/>
    <w:rPr>
      <w:rFonts w:ascii="宋体" w:hAnsi="宋体"/>
      <w:kern w:val="2"/>
      <w:sz w:val="24"/>
      <w:szCs w:val="24"/>
    </w:rPr>
  </w:style>
  <w:style w:type="character" w:customStyle="1" w:styleId="477">
    <w:name w:val="方案正文 Char"/>
    <w:qFormat/>
    <w:uiPriority w:val="0"/>
    <w:rPr>
      <w:rFonts w:ascii="仿宋_GB2312" w:eastAsia="仿宋_GB2312"/>
      <w:b/>
      <w:color w:val="000000"/>
      <w:kern w:val="2"/>
      <w:sz w:val="24"/>
      <w:lang w:val="en-US" w:eastAsia="zh-CN" w:bidi="ar-SA"/>
    </w:rPr>
  </w:style>
  <w:style w:type="character" w:customStyle="1" w:styleId="478">
    <w:name w:val="Item List Char"/>
    <w:link w:val="263"/>
    <w:qFormat/>
    <w:uiPriority w:val="0"/>
    <w:rPr>
      <w:rFonts w:ascii="Arial"/>
      <w:bCs/>
      <w:sz w:val="21"/>
      <w:szCs w:val="21"/>
      <w:lang w:val="en-US" w:eastAsia="zh-CN" w:bidi="ar-SA"/>
    </w:rPr>
  </w:style>
  <w:style w:type="character" w:customStyle="1" w:styleId="479">
    <w:name w:val="Normal Indent Char Char"/>
    <w:qFormat/>
    <w:uiPriority w:val="0"/>
    <w:rPr>
      <w:rFonts w:eastAsia="宋体"/>
      <w:kern w:val="2"/>
      <w:sz w:val="21"/>
      <w:lang w:val="en-US" w:eastAsia="zh-CN" w:bidi="ar-SA"/>
    </w:rPr>
  </w:style>
  <w:style w:type="character" w:customStyle="1" w:styleId="480">
    <w:name w:val="t21"/>
    <w:qFormat/>
    <w:uiPriority w:val="0"/>
    <w:rPr>
      <w:rFonts w:ascii="仿宋_GB2312" w:eastAsia="微软雅黑"/>
      <w:b/>
      <w:kern w:val="2"/>
      <w:sz w:val="23"/>
      <w:szCs w:val="23"/>
      <w:lang w:val="en-US" w:eastAsia="zh-CN" w:bidi="ar-SA"/>
    </w:rPr>
  </w:style>
  <w:style w:type="character" w:customStyle="1" w:styleId="481">
    <w:name w:val="Char Char121"/>
    <w:qFormat/>
    <w:uiPriority w:val="0"/>
    <w:rPr>
      <w:rFonts w:ascii="仿宋_GB2312" w:eastAsia="仿宋_GB2312"/>
      <w:b/>
      <w:bCs/>
      <w:kern w:val="2"/>
      <w:sz w:val="24"/>
      <w:szCs w:val="24"/>
      <w:lang w:val="zh-CN" w:eastAsia="zh-CN" w:bidi="ar-SA"/>
    </w:rPr>
  </w:style>
  <w:style w:type="character" w:customStyle="1" w:styleId="482">
    <w:name w:val="标题 7 字符"/>
    <w:link w:val="10"/>
    <w:qFormat/>
    <w:uiPriority w:val="0"/>
    <w:rPr>
      <w:b/>
      <w:bCs/>
      <w:kern w:val="2"/>
      <w:sz w:val="24"/>
      <w:szCs w:val="24"/>
    </w:rPr>
  </w:style>
  <w:style w:type="character" w:customStyle="1" w:styleId="483">
    <w:name w:val="称呼 字符"/>
    <w:link w:val="23"/>
    <w:qFormat/>
    <w:uiPriority w:val="0"/>
    <w:rPr>
      <w:rFonts w:ascii="仿宋_GB2312" w:eastAsia="仿宋_GB2312"/>
      <w:kern w:val="2"/>
      <w:sz w:val="28"/>
    </w:rPr>
  </w:style>
  <w:style w:type="character" w:customStyle="1" w:styleId="484">
    <w:name w:val="正文 项目 Char"/>
    <w:qFormat/>
    <w:uiPriority w:val="0"/>
    <w:rPr>
      <w:rFonts w:ascii="仿宋_GB2312" w:hAnsi="仿宋_GB2312" w:eastAsia="仿宋_GB2312"/>
      <w:kern w:val="2"/>
      <w:sz w:val="24"/>
      <w:lang w:bidi="ar-SA"/>
    </w:rPr>
  </w:style>
  <w:style w:type="character" w:customStyle="1" w:styleId="485">
    <w:name w:val="普通文字 Char1"/>
    <w:qFormat/>
    <w:uiPriority w:val="0"/>
    <w:rPr>
      <w:rFonts w:ascii="宋体" w:hAnsi="Courier New" w:eastAsia="宋体"/>
      <w:kern w:val="2"/>
      <w:sz w:val="21"/>
      <w:lang w:val="en-US" w:eastAsia="zh-CN"/>
    </w:rPr>
  </w:style>
  <w:style w:type="character" w:customStyle="1" w:styleId="486">
    <w:name w:val="正文1 Char1"/>
    <w:qFormat/>
    <w:uiPriority w:val="0"/>
    <w:rPr>
      <w:rFonts w:ascii="仿宋_GB2312" w:hAnsi="Courier New" w:eastAsia="仿宋_GB2312"/>
      <w:kern w:val="28"/>
      <w:sz w:val="24"/>
      <w:szCs w:val="24"/>
    </w:rPr>
  </w:style>
  <w:style w:type="character" w:customStyle="1" w:styleId="487">
    <w:name w:val="hei16b1"/>
    <w:qFormat/>
    <w:uiPriority w:val="0"/>
    <w:rPr>
      <w:rFonts w:hint="default" w:ascii="Arial" w:hAnsi="Arial" w:cs="Arial"/>
      <w:b/>
      <w:bCs/>
      <w:color w:val="000000"/>
      <w:sz w:val="24"/>
      <w:szCs w:val="24"/>
    </w:rPr>
  </w:style>
  <w:style w:type="character" w:customStyle="1" w:styleId="488">
    <w:name w:val="c7 style3"/>
    <w:qFormat/>
    <w:uiPriority w:val="0"/>
  </w:style>
  <w:style w:type="character" w:customStyle="1" w:styleId="489">
    <w:name w:val="副标题 字符"/>
    <w:link w:val="46"/>
    <w:qFormat/>
    <w:uiPriority w:val="0"/>
    <w:rPr>
      <w:rFonts w:ascii="Arial" w:hAnsi="Arial" w:eastAsia="隶书"/>
      <w:b/>
      <w:bCs/>
      <w:kern w:val="28"/>
      <w:sz w:val="44"/>
      <w:szCs w:val="32"/>
      <w:lang w:val="en-US" w:eastAsia="zh-CN" w:bidi="ar-SA"/>
    </w:rPr>
  </w:style>
  <w:style w:type="character" w:customStyle="1" w:styleId="490">
    <w:name w:val="纯文本 字符"/>
    <w:link w:val="33"/>
    <w:qFormat/>
    <w:uiPriority w:val="0"/>
    <w:rPr>
      <w:rFonts w:ascii="宋体" w:hAnsi="Courier New" w:eastAsia="宋体" w:cs="Arial"/>
      <w:snapToGrid w:val="0"/>
      <w:kern w:val="2"/>
      <w:sz w:val="21"/>
      <w:szCs w:val="21"/>
      <w:lang w:val="en-US" w:eastAsia="zh-CN" w:bidi="ar-SA"/>
    </w:rPr>
  </w:style>
  <w:style w:type="character" w:customStyle="1" w:styleId="491">
    <w:name w:val="表正文 Char1"/>
    <w:qFormat/>
    <w:uiPriority w:val="0"/>
    <w:rPr>
      <w:rFonts w:ascii="宋体" w:eastAsia="宋体"/>
      <w:snapToGrid w:val="0"/>
      <w:color w:val="000000"/>
      <w:kern w:val="28"/>
      <w:sz w:val="28"/>
    </w:rPr>
  </w:style>
  <w:style w:type="character" w:customStyle="1" w:styleId="492">
    <w:name w:val="Char Char5"/>
    <w:qFormat/>
    <w:uiPriority w:val="0"/>
    <w:rPr>
      <w:rFonts w:ascii="宋体" w:hAnsi="Courier New" w:eastAsia="宋体"/>
      <w:kern w:val="2"/>
      <w:sz w:val="21"/>
      <w:lang w:val="en-US" w:eastAsia="zh-CN"/>
    </w:rPr>
  </w:style>
  <w:style w:type="character" w:customStyle="1" w:styleId="493">
    <w:name w:val="标题 1 Char Char"/>
    <w:qFormat/>
    <w:uiPriority w:val="0"/>
    <w:rPr>
      <w:rFonts w:hint="eastAsia" w:ascii="宋体" w:hAnsi="宋体" w:eastAsia="宋体"/>
      <w:b/>
      <w:spacing w:val="-2"/>
      <w:sz w:val="24"/>
      <w:lang w:val="en-US" w:eastAsia="zh-CN" w:bidi="ar-SA"/>
    </w:rPr>
  </w:style>
  <w:style w:type="character" w:customStyle="1" w:styleId="494">
    <w:name w:val="Char Char4"/>
    <w:qFormat/>
    <w:uiPriority w:val="0"/>
    <w:rPr>
      <w:rFonts w:eastAsia="宋体"/>
      <w:b/>
      <w:sz w:val="24"/>
      <w:lang w:val="en-GB" w:eastAsia="zh-CN" w:bidi="ar-SA"/>
    </w:rPr>
  </w:style>
  <w:style w:type="character" w:customStyle="1" w:styleId="495">
    <w:name w:val="zbggmain style9"/>
    <w:qFormat/>
    <w:uiPriority w:val="0"/>
  </w:style>
  <w:style w:type="character" w:customStyle="1" w:styleId="496">
    <w:name w:val="Header Char"/>
    <w:semiHidden/>
    <w:qFormat/>
    <w:locked/>
    <w:uiPriority w:val="0"/>
    <w:rPr>
      <w:rFonts w:eastAsia="宋体"/>
      <w:kern w:val="2"/>
      <w:sz w:val="18"/>
      <w:szCs w:val="18"/>
      <w:lang w:val="en-US" w:eastAsia="zh-CN" w:bidi="ar-SA"/>
    </w:rPr>
  </w:style>
  <w:style w:type="character" w:customStyle="1" w:styleId="497">
    <w:name w:val="样式 宋体"/>
    <w:qFormat/>
    <w:uiPriority w:val="0"/>
    <w:rPr>
      <w:rFonts w:ascii="宋体" w:hAnsi="宋体"/>
      <w:sz w:val="24"/>
    </w:rPr>
  </w:style>
  <w:style w:type="character" w:customStyle="1" w:styleId="498">
    <w:name w:val="哈哈正文 Char"/>
    <w:link w:val="314"/>
    <w:qFormat/>
    <w:uiPriority w:val="0"/>
    <w:rPr>
      <w:rFonts w:ascii="宋体" w:hAnsi="宋体" w:eastAsia="宋体"/>
      <w:kern w:val="2"/>
      <w:sz w:val="24"/>
      <w:lang w:bidi="ar-SA"/>
    </w:rPr>
  </w:style>
  <w:style w:type="character" w:customStyle="1" w:styleId="499">
    <w:name w:val="标题 Char"/>
    <w:qFormat/>
    <w:uiPriority w:val="0"/>
    <w:rPr>
      <w:rFonts w:eastAsia="宋体"/>
      <w:b/>
      <w:sz w:val="24"/>
      <w:lang w:val="en-GB" w:eastAsia="zh-CN" w:bidi="ar-SA"/>
    </w:rPr>
  </w:style>
  <w:style w:type="character" w:customStyle="1" w:styleId="500">
    <w:name w:val="纯文本 Char Char Char"/>
    <w:qFormat/>
    <w:uiPriority w:val="0"/>
    <w:rPr>
      <w:rFonts w:ascii="宋体" w:hAnsi="Courier New" w:eastAsia="宋体"/>
      <w:kern w:val="2"/>
      <w:sz w:val="21"/>
      <w:lang w:val="en-US" w:eastAsia="zh-CN" w:bidi="ar-SA"/>
    </w:rPr>
  </w:style>
  <w:style w:type="character" w:customStyle="1" w:styleId="501">
    <w:name w:val="正文 编号 Char"/>
    <w:qFormat/>
    <w:uiPriority w:val="0"/>
    <w:rPr>
      <w:rFonts w:ascii="仿宋_GB2312" w:hAnsi="仿宋_GB2312" w:eastAsia="仿宋_GB2312"/>
      <w:kern w:val="2"/>
      <w:sz w:val="24"/>
      <w:lang w:bidi="ar-SA"/>
    </w:rPr>
  </w:style>
  <w:style w:type="character" w:customStyle="1" w:styleId="502">
    <w:name w:val="插图说明 Char"/>
    <w:qFormat/>
    <w:uiPriority w:val="0"/>
    <w:rPr>
      <w:rFonts w:eastAsia="黑体"/>
      <w:sz w:val="24"/>
      <w:lang w:val="en-US" w:eastAsia="zh-CN"/>
    </w:rPr>
  </w:style>
  <w:style w:type="character" w:customStyle="1" w:styleId="503">
    <w:name w:val="正文首行缩进 2 字符"/>
    <w:link w:val="60"/>
    <w:qFormat/>
    <w:uiPriority w:val="0"/>
    <w:rPr>
      <w:rFonts w:ascii="宋体" w:hAnsi="宋体"/>
      <w:kern w:val="2"/>
      <w:sz w:val="21"/>
      <w:szCs w:val="24"/>
    </w:rPr>
  </w:style>
  <w:style w:type="character" w:customStyle="1" w:styleId="504">
    <w:name w:val="正文文本缩进 2 字符"/>
    <w:link w:val="37"/>
    <w:qFormat/>
    <w:uiPriority w:val="0"/>
    <w:rPr>
      <w:rFonts w:ascii="宋体"/>
      <w:sz w:val="28"/>
    </w:rPr>
  </w:style>
  <w:style w:type="character" w:customStyle="1" w:styleId="505">
    <w:name w:val="公文正文 Char"/>
    <w:qFormat/>
    <w:uiPriority w:val="0"/>
    <w:rPr>
      <w:rFonts w:ascii="仿宋_GB2312" w:eastAsia="仿宋_GB2312"/>
      <w:kern w:val="2"/>
      <w:sz w:val="24"/>
      <w:szCs w:val="24"/>
      <w:lang w:val="en-US" w:eastAsia="zh-CN" w:bidi="ar-SA"/>
    </w:rPr>
  </w:style>
  <w:style w:type="character" w:customStyle="1" w:styleId="506">
    <w:name w:val="Char Char41"/>
    <w:qFormat/>
    <w:uiPriority w:val="0"/>
    <w:rPr>
      <w:rFonts w:eastAsia="宋体"/>
      <w:b/>
      <w:sz w:val="24"/>
      <w:lang w:val="en-GB" w:eastAsia="zh-CN" w:bidi="ar-SA"/>
    </w:rPr>
  </w:style>
  <w:style w:type="character" w:customStyle="1" w:styleId="507">
    <w:name w:val="unnamed31"/>
    <w:qFormat/>
    <w:uiPriority w:val="0"/>
    <w:rPr>
      <w:rFonts w:ascii="Tahoma" w:hAnsi="Tahoma" w:eastAsia="宋体"/>
      <w:b/>
      <w:kern w:val="2"/>
      <w:sz w:val="24"/>
      <w:szCs w:val="32"/>
      <w:u w:val="none"/>
      <w:lang w:val="en-US" w:eastAsia="zh-CN" w:bidi="ar-SA"/>
    </w:rPr>
  </w:style>
  <w:style w:type="character" w:customStyle="1" w:styleId="508">
    <w:name w:val="Char Char91"/>
    <w:qFormat/>
    <w:uiPriority w:val="0"/>
    <w:rPr>
      <w:rFonts w:eastAsia="宋体"/>
      <w:kern w:val="2"/>
      <w:sz w:val="18"/>
      <w:szCs w:val="18"/>
      <w:lang w:val="en-US" w:eastAsia="zh-CN" w:bidi="ar-SA"/>
    </w:rPr>
  </w:style>
  <w:style w:type="character" w:customStyle="1" w:styleId="509">
    <w:name w:val="Footer-Even Char1"/>
    <w:qFormat/>
    <w:uiPriority w:val="0"/>
    <w:rPr>
      <w:rFonts w:eastAsia="宋体"/>
      <w:kern w:val="2"/>
      <w:sz w:val="18"/>
      <w:szCs w:val="18"/>
      <w:lang w:val="en-US" w:eastAsia="zh-CN" w:bidi="ar-SA"/>
    </w:rPr>
  </w:style>
  <w:style w:type="character" w:customStyle="1" w:styleId="510">
    <w:name w:val="gf正文1 Char"/>
    <w:qFormat/>
    <w:uiPriority w:val="0"/>
    <w:rPr>
      <w:rFonts w:ascii="宋体" w:hAnsi="宋体" w:eastAsia="宋体" w:cs="宋体"/>
      <w:kern w:val="2"/>
      <w:sz w:val="24"/>
      <w:szCs w:val="24"/>
      <w:lang w:val="en-US" w:eastAsia="zh-CN" w:bidi="ar-SA"/>
    </w:rPr>
  </w:style>
  <w:style w:type="character" w:customStyle="1" w:styleId="511">
    <w:name w:val="javascript"/>
    <w:qFormat/>
    <w:uiPriority w:val="0"/>
  </w:style>
  <w:style w:type="character" w:customStyle="1" w:styleId="512">
    <w:name w:val="列出段落 Char"/>
    <w:qFormat/>
    <w:uiPriority w:val="34"/>
    <w:rPr>
      <w:rFonts w:eastAsia="楷体_GB2312" w:cs="Lucida Sans"/>
      <w:kern w:val="2"/>
      <w:sz w:val="24"/>
      <w:szCs w:val="24"/>
      <w:lang w:val="en-US" w:eastAsia="zh-CN" w:bidi="ar-SA"/>
    </w:rPr>
  </w:style>
  <w:style w:type="character" w:customStyle="1" w:styleId="513">
    <w:name w:val="正文文本 字符"/>
    <w:link w:val="3"/>
    <w:qFormat/>
    <w:uiPriority w:val="0"/>
    <w:rPr>
      <w:rFonts w:ascii="宋体" w:hAnsi="Arial" w:eastAsia="宋体" w:cs="Arial"/>
      <w:snapToGrid w:val="0"/>
      <w:kern w:val="2"/>
      <w:sz w:val="24"/>
      <w:szCs w:val="21"/>
      <w:lang w:val="zh-CN" w:eastAsia="zh-CN" w:bidi="ar-SA"/>
    </w:rPr>
  </w:style>
  <w:style w:type="character" w:customStyle="1" w:styleId="514">
    <w:name w:val="标书表格字体格式 Char"/>
    <w:qFormat/>
    <w:uiPriority w:val="0"/>
    <w:rPr>
      <w:kern w:val="2"/>
      <w:sz w:val="21"/>
      <w:szCs w:val="24"/>
      <w:lang w:bidi="ar-SA"/>
    </w:rPr>
  </w:style>
  <w:style w:type="character" w:customStyle="1" w:styleId="515">
    <w:name w:val="普通文字 Char3"/>
    <w:qFormat/>
    <w:uiPriority w:val="0"/>
    <w:rPr>
      <w:rFonts w:ascii="宋体" w:hAnsi="Courier New" w:eastAsia="宋体"/>
      <w:kern w:val="2"/>
      <w:sz w:val="21"/>
      <w:lang w:val="en-US" w:eastAsia="zh-CN" w:bidi="ar-SA"/>
    </w:rPr>
  </w:style>
  <w:style w:type="character" w:customStyle="1" w:styleId="516">
    <w:name w:val="h Char Char1"/>
    <w:qFormat/>
    <w:uiPriority w:val="0"/>
    <w:rPr>
      <w:rFonts w:eastAsia="宋体"/>
      <w:kern w:val="2"/>
      <w:sz w:val="18"/>
      <w:szCs w:val="18"/>
      <w:lang w:val="en-US" w:eastAsia="zh-CN" w:bidi="ar-SA"/>
    </w:rPr>
  </w:style>
  <w:style w:type="character" w:customStyle="1" w:styleId="517">
    <w:name w:val="冯 Char"/>
    <w:link w:val="75"/>
    <w:qFormat/>
    <w:uiPriority w:val="0"/>
    <w:rPr>
      <w:rFonts w:ascii="宋体" w:hAnsi="宋体"/>
      <w:color w:val="000000"/>
      <w:sz w:val="24"/>
      <w:szCs w:val="24"/>
    </w:rPr>
  </w:style>
  <w:style w:type="character" w:customStyle="1" w:styleId="518">
    <w:name w:val="highlight1"/>
    <w:qFormat/>
    <w:uiPriority w:val="0"/>
    <w:rPr>
      <w:rFonts w:ascii="仿宋_GB2312" w:eastAsia="微软雅黑"/>
      <w:b/>
      <w:kern w:val="2"/>
      <w:sz w:val="23"/>
      <w:szCs w:val="23"/>
      <w:lang w:val="en-US" w:eastAsia="zh-CN" w:bidi="ar-SA"/>
    </w:rPr>
  </w:style>
  <w:style w:type="character" w:customStyle="1" w:styleId="519">
    <w:name w:val="样式6 Char"/>
    <w:qFormat/>
    <w:uiPriority w:val="0"/>
    <w:rPr>
      <w:rFonts w:ascii="仿宋_GB2312" w:hAnsi="宋体" w:eastAsia="仿宋_GB2312"/>
      <w:b/>
      <w:bCs/>
      <w:kern w:val="2"/>
      <w:sz w:val="24"/>
      <w:szCs w:val="24"/>
      <w:lang w:val="en-US" w:eastAsia="zh-CN" w:bidi="ar-SA"/>
    </w:rPr>
  </w:style>
  <w:style w:type="character" w:customStyle="1" w:styleId="520">
    <w:name w:val="标题 9 字符"/>
    <w:link w:val="12"/>
    <w:qFormat/>
    <w:uiPriority w:val="0"/>
    <w:rPr>
      <w:rFonts w:ascii="Arial" w:hAnsi="Arial" w:eastAsia="黑体"/>
      <w:kern w:val="2"/>
      <w:sz w:val="21"/>
      <w:szCs w:val="21"/>
    </w:rPr>
  </w:style>
  <w:style w:type="character" w:customStyle="1" w:styleId="521">
    <w:name w:val="md"/>
    <w:basedOn w:val="63"/>
    <w:qFormat/>
    <w:uiPriority w:val="0"/>
  </w:style>
  <w:style w:type="character" w:customStyle="1" w:styleId="522">
    <w:name w:val="myp11"/>
    <w:qFormat/>
    <w:uiPriority w:val="0"/>
    <w:rPr>
      <w:rFonts w:ascii="仿宋_GB2312" w:eastAsia="微软雅黑"/>
      <w:b/>
      <w:kern w:val="2"/>
      <w:sz w:val="32"/>
      <w:szCs w:val="32"/>
      <w:lang w:val="en-US" w:eastAsia="zh-CN" w:bidi="ar-SA"/>
    </w:rPr>
  </w:style>
  <w:style w:type="character" w:customStyle="1" w:styleId="523">
    <w:name w:val="Ò³Ã¼ Char Char1"/>
    <w:qFormat/>
    <w:uiPriority w:val="0"/>
    <w:rPr>
      <w:rFonts w:eastAsia="宋体"/>
      <w:kern w:val="2"/>
      <w:sz w:val="18"/>
      <w:szCs w:val="18"/>
      <w:lang w:val="en-US" w:eastAsia="zh-CN" w:bidi="ar-SA"/>
    </w:rPr>
  </w:style>
  <w:style w:type="character" w:customStyle="1" w:styleId="524">
    <w:name w:val="tw4winTerm"/>
    <w:qFormat/>
    <w:uiPriority w:val="0"/>
    <w:rPr>
      <w:color w:val="0000FF"/>
    </w:rPr>
  </w:style>
  <w:style w:type="character" w:customStyle="1" w:styleId="525">
    <w:name w:val="表格 Char Char"/>
    <w:qFormat/>
    <w:uiPriority w:val="0"/>
    <w:rPr>
      <w:rFonts w:ascii="宋体" w:hAnsi="宋体" w:eastAsia="宋体"/>
      <w:lang w:bidi="ar-SA"/>
    </w:rPr>
  </w:style>
  <w:style w:type="character" w:customStyle="1" w:styleId="526">
    <w:name w:val="样式8 Char"/>
    <w:qFormat/>
    <w:uiPriority w:val="0"/>
    <w:rPr>
      <w:rFonts w:ascii="仿宋_GB2312" w:hAnsi="宋体" w:eastAsia="仿宋_GB2312"/>
      <w:b/>
      <w:bCs/>
      <w:kern w:val="2"/>
      <w:sz w:val="24"/>
      <w:szCs w:val="24"/>
    </w:rPr>
  </w:style>
  <w:style w:type="character" w:customStyle="1" w:styleId="527">
    <w:name w:val="样式5 Char"/>
    <w:qFormat/>
    <w:uiPriority w:val="0"/>
    <w:rPr>
      <w:rFonts w:ascii="仿宋_GB2312" w:hAnsi="仿宋" w:eastAsia="仿宋_GB2312"/>
      <w:kern w:val="2"/>
      <w:sz w:val="24"/>
      <w:szCs w:val="24"/>
    </w:rPr>
  </w:style>
  <w:style w:type="character" w:customStyle="1" w:styleId="528">
    <w:name w:val="页脚 Char1"/>
    <w:qFormat/>
    <w:uiPriority w:val="0"/>
    <w:rPr>
      <w:rFonts w:eastAsia="宋体"/>
      <w:kern w:val="2"/>
      <w:sz w:val="18"/>
      <w:szCs w:val="18"/>
      <w:lang w:val="en-US" w:eastAsia="zh-CN" w:bidi="ar-SA"/>
    </w:rPr>
  </w:style>
  <w:style w:type="character" w:customStyle="1" w:styleId="529">
    <w:name w:val="tw4winJump"/>
    <w:qFormat/>
    <w:uiPriority w:val="0"/>
    <w:rPr>
      <w:rFonts w:ascii="Courier New" w:hAnsi="Courier New" w:cs="Courier New"/>
      <w:color w:val="008080"/>
    </w:rPr>
  </w:style>
  <w:style w:type="character" w:customStyle="1" w:styleId="530">
    <w:name w:val="批注文字 Char"/>
    <w:qFormat/>
    <w:uiPriority w:val="99"/>
    <w:rPr>
      <w:kern w:val="2"/>
      <w:sz w:val="21"/>
      <w:szCs w:val="24"/>
    </w:rPr>
  </w:style>
  <w:style w:type="character" w:customStyle="1" w:styleId="531">
    <w:name w:val="Char Char122"/>
    <w:qFormat/>
    <w:uiPriority w:val="0"/>
    <w:rPr>
      <w:rFonts w:ascii="仿宋_GB2312" w:eastAsia="仿宋_GB2312"/>
      <w:b/>
      <w:bCs/>
      <w:kern w:val="2"/>
      <w:sz w:val="24"/>
      <w:szCs w:val="24"/>
      <w:lang w:val="zh-CN" w:eastAsia="zh-CN" w:bidi="ar-SA"/>
    </w:rPr>
  </w:style>
  <w:style w:type="character" w:customStyle="1" w:styleId="532">
    <w:name w:val="No Spacing Char"/>
    <w:link w:val="170"/>
    <w:qFormat/>
    <w:uiPriority w:val="1"/>
    <w:rPr>
      <w:rFonts w:ascii="Calibri" w:hAnsi="Calibri"/>
      <w:sz w:val="22"/>
      <w:szCs w:val="22"/>
      <w:lang w:val="en-US" w:eastAsia="zh-CN" w:bidi="ar-SA"/>
    </w:rPr>
  </w:style>
  <w:style w:type="character" w:customStyle="1" w:styleId="533">
    <w:name w:val="Char Char21"/>
    <w:qFormat/>
    <w:uiPriority w:val="0"/>
    <w:rPr>
      <w:rFonts w:ascii="宋体" w:hAnsi="Courier New" w:eastAsia="宋体"/>
      <w:kern w:val="2"/>
      <w:sz w:val="21"/>
      <w:lang w:val="en-US" w:eastAsia="zh-CN" w:bidi="ar-SA"/>
    </w:rPr>
  </w:style>
  <w:style w:type="character" w:customStyle="1" w:styleId="534">
    <w:name w:val="Char Char8"/>
    <w:qFormat/>
    <w:uiPriority w:val="0"/>
    <w:rPr>
      <w:rFonts w:eastAsia="宋体"/>
      <w:b/>
      <w:sz w:val="24"/>
      <w:lang w:val="en-GB" w:eastAsia="zh-CN"/>
    </w:rPr>
  </w:style>
  <w:style w:type="character" w:customStyle="1" w:styleId="535">
    <w:name w:val="font21"/>
    <w:basedOn w:val="63"/>
    <w:qFormat/>
    <w:uiPriority w:val="0"/>
    <w:rPr>
      <w:rFonts w:hint="eastAsia" w:ascii="宋体" w:hAnsi="宋体" w:eastAsia="宋体"/>
      <w:kern w:val="2"/>
      <w:sz w:val="28"/>
      <w:szCs w:val="28"/>
      <w:lang w:val="en-US" w:eastAsia="zh-CN" w:bidi="ar-SA"/>
    </w:rPr>
  </w:style>
  <w:style w:type="character" w:customStyle="1" w:styleId="536">
    <w:name w:val="正文2 Char"/>
    <w:qFormat/>
    <w:uiPriority w:val="0"/>
    <w:rPr>
      <w:rFonts w:eastAsia="宋体"/>
      <w:kern w:val="2"/>
      <w:sz w:val="24"/>
      <w:lang w:val="en-US" w:eastAsia="zh-CN" w:bidi="ar-SA"/>
    </w:rPr>
  </w:style>
  <w:style w:type="character" w:customStyle="1" w:styleId="537">
    <w:name w:val="big1"/>
    <w:qFormat/>
    <w:uiPriority w:val="0"/>
    <w:rPr>
      <w:rFonts w:hint="eastAsia" w:ascii="宋体" w:hAnsi="宋体" w:eastAsia="宋体"/>
      <w:color w:val="333333"/>
      <w:sz w:val="22"/>
      <w:szCs w:val="22"/>
    </w:rPr>
  </w:style>
  <w:style w:type="character" w:customStyle="1" w:styleId="538">
    <w:name w:val="Body Text(ch) Char Char"/>
    <w:qFormat/>
    <w:uiPriority w:val="0"/>
    <w:rPr>
      <w:rFonts w:ascii="宋体"/>
      <w:kern w:val="2"/>
      <w:sz w:val="24"/>
      <w:szCs w:val="21"/>
      <w:lang w:val="zh-CN"/>
    </w:rPr>
  </w:style>
  <w:style w:type="character" w:customStyle="1" w:styleId="539">
    <w:name w:val="blue1"/>
    <w:basedOn w:val="63"/>
    <w:qFormat/>
    <w:uiPriority w:val="0"/>
  </w:style>
  <w:style w:type="character" w:customStyle="1" w:styleId="540">
    <w:name w:val="正文 项目2 Char"/>
    <w:basedOn w:val="484"/>
    <w:qFormat/>
    <w:uiPriority w:val="0"/>
    <w:rPr>
      <w:rFonts w:ascii="仿宋_GB2312" w:hAnsi="仿宋_GB2312" w:eastAsia="仿宋_GB2312"/>
      <w:kern w:val="2"/>
      <w:sz w:val="24"/>
      <w:lang w:bidi="ar-SA"/>
    </w:rPr>
  </w:style>
  <w:style w:type="character" w:customStyle="1" w:styleId="541">
    <w:name w:val="solutionfonts"/>
    <w:qFormat/>
    <w:uiPriority w:val="0"/>
  </w:style>
  <w:style w:type="character" w:customStyle="1" w:styleId="542">
    <w:name w:val="Char Char81"/>
    <w:qFormat/>
    <w:uiPriority w:val="0"/>
    <w:rPr>
      <w:rFonts w:eastAsia="宋体"/>
      <w:b/>
      <w:sz w:val="24"/>
      <w:lang w:val="en-GB" w:eastAsia="zh-CN"/>
    </w:rPr>
  </w:style>
  <w:style w:type="character" w:customStyle="1" w:styleId="543">
    <w:name w:val="Char Char2"/>
    <w:qFormat/>
    <w:uiPriority w:val="0"/>
    <w:rPr>
      <w:rFonts w:eastAsia="宋体"/>
      <w:b/>
      <w:bCs/>
      <w:kern w:val="2"/>
      <w:sz w:val="21"/>
      <w:szCs w:val="24"/>
      <w:lang w:val="en-US" w:eastAsia="zh-CN" w:bidi="ar-SA"/>
    </w:rPr>
  </w:style>
  <w:style w:type="character" w:customStyle="1" w:styleId="544">
    <w:name w:val="HTML 预设格式 字符"/>
    <w:link w:val="56"/>
    <w:qFormat/>
    <w:uiPriority w:val="0"/>
    <w:rPr>
      <w:rFonts w:ascii="黑体" w:hAnsi="Courier New" w:eastAsia="黑体"/>
    </w:rPr>
  </w:style>
  <w:style w:type="character" w:customStyle="1" w:styleId="545">
    <w:name w:val="Heading 7 Char"/>
    <w:qFormat/>
    <w:locked/>
    <w:uiPriority w:val="0"/>
    <w:rPr>
      <w:rFonts w:ascii="宋体" w:hAnsi="宋体" w:eastAsia="宋体"/>
      <w:b/>
      <w:bCs/>
      <w:kern w:val="2"/>
      <w:sz w:val="24"/>
      <w:szCs w:val="24"/>
      <w:lang w:val="en-US" w:eastAsia="zh-CN" w:bidi="ar-SA"/>
    </w:rPr>
  </w:style>
  <w:style w:type="character" w:customStyle="1" w:styleId="546">
    <w:name w:val="正文首行缩进 字符"/>
    <w:link w:val="2"/>
    <w:qFormat/>
    <w:uiPriority w:val="0"/>
    <w:rPr>
      <w:rFonts w:ascii="宋体"/>
      <w:kern w:val="2"/>
      <w:sz w:val="24"/>
      <w:lang w:val="zh-CN"/>
    </w:rPr>
  </w:style>
  <w:style w:type="character" w:customStyle="1" w:styleId="547">
    <w:name w:val="标题 2 Char Char"/>
    <w:qFormat/>
    <w:uiPriority w:val="0"/>
    <w:rPr>
      <w:rFonts w:ascii="楷体_GB2312" w:hAnsi="Arial" w:eastAsia="楷体_GB2312"/>
      <w:b/>
      <w:bCs/>
      <w:kern w:val="2"/>
      <w:sz w:val="24"/>
      <w:szCs w:val="32"/>
      <w:lang w:val="en-US" w:eastAsia="zh-CN" w:bidi="ar-SA"/>
    </w:rPr>
  </w:style>
  <w:style w:type="character" w:customStyle="1" w:styleId="548">
    <w:name w:val="pt141"/>
    <w:qFormat/>
    <w:uiPriority w:val="0"/>
    <w:rPr>
      <w:color w:val="330066"/>
      <w:sz w:val="22"/>
      <w:szCs w:val="22"/>
    </w:rPr>
  </w:style>
  <w:style w:type="character" w:customStyle="1" w:styleId="549">
    <w:name w:val="h Char Char"/>
    <w:qFormat/>
    <w:uiPriority w:val="0"/>
    <w:rPr>
      <w:rFonts w:eastAsia="宋体"/>
      <w:kern w:val="2"/>
      <w:sz w:val="18"/>
      <w:lang w:val="en-US" w:eastAsia="zh-CN" w:bidi="ar-SA"/>
    </w:rPr>
  </w:style>
  <w:style w:type="character" w:customStyle="1" w:styleId="550">
    <w:name w:val="标题 1 字符"/>
    <w:link w:val="4"/>
    <w:qFormat/>
    <w:uiPriority w:val="0"/>
    <w:rPr>
      <w:b/>
      <w:bCs/>
      <w:kern w:val="44"/>
      <w:sz w:val="44"/>
      <w:szCs w:val="44"/>
    </w:rPr>
  </w:style>
  <w:style w:type="character" w:customStyle="1" w:styleId="551">
    <w:name w:val="页眉 Char"/>
    <w:qFormat/>
    <w:uiPriority w:val="0"/>
    <w:rPr>
      <w:rFonts w:eastAsia="仿宋_GB2312"/>
      <w:kern w:val="2"/>
      <w:sz w:val="18"/>
      <w:lang w:val="en-US" w:eastAsia="zh-CN"/>
    </w:rPr>
  </w:style>
  <w:style w:type="character" w:customStyle="1" w:styleId="552">
    <w:name w:val="b11_01b Char"/>
    <w:link w:val="410"/>
    <w:qFormat/>
    <w:uiPriority w:val="0"/>
    <w:rPr>
      <w:rFonts w:ascii="Verdana" w:hAnsi="Verdana"/>
      <w:b/>
      <w:bCs/>
      <w:color w:val="4A82CA"/>
      <w:sz w:val="17"/>
      <w:szCs w:val="17"/>
    </w:rPr>
  </w:style>
  <w:style w:type="character" w:customStyle="1" w:styleId="553">
    <w:name w:val="标题4-dyf Char"/>
    <w:link w:val="348"/>
    <w:qFormat/>
    <w:uiPriority w:val="0"/>
    <w:rPr>
      <w:rFonts w:ascii="Cambria" w:hAnsi="Cambria"/>
      <w:b/>
      <w:bCs/>
      <w:color w:val="000000"/>
      <w:kern w:val="2"/>
      <w:sz w:val="21"/>
      <w:szCs w:val="21"/>
    </w:rPr>
  </w:style>
  <w:style w:type="character" w:customStyle="1" w:styleId="554">
    <w:name w:val="批注主题 Char"/>
    <w:qFormat/>
    <w:uiPriority w:val="0"/>
    <w:rPr>
      <w:rFonts w:eastAsia="宋体"/>
      <w:b/>
      <w:bCs/>
      <w:kern w:val="2"/>
      <w:sz w:val="21"/>
      <w:szCs w:val="24"/>
      <w:lang w:val="en-US" w:eastAsia="zh-CN" w:bidi="ar-SA"/>
    </w:rPr>
  </w:style>
  <w:style w:type="character" w:customStyle="1" w:styleId="55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6">
    <w:name w:val="正文首行缩进两字 Char"/>
    <w:qFormat/>
    <w:uiPriority w:val="0"/>
    <w:rPr>
      <w:sz w:val="24"/>
      <w:szCs w:val="24"/>
      <w:lang w:val="en-US" w:eastAsia="zh-CN" w:bidi="ar-SA"/>
    </w:rPr>
  </w:style>
  <w:style w:type="character" w:customStyle="1" w:styleId="557">
    <w:name w:val="Char Char51"/>
    <w:qFormat/>
    <w:uiPriority w:val="0"/>
    <w:rPr>
      <w:rFonts w:ascii="宋体" w:hAnsi="Courier New" w:eastAsia="宋体"/>
      <w:kern w:val="2"/>
      <w:sz w:val="21"/>
      <w:lang w:val="en-US" w:eastAsia="zh-CN"/>
    </w:rPr>
  </w:style>
  <w:style w:type="character" w:customStyle="1" w:styleId="558">
    <w:name w:val="带编号样式 Char"/>
    <w:qFormat/>
    <w:uiPriority w:val="0"/>
    <w:rPr>
      <w:rFonts w:ascii="仿宋_GB2312" w:eastAsia="仿宋_GB2312"/>
      <w:color w:val="000000"/>
      <w:sz w:val="24"/>
      <w:lang w:bidi="ar-SA"/>
    </w:rPr>
  </w:style>
  <w:style w:type="character" w:customStyle="1" w:styleId="559">
    <w:name w:val="样式4 Char"/>
    <w:qFormat/>
    <w:uiPriority w:val="0"/>
    <w:rPr>
      <w:rFonts w:ascii="仿宋_GB2312" w:hAnsi="仿宋" w:eastAsia="仿宋_GB2312"/>
      <w:b/>
      <w:kern w:val="2"/>
      <w:sz w:val="32"/>
      <w:szCs w:val="32"/>
      <w:lang w:bidi="ar-SA"/>
    </w:rPr>
  </w:style>
  <w:style w:type="character" w:customStyle="1" w:styleId="560">
    <w:name w:val="样式 标题 4h4H4Fab-4T5Ref Heading 1rh1Heading sqlsect 1.2.3.... Char"/>
    <w:link w:val="172"/>
    <w:qFormat/>
    <w:uiPriority w:val="0"/>
    <w:rPr>
      <w:rFonts w:ascii="微软雅黑" w:hAnsi="微软雅黑" w:eastAsia="微软雅黑"/>
      <w:b/>
      <w:bCs/>
      <w:kern w:val="2"/>
      <w:sz w:val="24"/>
      <w:szCs w:val="28"/>
    </w:rPr>
  </w:style>
  <w:style w:type="character" w:customStyle="1" w:styleId="561">
    <w:name w:val="PI Char"/>
    <w:qFormat/>
    <w:uiPriority w:val="0"/>
    <w:rPr>
      <w:rFonts w:ascii="宋体" w:hAnsi="宋体" w:eastAsia="宋体"/>
      <w:kern w:val="2"/>
      <w:sz w:val="24"/>
      <w:szCs w:val="24"/>
      <w:lang w:val="en-US" w:eastAsia="zh-CN" w:bidi="ar-SA"/>
    </w:rPr>
  </w:style>
  <w:style w:type="character" w:customStyle="1" w:styleId="562">
    <w:name w:val="Char Char111"/>
    <w:qFormat/>
    <w:locked/>
    <w:uiPriority w:val="0"/>
    <w:rPr>
      <w:rFonts w:ascii="宋体" w:hAnsi="宋体" w:eastAsia="宋体"/>
      <w:b/>
      <w:kern w:val="2"/>
      <w:sz w:val="24"/>
      <w:szCs w:val="24"/>
      <w:lang w:val="en-US" w:eastAsia="zh-CN" w:bidi="ar-SA"/>
    </w:rPr>
  </w:style>
  <w:style w:type="character" w:customStyle="1" w:styleId="563">
    <w:name w:val="Document Map Char"/>
    <w:semiHidden/>
    <w:qFormat/>
    <w:locked/>
    <w:uiPriority w:val="0"/>
    <w:rPr>
      <w:rFonts w:eastAsia="宋体"/>
      <w:kern w:val="2"/>
      <w:sz w:val="21"/>
      <w:szCs w:val="24"/>
      <w:lang w:val="en-US" w:eastAsia="zh-CN" w:bidi="ar-SA"/>
    </w:rPr>
  </w:style>
  <w:style w:type="character" w:customStyle="1" w:styleId="564">
    <w:name w:val="正文文本缩进 Char"/>
    <w:qFormat/>
    <w:uiPriority w:val="0"/>
    <w:rPr>
      <w:rFonts w:ascii="宋体" w:hAnsi="宋体"/>
      <w:kern w:val="2"/>
      <w:sz w:val="24"/>
      <w:szCs w:val="24"/>
    </w:rPr>
  </w:style>
  <w:style w:type="character" w:customStyle="1" w:styleId="565">
    <w:name w:val="文本正文 Char Char"/>
    <w:qFormat/>
    <w:locked/>
    <w:uiPriority w:val="0"/>
    <w:rPr>
      <w:sz w:val="24"/>
      <w:lang w:bidi="ar-SA"/>
    </w:rPr>
  </w:style>
  <w:style w:type="character" w:customStyle="1" w:styleId="566">
    <w:name w:val="样式7 Char"/>
    <w:qFormat/>
    <w:uiPriority w:val="0"/>
    <w:rPr>
      <w:rFonts w:ascii="仿宋_GB2312" w:hAnsi="仿宋" w:eastAsia="仿宋_GB2312"/>
      <w:b/>
      <w:kern w:val="2"/>
      <w:sz w:val="24"/>
      <w:szCs w:val="24"/>
    </w:rPr>
  </w:style>
  <w:style w:type="character" w:customStyle="1" w:styleId="567">
    <w:name w:val="样式3 Char"/>
    <w:basedOn w:val="568"/>
    <w:qFormat/>
    <w:uiPriority w:val="0"/>
    <w:rPr>
      <w:rFonts w:ascii="仿宋_GB2312" w:hAnsi="仿宋" w:eastAsia="仿宋_GB2312" w:cs="仿宋_GB2312"/>
      <w:sz w:val="32"/>
      <w:szCs w:val="30"/>
      <w:lang w:val="zh-CN"/>
    </w:rPr>
  </w:style>
  <w:style w:type="character" w:customStyle="1" w:styleId="568">
    <w:name w:val="样式2 Char"/>
    <w:qFormat/>
    <w:uiPriority w:val="0"/>
    <w:rPr>
      <w:rFonts w:ascii="仿宋_GB2312" w:hAnsi="仿宋" w:eastAsia="仿宋_GB2312" w:cs="仿宋_GB2312"/>
      <w:b/>
      <w:bCs/>
      <w:sz w:val="32"/>
      <w:szCs w:val="30"/>
      <w:lang w:val="zh-CN"/>
    </w:rPr>
  </w:style>
  <w:style w:type="character" w:customStyle="1" w:styleId="569">
    <w:name w:val="二级标题 Char Char"/>
    <w:qFormat/>
    <w:uiPriority w:val="0"/>
    <w:rPr>
      <w:rFonts w:ascii="宋体" w:hAnsi="宋体" w:eastAsia="宋体"/>
      <w:b/>
      <w:snapToGrid w:val="0"/>
      <w:kern w:val="2"/>
      <w:sz w:val="24"/>
      <w:szCs w:val="24"/>
      <w:lang w:val="en-US" w:eastAsia="zh-CN" w:bidi="ar-SA"/>
    </w:rPr>
  </w:style>
  <w:style w:type="character" w:customStyle="1" w:styleId="570">
    <w:name w:val="Table Text Char1"/>
    <w:qFormat/>
    <w:uiPriority w:val="0"/>
    <w:rPr>
      <w:rFonts w:eastAsia="宋体"/>
      <w:sz w:val="24"/>
      <w:szCs w:val="24"/>
      <w:lang w:val="en-US" w:eastAsia="zh-CN" w:bidi="ar-SA"/>
    </w:rPr>
  </w:style>
  <w:style w:type="character" w:customStyle="1" w:styleId="571">
    <w:name w:val="shadow11"/>
    <w:qFormat/>
    <w:uiPriority w:val="0"/>
    <w:rPr>
      <w:color w:val="000000"/>
      <w:sz w:val="21"/>
    </w:rPr>
  </w:style>
  <w:style w:type="character" w:customStyle="1" w:styleId="572">
    <w:name w:val="HTML 地址 字符"/>
    <w:link w:val="30"/>
    <w:qFormat/>
    <w:uiPriority w:val="0"/>
    <w:rPr>
      <w:rFonts w:ascii="宋体" w:hAnsi="宋体"/>
      <w:i/>
      <w:iCs/>
      <w:sz w:val="24"/>
      <w:szCs w:val="24"/>
    </w:rPr>
  </w:style>
  <w:style w:type="character" w:customStyle="1" w:styleId="573">
    <w:name w:val="Char Char22"/>
    <w:qFormat/>
    <w:uiPriority w:val="0"/>
    <w:rPr>
      <w:rFonts w:eastAsia="宋体"/>
      <w:b/>
      <w:bCs/>
      <w:kern w:val="2"/>
      <w:sz w:val="21"/>
      <w:szCs w:val="24"/>
      <w:lang w:val="en-US" w:eastAsia="zh-CN" w:bidi="ar-SA"/>
    </w:rPr>
  </w:style>
  <w:style w:type="character" w:customStyle="1" w:styleId="574">
    <w:name w:val="标题 5 字符"/>
    <w:link w:val="8"/>
    <w:qFormat/>
    <w:uiPriority w:val="0"/>
    <w:rPr>
      <w:b/>
      <w:bCs/>
      <w:kern w:val="2"/>
      <w:sz w:val="28"/>
      <w:szCs w:val="28"/>
    </w:rPr>
  </w:style>
  <w:style w:type="character" w:customStyle="1" w:styleId="575">
    <w:name w:val="h3 Char1"/>
    <w:qFormat/>
    <w:uiPriority w:val="0"/>
    <w:rPr>
      <w:rFonts w:eastAsia="宋体"/>
      <w:b/>
      <w:bCs/>
      <w:kern w:val="2"/>
      <w:sz w:val="32"/>
      <w:szCs w:val="32"/>
      <w:lang w:bidi="ar-SA"/>
    </w:rPr>
  </w:style>
  <w:style w:type="character" w:customStyle="1" w:styleId="576">
    <w:name w:val="FA正文 Char Char"/>
    <w:qFormat/>
    <w:uiPriority w:val="0"/>
    <w:rPr>
      <w:rFonts w:hAnsi="宋体"/>
      <w:kern w:val="2"/>
      <w:sz w:val="24"/>
      <w:lang w:bidi="ar-SA"/>
    </w:rPr>
  </w:style>
  <w:style w:type="character" w:customStyle="1" w:styleId="577">
    <w:name w:val="Char Char7"/>
    <w:semiHidden/>
    <w:qFormat/>
    <w:uiPriority w:val="0"/>
    <w:rPr>
      <w:rFonts w:eastAsia="宋体"/>
      <w:kern w:val="2"/>
      <w:sz w:val="21"/>
      <w:szCs w:val="24"/>
      <w:lang w:val="en-US" w:eastAsia="zh-CN" w:bidi="ar-SA"/>
    </w:rPr>
  </w:style>
  <w:style w:type="character" w:customStyle="1" w:styleId="578">
    <w:name w:val="hui"/>
    <w:basedOn w:val="63"/>
    <w:qFormat/>
    <w:uiPriority w:val="0"/>
  </w:style>
  <w:style w:type="character" w:customStyle="1" w:styleId="579">
    <w:name w:val="正文缩进 Char"/>
    <w:qFormat/>
    <w:uiPriority w:val="0"/>
    <w:rPr>
      <w:rFonts w:eastAsia="宋体"/>
      <w:kern w:val="2"/>
      <w:sz w:val="21"/>
      <w:lang w:val="en-US" w:eastAsia="zh-CN"/>
    </w:rPr>
  </w:style>
  <w:style w:type="character" w:customStyle="1" w:styleId="580">
    <w:name w:val="正文1 Char"/>
    <w:qFormat/>
    <w:uiPriority w:val="0"/>
    <w:rPr>
      <w:rFonts w:ascii="宋体" w:eastAsia="宋体"/>
      <w:snapToGrid w:val="0"/>
      <w:color w:val="000000"/>
      <w:kern w:val="28"/>
      <w:sz w:val="28"/>
      <w:lang w:val="en-US" w:eastAsia="zh-CN" w:bidi="ar-SA"/>
    </w:rPr>
  </w:style>
  <w:style w:type="character" w:customStyle="1" w:styleId="581">
    <w:name w:val="Char Char61"/>
    <w:qFormat/>
    <w:uiPriority w:val="0"/>
    <w:rPr>
      <w:rFonts w:eastAsia="宋体"/>
      <w:kern w:val="2"/>
      <w:sz w:val="21"/>
      <w:szCs w:val="24"/>
      <w:lang w:val="en-US" w:eastAsia="zh-CN" w:bidi="ar-SA"/>
    </w:rPr>
  </w:style>
  <w:style w:type="character" w:customStyle="1" w:styleId="582">
    <w:name w:val="正文文本 3 字符"/>
    <w:link w:val="24"/>
    <w:qFormat/>
    <w:uiPriority w:val="0"/>
    <w:rPr>
      <w:kern w:val="2"/>
      <w:sz w:val="21"/>
    </w:rPr>
  </w:style>
  <w:style w:type="character" w:customStyle="1" w:styleId="583">
    <w:name w:val="message1"/>
    <w:qFormat/>
    <w:uiPriority w:val="0"/>
    <w:rPr>
      <w:rFonts w:hint="default" w:ascii="Tahoma" w:hAnsi="Tahoma" w:cs="Tahoma"/>
      <w:sz w:val="18"/>
      <w:szCs w:val="18"/>
    </w:rPr>
  </w:style>
  <w:style w:type="character" w:customStyle="1" w:styleId="584">
    <w:name w:val="DO_NOT_TRANSLATE"/>
    <w:qFormat/>
    <w:uiPriority w:val="0"/>
    <w:rPr>
      <w:rFonts w:ascii="Courier New" w:hAnsi="Courier New" w:cs="Courier New"/>
      <w:color w:val="800000"/>
    </w:rPr>
  </w:style>
  <w:style w:type="character" w:customStyle="1" w:styleId="585">
    <w:name w:val="unnamed11"/>
    <w:qFormat/>
    <w:uiPriority w:val="0"/>
    <w:rPr>
      <w:sz w:val="20"/>
      <w:szCs w:val="20"/>
    </w:rPr>
  </w:style>
  <w:style w:type="character" w:customStyle="1" w:styleId="586">
    <w:name w:val="tw4winInternal"/>
    <w:qFormat/>
    <w:uiPriority w:val="0"/>
    <w:rPr>
      <w:rFonts w:ascii="Courier New" w:hAnsi="Courier New" w:cs="Courier New"/>
      <w:color w:val="FF0000"/>
    </w:rPr>
  </w:style>
  <w:style w:type="character" w:customStyle="1" w:styleId="587">
    <w:name w:val="正文（缩进2汉字） Char"/>
    <w:link w:val="327"/>
    <w:qFormat/>
    <w:uiPriority w:val="0"/>
    <w:rPr>
      <w:rFonts w:ascii="宋体"/>
    </w:rPr>
  </w:style>
  <w:style w:type="character" w:customStyle="1" w:styleId="588">
    <w:name w:val="页脚 Char"/>
    <w:qFormat/>
    <w:uiPriority w:val="0"/>
    <w:rPr>
      <w:rFonts w:eastAsia="仿宋_GB2312"/>
      <w:kern w:val="2"/>
      <w:sz w:val="18"/>
      <w:lang w:val="en-US" w:eastAsia="zh-CN"/>
    </w:rPr>
  </w:style>
  <w:style w:type="character" w:customStyle="1" w:styleId="589">
    <w:name w:val="正文文本缩进 3 字符"/>
    <w:link w:val="52"/>
    <w:qFormat/>
    <w:uiPriority w:val="0"/>
    <w:rPr>
      <w:kern w:val="2"/>
      <w:sz w:val="24"/>
    </w:rPr>
  </w:style>
  <w:style w:type="character" w:customStyle="1" w:styleId="590">
    <w:name w:val="正文缩进 Char1"/>
    <w:qFormat/>
    <w:uiPriority w:val="0"/>
    <w:rPr>
      <w:rFonts w:ascii="宋体" w:eastAsia="宋体"/>
      <w:snapToGrid w:val="0"/>
      <w:color w:val="000000"/>
      <w:kern w:val="28"/>
      <w:sz w:val="28"/>
      <w:lang w:val="en-US" w:eastAsia="zh-CN" w:bidi="ar-SA"/>
    </w:rPr>
  </w:style>
  <w:style w:type="character" w:customStyle="1" w:styleId="591">
    <w:name w:val="style36"/>
    <w:basedOn w:val="63"/>
    <w:qFormat/>
    <w:uiPriority w:val="0"/>
  </w:style>
  <w:style w:type="character" w:customStyle="1" w:styleId="592">
    <w:name w:val="hui3"/>
    <w:qFormat/>
    <w:uiPriority w:val="0"/>
    <w:rPr>
      <w:color w:val="333333"/>
    </w:rPr>
  </w:style>
  <w:style w:type="character" w:customStyle="1" w:styleId="593">
    <w:name w:val="apple-converted-space"/>
    <w:qFormat/>
    <w:uiPriority w:val="0"/>
  </w:style>
  <w:style w:type="character" w:customStyle="1" w:styleId="594">
    <w:name w:val="文档结构图 Char"/>
    <w:qFormat/>
    <w:uiPriority w:val="0"/>
    <w:rPr>
      <w:rFonts w:eastAsia="宋体"/>
      <w:kern w:val="2"/>
      <w:sz w:val="21"/>
      <w:szCs w:val="24"/>
      <w:lang w:val="en-US" w:eastAsia="zh-CN" w:bidi="ar-SA"/>
    </w:rPr>
  </w:style>
  <w:style w:type="character" w:customStyle="1" w:styleId="595">
    <w:name w:val="正文非缩进 Char3"/>
    <w:qFormat/>
    <w:uiPriority w:val="0"/>
    <w:rPr>
      <w:rFonts w:ascii="宋体" w:eastAsia="宋体"/>
      <w:snapToGrid w:val="0"/>
      <w:color w:val="000000"/>
      <w:kern w:val="28"/>
      <w:sz w:val="28"/>
      <w:lang w:val="en-US" w:eastAsia="zh-CN" w:bidi="ar-SA"/>
    </w:rPr>
  </w:style>
  <w:style w:type="character" w:customStyle="1" w:styleId="596">
    <w:name w:val="dectext1"/>
    <w:qFormat/>
    <w:uiPriority w:val="0"/>
    <w:rPr>
      <w:rFonts w:ascii="宋体" w:hAnsi="宋体" w:eastAsia="宋体"/>
      <w:color w:val="333333"/>
      <w:sz w:val="21"/>
      <w:szCs w:val="21"/>
      <w:u w:val="none"/>
    </w:rPr>
  </w:style>
  <w:style w:type="character" w:customStyle="1" w:styleId="597">
    <w:name w:val="副标题 Char1"/>
    <w:qFormat/>
    <w:uiPriority w:val="0"/>
    <w:rPr>
      <w:rFonts w:ascii="Cambria" w:hAnsi="Cambria" w:eastAsia="宋体" w:cs="Times New Roman"/>
      <w:b/>
      <w:bCs/>
      <w:snapToGrid w:val="0"/>
      <w:kern w:val="28"/>
      <w:sz w:val="32"/>
      <w:szCs w:val="32"/>
    </w:rPr>
  </w:style>
  <w:style w:type="character" w:customStyle="1" w:styleId="598">
    <w:name w:val="f141"/>
    <w:qFormat/>
    <w:uiPriority w:val="0"/>
    <w:rPr>
      <w:rFonts w:ascii="Tahoma" w:hAnsi="Tahoma" w:eastAsia="宋体"/>
      <w:b/>
      <w:kern w:val="2"/>
      <w:sz w:val="21"/>
      <w:szCs w:val="21"/>
      <w:lang w:val="en-US" w:eastAsia="zh-CN" w:bidi="ar-SA"/>
    </w:rPr>
  </w:style>
  <w:style w:type="character" w:customStyle="1" w:styleId="599">
    <w:name w:val="日期 字符"/>
    <w:link w:val="36"/>
    <w:qFormat/>
    <w:uiPriority w:val="0"/>
    <w:rPr>
      <w:rFonts w:ascii="宋体"/>
      <w:kern w:val="2"/>
      <w:sz w:val="24"/>
      <w:szCs w:val="21"/>
      <w:lang w:val="zh-CN"/>
    </w:rPr>
  </w:style>
  <w:style w:type="character" w:customStyle="1" w:styleId="600">
    <w:name w:val="标题 4 字符"/>
    <w:link w:val="7"/>
    <w:qFormat/>
    <w:uiPriority w:val="0"/>
    <w:rPr>
      <w:rFonts w:ascii="Arial" w:hAnsi="Arial" w:eastAsia="黑体"/>
      <w:b/>
      <w:bCs/>
      <w:kern w:val="2"/>
      <w:sz w:val="28"/>
      <w:szCs w:val="28"/>
      <w:lang w:val="zh-CN"/>
    </w:rPr>
  </w:style>
  <w:style w:type="character" w:customStyle="1" w:styleId="601">
    <w:name w:val="链接"/>
    <w:qFormat/>
    <w:uiPriority w:val="0"/>
    <w:rPr>
      <w:color w:val="0000FF"/>
      <w:sz w:val="21"/>
      <w:szCs w:val="21"/>
      <w:u w:val="single"/>
    </w:rPr>
  </w:style>
  <w:style w:type="character" w:customStyle="1" w:styleId="602">
    <w:name w:val="正文首行缩进 Char Char Char Char Char Char"/>
    <w:qFormat/>
    <w:uiPriority w:val="0"/>
    <w:rPr>
      <w:rFonts w:ascii="宋体" w:eastAsia="宋体"/>
      <w:kern w:val="2"/>
      <w:sz w:val="24"/>
      <w:lang w:val="zh-CN" w:bidi="ar-SA"/>
    </w:rPr>
  </w:style>
  <w:style w:type="character" w:customStyle="1" w:styleId="603">
    <w:name w:val="tw4winError"/>
    <w:qFormat/>
    <w:uiPriority w:val="0"/>
    <w:rPr>
      <w:rFonts w:ascii="Courier New" w:hAnsi="Courier New" w:cs="Courier New"/>
      <w:color w:val="00FF00"/>
      <w:sz w:val="40"/>
      <w:szCs w:val="40"/>
    </w:rPr>
  </w:style>
  <w:style w:type="character" w:customStyle="1" w:styleId="604">
    <w:name w:val="Used by Word for text of Help footnotes Char Char"/>
    <w:semiHidden/>
    <w:qFormat/>
    <w:uiPriority w:val="0"/>
    <w:rPr>
      <w:rFonts w:ascii="Times New Roman" w:hAnsi="Times New Roman" w:eastAsia="宋体" w:cs="Times New Roman"/>
      <w:sz w:val="20"/>
      <w:szCs w:val="20"/>
    </w:rPr>
  </w:style>
  <w:style w:type="character" w:customStyle="1" w:styleId="605">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6">
    <w:name w:val="表正文 Char"/>
    <w:qFormat/>
    <w:uiPriority w:val="0"/>
    <w:rPr>
      <w:rFonts w:ascii="宋体" w:eastAsia="宋体"/>
      <w:snapToGrid w:val="0"/>
      <w:color w:val="000000"/>
      <w:kern w:val="28"/>
      <w:sz w:val="28"/>
      <w:lang w:val="en-US" w:eastAsia="zh-CN" w:bidi="ar-SA"/>
    </w:rPr>
  </w:style>
  <w:style w:type="character" w:customStyle="1" w:styleId="607">
    <w:name w:val="普通文字 Char1 Char"/>
    <w:qFormat/>
    <w:uiPriority w:val="0"/>
    <w:rPr>
      <w:rFonts w:ascii="宋体" w:hAnsi="Courier New" w:eastAsia="宋体"/>
      <w:kern w:val="2"/>
      <w:sz w:val="21"/>
      <w:szCs w:val="24"/>
      <w:lang w:val="en-US" w:eastAsia="zh-CN" w:bidi="ar-SA"/>
    </w:rPr>
  </w:style>
  <w:style w:type="character" w:customStyle="1" w:styleId="608">
    <w:name w:val="pt9"/>
    <w:qFormat/>
    <w:uiPriority w:val="0"/>
    <w:rPr>
      <w:rFonts w:ascii="仿宋_GB2312" w:eastAsia="微软雅黑"/>
      <w:b/>
      <w:kern w:val="2"/>
      <w:sz w:val="32"/>
      <w:szCs w:val="32"/>
      <w:lang w:val="en-US" w:eastAsia="zh-CN" w:bidi="ar-SA"/>
    </w:rPr>
  </w:style>
  <w:style w:type="character" w:customStyle="1" w:styleId="609">
    <w:name w:val="large1"/>
    <w:qFormat/>
    <w:uiPriority w:val="0"/>
    <w:rPr>
      <w:rFonts w:hint="eastAsia" w:ascii="宋体" w:hAnsi="宋体" w:eastAsia="宋体"/>
      <w:sz w:val="21"/>
      <w:szCs w:val="21"/>
    </w:rPr>
  </w:style>
  <w:style w:type="character" w:customStyle="1" w:styleId="610">
    <w:name w:val="样式 样式 标题 4h4H4Fab-4T5Ref Heading 1rh1Heading sqlsect 1.2.3.... +... Char"/>
    <w:link w:val="171"/>
    <w:qFormat/>
    <w:uiPriority w:val="0"/>
    <w:rPr>
      <w:rFonts w:ascii="微软雅黑" w:hAnsi="微软雅黑" w:eastAsia="微软雅黑"/>
      <w:b/>
      <w:bCs/>
      <w:kern w:val="2"/>
      <w:sz w:val="24"/>
      <w:szCs w:val="28"/>
    </w:rPr>
  </w:style>
  <w:style w:type="character" w:customStyle="1" w:styleId="611">
    <w:name w:val="标题 4 Char1"/>
    <w:semiHidden/>
    <w:qFormat/>
    <w:uiPriority w:val="9"/>
    <w:rPr>
      <w:rFonts w:ascii="Cambria" w:hAnsi="Cambria" w:eastAsia="宋体" w:cs="Times New Roman"/>
      <w:b/>
      <w:bCs/>
      <w:kern w:val="2"/>
      <w:sz w:val="28"/>
      <w:szCs w:val="28"/>
    </w:rPr>
  </w:style>
  <w:style w:type="character" w:customStyle="1" w:styleId="612">
    <w:name w:val="tw4winPopup"/>
    <w:qFormat/>
    <w:uiPriority w:val="0"/>
    <w:rPr>
      <w:rFonts w:ascii="Courier New" w:hAnsi="Courier New" w:cs="Courier New"/>
      <w:color w:val="008000"/>
    </w:rPr>
  </w:style>
  <w:style w:type="character" w:customStyle="1" w:styleId="613">
    <w:name w:val="标题 6 字符"/>
    <w:link w:val="9"/>
    <w:qFormat/>
    <w:uiPriority w:val="0"/>
    <w:rPr>
      <w:rFonts w:ascii="Arial" w:hAnsi="Arial" w:eastAsia="黑体"/>
      <w:b/>
      <w:bCs/>
      <w:kern w:val="2"/>
      <w:sz w:val="24"/>
      <w:szCs w:val="24"/>
    </w:rPr>
  </w:style>
  <w:style w:type="character" w:customStyle="1" w:styleId="614">
    <w:name w:val="正文缩进 字符"/>
    <w:link w:val="17"/>
    <w:qFormat/>
    <w:uiPriority w:val="0"/>
    <w:rPr>
      <w:rFonts w:ascii="宋体" w:eastAsia="宋体"/>
      <w:snapToGrid w:val="0"/>
      <w:color w:val="000000"/>
      <w:kern w:val="28"/>
      <w:sz w:val="28"/>
      <w:lang w:val="en-US" w:eastAsia="zh-CN" w:bidi="ar-SA"/>
    </w:rPr>
  </w:style>
  <w:style w:type="character" w:customStyle="1" w:styleId="615">
    <w:name w:val="批注文字 字符"/>
    <w:link w:val="22"/>
    <w:qFormat/>
    <w:uiPriority w:val="0"/>
    <w:rPr>
      <w:kern w:val="2"/>
      <w:sz w:val="21"/>
      <w:szCs w:val="24"/>
    </w:rPr>
  </w:style>
  <w:style w:type="character" w:customStyle="1" w:styleId="616">
    <w:name w:val="批注框文本 字符"/>
    <w:link w:val="38"/>
    <w:semiHidden/>
    <w:qFormat/>
    <w:uiPriority w:val="0"/>
    <w:rPr>
      <w:kern w:val="2"/>
      <w:sz w:val="18"/>
      <w:szCs w:val="18"/>
    </w:rPr>
  </w:style>
  <w:style w:type="character" w:customStyle="1" w:styleId="617">
    <w:name w:val="Footer Char"/>
    <w:qFormat/>
    <w:locked/>
    <w:uiPriority w:val="0"/>
    <w:rPr>
      <w:rFonts w:eastAsia="宋体"/>
      <w:kern w:val="2"/>
      <w:sz w:val="18"/>
      <w:lang w:val="en-US" w:eastAsia="zh-CN" w:bidi="ar-SA"/>
    </w:rPr>
  </w:style>
  <w:style w:type="paragraph" w:customStyle="1" w:styleId="61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9">
    <w:name w:val="索引 11"/>
    <w:basedOn w:val="1"/>
    <w:next w:val="1"/>
    <w:qFormat/>
    <w:uiPriority w:val="0"/>
    <w:pPr>
      <w:adjustRightInd/>
      <w:spacing w:line="360" w:lineRule="auto"/>
    </w:pPr>
    <w:rPr>
      <w:rFonts w:ascii="仿宋_GB2312" w:eastAsia="仿宋_GB2312"/>
      <w:sz w:val="24"/>
      <w:szCs w:val="20"/>
    </w:rPr>
  </w:style>
  <w:style w:type="paragraph" w:customStyle="1" w:styleId="620">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1">
    <w:name w:val="纯文本_0_0"/>
    <w:basedOn w:val="1"/>
    <w:link w:val="622"/>
    <w:qFormat/>
    <w:uiPriority w:val="0"/>
    <w:pPr>
      <w:adjustRightInd/>
    </w:pPr>
    <w:rPr>
      <w:rFonts w:ascii="宋体" w:hAnsi="Courier New"/>
      <w:szCs w:val="21"/>
    </w:rPr>
  </w:style>
  <w:style w:type="character" w:customStyle="1" w:styleId="622">
    <w:name w:val="纯文本 Char_0"/>
    <w:link w:val="621"/>
    <w:qFormat/>
    <w:uiPriority w:val="0"/>
    <w:rPr>
      <w:rFonts w:ascii="宋体" w:hAnsi="Courier New"/>
      <w:kern w:val="2"/>
      <w:sz w:val="21"/>
      <w:szCs w:val="21"/>
      <w:lang w:val="en-US" w:eastAsia="zh-CN"/>
    </w:rPr>
  </w:style>
  <w:style w:type="character" w:customStyle="1" w:styleId="623">
    <w:name w:val="纯文本 Char1"/>
    <w:link w:val="624"/>
    <w:qFormat/>
    <w:uiPriority w:val="0"/>
    <w:rPr>
      <w:rFonts w:ascii="宋体" w:hAnsi="Courier New"/>
    </w:rPr>
  </w:style>
  <w:style w:type="paragraph" w:customStyle="1" w:styleId="624">
    <w:name w:val="纯文本1"/>
    <w:basedOn w:val="255"/>
    <w:link w:val="623"/>
    <w:qFormat/>
    <w:uiPriority w:val="0"/>
    <w:pPr>
      <w:adjustRightInd/>
    </w:pPr>
    <w:rPr>
      <w:rFonts w:ascii="宋体"/>
      <w:kern w:val="0"/>
      <w:sz w:val="20"/>
      <w:szCs w:val="20"/>
    </w:rPr>
  </w:style>
  <w:style w:type="paragraph" w:customStyle="1" w:styleId="625">
    <w:name w:val="Char Char Char Char Char Char Char2"/>
    <w:basedOn w:val="1"/>
    <w:qFormat/>
    <w:uiPriority w:val="0"/>
    <w:rPr>
      <w:rFonts w:ascii="仿宋_GB2312" w:eastAsia="仿宋_GB2312"/>
      <w:b/>
      <w:sz w:val="32"/>
      <w:szCs w:val="32"/>
    </w:rPr>
  </w:style>
  <w:style w:type="paragraph" w:customStyle="1" w:styleId="626">
    <w:name w:val="Char Char1 Char Char Char Char Char Char2"/>
    <w:basedOn w:val="1"/>
    <w:qFormat/>
    <w:uiPriority w:val="0"/>
    <w:rPr>
      <w:rFonts w:ascii="仿宋_GB2312" w:eastAsia="仿宋_GB2312"/>
      <w:b/>
      <w:sz w:val="32"/>
      <w:szCs w:val="20"/>
    </w:rPr>
  </w:style>
  <w:style w:type="paragraph" w:customStyle="1" w:styleId="62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8">
    <w:name w:val="Default Char"/>
    <w:link w:val="101"/>
    <w:qFormat/>
    <w:uiPriority w:val="0"/>
    <w:rPr>
      <w:rFonts w:ascii="仿宋_GB2312" w:eastAsia="仿宋_GB2312" w:cs="仿宋_GB2312"/>
      <w:color w:val="000000"/>
      <w:sz w:val="24"/>
      <w:szCs w:val="24"/>
    </w:rPr>
  </w:style>
  <w:style w:type="paragraph" w:customStyle="1" w:styleId="62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0">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31">
    <w:name w:val="font11"/>
    <w:basedOn w:val="63"/>
    <w:qFormat/>
    <w:uiPriority w:val="0"/>
    <w:rPr>
      <w:rFonts w:hint="default" w:ascii="Times New Roman" w:hAnsi="Times New Roman" w:eastAsia="黑体" w:cs="Times New Roman"/>
      <w:snapToGrid w:val="0"/>
      <w:color w:val="000000"/>
      <w:kern w:val="0"/>
      <w:sz w:val="22"/>
      <w:szCs w:val="22"/>
      <w:u w:val="none"/>
    </w:rPr>
  </w:style>
  <w:style w:type="character" w:customStyle="1" w:styleId="632">
    <w:name w:val="标题 2 字符"/>
    <w:link w:val="5"/>
    <w:qFormat/>
    <w:uiPriority w:val="9"/>
    <w:rPr>
      <w:rFonts w:ascii="仿宋_GB2312" w:hAnsi="仿宋" w:eastAsia="仿宋_GB2312"/>
      <w:b/>
      <w:bCs/>
      <w:sz w:val="32"/>
      <w:szCs w:val="32"/>
      <w:lang w:val="zh-CN"/>
    </w:rPr>
  </w:style>
  <w:style w:type="character" w:customStyle="1" w:styleId="633">
    <w:name w:val="标题 3 字符"/>
    <w:link w:val="6"/>
    <w:qFormat/>
    <w:uiPriority w:val="0"/>
    <w:rPr>
      <w:b/>
      <w:bCs/>
      <w:sz w:val="32"/>
      <w:szCs w:val="32"/>
    </w:rPr>
  </w:style>
  <w:style w:type="paragraph" w:customStyle="1" w:styleId="634">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6">
    <w:name w:val="UserStyle_0"/>
    <w:qFormat/>
    <w:uiPriority w:val="0"/>
    <w:pPr>
      <w:textAlignment w:val="baseline"/>
    </w:pPr>
    <w:rPr>
      <w:rFonts w:ascii="Arial" w:hAnsi="Arial" w:eastAsia="宋体" w:cs="Times New Roman"/>
      <w:color w:val="000000"/>
      <w:sz w:val="24"/>
      <w:szCs w:val="24"/>
      <w:lang w:val="en-US" w:eastAsia="zh-CN" w:bidi="ar-SA"/>
    </w:rPr>
  </w:style>
  <w:style w:type="paragraph" w:customStyle="1" w:styleId="637">
    <w:name w:val="Body text|1"/>
    <w:basedOn w:val="1"/>
    <w:qFormat/>
    <w:uiPriority w:val="0"/>
    <w:pPr>
      <w:spacing w:line="439" w:lineRule="auto"/>
      <w:ind w:firstLine="400"/>
    </w:pPr>
    <w:rPr>
      <w:rFonts w:ascii="宋体" w:hAnsi="宋体" w:cs="宋体"/>
      <w:sz w:val="30"/>
      <w:szCs w:val="30"/>
      <w:lang w:val="zh-TW" w:eastAsia="zh-TW" w:bidi="zh-TW"/>
    </w:rPr>
  </w:style>
  <w:style w:type="paragraph" w:customStyle="1" w:styleId="638">
    <w:name w:val="Body text|3"/>
    <w:basedOn w:val="1"/>
    <w:qFormat/>
    <w:uiPriority w:val="0"/>
    <w:pPr>
      <w:ind w:left="-40"/>
      <w:jc w:val="center"/>
    </w:pPr>
    <w:rPr>
      <w:rFonts w:ascii="宋体" w:hAnsi="宋体" w:cs="宋体"/>
      <w:color w:val="FAA8C3"/>
      <w:sz w:val="56"/>
      <w:szCs w:val="56"/>
    </w:rPr>
  </w:style>
  <w:style w:type="paragraph" w:customStyle="1" w:styleId="639">
    <w:name w:val="Picture caption|1"/>
    <w:basedOn w:val="1"/>
    <w:qFormat/>
    <w:uiPriority w:val="0"/>
    <w:rPr>
      <w:rFonts w:ascii="宋体" w:hAnsi="宋体" w:cs="宋体"/>
      <w:sz w:val="30"/>
      <w:szCs w:val="30"/>
      <w:lang w:val="zh-TW" w:eastAsia="zh-TW" w:bidi="zh-TW"/>
    </w:rPr>
  </w:style>
  <w:style w:type="paragraph" w:customStyle="1" w:styleId="640">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paragraph" w:customStyle="1" w:styleId="641">
    <w:name w:val="WPSOffice手动目录 1"/>
    <w:qFormat/>
    <w:uiPriority w:val="0"/>
    <w:rPr>
      <w:rFonts w:ascii="Times New Roman" w:hAnsi="Times New Roman" w:eastAsia="宋体" w:cs="Times New Roman"/>
      <w:lang w:val="en-US" w:eastAsia="zh-CN" w:bidi="ar-SA"/>
    </w:rPr>
  </w:style>
  <w:style w:type="character" w:customStyle="1" w:styleId="64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"/>
    </extobj>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DF6AB-C17B-43A0-8623-93F8678A1A06}">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109</Pages>
  <Words>46728</Words>
  <Characters>48768</Characters>
  <Lines>361</Lines>
  <Paragraphs>101</Paragraphs>
  <TotalTime>91</TotalTime>
  <ScaleCrop>false</ScaleCrop>
  <LinksUpToDate>false</LinksUpToDate>
  <CharactersWithSpaces>63154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2023-01-03T10:35:00Z</dcterms:created>
  <dc:creator>玥</dc:creator>
  <cp:lastModifiedBy>111111111</cp:lastModifiedBy>
  <cp:lastPrinted>2022-01-11T08:15:00Z</cp:lastPrinted>
  <dcterms:modified xsi:type="dcterms:W3CDTF">2023-08-14T10:27:10Z</dcterms:modified>
  <dc:title>杭州市市民卡扩大发卡工程</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1A0B08FBC38B4D939F704461B9A1FBF5</vt:lpwstr>
  </property>
</Properties>
</file>