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default" w:ascii="黑体" w:hAnsi="黑体" w:eastAsia="黑体"/>
          <w:sz w:val="21"/>
          <w:szCs w:val="21"/>
          <w:lang w:val="en-US" w:eastAsia="zh-CN"/>
        </w:rPr>
      </w:pPr>
      <w:r>
        <w:rPr>
          <w:rFonts w:hint="eastAsia" w:ascii="黑体" w:hAnsi="黑体" w:eastAsia="黑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840" w:lineRule="exact"/>
        <w:ind w:left="3373" w:hanging="2249" w:hangingChars="70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乌苏市古尔图镇古尔图村基层组织阵地建设项目</w:t>
      </w:r>
    </w:p>
    <w:p>
      <w:pPr>
        <w:keepNext w:val="0"/>
        <w:keepLines w:val="0"/>
        <w:pageBreakBefore w:val="0"/>
        <w:widowControl w:val="0"/>
        <w:kinsoku/>
        <w:wordWrap/>
        <w:overflowPunct/>
        <w:topLinePunct w:val="0"/>
        <w:autoSpaceDE/>
        <w:autoSpaceDN/>
        <w:bidi w:val="0"/>
        <w:adjustRightInd w:val="0"/>
        <w:snapToGrid w:val="0"/>
        <w:spacing w:line="840" w:lineRule="exact"/>
        <w:ind w:left="960" w:leftChars="457" w:firstLine="643" w:firstLineChars="20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竞 争 性 磋 商 文 件</w:t>
      </w:r>
    </w:p>
    <w:p>
      <w:pPr>
        <w:pStyle w:val="6"/>
        <w:outlineLvl w:val="9"/>
        <w:rPr>
          <w:rFonts w:hint="eastAsia" w:asciiTheme="minorEastAsia" w:hAnsiTheme="minorEastAsia" w:eastAsiaTheme="minorEastAsia" w:cstheme="minorEastAsia"/>
          <w:b/>
          <w:bCs/>
          <w:sz w:val="48"/>
          <w:szCs w:val="48"/>
          <w:lang w:val="en-US" w:eastAsia="zh-CN"/>
        </w:rPr>
      </w:pPr>
    </w:p>
    <w:p>
      <w:pPr>
        <w:rPr>
          <w:rFonts w:hint="eastAsia"/>
          <w:sz w:val="36"/>
          <w:szCs w:val="36"/>
          <w:lang w:val="en-US" w:eastAsia="zh-CN"/>
        </w:rPr>
      </w:pPr>
    </w:p>
    <w:p>
      <w:pPr>
        <w:jc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p>
    <w:p>
      <w:pPr>
        <w:pStyle w:val="2"/>
        <w:rPr>
          <w:rFonts w:hint="eastAsia"/>
          <w:lang w:val="en-US" w:eastAsia="zh-CN"/>
        </w:rPr>
      </w:pPr>
    </w:p>
    <w:p>
      <w:pPr>
        <w:ind w:firstLine="2640" w:firstLineChars="11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项目编号：</w:t>
      </w:r>
      <w:r>
        <w:rPr>
          <w:rFonts w:hint="eastAsia" w:ascii="仿宋_GB2312" w:hAnsi="仿宋_GB2312" w:eastAsia="仿宋_GB2312" w:cs="仿宋_GB2312"/>
          <w:b w:val="0"/>
          <w:bCs/>
          <w:color w:val="auto"/>
          <w:sz w:val="24"/>
          <w:szCs w:val="24"/>
          <w:lang w:val="en-US" w:eastAsia="zh-CN"/>
        </w:rPr>
        <w:t>WSZFCG(CS)2023-040</w:t>
      </w:r>
    </w:p>
    <w:p>
      <w:pPr>
        <w:ind w:firstLine="1440" w:firstLineChars="600"/>
        <w:jc w:val="center"/>
        <w:rPr>
          <w:rFonts w:hint="eastAsia" w:ascii="仿宋_GB2312" w:hAnsi="仿宋_GB2312" w:eastAsia="仿宋_GB2312" w:cs="仿宋_GB2312"/>
          <w:b w:val="0"/>
          <w:bCs/>
          <w:color w:val="auto"/>
          <w:sz w:val="24"/>
          <w:szCs w:val="24"/>
          <w:lang w:val="en-US" w:eastAsia="zh-CN"/>
        </w:rPr>
      </w:pPr>
    </w:p>
    <w:p>
      <w:pPr>
        <w:tabs>
          <w:tab w:val="left" w:pos="1134"/>
          <w:tab w:val="left" w:pos="5481"/>
          <w:tab w:val="left" w:pos="5859"/>
        </w:tabs>
        <w:jc w:val="center"/>
        <w:rPr>
          <w:rFonts w:hint="eastAsia" w:ascii="仿宋_GB2312" w:hAnsi="仿宋_GB2312" w:eastAsia="仿宋_GB2312" w:cs="仿宋_GB2312"/>
          <w:b w:val="0"/>
          <w:bCs/>
          <w:sz w:val="24"/>
          <w:szCs w:val="24"/>
        </w:rPr>
      </w:pPr>
    </w:p>
    <w:p>
      <w:pPr>
        <w:pStyle w:val="20"/>
        <w:spacing w:line="240" w:lineRule="auto"/>
        <w:ind w:left="0" w:leftChars="0" w:firstLine="1022" w:firstLineChars="426"/>
        <w:jc w:val="center"/>
        <w:rPr>
          <w:rFonts w:hint="eastAsia" w:ascii="仿宋_GB2312" w:hAnsi="仿宋_GB2312" w:eastAsia="仿宋_GB2312" w:cs="仿宋_GB2312"/>
          <w:b w:val="0"/>
          <w:bCs/>
          <w:sz w:val="24"/>
          <w:szCs w:val="24"/>
        </w:rPr>
      </w:pPr>
    </w:p>
    <w:p>
      <w:pPr>
        <w:pStyle w:val="20"/>
        <w:spacing w:line="240" w:lineRule="auto"/>
        <w:ind w:left="0" w:leftChars="0" w:firstLine="1022" w:firstLineChars="426"/>
        <w:jc w:val="center"/>
        <w:rPr>
          <w:rFonts w:hint="eastAsia" w:ascii="仿宋_GB2312" w:hAnsi="仿宋_GB2312" w:eastAsia="仿宋_GB2312" w:cs="仿宋_GB2312"/>
          <w:b w:val="0"/>
          <w:bCs/>
          <w:sz w:val="24"/>
          <w:szCs w:val="24"/>
        </w:rPr>
      </w:pPr>
    </w:p>
    <w:p>
      <w:pPr>
        <w:pStyle w:val="6"/>
        <w:jc w:val="center"/>
        <w:outlineLvl w:val="9"/>
        <w:rPr>
          <w:rFonts w:hint="eastAsia" w:ascii="仿宋_GB2312" w:hAnsi="仿宋_GB2312" w:eastAsia="仿宋_GB2312" w:cs="仿宋_GB2312"/>
          <w:b w:val="0"/>
          <w:bCs/>
          <w:sz w:val="24"/>
          <w:szCs w:val="24"/>
        </w:rPr>
      </w:pPr>
    </w:p>
    <w:p>
      <w:pPr>
        <w:ind w:firstLine="1440" w:firstLineChars="600"/>
        <w:jc w:val="center"/>
        <w:rPr>
          <w:rFonts w:hint="eastAsia" w:ascii="仿宋_GB2312" w:hAnsi="仿宋_GB2312" w:eastAsia="仿宋_GB2312" w:cs="仿宋_GB2312"/>
          <w:b w:val="0"/>
          <w:bCs/>
          <w:color w:val="auto"/>
          <w:sz w:val="24"/>
          <w:szCs w:val="24"/>
        </w:rPr>
      </w:pPr>
    </w:p>
    <w:p>
      <w:pPr>
        <w:ind w:firstLine="1440" w:firstLineChars="600"/>
        <w:jc w:val="center"/>
        <w:rPr>
          <w:rFonts w:hint="eastAsia" w:ascii="仿宋_GB2312" w:hAnsi="仿宋_GB2312" w:eastAsia="仿宋_GB2312" w:cs="仿宋_GB2312"/>
          <w:b w:val="0"/>
          <w:bCs/>
          <w:color w:val="auto"/>
          <w:sz w:val="24"/>
          <w:szCs w:val="24"/>
        </w:rPr>
      </w:pPr>
    </w:p>
    <w:p>
      <w:pPr>
        <w:ind w:firstLine="1440" w:firstLineChars="600"/>
        <w:jc w:val="center"/>
        <w:rPr>
          <w:rFonts w:hint="eastAsia" w:ascii="仿宋_GB2312" w:hAnsi="仿宋_GB2312" w:eastAsia="仿宋_GB2312" w:cs="仿宋_GB2312"/>
          <w:b w:val="0"/>
          <w:bCs/>
          <w:color w:val="auto"/>
          <w:sz w:val="24"/>
          <w:szCs w:val="24"/>
        </w:rPr>
      </w:pPr>
    </w:p>
    <w:p>
      <w:pPr>
        <w:pStyle w:val="2"/>
        <w:rPr>
          <w:rFonts w:hint="eastAsia" w:ascii="仿宋_GB2312" w:hAnsi="仿宋_GB2312" w:eastAsia="仿宋_GB2312" w:cs="仿宋_GB2312"/>
          <w:b w:val="0"/>
          <w:bCs/>
          <w:color w:val="auto"/>
          <w:sz w:val="24"/>
          <w:szCs w:val="24"/>
        </w:rPr>
      </w:pPr>
    </w:p>
    <w:p>
      <w:pPr>
        <w:pStyle w:val="2"/>
        <w:rPr>
          <w:rFonts w:hint="eastAsia" w:ascii="仿宋_GB2312" w:hAnsi="仿宋_GB2312" w:eastAsia="仿宋_GB2312" w:cs="仿宋_GB2312"/>
          <w:b w:val="0"/>
          <w:bCs/>
          <w:color w:val="auto"/>
          <w:sz w:val="24"/>
          <w:szCs w:val="24"/>
        </w:rPr>
      </w:pPr>
    </w:p>
    <w:p>
      <w:pPr>
        <w:ind w:firstLine="2160" w:firstLineChars="9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招 标 人：</w:t>
      </w:r>
      <w:r>
        <w:rPr>
          <w:rFonts w:hint="eastAsia" w:ascii="仿宋_GB2312" w:hAnsi="仿宋_GB2312" w:eastAsia="仿宋_GB2312" w:cs="仿宋_GB2312"/>
          <w:b w:val="0"/>
          <w:bCs/>
          <w:color w:val="auto"/>
          <w:sz w:val="24"/>
          <w:szCs w:val="24"/>
          <w:lang w:val="en-US" w:eastAsia="zh-CN"/>
        </w:rPr>
        <w:t>乌苏市古尔图镇人民政府</w:t>
      </w:r>
    </w:p>
    <w:p>
      <w:pPr>
        <w:ind w:firstLine="2160" w:firstLineChars="9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招标代理机构</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sz w:val="24"/>
          <w:szCs w:val="24"/>
          <w:lang w:val="en-US" w:eastAsia="zh-CN"/>
        </w:rPr>
        <w:t>乌苏市政务服务中心</w:t>
      </w:r>
    </w:p>
    <w:p>
      <w:pPr>
        <w:ind w:firstLine="2160" w:firstLineChars="9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编制日期：</w:t>
      </w:r>
      <w:r>
        <w:rPr>
          <w:rFonts w:hint="eastAsia" w:ascii="仿宋_GB2312" w:hAnsi="仿宋_GB2312" w:eastAsia="仿宋_GB2312" w:cs="仿宋_GB2312"/>
          <w:b w:val="0"/>
          <w:bCs/>
          <w:color w:val="auto"/>
          <w:sz w:val="24"/>
          <w:szCs w:val="24"/>
          <w:lang w:val="en-US" w:eastAsia="zh-CN"/>
        </w:rPr>
        <w:t>二0二三</w:t>
      </w:r>
      <w:r>
        <w:rPr>
          <w:rFonts w:hint="eastAsia" w:ascii="仿宋_GB2312" w:hAnsi="仿宋_GB2312" w:eastAsia="仿宋_GB2312" w:cs="仿宋_GB2312"/>
          <w:b w:val="0"/>
          <w:bCs/>
          <w:color w:val="auto"/>
          <w:sz w:val="24"/>
          <w:szCs w:val="24"/>
        </w:rPr>
        <w:t>年</w:t>
      </w:r>
      <w:r>
        <w:rPr>
          <w:rFonts w:hint="eastAsia" w:ascii="仿宋_GB2312" w:hAnsi="仿宋_GB2312" w:eastAsia="仿宋_GB2312" w:cs="仿宋_GB2312"/>
          <w:b w:val="0"/>
          <w:bCs/>
          <w:color w:val="auto"/>
          <w:sz w:val="24"/>
          <w:szCs w:val="24"/>
          <w:lang w:val="en-US" w:eastAsia="zh-CN"/>
        </w:rPr>
        <w:t>八月</w:t>
      </w:r>
    </w:p>
    <w:p>
      <w:pPr>
        <w:pStyle w:val="6"/>
        <w:jc w:val="center"/>
        <w:rPr>
          <w:rFonts w:hint="eastAsia" w:asciiTheme="minorEastAsia" w:hAnsiTheme="minorEastAsia" w:eastAsiaTheme="minorEastAsia" w:cstheme="minorEastAsia"/>
          <w:b w:val="0"/>
          <w:bCs/>
          <w:color w:val="auto"/>
          <w:sz w:val="36"/>
          <w:szCs w:val="36"/>
          <w:lang w:val="en-US" w:eastAsia="zh-CN"/>
        </w:rPr>
      </w:pPr>
    </w:p>
    <w:p>
      <w:pPr>
        <w:rPr>
          <w:rFonts w:hint="eastAsia" w:asciiTheme="minorEastAsia" w:hAnsiTheme="minorEastAsia" w:eastAsiaTheme="minorEastAsia" w:cstheme="minorEastAsia"/>
          <w:b w:val="0"/>
          <w:bCs/>
          <w:sz w:val="30"/>
          <w:szCs w:val="30"/>
          <w:lang w:val="en-US"/>
        </w:rPr>
      </w:pPr>
    </w:p>
    <w:p>
      <w:pPr>
        <w:widowControl w:val="0"/>
        <w:wordWrap/>
        <w:adjustRightInd/>
        <w:snapToGrid/>
        <w:spacing w:line="420" w:lineRule="exact"/>
        <w:ind w:right="0"/>
        <w:jc w:val="center"/>
        <w:textAlignment w:val="auto"/>
        <w:outlineLvl w:val="9"/>
        <w:rPr>
          <w:rFonts w:hint="eastAsia"/>
          <w:b/>
          <w:bCs/>
          <w:color w:val="4E4E4E"/>
          <w:sz w:val="30"/>
          <w:szCs w:val="30"/>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30"/>
          <w:szCs w:val="30"/>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仿宋_GB2312" w:hAnsi="仿宋_GB2312" w:eastAsia="仿宋_GB2312" w:cs="仿宋_GB2312"/>
          <w:b/>
          <w:bCs/>
          <w:color w:val="4E4E4E"/>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目</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录</w:t>
          </w:r>
        </w:p>
        <w:p>
          <w:pPr>
            <w:rPr>
              <w:rFonts w:hint="eastAsia" w:ascii="仿宋_GB2312" w:hAnsi="仿宋_GB2312" w:eastAsia="仿宋_GB2312" w:cs="仿宋_GB2312"/>
              <w:bCs/>
              <w:color w:val="4E4E4E"/>
              <w:sz w:val="24"/>
              <w:szCs w:val="24"/>
              <w:lang w:val="en-US" w:eastAsia="zh-CN"/>
            </w:rPr>
          </w:pPr>
          <w:r>
            <w:rPr>
              <w:rFonts w:hint="eastAsia" w:ascii="仿宋_GB2312" w:hAnsi="仿宋_GB2312" w:eastAsia="仿宋_GB2312" w:cs="仿宋_GB2312"/>
              <w:b/>
              <w:bCs/>
              <w:color w:val="4E4E4E"/>
              <w:sz w:val="24"/>
              <w:szCs w:val="24"/>
              <w:lang w:val="en-US" w:eastAsia="zh-CN"/>
            </w:rPr>
            <w:fldChar w:fldCharType="begin"/>
          </w:r>
          <w:r>
            <w:rPr>
              <w:rFonts w:hint="eastAsia" w:ascii="仿宋_GB2312" w:hAnsi="仿宋_GB2312" w:eastAsia="仿宋_GB2312" w:cs="仿宋_GB2312"/>
              <w:b/>
              <w:bCs/>
              <w:color w:val="4E4E4E"/>
              <w:sz w:val="24"/>
              <w:szCs w:val="24"/>
              <w:lang w:val="en-US" w:eastAsia="zh-CN"/>
            </w:rPr>
            <w:instrText xml:space="preserve">TOC \o "1-2" \h \u </w:instrText>
          </w:r>
          <w:r>
            <w:rPr>
              <w:rFonts w:hint="eastAsia" w:ascii="仿宋_GB2312" w:hAnsi="仿宋_GB2312" w:eastAsia="仿宋_GB2312" w:cs="仿宋_GB2312"/>
              <w:b/>
              <w:bCs/>
              <w:color w:val="4E4E4E"/>
              <w:sz w:val="24"/>
              <w:szCs w:val="24"/>
              <w:lang w:val="en-US" w:eastAsia="zh-CN"/>
            </w:rPr>
            <w:fldChar w:fldCharType="separate"/>
          </w:r>
          <w:r>
            <w:rPr>
              <w:rFonts w:hint="eastAsia" w:ascii="仿宋_GB2312" w:hAnsi="仿宋_GB2312" w:eastAsia="仿宋_GB2312" w:cs="仿宋_GB2312"/>
              <w:kern w:val="2"/>
              <w:sz w:val="24"/>
              <w:szCs w:val="24"/>
              <w:lang w:val="en-US" w:eastAsia="zh-CN" w:bidi="ar-SA"/>
            </w:rPr>
            <w:t>乌苏市古尔图镇古尔图村基层组织阵地建设项目</w:t>
          </w:r>
          <w:r>
            <w:rPr>
              <w:rFonts w:hint="eastAsia" w:ascii="仿宋_GB2312" w:hAnsi="仿宋_GB2312" w:eastAsia="仿宋_GB2312" w:cs="仿宋_GB2312"/>
              <w:sz w:val="24"/>
              <w:szCs w:val="24"/>
              <w:lang w:val="en-US" w:eastAsia="zh-CN"/>
            </w:rPr>
            <w:t>—竞争性磋商公告</w:t>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_Toc17064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第一章 投标单位须知</w:t>
          </w:r>
          <w:r>
            <w:rPr>
              <w:rFonts w:hint="eastAsia" w:ascii="仿宋_GB2312" w:hAnsi="仿宋_GB2312" w:eastAsia="仿宋_GB2312" w:cs="仿宋_GB2312"/>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HYPERLINK \l _Toc30649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一、 说明</w:t>
          </w:r>
          <w:r>
            <w:rPr>
              <w:rFonts w:hint="eastAsia" w:ascii="仿宋_GB2312" w:hAnsi="仿宋_GB2312" w:eastAsia="仿宋_GB2312" w:cs="仿宋_GB2312"/>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_Toc3123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二、磋商文件</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_Toc4145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三、响应文件的编制和数量</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_Toc27302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四、响应文件的递交</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_Toc26601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五、竞争性磋商程序</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_Toc19051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六、</w:t>
          </w:r>
          <w:r>
            <w:rPr>
              <w:rFonts w:hint="eastAsia" w:ascii="仿宋_GB2312" w:hAnsi="仿宋_GB2312" w:eastAsia="仿宋_GB2312" w:cs="仿宋_GB2312"/>
              <w:bCs/>
              <w:sz w:val="24"/>
              <w:szCs w:val="24"/>
            </w:rPr>
            <w:t>授予合同</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_Toc21370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七、</w:t>
          </w:r>
          <w:r>
            <w:rPr>
              <w:rFonts w:hint="eastAsia" w:ascii="仿宋_GB2312" w:hAnsi="仿宋_GB2312" w:eastAsia="仿宋_GB2312" w:cs="仿宋_GB2312"/>
              <w:bCs/>
              <w:sz w:val="24"/>
              <w:szCs w:val="24"/>
            </w:rPr>
            <w:t>质疑和投诉</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_Toc10303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八、项目验收</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_Toc5386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九、适用法律</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_Toc7307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十、磋商文件的解释权</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_Toc11986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rPr>
            <w:t>十一、其他注意事项</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_Toc1612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第二章 工程量清单</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_Toc31451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工程量清单（另册）</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_Toc31332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第三章 评审方法</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_Toc14742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kern w:val="2"/>
              <w:sz w:val="24"/>
              <w:szCs w:val="24"/>
              <w:lang w:val="zh-CN"/>
            </w:rPr>
            <w:t>资格后审评审表</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_Toc5687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lang w:eastAsia="zh-CN"/>
            </w:rPr>
            <w:t xml:space="preserve">一、 </w:t>
          </w:r>
          <w:r>
            <w:rPr>
              <w:rFonts w:hint="eastAsia" w:ascii="仿宋_GB2312" w:hAnsi="仿宋_GB2312" w:eastAsia="仿宋_GB2312" w:cs="仿宋_GB2312"/>
              <w:bCs/>
              <w:sz w:val="24"/>
              <w:szCs w:val="24"/>
              <w:highlight w:val="white"/>
              <w:lang w:eastAsia="zh-CN"/>
            </w:rPr>
            <w:t>综合评分</w:t>
          </w:r>
          <w:r>
            <w:rPr>
              <w:rFonts w:hint="eastAsia" w:ascii="仿宋_GB2312" w:hAnsi="仿宋_GB2312" w:eastAsia="仿宋_GB2312" w:cs="仿宋_GB2312"/>
              <w:bCs/>
              <w:sz w:val="24"/>
              <w:szCs w:val="24"/>
              <w:highlight w:val="white"/>
              <w:lang w:val="en-US" w:eastAsia="zh-CN"/>
            </w:rPr>
            <w:t>细则</w:t>
          </w:r>
          <w:r>
            <w:rPr>
              <w:rFonts w:hint="eastAsia" w:ascii="仿宋_GB2312" w:hAnsi="仿宋_GB2312" w:eastAsia="仿宋_GB2312" w:cs="仿宋_GB2312"/>
              <w:bCs/>
              <w:sz w:val="24"/>
              <w:szCs w:val="24"/>
              <w:highlight w:val="white"/>
              <w:lang w:eastAsia="zh-CN"/>
            </w:rPr>
            <w:t>表</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_Toc19838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二、</w:t>
          </w:r>
          <w:r>
            <w:rPr>
              <w:rFonts w:hint="eastAsia" w:ascii="仿宋_GB2312" w:hAnsi="仿宋_GB2312" w:eastAsia="仿宋_GB2312" w:cs="仿宋_GB2312"/>
              <w:bCs/>
              <w:sz w:val="24"/>
              <w:szCs w:val="24"/>
              <w:highlight w:val="white"/>
            </w:rPr>
            <w:t>推荐</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_Toc22277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sz w:val="24"/>
              <w:szCs w:val="24"/>
              <w:highlight w:val="white"/>
              <w:lang w:val="en-US" w:eastAsia="zh-CN"/>
            </w:rPr>
            <w:t>三、</w:t>
          </w:r>
          <w:r>
            <w:rPr>
              <w:rFonts w:hint="eastAsia" w:ascii="仿宋_GB2312" w:hAnsi="仿宋_GB2312" w:eastAsia="仿宋_GB2312" w:cs="仿宋_GB2312"/>
              <w:bCs/>
              <w:sz w:val="24"/>
              <w:szCs w:val="24"/>
              <w:highlight w:val="white"/>
            </w:rPr>
            <w:t>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_Toc21266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highlight w:val="white"/>
              <w:lang w:eastAsia="zh-CN"/>
            </w:rPr>
            <w:t>四、控制价编制说明</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_Toc24819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sz w:val="24"/>
              <w:szCs w:val="24"/>
              <w:lang w:eastAsia="zh-CN"/>
            </w:rPr>
            <w:t>第四章 合同格式及合同条款草拟</w:t>
          </w:r>
          <w:r>
            <w:rPr>
              <w:rFonts w:hint="eastAsia" w:ascii="仿宋_GB2312" w:hAnsi="仿宋_GB2312" w:eastAsia="仿宋_GB2312" w:cs="仿宋_GB2312"/>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4E4E4E"/>
              <w:sz w:val="24"/>
              <w:szCs w:val="24"/>
              <w:lang w:val="en-US" w:eastAsia="zh-CN"/>
            </w:rPr>
            <w:fldChar w:fldCharType="begin"/>
          </w:r>
          <w:r>
            <w:rPr>
              <w:rFonts w:hint="eastAsia" w:ascii="仿宋_GB2312" w:hAnsi="仿宋_GB2312" w:eastAsia="仿宋_GB2312" w:cs="仿宋_GB2312"/>
              <w:bCs/>
              <w:sz w:val="24"/>
              <w:szCs w:val="24"/>
              <w:lang w:val="en-US" w:eastAsia="zh-CN"/>
            </w:rPr>
            <w:instrText xml:space="preserve"> HYPERLINK \l _Toc3428 </w:instrText>
          </w:r>
          <w:r>
            <w:rPr>
              <w:rFonts w:hint="eastAsia" w:ascii="仿宋_GB2312" w:hAnsi="仿宋_GB2312" w:eastAsia="仿宋_GB2312" w:cs="仿宋_GB2312"/>
              <w:bCs/>
              <w:sz w:val="24"/>
              <w:szCs w:val="24"/>
              <w:lang w:val="en-US" w:eastAsia="zh-CN"/>
            </w:rPr>
            <w:fldChar w:fldCharType="separate"/>
          </w:r>
          <w:r>
            <w:rPr>
              <w:rFonts w:hint="eastAsia" w:ascii="仿宋_GB2312" w:hAnsi="仿宋_GB2312" w:eastAsia="仿宋_GB2312" w:cs="仿宋_GB2312"/>
              <w:bCs w:val="0"/>
              <w:kern w:val="44"/>
              <w:sz w:val="24"/>
              <w:szCs w:val="24"/>
              <w:lang w:val="en-US" w:eastAsia="zh-CN" w:bidi="ar-SA"/>
            </w:rPr>
            <w:t xml:space="preserve">第五章 </w:t>
          </w:r>
          <w:r>
            <w:rPr>
              <w:rFonts w:hint="eastAsia" w:ascii="仿宋_GB2312" w:hAnsi="仿宋_GB2312" w:eastAsia="仿宋_GB2312" w:cs="仿宋_GB2312"/>
              <w:bCs w:val="0"/>
              <w:sz w:val="24"/>
              <w:szCs w:val="24"/>
              <w:lang w:val="en-US" w:eastAsia="zh-CN"/>
            </w:rPr>
            <w:t>竞争性磋商响应文件格式</w:t>
          </w:r>
          <w:r>
            <w:rPr>
              <w:rFonts w:hint="eastAsia" w:ascii="仿宋_GB2312" w:hAnsi="仿宋_GB2312" w:eastAsia="仿宋_GB2312" w:cs="仿宋_GB2312"/>
              <w:bCs/>
              <w:color w:val="4E4E4E"/>
              <w:sz w:val="24"/>
              <w:szCs w:val="24"/>
              <w:lang w:val="en-US" w:eastAsia="zh-CN"/>
            </w:rPr>
            <w:fldChar w:fldCharType="end"/>
          </w:r>
        </w:p>
        <w:p>
          <w:pPr>
            <w:keepNext w:val="0"/>
            <w:keepLines w:val="0"/>
            <w:pageBreakBefore w:val="0"/>
            <w:widowControl w:val="0"/>
            <w:kinsoku/>
            <w:wordWrap/>
            <w:overflowPunct/>
            <w:topLinePunct w:val="0"/>
            <w:bidi w:val="0"/>
            <w:snapToGrid/>
            <w:spacing w:line="240" w:lineRule="auto"/>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p>
        <w:p>
          <w:pPr>
            <w:pStyle w:val="86"/>
            <w:keepNext w:val="0"/>
            <w:keepLines w:val="0"/>
            <w:pageBreakBefore w:val="0"/>
            <w:widowControl w:val="0"/>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sz w:val="24"/>
              <w:szCs w:val="24"/>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十三、投标人认为需要提供的其他资料</w:t>
          </w: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1"/>
              <w:szCs w:val="21"/>
              <w:lang w:val="en-US" w:eastAsia="zh-CN"/>
            </w:rPr>
          </w:pPr>
          <w:r>
            <w:rPr>
              <w:rFonts w:hint="eastAsia" w:ascii="仿宋_GB2312" w:hAnsi="仿宋_GB2312" w:eastAsia="仿宋_GB2312" w:cs="仿宋_GB2312"/>
              <w:bCs/>
              <w:color w:val="4E4E4E"/>
              <w:sz w:val="24"/>
              <w:szCs w:val="24"/>
              <w:lang w:val="en-US" w:eastAsia="zh-CN"/>
            </w:rPr>
            <w:fldChar w:fldCharType="end"/>
          </w:r>
        </w:p>
      </w:sdtContent>
    </w:sdt>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_GB2312" w:hAnsi="仿宋_GB2312" w:eastAsia="仿宋_GB2312" w:cs="仿宋_GB2312"/>
          <w:b/>
          <w:bCs/>
          <w:color w:val="4E4E4E"/>
          <w:sz w:val="24"/>
          <w:szCs w:val="24"/>
          <w:lang w:val="en-US" w:eastAsia="zh-CN"/>
        </w:rPr>
      </w:pP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0"/>
        <w:rPr>
          <w:rFonts w:hint="eastAsia" w:ascii="仿宋_GB2312" w:hAnsi="仿宋_GB2312" w:eastAsia="仿宋_GB2312" w:cs="仿宋_GB2312"/>
          <w:b/>
          <w:bCs/>
          <w:color w:val="4E4E4E"/>
          <w:sz w:val="24"/>
          <w:szCs w:val="24"/>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乌苏市古尔图镇古尔图村基层组织阵地建设项目</w:t>
      </w:r>
    </w:p>
    <w:p>
      <w:pPr>
        <w:keepNext w:val="0"/>
        <w:keepLines w:val="0"/>
        <w:pageBreakBefore w:val="0"/>
        <w:widowControl/>
        <w:kinsoku/>
        <w:wordWrap/>
        <w:overflowPunct/>
        <w:topLinePunct w:val="0"/>
        <w:autoSpaceDE/>
        <w:autoSpaceDN/>
        <w:bidi w:val="0"/>
        <w:adjustRightInd w:val="0"/>
        <w:snapToGrid w:val="0"/>
        <w:spacing w:line="360" w:lineRule="exact"/>
        <w:ind w:firstLine="3200" w:firstLineChars="10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kern w:val="2"/>
          <w:sz w:val="32"/>
          <w:szCs w:val="32"/>
          <w:lang w:val="en-US" w:eastAsia="zh-CN" w:bidi="ar-SA"/>
        </w:rPr>
        <w:t>竞争性磋商公告</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项目名称：</w:t>
      </w:r>
      <w:r>
        <w:rPr>
          <w:rFonts w:hint="eastAsia" w:ascii="仿宋_GB2312" w:hAnsi="仿宋_GB2312" w:eastAsia="仿宋_GB2312" w:cs="仿宋_GB2312"/>
          <w:color w:val="auto"/>
          <w:sz w:val="24"/>
          <w:szCs w:val="24"/>
          <w:lang w:val="en-US" w:eastAsia="zh-CN"/>
        </w:rPr>
        <w:t>乌苏市古尔图镇古尔图村基层组织阵地建设项目</w:t>
      </w:r>
    </w:p>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auto"/>
          <w:sz w:val="24"/>
          <w:szCs w:val="24"/>
          <w:lang w:val="en-US" w:eastAsia="zh-CN"/>
        </w:rPr>
        <w:t>二、项目编号：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WSZFCG(CS)2023-040</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采购内容：</w:t>
      </w:r>
      <w:r>
        <w:rPr>
          <w:rFonts w:hint="eastAsia" w:ascii="仿宋_GB2312" w:hAnsi="仿宋_GB2312" w:eastAsia="仿宋_GB2312" w:cs="仿宋_GB2312"/>
          <w:color w:val="auto"/>
          <w:sz w:val="24"/>
          <w:szCs w:val="24"/>
          <w:lang w:val="en-US" w:eastAsia="zh-CN"/>
        </w:rPr>
        <w:t>古尔图村</w:t>
      </w:r>
      <w:r>
        <w:rPr>
          <w:rFonts w:hint="eastAsia" w:ascii="仿宋_GB2312" w:hAnsi="仿宋_GB2312" w:eastAsia="仿宋_GB2312" w:cs="仿宋_GB2312"/>
          <w:color w:val="auto"/>
          <w:kern w:val="2"/>
          <w:sz w:val="24"/>
          <w:szCs w:val="24"/>
          <w:lang w:val="en-US" w:eastAsia="zh-CN" w:bidi="ar-SA"/>
        </w:rPr>
        <w:t>新建一栋一层基层组织阵地，建筑面积分别为557.16平方米及配套工程</w:t>
      </w:r>
      <w:r>
        <w:rPr>
          <w:rFonts w:hint="eastAsia" w:ascii="仿宋_GB2312" w:hAnsi="仿宋_GB2312" w:eastAsia="仿宋_GB2312" w:cs="仿宋_GB2312"/>
          <w:color w:val="auto"/>
          <w:sz w:val="24"/>
          <w:szCs w:val="24"/>
          <w:lang w:val="en-US" w:eastAsia="zh-CN"/>
        </w:rPr>
        <w:t>（具体可看清单图纸）。</w:t>
      </w:r>
    </w:p>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ind w:left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四、项目预算：人民</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币2</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80万</w:t>
      </w:r>
      <w:r>
        <w:rPr>
          <w:rFonts w:hint="eastAsia" w:ascii="仿宋_GB2312" w:hAnsi="仿宋_GB2312" w:eastAsia="仿宋_GB2312" w:cs="仿宋_GB2312"/>
          <w:color w:val="auto"/>
          <w:sz w:val="24"/>
          <w:szCs w:val="24"/>
          <w:lang w:val="en-US" w:eastAsia="zh-CN"/>
        </w:rPr>
        <w:t>元；</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供应商资格要求：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（2）供应商必须是中华人民共和国境内注册的，且为中小企业；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（3）被授权人提供法定代表人授权委托书及被委托人身份证原件及复印件；法定代表人提供法定代表人身份证明书及身份证原件及复印件；</w:t>
      </w:r>
    </w:p>
    <w:p>
      <w:pPr>
        <w:pStyle w:val="18"/>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（4）建筑工程施工总承包三级及以上资质；具备施工企业安全生产许可证件；</w:t>
      </w:r>
    </w:p>
    <w:p>
      <w:pPr>
        <w:pStyle w:val="18"/>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（5）工程项目负责人具备建筑工程二级及以上执业资格，具备有效的安全生产考核合格证书；</w:t>
      </w:r>
    </w:p>
    <w:p>
      <w:pPr>
        <w:pStyle w:val="18"/>
        <w:ind w:firstLine="480" w:firstLineChars="200"/>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tl w:val="0"/>
          <w:lang w:val="en-US" w:eastAsia="zh-CN"/>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tl w:val="0"/>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sz w:val="24"/>
          <w:szCs w:val="24"/>
          <w:lang w:val="en-US" w:eastAsia="zh-CN"/>
        </w:rPr>
        <w:t>获取文件时间</w:t>
      </w:r>
      <w:r>
        <w:rPr>
          <w:rFonts w:hint="eastAsia" w:ascii="仿宋_GB2312" w:hAnsi="仿宋_GB2312" w:eastAsia="仿宋_GB2312" w:cs="仿宋_GB2312"/>
          <w:sz w:val="24"/>
          <w:szCs w:val="24"/>
          <w:lang w:val="en-US" w:eastAsia="zh-CN"/>
        </w:rPr>
        <w:t>：2023年8月10日至2023年8月17日每天00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:00-12:00，12:00-23:59（北京时间，法定节假日除外）。</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获取文件地址：政采云平台https://zcygov.cn/</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获取文件方式：供应商登录政采云平台https://zcygov.cn/在线申请获取采购文件（进入“项目采购”应用，在获取采购文件菜单中选择项目，申请获取采购文件）</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七、磋商文件售价：0</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八、响应文件递交截止时间及磋商时间：2023年8月25日11时00分（北京时间）</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九、磋商地点: 政采云平台https://zcygov.cn/</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十、采 购 人：乌苏市古尔图镇人民政府</w:t>
      </w:r>
    </w:p>
    <w:p>
      <w:pPr>
        <w:pStyle w:val="36"/>
        <w:ind w:left="0" w:leftChars="0" w:firstLine="960" w:firstLineChars="4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联系人： 王全超</w:t>
      </w:r>
    </w:p>
    <w:p>
      <w:pPr>
        <w:pStyle w:val="36"/>
        <w:ind w:left="0" w:leftChars="0" w:firstLine="960" w:firstLineChars="4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联系电话：19390662979</w:t>
      </w:r>
    </w:p>
    <w:p>
      <w:pPr>
        <w:pStyle w:val="36"/>
        <w:ind w:left="0" w:leftChars="0" w:firstLine="960" w:firstLineChars="4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采购人地址：乌苏市古尔图镇人民政府</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十一、采购代理机构：乌苏市政务服务中心</w:t>
      </w:r>
    </w:p>
    <w:p>
      <w:pPr>
        <w:pStyle w:val="36"/>
        <w:ind w:left="0" w:leftChars="0" w:firstLine="960" w:firstLineChars="4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联 系 人：米格娜依 联系电话：0992-8507872</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p>
    <w:p>
      <w:pPr>
        <w:pStyle w:val="36"/>
        <w:ind w:left="0" w:leftChars="0" w:firstLine="480" w:firstLineChars="200"/>
        <w:rPr>
          <w:rFonts w:hint="eastAsia" w:ascii="仿宋_GB2312" w:hAnsi="仿宋_GB2312" w:eastAsia="仿宋_GB2312" w:cs="仿宋_GB2312"/>
          <w:kern w:val="2"/>
          <w:sz w:val="24"/>
          <w:szCs w:val="24"/>
          <w:lang w:val="en-US" w:eastAsia="zh-CN" w:bidi="ar-SA"/>
        </w:rPr>
      </w:pPr>
    </w:p>
    <w:p>
      <w:pPr>
        <w:pStyle w:val="36"/>
        <w:ind w:left="0" w:leftChars="0" w:firstLine="480" w:firstLineChars="200"/>
        <w:rPr>
          <w:rFonts w:hint="eastAsia" w:ascii="仿宋_GB2312" w:hAnsi="仿宋_GB2312" w:eastAsia="仿宋_GB2312" w:cs="仿宋_GB2312"/>
          <w:kern w:val="2"/>
          <w:sz w:val="24"/>
          <w:szCs w:val="24"/>
          <w:lang w:val="en-US" w:eastAsia="zh-CN" w:bidi="ar-SA"/>
        </w:rPr>
      </w:pPr>
    </w:p>
    <w:p>
      <w:pPr>
        <w:pStyle w:val="36"/>
        <w:ind w:left="0" w:leftChars="0" w:firstLine="6000" w:firstLineChars="25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乌苏市政务服务中心</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2023年8月</w:t>
      </w:r>
      <w:r>
        <w:rPr>
          <w:rFonts w:hint="eastAsia" w:hAnsi="仿宋_GB2312" w:cs="仿宋_GB2312"/>
          <w:kern w:val="2"/>
          <w:sz w:val="24"/>
          <w:szCs w:val="24"/>
          <w:lang w:val="en-US" w:eastAsia="zh-CN" w:bidi="ar-SA"/>
        </w:rPr>
        <w:t>10</w:t>
      </w:r>
      <w:r>
        <w:rPr>
          <w:rFonts w:hint="eastAsia" w:ascii="仿宋_GB2312" w:hAnsi="仿宋_GB2312" w:eastAsia="仿宋_GB2312" w:cs="仿宋_GB2312"/>
          <w:kern w:val="2"/>
          <w:sz w:val="24"/>
          <w:szCs w:val="24"/>
          <w:lang w:val="en-US" w:eastAsia="zh-CN" w:bidi="ar-SA"/>
        </w:rPr>
        <w:t>日</w:t>
      </w:r>
    </w:p>
    <w:p>
      <w:pPr>
        <w:pStyle w:val="36"/>
        <w:ind w:left="0" w:leftChars="0" w:firstLine="480" w:firstLineChars="200"/>
        <w:rPr>
          <w:rFonts w:hint="eastAsia" w:ascii="仿宋_GB2312" w:hAnsi="仿宋_GB2312" w:eastAsia="仿宋_GB2312" w:cs="仿宋_GB2312"/>
          <w:kern w:val="2"/>
          <w:sz w:val="24"/>
          <w:szCs w:val="24"/>
          <w:lang w:val="en-US" w:eastAsia="zh-CN" w:bidi="ar-SA"/>
        </w:rPr>
      </w:pPr>
    </w:p>
    <w:p>
      <w:pPr>
        <w:pStyle w:val="36"/>
        <w:ind w:left="0" w:leftChars="0" w:firstLine="480" w:firstLineChars="200"/>
        <w:rPr>
          <w:rFonts w:hint="eastAsia" w:ascii="仿宋_GB2312" w:hAnsi="仿宋_GB2312" w:eastAsia="仿宋_GB2312" w:cs="仿宋_GB2312"/>
          <w:kern w:val="2"/>
          <w:sz w:val="24"/>
          <w:szCs w:val="24"/>
          <w:lang w:val="en-US" w:eastAsia="zh-CN" w:bidi="ar-SA"/>
        </w:rPr>
      </w:pPr>
    </w:p>
    <w:p>
      <w:pPr>
        <w:pStyle w:val="36"/>
        <w:ind w:left="0" w:leftChars="0" w:firstLine="480" w:firstLineChars="200"/>
        <w:rPr>
          <w:rFonts w:hint="eastAsia" w:ascii="仿宋_GB2312" w:hAnsi="仿宋_GB2312" w:eastAsia="仿宋_GB2312" w:cs="仿宋_GB2312"/>
          <w:kern w:val="2"/>
          <w:sz w:val="24"/>
          <w:szCs w:val="24"/>
          <w:lang w:val="en-US" w:eastAsia="zh-CN" w:bidi="ar-SA"/>
        </w:rPr>
      </w:pPr>
    </w:p>
    <w:p>
      <w:pPr>
        <w:pStyle w:val="45"/>
        <w:rPr>
          <w:rFonts w:hint="eastAsia" w:ascii="仿宋_GB2312" w:hAnsi="仿宋_GB2312" w:eastAsia="仿宋_GB2312" w:cs="仿宋_GB2312"/>
          <w:b w:val="0"/>
          <w:kern w:val="2"/>
          <w:sz w:val="24"/>
          <w:szCs w:val="24"/>
          <w:lang w:val="en-US" w:eastAsia="zh-CN" w:bidi="ar-SA"/>
        </w:rPr>
      </w:pPr>
    </w:p>
    <w:p>
      <w:pPr>
        <w:pStyle w:val="45"/>
        <w:rPr>
          <w:rFonts w:hint="eastAsia" w:ascii="仿宋_GB2312" w:hAnsi="仿宋_GB2312" w:eastAsia="仿宋_GB2312" w:cs="仿宋_GB2312"/>
          <w:b w:val="0"/>
          <w:kern w:val="2"/>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3"/>
        <w:numPr>
          <w:ilvl w:val="0"/>
          <w:numId w:val="2"/>
        </w:numPr>
        <w:tabs>
          <w:tab w:val="left" w:pos="3990"/>
        </w:tabs>
        <w:spacing w:before="0" w:after="0" w:line="240" w:lineRule="auto"/>
        <w:ind w:left="1260" w:leftChars="0" w:firstLineChars="0"/>
        <w:outlineLvl w:val="0"/>
        <w:rPr>
          <w:rFonts w:hint="eastAsia" w:ascii="仿宋_GB2312" w:hAnsi="仿宋_GB2312" w:eastAsia="仿宋_GB2312" w:cs="仿宋_GB2312"/>
          <w:b/>
          <w:bCs/>
          <w:color w:val="000000"/>
          <w:kern w:val="2"/>
          <w:sz w:val="24"/>
          <w:szCs w:val="24"/>
          <w:highlight w:val="none"/>
          <w:u w:val="none"/>
          <w:lang w:val="en-US" w:eastAsia="zh-CN" w:bidi="ar-SA"/>
        </w:rPr>
      </w:pPr>
      <w:bookmarkStart w:id="2" w:name="_Toc2939"/>
      <w:bookmarkStart w:id="3" w:name="_Toc17064"/>
      <w:r>
        <w:rPr>
          <w:rFonts w:hint="eastAsia" w:ascii="仿宋_GB2312" w:hAnsi="仿宋_GB2312" w:eastAsia="仿宋_GB2312" w:cs="仿宋_GB2312"/>
          <w:b/>
          <w:bCs/>
          <w:color w:val="000000"/>
          <w:kern w:val="2"/>
          <w:sz w:val="24"/>
          <w:szCs w:val="24"/>
          <w:highlight w:val="none"/>
          <w:u w:val="none"/>
          <w:lang w:val="en-US" w:eastAsia="zh-CN" w:bidi="ar-SA"/>
        </w:rPr>
        <w:t>投标单位须知</w:t>
      </w:r>
      <w:bookmarkEnd w:id="0"/>
      <w:bookmarkEnd w:id="2"/>
      <w:bookmarkEnd w:id="3"/>
    </w:p>
    <w:p>
      <w:pPr>
        <w:rPr>
          <w:rFonts w:hint="eastAsia" w:ascii="仿宋_GB2312" w:hAnsi="仿宋_GB2312" w:eastAsia="仿宋_GB2312" w:cs="仿宋_GB2312"/>
          <w:b/>
          <w:bCs/>
          <w:color w:val="000000"/>
          <w:kern w:val="2"/>
          <w:sz w:val="24"/>
          <w:szCs w:val="24"/>
          <w:highlight w:val="none"/>
          <w:u w:val="none"/>
          <w:lang w:val="en-US" w:eastAsia="zh-CN" w:bidi="ar-SA"/>
        </w:rPr>
      </w:pPr>
      <w:bookmarkStart w:id="4" w:name="_Toc21720"/>
    </w:p>
    <w:p>
      <w:pPr>
        <w:jc w:val="center"/>
        <w:outlineLvl w:val="9"/>
        <w:rPr>
          <w:rFonts w:hint="eastAsia" w:ascii="仿宋_GB2312" w:hAnsi="仿宋_GB2312" w:eastAsia="仿宋_GB2312" w:cs="仿宋_GB2312"/>
          <w:b/>
          <w:bCs/>
          <w:color w:val="000000"/>
          <w:kern w:val="2"/>
          <w:sz w:val="24"/>
          <w:szCs w:val="24"/>
          <w:highlight w:val="none"/>
          <w:u w:val="none"/>
          <w:lang w:val="en-US" w:eastAsia="zh-CN" w:bidi="ar-SA"/>
        </w:rPr>
      </w:pPr>
      <w:bookmarkStart w:id="5" w:name="_Toc14063"/>
      <w:r>
        <w:rPr>
          <w:rFonts w:hint="eastAsia" w:ascii="仿宋_GB2312" w:hAnsi="仿宋_GB2312" w:eastAsia="仿宋_GB2312" w:cs="仿宋_GB2312"/>
          <w:b/>
          <w:bCs/>
          <w:color w:val="000000"/>
          <w:kern w:val="2"/>
          <w:sz w:val="24"/>
          <w:szCs w:val="24"/>
          <w:highlight w:val="none"/>
          <w:u w:val="none"/>
          <w:lang w:val="en-US" w:eastAsia="zh-CN" w:bidi="ar-SA"/>
        </w:rPr>
        <w:t>投标单位须知前附表</w:t>
      </w:r>
      <w:bookmarkEnd w:id="4"/>
      <w:bookmarkEnd w:id="5"/>
    </w:p>
    <w:tbl>
      <w:tblPr>
        <w:tblStyle w:val="37"/>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24"/>
                <w:szCs w:val="24"/>
                <w:highlight w:val="none"/>
                <w:u w:val="none"/>
                <w:lang w:val="en-US" w:eastAsia="zh-CN" w:bidi="ar-SA"/>
              </w:rPr>
            </w:pPr>
            <w:r>
              <w:rPr>
                <w:rFonts w:hint="eastAsia" w:ascii="仿宋_GB2312" w:hAnsi="仿宋_GB2312" w:eastAsia="仿宋_GB2312" w:cs="仿宋_GB2312"/>
                <w:b/>
                <w:bCs/>
                <w:color w:val="000000"/>
                <w:kern w:val="2"/>
                <w:sz w:val="24"/>
                <w:szCs w:val="24"/>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项目名称</w:t>
            </w:r>
          </w:p>
        </w:tc>
        <w:tc>
          <w:tcPr>
            <w:tcW w:w="6290" w:type="dxa"/>
            <w:vAlign w:val="center"/>
          </w:tcPr>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sz w:val="24"/>
                <w:szCs w:val="24"/>
                <w:lang w:val="en-US" w:eastAsia="zh-CN"/>
              </w:rPr>
              <w:t>乌苏市古尔图镇古尔图村基层组织阵地建设项目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5"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2</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乌苏市古尔图镇人民政府</w:t>
            </w:r>
          </w:p>
          <w:p>
            <w:pPr>
              <w:pStyle w:val="36"/>
              <w:ind w:left="0" w:leftChars="0" w:firstLine="0"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highlight w:val="none"/>
                <w:u w:val="none"/>
                <w:lang w:val="en-US" w:eastAsia="zh-CN"/>
              </w:rPr>
              <w:t>联系人：</w:t>
            </w:r>
            <w:r>
              <w:rPr>
                <w:rFonts w:hint="eastAsia" w:ascii="仿宋_GB2312" w:hAnsi="仿宋_GB2312" w:eastAsia="仿宋_GB2312" w:cs="仿宋_GB2312"/>
                <w:kern w:val="2"/>
                <w:sz w:val="24"/>
                <w:szCs w:val="24"/>
                <w:lang w:val="en-US" w:eastAsia="zh-CN" w:bidi="ar-SA"/>
              </w:rPr>
              <w:t>王全超</w:t>
            </w:r>
          </w:p>
          <w:p>
            <w:pPr>
              <w:pStyle w:val="36"/>
              <w:ind w:left="0" w:leftChars="0" w:firstLine="0" w:firstLineChars="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kern w:val="2"/>
                <w:sz w:val="24"/>
                <w:szCs w:val="24"/>
                <w:lang w:val="en-US" w:eastAsia="zh-CN" w:bidi="ar-SA"/>
              </w:rPr>
              <w:t>联系电话：19390662979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3</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名  称：</w:t>
            </w:r>
            <w:r>
              <w:rPr>
                <w:rFonts w:hint="eastAsia" w:ascii="仿宋_GB2312" w:hAnsi="仿宋_GB2312" w:eastAsia="仿宋_GB2312" w:cs="仿宋_GB2312"/>
                <w:sz w:val="24"/>
                <w:szCs w:val="24"/>
                <w:lang w:val="en-US" w:eastAsia="zh-CN"/>
              </w:rPr>
              <w:t>乌苏市政务服务中心</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地  址：乌苏市温州路248号政务服务中心三楼</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联 系 人：米格娜依 </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4</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工程规模</w:t>
            </w:r>
          </w:p>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招标范围</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古尔图村新建一栋一层基层组织阵地，建筑面积为557.16平方米及配套工程</w:t>
            </w:r>
            <w:r>
              <w:rPr>
                <w:rFonts w:hint="eastAsia" w:ascii="仿宋_GB2312" w:hAnsi="仿宋_GB2312" w:eastAsia="仿宋_GB2312" w:cs="仿宋_GB2312"/>
                <w:color w:val="auto"/>
                <w:sz w:val="24"/>
                <w:szCs w:val="24"/>
                <w:lang w:val="en-US" w:eastAsia="zh-CN"/>
              </w:rPr>
              <w:t>（具体可看工程量清单和图纸）。</w:t>
            </w:r>
            <w:r>
              <w:rPr>
                <w:rFonts w:hint="eastAsia" w:ascii="仿宋_GB2312" w:hAnsi="仿宋_GB2312" w:eastAsia="仿宋_GB2312" w:cs="仿宋_GB2312"/>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5</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招标控制价</w:t>
            </w:r>
          </w:p>
        </w:tc>
        <w:tc>
          <w:tcPr>
            <w:tcW w:w="6290" w:type="dxa"/>
            <w:vAlign w:val="center"/>
          </w:tcPr>
          <w:p>
            <w:pPr>
              <w:widowControl/>
              <w:spacing w:line="400" w:lineRule="exact"/>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zh-CN" w:eastAsia="zh-CN"/>
              </w:rPr>
              <w:t>金额（小写）：</w:t>
            </w:r>
            <w:r>
              <w:rPr>
                <w:rFonts w:hint="eastAsia" w:ascii="仿宋_GB2312" w:hAnsi="仿宋_GB2312" w:eastAsia="仿宋_GB2312" w:cs="仿宋_GB2312"/>
                <w:color w:val="auto"/>
                <w:sz w:val="24"/>
                <w:szCs w:val="24"/>
                <w:highlight w:val="none"/>
                <w:u w:val="none"/>
                <w:lang w:val="en-US" w:eastAsia="zh-CN"/>
              </w:rPr>
              <w:t>2413047.28元，</w:t>
            </w:r>
          </w:p>
          <w:p>
            <w:pPr>
              <w:widowControl/>
              <w:spacing w:line="4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u w:val="none"/>
                <w:lang w:val="zh-CN" w:eastAsia="zh-CN"/>
              </w:rPr>
              <w:t>金额（大写）：</w:t>
            </w:r>
            <w:r>
              <w:rPr>
                <w:rFonts w:hint="eastAsia" w:ascii="仿宋_GB2312" w:hAnsi="仿宋_GB2312" w:eastAsia="仿宋_GB2312" w:cs="仿宋_GB2312"/>
                <w:color w:val="auto"/>
                <w:sz w:val="24"/>
                <w:szCs w:val="24"/>
                <w:highlight w:val="none"/>
                <w:u w:val="none"/>
                <w:lang w:val="en-US" w:eastAsia="zh-CN"/>
              </w:rPr>
              <w:t>贰佰肆拾壹万叁仟零肆拾柒元贰角捌分.</w:t>
            </w:r>
          </w:p>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6</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投标单位资格条件</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（2）供应商必须是中华人民共和国境内注册的，且为中小企业；</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（3）被授权人提供法定代表人授权委托书及被委托人身份证原件及复印件；法定代表人提供法定代表人身份证明书及身份证原件及复印件；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（4）建筑工程施工总承包三级及以上资质；具备施工企业安全生产许可证件；</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（5）工程项目负责人具备建筑工程二级及以上执业资格，具备有效的安全生产考核合格证书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rtl w:val="0"/>
                <w:lang w:val="en-US" w:eastAsia="zh-CN"/>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（7）</w:t>
            </w:r>
            <w:r>
              <w:rPr>
                <w:rFonts w:hint="eastAsia" w:ascii="仿宋_GB2312" w:hAnsi="仿宋_GB2312" w:eastAsia="仿宋_GB2312" w:cs="仿宋_GB2312"/>
                <w:color w:val="000000"/>
                <w:sz w:val="24"/>
                <w:szCs w:val="24"/>
                <w:highlight w:val="none"/>
                <w:u w:val="none"/>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rtl w:val="0"/>
                <w:lang w:val="en-US" w:eastAsia="zh-CN"/>
              </w:rPr>
            </w:pPr>
            <w:r>
              <w:rPr>
                <w:rFonts w:hint="eastAsia" w:ascii="仿宋_GB2312" w:hAnsi="仿宋_GB2312" w:eastAsia="仿宋_GB2312" w:cs="仿宋_GB2312"/>
                <w:color w:val="000000"/>
                <w:sz w:val="24"/>
                <w:szCs w:val="24"/>
                <w:highlight w:val="none"/>
                <w:u w:val="none"/>
                <w:lang w:val="en-US" w:eastAsia="zh-CN"/>
              </w:rPr>
              <w:t>（8）</w:t>
            </w:r>
            <w:r>
              <w:rPr>
                <w:rFonts w:hint="eastAsia" w:ascii="仿宋_GB2312" w:hAnsi="仿宋_GB2312" w:eastAsia="仿宋_GB2312" w:cs="仿宋_GB2312"/>
                <w:color w:val="000000"/>
                <w:sz w:val="24"/>
                <w:szCs w:val="24"/>
                <w:highlight w:val="none"/>
                <w:u w:val="none"/>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（11）本项目不接受联合体。</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7</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联合体投标</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8</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备选方案</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xml:space="preserve">☑不接受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9</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响应文件递交截止时间</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2023年8月25日11：00（北京时间）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10</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磋商时间、地点</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磋商时间：2023年8月25日11：00（北京时间）</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trPr>
        <w:tc>
          <w:tcPr>
            <w:tcW w:w="1117"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11</w:t>
            </w:r>
          </w:p>
        </w:tc>
        <w:tc>
          <w:tcPr>
            <w:tcW w:w="1943" w:type="dxa"/>
            <w:vAlign w:val="center"/>
          </w:tcPr>
          <w:p>
            <w:pPr>
              <w:widowControl/>
              <w:spacing w:line="400" w:lineRule="exact"/>
              <w:jc w:val="left"/>
              <w:rPr>
                <w:rFonts w:hint="eastAsia" w:ascii="仿宋_GB2312" w:hAnsi="仿宋_GB2312" w:eastAsia="仿宋_GB2312" w:cs="仿宋_GB2312"/>
                <w:b/>
                <w:bCs/>
                <w:color w:val="000000"/>
                <w:sz w:val="24"/>
                <w:szCs w:val="24"/>
                <w:highlight w:val="none"/>
                <w:u w:val="none"/>
                <w:lang w:val="en-US" w:eastAsia="zh-CN"/>
              </w:rPr>
            </w:pPr>
            <w:r>
              <w:rPr>
                <w:rFonts w:hint="eastAsia" w:ascii="仿宋_GB2312" w:hAnsi="仿宋_GB2312" w:eastAsia="仿宋_GB2312" w:cs="仿宋_GB2312"/>
                <w:b/>
                <w:bCs/>
                <w:color w:val="000000"/>
                <w:sz w:val="24"/>
                <w:szCs w:val="24"/>
                <w:highlight w:val="none"/>
                <w:u w:val="none"/>
                <w:lang w:val="en-US" w:eastAsia="zh-CN"/>
              </w:rPr>
              <w:t>磋商小组的组建及评审专家的确定方式</w:t>
            </w:r>
          </w:p>
        </w:tc>
        <w:tc>
          <w:tcPr>
            <w:tcW w:w="6290" w:type="dxa"/>
            <w:vAlign w:val="center"/>
          </w:tcPr>
          <w:p>
            <w:pPr>
              <w:widowControl/>
              <w:spacing w:line="400" w:lineRule="exact"/>
              <w:jc w:val="left"/>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themeColor="text1"/>
                <w:sz w:val="24"/>
                <w:szCs w:val="24"/>
                <w:highlight w:val="none"/>
                <w:u w:val="none"/>
                <w:lang w:val="en-US" w:eastAsia="zh-CN"/>
                <w14:textFill>
                  <w14:solidFill>
                    <w14:schemeClr w14:val="tx1"/>
                  </w14:solidFill>
                </w14:textFill>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12</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b/>
                <w:bCs/>
                <w:color w:val="auto"/>
                <w:sz w:val="24"/>
                <w:szCs w:val="24"/>
                <w:highlight w:val="white"/>
                <w:lang w:eastAsia="zh-CN"/>
              </w:rPr>
              <w:t>磋商</w:t>
            </w:r>
            <w:r>
              <w:rPr>
                <w:rFonts w:hint="eastAsia" w:ascii="仿宋_GB2312" w:hAnsi="仿宋_GB2312" w:eastAsia="仿宋_GB2312" w:cs="仿宋_GB2312"/>
                <w:b/>
                <w:bCs/>
                <w:color w:val="auto"/>
                <w:sz w:val="24"/>
                <w:szCs w:val="24"/>
                <w:highlight w:val="white"/>
              </w:rPr>
              <w:t>保证金</w:t>
            </w:r>
          </w:p>
        </w:tc>
        <w:tc>
          <w:tcPr>
            <w:tcW w:w="6290" w:type="dxa"/>
            <w:vAlign w:val="center"/>
          </w:tcPr>
          <w:p>
            <w:pPr>
              <w:adjustRightInd w:val="0"/>
              <w:snapToGrid w:val="0"/>
              <w:spacing w:before="120" w:beforeLines="50" w:line="360" w:lineRule="auto"/>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金额（小写）：</w:t>
            </w:r>
            <w:r>
              <w:rPr>
                <w:rFonts w:hint="eastAsia" w:ascii="仿宋_GB2312" w:hAnsi="仿宋_GB2312" w:eastAsia="仿宋_GB2312" w:cs="仿宋_GB2312"/>
                <w:color w:val="auto"/>
                <w:kern w:val="0"/>
                <w:sz w:val="24"/>
                <w:szCs w:val="24"/>
                <w:lang w:val="en-US" w:eastAsia="zh-CN"/>
              </w:rPr>
              <w:t>0</w:t>
            </w:r>
            <w:r>
              <w:rPr>
                <w:rFonts w:hint="eastAsia" w:ascii="仿宋_GB2312" w:hAnsi="仿宋_GB2312" w:eastAsia="仿宋_GB2312" w:cs="仿宋_GB2312"/>
                <w:color w:val="auto"/>
                <w:kern w:val="0"/>
                <w:sz w:val="24"/>
                <w:szCs w:val="24"/>
              </w:rPr>
              <w:t>元</w:t>
            </w:r>
          </w:p>
          <w:p>
            <w:pPr>
              <w:adjustRightInd w:val="0"/>
              <w:snapToGrid w:val="0"/>
              <w:spacing w:before="120" w:beforeLines="50" w:line="360" w:lineRule="auto"/>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auto"/>
                <w:kern w:val="0"/>
                <w:sz w:val="24"/>
                <w:szCs w:val="24"/>
              </w:rPr>
              <w:t>金额（大写）：</w:t>
            </w:r>
            <w:r>
              <w:rPr>
                <w:rFonts w:hint="eastAsia" w:ascii="仿宋_GB2312" w:hAnsi="仿宋_GB2312" w:eastAsia="仿宋_GB2312" w:cs="仿宋_GB2312"/>
                <w:color w:val="auto"/>
                <w:kern w:val="0"/>
                <w:sz w:val="24"/>
                <w:szCs w:val="24"/>
                <w:lang w:eastAsia="zh-CN"/>
              </w:rPr>
              <w:t>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13</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评审办法</w:t>
            </w:r>
          </w:p>
        </w:tc>
        <w:tc>
          <w:tcPr>
            <w:tcW w:w="6290" w:type="dxa"/>
            <w:vAlign w:val="center"/>
          </w:tcPr>
          <w:p>
            <w:pPr>
              <w:spacing w:line="500" w:lineRule="exact"/>
              <w:ind w:left="520" w:leftChars="1" w:hanging="518" w:hangingChars="216"/>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综合评</w:t>
            </w:r>
            <w:r>
              <w:rPr>
                <w:rFonts w:hint="eastAsia" w:ascii="仿宋_GB2312" w:hAnsi="仿宋_GB2312" w:eastAsia="仿宋_GB2312" w:cs="仿宋_GB2312"/>
                <w:color w:val="000000"/>
                <w:sz w:val="24"/>
                <w:szCs w:val="24"/>
                <w:lang w:val="en-US" w:eastAsia="zh-CN"/>
              </w:rPr>
              <w:t>分</w:t>
            </w:r>
            <w:r>
              <w:rPr>
                <w:rFonts w:hint="eastAsia" w:ascii="仿宋_GB2312" w:hAnsi="仿宋_GB2312" w:eastAsia="仿宋_GB2312" w:cs="仿宋_GB2312"/>
                <w:color w:val="000000"/>
                <w:sz w:val="24"/>
                <w:szCs w:val="24"/>
                <w:lang w:eastAsia="zh-CN"/>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14</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磋商有效期</w:t>
            </w:r>
          </w:p>
        </w:tc>
        <w:tc>
          <w:tcPr>
            <w:tcW w:w="6290" w:type="dxa"/>
            <w:vAlign w:val="center"/>
          </w:tcPr>
          <w:p>
            <w:pPr>
              <w:adjustRightInd w:val="0"/>
              <w:snapToGrid w:val="0"/>
              <w:spacing w:before="120" w:beforeLines="50" w:line="360" w:lineRule="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highlight w:val="white"/>
              </w:rPr>
              <w:t xml:space="preserve"> </w:t>
            </w:r>
            <w:r>
              <w:rPr>
                <w:rFonts w:hint="eastAsia" w:ascii="仿宋_GB2312" w:hAnsi="仿宋_GB2312" w:eastAsia="仿宋_GB2312" w:cs="仿宋_GB2312"/>
                <w:color w:val="000000"/>
                <w:sz w:val="24"/>
                <w:szCs w:val="24"/>
                <w:highlight w:val="white"/>
                <w:u w:val="single"/>
                <w:lang w:val="en-US" w:eastAsia="zh-CN"/>
              </w:rPr>
              <w:t>60</w:t>
            </w:r>
            <w:r>
              <w:rPr>
                <w:rFonts w:hint="eastAsia" w:ascii="仿宋_GB2312" w:hAnsi="仿宋_GB2312" w:eastAsia="仿宋_GB2312" w:cs="仿宋_GB2312"/>
                <w:color w:val="000000"/>
                <w:sz w:val="24"/>
                <w:szCs w:val="24"/>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15</w:t>
            </w:r>
          </w:p>
        </w:tc>
        <w:tc>
          <w:tcPr>
            <w:tcW w:w="1943" w:type="dxa"/>
            <w:vAlign w:val="top"/>
          </w:tcPr>
          <w:p>
            <w:pPr>
              <w:adjustRightInd w:val="0"/>
              <w:snapToGrid w:val="0"/>
              <w:spacing w:before="120"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招标方式</w:t>
            </w:r>
          </w:p>
        </w:tc>
        <w:tc>
          <w:tcPr>
            <w:tcW w:w="6290" w:type="dxa"/>
            <w:vAlign w:val="top"/>
          </w:tcPr>
          <w:p>
            <w:pPr>
              <w:spacing w:line="500" w:lineRule="exact"/>
              <w:ind w:left="520" w:leftChars="1" w:hanging="518" w:hangingChars="216"/>
              <w:jc w:val="left"/>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highlight w:val="white"/>
                <w:lang w:eastAsia="zh-CN"/>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16</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是否允许投报进口产品</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□是               </w:t>
            </w:r>
          </w:p>
          <w:p>
            <w:pPr>
              <w:autoSpaceDE w:val="0"/>
              <w:autoSpaceDN w:val="0"/>
              <w:adjustRightInd w:val="0"/>
              <w:spacing w:line="360" w:lineRule="auto"/>
              <w:rPr>
                <w:rFonts w:hint="eastAsia"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17</w:t>
            </w:r>
          </w:p>
        </w:tc>
        <w:tc>
          <w:tcPr>
            <w:tcW w:w="1943" w:type="dxa"/>
            <w:vAlign w:val="center"/>
          </w:tcPr>
          <w:p>
            <w:pPr>
              <w:spacing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踏勘现场</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highlight w:val="white"/>
                <w:lang w:eastAsia="zh-CN"/>
              </w:rPr>
              <w:t>☑</w:t>
            </w:r>
            <w:r>
              <w:rPr>
                <w:rFonts w:hint="eastAsia" w:ascii="仿宋_GB2312" w:hAnsi="仿宋_GB2312" w:eastAsia="仿宋_GB2312" w:cs="仿宋_GB2312"/>
                <w:color w:val="000000"/>
                <w:kern w:val="0"/>
                <w:sz w:val="24"/>
                <w:szCs w:val="24"/>
                <w:lang w:eastAsia="zh-CN"/>
              </w:rPr>
              <w:t>不组织</w:t>
            </w:r>
            <w:r>
              <w:rPr>
                <w:rFonts w:hint="eastAsia" w:ascii="仿宋_GB2312" w:hAnsi="仿宋_GB2312" w:eastAsia="仿宋_GB2312" w:cs="仿宋_GB2312"/>
                <w:color w:val="000000"/>
                <w:kern w:val="0"/>
                <w:sz w:val="24"/>
                <w:szCs w:val="24"/>
              </w:rPr>
              <w:t xml:space="preserve"> </w:t>
            </w:r>
          </w:p>
          <w:p>
            <w:pPr>
              <w:autoSpaceDE w:val="0"/>
              <w:autoSpaceDN w:val="0"/>
              <w:adjustRightInd w:val="0"/>
              <w:spacing w:line="360" w:lineRule="auto"/>
              <w:rPr>
                <w:rFonts w:hint="eastAsia" w:ascii="仿宋_GB2312" w:hAnsi="仿宋_GB2312" w:eastAsia="仿宋_GB2312" w:cs="仿宋_GB2312"/>
                <w:color w:val="000000"/>
                <w:sz w:val="24"/>
                <w:szCs w:val="24"/>
                <w:highlight w:val="white"/>
              </w:rPr>
            </w:pPr>
            <w:r>
              <w:rPr>
                <w:rFonts w:hint="eastAsia" w:ascii="仿宋_GB2312" w:hAnsi="仿宋_GB2312" w:eastAsia="仿宋_GB2312" w:cs="仿宋_GB2312"/>
                <w:color w:val="000000"/>
                <w:kern w:val="0"/>
                <w:sz w:val="24"/>
                <w:szCs w:val="24"/>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18</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履约保证金</w:t>
            </w:r>
          </w:p>
        </w:tc>
        <w:tc>
          <w:tcPr>
            <w:tcW w:w="6290" w:type="dxa"/>
            <w:vAlign w:val="center"/>
          </w:tcPr>
          <w:p>
            <w:pPr>
              <w:pStyle w:val="1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000000"/>
                <w:sz w:val="24"/>
                <w:szCs w:val="24"/>
                <w:highlight w:val="white"/>
                <w:lang w:val="en-US" w:eastAsia="zh-CN"/>
              </w:rPr>
            </w:pPr>
            <w:r>
              <w:rPr>
                <w:rFonts w:hint="eastAsia" w:ascii="仿宋_GB2312" w:hAnsi="仿宋_GB2312" w:eastAsia="仿宋_GB2312" w:cs="仿宋_GB2312"/>
                <w:color w:val="000000"/>
                <w:kern w:val="2"/>
                <w:sz w:val="24"/>
                <w:szCs w:val="24"/>
                <w:highlight w:val="whit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19</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rPr>
              <w:t>质量</w:t>
            </w:r>
          </w:p>
        </w:tc>
        <w:tc>
          <w:tcPr>
            <w:tcW w:w="6290" w:type="dxa"/>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20</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计划工期</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 xml:space="preserve">100天   </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开工时间：2023年8月28日</w:t>
            </w:r>
          </w:p>
          <w:p>
            <w:pPr>
              <w:spacing w:line="440" w:lineRule="exact"/>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竣工时间：2023年12月7日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21</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付款方式</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 xml:space="preserve">合同签订后支付30%预付款；按每月已完成工程量支付至80%进度款；工程验收合格后，支付到合同总价款的85%，经相关部门审计后，支付到审计价款的97%，剩余3%做为工程保修金，质保期满后无质量问题无息返还。。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22</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投标文件递交及开标地点</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响应文件提交时间：同投标截止时间</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开标地点：政采云远程不见面开标大厅</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不见面开标默认解密时长：30分钟。</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关于能否延长解密时间的约定：开标现场若发现默认解密时长不足，由采购人决定是否延长解密时长。</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注：供应商可通过账号密码或CA登录政采云客户端进行投标文件的制作，本项目采用电子版投标文件。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440" w:lineRule="exact"/>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3.远程开标前，投标人务必在政采云平台（https://www.zcygov.cn/）响应文件上传模块中使用“模拟解密”功能，验证本机远程自助解密环境</w:t>
            </w:r>
          </w:p>
          <w:p>
            <w:pPr>
              <w:spacing w:line="440" w:lineRule="exact"/>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23</w:t>
            </w:r>
          </w:p>
        </w:tc>
        <w:tc>
          <w:tcPr>
            <w:tcW w:w="1943" w:type="dxa"/>
            <w:vAlign w:val="center"/>
          </w:tcPr>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p>
          <w:p>
            <w:pPr>
              <w:spacing w:line="44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响应性文件份数</w:t>
            </w:r>
          </w:p>
          <w:p>
            <w:pPr>
              <w:spacing w:line="44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与密封性</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3.远程开标前，投标人务必在政采云平台（https://www.zcygov.cn/）响应文件上传模块中使用“模拟解密”功能，验证本机远程自助解密环境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（1）正本一份并标明“正本”字样。</w:t>
            </w:r>
            <w:r>
              <w:rPr>
                <w:rFonts w:hint="eastAsia" w:ascii="仿宋_GB2312" w:hAnsi="仿宋_GB2312" w:eastAsia="仿宋_GB2312" w:cs="仿宋_GB2312"/>
                <w:b/>
                <w:bCs/>
                <w:color w:val="000000"/>
                <w:sz w:val="24"/>
                <w:szCs w:val="24"/>
                <w:u w:val="none"/>
                <w:lang w:val="en-US" w:eastAsia="zh-CN"/>
              </w:rPr>
              <w:br w:type="textWrapping"/>
            </w:r>
            <w:r>
              <w:rPr>
                <w:rFonts w:hint="eastAsia" w:ascii="仿宋_GB2312" w:hAnsi="仿宋_GB2312" w:eastAsia="仿宋_GB2312" w:cs="仿宋_GB2312"/>
                <w:b/>
                <w:bCs/>
                <w:color w:val="000000"/>
                <w:sz w:val="24"/>
                <w:szCs w:val="24"/>
                <w:u w:val="none"/>
                <w:lang w:val="en-US" w:eastAsia="zh-CN"/>
              </w:rPr>
              <w:t>（2）副本二份并标明“副本”字样。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b/>
                <w:bCs/>
                <w:color w:val="000000"/>
                <w:sz w:val="24"/>
                <w:szCs w:val="24"/>
                <w:u w:val="none"/>
                <w:lang w:val="en-US" w:eastAsia="zh-CN"/>
              </w:rPr>
              <w:t>注：中标供应商需在招标结束后7日内提供以上文件，邮寄至新疆乌苏市温州路248号乌苏市政务服务中心米格娜依0992-8507872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24</w:t>
            </w:r>
          </w:p>
        </w:tc>
        <w:tc>
          <w:tcPr>
            <w:tcW w:w="1943" w:type="dxa"/>
            <w:vAlign w:val="center"/>
          </w:tcPr>
          <w:p>
            <w:pPr>
              <w:spacing w:line="44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投标文件签章</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25</w:t>
            </w:r>
          </w:p>
        </w:tc>
        <w:tc>
          <w:tcPr>
            <w:tcW w:w="1943" w:type="dxa"/>
            <w:vAlign w:val="center"/>
          </w:tcPr>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政府采购</w:t>
            </w:r>
          </w:p>
          <w:p>
            <w:pPr>
              <w:spacing w:line="4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政策功能</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促进中小企业发展政策：根据《政府采购促进中小企业发展管理办法》规定，本项目施工单位全部为符合政策要求的中小企业，将评审报价给予5</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000000"/>
                <w:sz w:val="24"/>
                <w:szCs w:val="24"/>
                <w:u w:val="none"/>
                <w:lang w:val="en-US" w:eastAsia="zh-CN"/>
              </w:rPr>
              <w:t>的扣除。投标人应出具招标文件中要求的《中小企业声明函》，否则评审时不予认可。</w:t>
            </w:r>
            <w:r>
              <w:rPr>
                <w:rFonts w:hint="eastAsia" w:ascii="仿宋_GB2312" w:hAnsi="仿宋_GB2312" w:eastAsia="仿宋_GB2312" w:cs="仿宋_GB2312"/>
                <w:b/>
                <w:bCs/>
                <w:color w:val="000000"/>
                <w:sz w:val="24"/>
                <w:szCs w:val="24"/>
                <w:u w:val="none"/>
                <w:lang w:val="en-US" w:eastAsia="zh-CN"/>
              </w:rPr>
              <w:t>投标人应对提交的中小企业声明函的真实性负责，提交的中小企业声明函不真实的，应承担相应的法律责任。</w:t>
            </w:r>
            <w:r>
              <w:rPr>
                <w:rFonts w:hint="eastAsia" w:ascii="仿宋_GB2312" w:hAnsi="仿宋_GB2312" w:eastAsia="仿宋_GB2312" w:cs="仿宋_GB2312"/>
                <w:color w:val="000000"/>
                <w:sz w:val="24"/>
                <w:szCs w:val="24"/>
                <w:u w:val="none"/>
                <w:lang w:val="en-US" w:eastAsia="zh-CN"/>
              </w:rPr>
              <w:t>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26</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特别提示</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single"/>
                <w:lang w:val="en-US" w:eastAsia="zh-CN"/>
              </w:rPr>
            </w:pPr>
            <w:r>
              <w:rPr>
                <w:rFonts w:hint="eastAsia" w:ascii="仿宋_GB2312" w:hAnsi="仿宋_GB2312" w:eastAsia="仿宋_GB2312" w:cs="仿宋_GB2312"/>
                <w:color w:val="000000"/>
                <w:sz w:val="24"/>
                <w:szCs w:val="24"/>
                <w:u w:val="none"/>
                <w:lang w:val="en-US" w:eastAsia="zh-CN"/>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27</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其他</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b/>
                <w:bCs/>
                <w:color w:val="000000"/>
                <w:sz w:val="24"/>
                <w:szCs w:val="24"/>
                <w:u w:val="single"/>
                <w:lang w:val="en-US" w:eastAsia="zh-CN"/>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u w:val="none"/>
                <w:lang w:val="en-US" w:eastAsia="zh-CN"/>
              </w:rPr>
              <w:t>备注</w:t>
            </w:r>
          </w:p>
        </w:tc>
        <w:tc>
          <w:tcPr>
            <w:tcW w:w="8233" w:type="dxa"/>
            <w:gridSpan w:val="2"/>
            <w:vAlign w:val="center"/>
          </w:tcPr>
          <w:p>
            <w:pPr>
              <w:rPr>
                <w:rFonts w:hint="eastAsia" w:ascii="仿宋_GB2312" w:hAnsi="仿宋_GB2312" w:eastAsia="仿宋_GB2312" w:cs="仿宋_GB2312"/>
                <w:color w:val="000000"/>
                <w:sz w:val="24"/>
                <w:szCs w:val="24"/>
                <w:u w:val="single"/>
                <w:lang w:val="en-US" w:eastAsia="zh-CN"/>
              </w:rPr>
            </w:pPr>
          </w:p>
        </w:tc>
      </w:tr>
    </w:tbl>
    <w:p>
      <w:pPr>
        <w:spacing w:line="4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、本表内容与</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其它内容不一致的，应当以本表内容为准。</w:t>
      </w:r>
    </w:p>
    <w:p>
      <w:pPr>
        <w:numPr>
          <w:ilvl w:val="0"/>
          <w:numId w:val="3"/>
        </w:numP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本表中“</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eq \o\ac(</w:instrText>
      </w:r>
      <w:r>
        <w:rPr>
          <w:rFonts w:hint="eastAsia" w:ascii="仿宋_GB2312" w:hAnsi="仿宋_GB2312" w:eastAsia="仿宋_GB2312" w:cs="仿宋_GB2312"/>
          <w:kern w:val="0"/>
          <w:position w:val="-4"/>
          <w:sz w:val="36"/>
          <w:szCs w:val="24"/>
        </w:rPr>
        <w:instrText xml:space="preserve">□</w:instrText>
      </w:r>
      <w:r>
        <w:rPr>
          <w:rFonts w:hint="eastAsia" w:ascii="仿宋_GB2312" w:hAnsi="仿宋_GB2312" w:eastAsia="仿宋_GB2312" w:cs="仿宋_GB2312"/>
          <w:kern w:val="0"/>
          <w:position w:val="0"/>
          <w:sz w:val="24"/>
          <w:szCs w:val="24"/>
        </w:rPr>
        <w:instrText xml:space="preserve">,√)</w:instrTex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”标示选择使用该项</w:t>
      </w:r>
      <w:bookmarkEnd w:id="1"/>
      <w:bookmarkStart w:id="6" w:name="_Toc455227390"/>
      <w:bookmarkEnd w:id="6"/>
      <w:bookmarkStart w:id="7" w:name="_Toc513029202"/>
      <w:bookmarkEnd w:id="7"/>
      <w:bookmarkStart w:id="8" w:name="_Toc16938518"/>
      <w:bookmarkEnd w:id="8"/>
      <w:bookmarkStart w:id="9" w:name="_Toc20823274"/>
      <w:bookmarkEnd w:id="9"/>
      <w:bookmarkStart w:id="10" w:name="_Toc120614213"/>
      <w:bookmarkEnd w:id="10"/>
      <w:bookmarkStart w:id="11" w:name="_Toc1621"/>
    </w:p>
    <w:p>
      <w:pPr>
        <w:pStyle w:val="4"/>
        <w:outlineLvl w:val="1"/>
        <w:rPr>
          <w:rFonts w:hint="eastAsia" w:ascii="仿宋_GB2312" w:hAnsi="仿宋_GB2312" w:eastAsia="仿宋_GB2312" w:cs="仿宋_GB2312"/>
          <w:b/>
          <w:bCs/>
          <w:sz w:val="24"/>
          <w:szCs w:val="24"/>
        </w:rPr>
      </w:pPr>
      <w:bookmarkStart w:id="12" w:name="_Toc19596"/>
      <w:bookmarkStart w:id="13" w:name="_Toc30649"/>
      <w:r>
        <w:rPr>
          <w:rFonts w:hint="eastAsia" w:ascii="仿宋_GB2312" w:hAnsi="仿宋_GB2312" w:eastAsia="仿宋_GB2312" w:cs="仿宋_GB2312"/>
          <w:b/>
          <w:bCs/>
          <w:sz w:val="24"/>
          <w:szCs w:val="24"/>
        </w:rPr>
        <w:t>一、 说明</w:t>
      </w:r>
      <w:bookmarkEnd w:id="11"/>
      <w:bookmarkEnd w:id="12"/>
      <w:bookmarkEnd w:id="13"/>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1.1适用范围</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.1本磋商文件仅适用于本磋商</w:t>
      </w:r>
      <w:r>
        <w:rPr>
          <w:rFonts w:hint="eastAsia" w:ascii="仿宋_GB2312" w:hAnsi="仿宋_GB2312" w:eastAsia="仿宋_GB2312" w:cs="仿宋_GB2312"/>
          <w:sz w:val="24"/>
          <w:szCs w:val="24"/>
          <w:lang w:eastAsia="zh-CN"/>
        </w:rPr>
        <w:t>文件</w:t>
      </w:r>
      <w:r>
        <w:rPr>
          <w:rFonts w:hint="eastAsia" w:ascii="仿宋_GB2312" w:hAnsi="仿宋_GB2312" w:eastAsia="仿宋_GB2312" w:cs="仿宋_GB2312"/>
          <w:sz w:val="24"/>
          <w:szCs w:val="24"/>
        </w:rPr>
        <w:t>中所述项目的货物及相关</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w:t>
      </w:r>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1.2定义</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1.2.3“监管部门”是指：详见</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须知前附表.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 “</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”是指：响应磋商文件要求并且符合磋商文件规定资格条件和参加竞争性磋商的法人、其他组织或者自然人。</w:t>
      </w:r>
    </w:p>
    <w:p>
      <w:pPr>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中标单位</w:t>
      </w:r>
      <w:r>
        <w:rPr>
          <w:rFonts w:hint="eastAsia" w:ascii="仿宋_GB2312" w:hAnsi="仿宋_GB2312" w:eastAsia="仿宋_GB2312" w:cs="仿宋_GB2312"/>
          <w:sz w:val="24"/>
          <w:szCs w:val="24"/>
        </w:rPr>
        <w:t>”是指: 是指经磋商小组评审，授予合同的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pStyle w:val="2"/>
        <w:adjustRightInd w:val="0"/>
        <w:snapToGrid w:val="0"/>
        <w:spacing w:before="120" w:beforeLines="50" w:after="120" w:afterLines="50" w:line="360" w:lineRule="auto"/>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代理机构统称为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1.3、货物和服务</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1.3.1“货物”是指：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制造或组织符合磋商文件要求的货物，包括原材料、燃料、设备、产品等。磋商文件中没有提及招标货物来源地的，根据《政府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法》的相关规定均应是本国货物，另有规定的除外。</w:t>
      </w:r>
      <w:r>
        <w:rPr>
          <w:rFonts w:hint="eastAsia" w:ascii="仿宋_GB2312" w:hAnsi="仿宋_GB2312" w:eastAsia="仿宋_GB2312" w:cs="仿宋_GB2312"/>
          <w:snapToGrid w:val="0"/>
          <w:kern w:val="0"/>
          <w:sz w:val="24"/>
          <w:szCs w:val="24"/>
        </w:rPr>
        <w:t>提供的货物必须是其合法生产的符合国家有关标准要求的货物，并能够按照合同规定的品牌、产地、质量、价格和有效期等履约。</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1.3.2“服务”是指：除货物和工程以外的其他政府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对象。包括：政府自身需要的服务和政府向社会公众提供的公共服务。</w:t>
      </w:r>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1.4、磋商费用</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应承担所有准备和参加竞争性磋商有关的费用。不论磋商的结果如何，</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单位均无义务和责任承担这些费用。</w:t>
      </w:r>
      <w:bookmarkStart w:id="14" w:name="_Toc293738992"/>
      <w:bookmarkStart w:id="15" w:name="_Toc3092"/>
      <w:bookmarkStart w:id="16" w:name="_Toc293736011"/>
      <w:bookmarkStart w:id="17" w:name="_Toc293736054"/>
      <w:bookmarkStart w:id="18" w:name="_Toc446599311"/>
    </w:p>
    <w:p>
      <w:pPr>
        <w:pStyle w:val="4"/>
        <w:outlineLvl w:val="1"/>
        <w:rPr>
          <w:rFonts w:hint="eastAsia" w:ascii="仿宋_GB2312" w:hAnsi="仿宋_GB2312" w:eastAsia="仿宋_GB2312" w:cs="仿宋_GB2312"/>
          <w:b/>
          <w:bCs/>
          <w:sz w:val="24"/>
          <w:szCs w:val="24"/>
        </w:rPr>
      </w:pPr>
      <w:bookmarkStart w:id="19" w:name="_Toc3123"/>
      <w:bookmarkStart w:id="20" w:name="_Toc32620"/>
      <w:r>
        <w:rPr>
          <w:rFonts w:hint="eastAsia" w:ascii="仿宋_GB2312" w:hAnsi="仿宋_GB2312" w:eastAsia="仿宋_GB2312" w:cs="仿宋_GB2312"/>
          <w:b/>
          <w:bCs/>
          <w:sz w:val="24"/>
          <w:szCs w:val="24"/>
        </w:rPr>
        <w:t>二、磋商文件</w:t>
      </w:r>
      <w:bookmarkEnd w:id="14"/>
      <w:bookmarkEnd w:id="15"/>
      <w:bookmarkEnd w:id="16"/>
      <w:bookmarkEnd w:id="17"/>
      <w:bookmarkEnd w:id="18"/>
      <w:bookmarkEnd w:id="19"/>
      <w:bookmarkEnd w:id="20"/>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2.1.磋商文件的构成</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2.1.1磋商文件由下列文件以及在</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过程中发出的修正和补充文件组成：</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竞争性磋商公告</w:t>
      </w:r>
      <w:r>
        <w:rPr>
          <w:rFonts w:hint="eastAsia" w:ascii="仿宋_GB2312" w:hAnsi="仿宋_GB2312" w:eastAsia="仿宋_GB2312" w:cs="仿宋_GB2312"/>
          <w:sz w:val="24"/>
          <w:szCs w:val="24"/>
        </w:rPr>
        <w:t>；</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须知；</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工程量清单（另册）</w:t>
      </w:r>
      <w:r>
        <w:rPr>
          <w:rFonts w:hint="eastAsia" w:ascii="仿宋_GB2312" w:hAnsi="仿宋_GB2312" w:eastAsia="仿宋_GB2312" w:cs="仿宋_GB2312"/>
          <w:sz w:val="24"/>
          <w:szCs w:val="24"/>
        </w:rPr>
        <w:t>；</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(4)评审方法、步骤、标准；</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(5)合同格式及合同条款；</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(6)响应文件格式；</w:t>
      </w:r>
    </w:p>
    <w:p>
      <w:pPr>
        <w:pStyle w:val="5"/>
        <w:spacing w:line="500" w:lineRule="exact"/>
        <w:ind w:firstLine="484" w:firstLineChars="202"/>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(7)在磋商过程中由</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单位发出的澄清和补充文件等。</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应认真阅读磋商文件中所有的事项、格式、条款和技术规范、参数及相关要求等。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没有按照磋商文件要求提交全部资料，或者没有对磋商文件在各方面都做出实质性响应是</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的风险，有可能导致被拒绝，或被按照无效文件处理或被确定为无效文件。</w:t>
      </w:r>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2.2. 磋商文件的澄清</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应仔细阅读和检查磋商文件的全部内容。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若对磋商文件有任何疑问，均应在响应文件递交截止时间5日前</w:t>
      </w:r>
      <w:r>
        <w:rPr>
          <w:rFonts w:hint="eastAsia" w:ascii="仿宋_GB2312" w:hAnsi="仿宋_GB2312" w:eastAsia="仿宋_GB2312" w:cs="仿宋_GB2312"/>
          <w:sz w:val="24"/>
          <w:szCs w:val="24"/>
          <w:lang w:eastAsia="zh-CN"/>
        </w:rPr>
        <w:t>提出。招标</w:t>
      </w:r>
      <w:r>
        <w:rPr>
          <w:rFonts w:hint="eastAsia" w:ascii="仿宋_GB2312" w:hAnsi="仿宋_GB2312" w:eastAsia="仿宋_GB2312" w:cs="仿宋_GB2312"/>
          <w:sz w:val="24"/>
          <w:szCs w:val="24"/>
        </w:rPr>
        <w:t>单位对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所要求澄清的内容均予以答复（答复中不包括问题的来源）。必要时，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单位将组织相关专家召开答疑会，并</w:t>
      </w:r>
      <w:r>
        <w:rPr>
          <w:rFonts w:hint="eastAsia" w:ascii="仿宋_GB2312" w:hAnsi="仿宋_GB2312" w:eastAsia="仿宋_GB2312" w:cs="仿宋_GB2312"/>
          <w:sz w:val="24"/>
          <w:szCs w:val="24"/>
          <w:lang w:eastAsia="zh-CN"/>
        </w:rPr>
        <w:t>书面</w:t>
      </w:r>
      <w:r>
        <w:rPr>
          <w:rFonts w:hint="eastAsia" w:ascii="仿宋_GB2312" w:hAnsi="仿宋_GB2312" w:eastAsia="仿宋_GB2312" w:cs="仿宋_GB2312"/>
          <w:sz w:val="24"/>
          <w:szCs w:val="24"/>
        </w:rPr>
        <w:t>澄清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澄清文件作为磋商文件的组成部分，对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具有同等约束作用。</w:t>
      </w:r>
    </w:p>
    <w:p>
      <w:pPr>
        <w:pStyle w:val="5"/>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2.2.2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在本项目</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公告期限届满之日起七个工作日内未对磋商文件提出异议的，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单位将视其为同意。在规定的时间后就磋商文件内容提出的质疑将不予受理。</w:t>
      </w:r>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2.3. 磋商文件的修改</w:t>
      </w:r>
    </w:p>
    <w:p>
      <w:pPr>
        <w:pStyle w:val="5"/>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2.3.1</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可以书面形式修改</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，并通知所有已购买</w:t>
      </w:r>
      <w:r>
        <w:rPr>
          <w:rFonts w:hint="eastAsia" w:ascii="仿宋_GB2312" w:hAnsi="仿宋_GB2312" w:eastAsia="仿宋_GB2312" w:cs="仿宋_GB2312"/>
          <w:color w:val="auto"/>
          <w:sz w:val="24"/>
          <w:szCs w:val="24"/>
          <w:lang w:eastAsia="zh-CN"/>
        </w:rPr>
        <w:t>磋商文件</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投标单位，投标单位</w:t>
      </w:r>
      <w:r>
        <w:rPr>
          <w:rFonts w:hint="eastAsia" w:ascii="仿宋_GB2312" w:hAnsi="仿宋_GB2312" w:eastAsia="仿宋_GB2312" w:cs="仿宋_GB2312"/>
          <w:color w:val="auto"/>
          <w:sz w:val="24"/>
          <w:szCs w:val="24"/>
        </w:rPr>
        <w:t>收到修改内容后，应在</w:t>
      </w:r>
      <w:r>
        <w:rPr>
          <w:rFonts w:hint="eastAsia" w:ascii="仿宋_GB2312" w:hAnsi="仿宋_GB2312" w:eastAsia="仿宋_GB2312" w:cs="仿宋_GB2312"/>
          <w:color w:val="auto"/>
          <w:sz w:val="24"/>
          <w:szCs w:val="24"/>
          <w:lang w:eastAsia="zh-CN"/>
        </w:rPr>
        <w:t>投标单位</w:t>
      </w:r>
      <w:r>
        <w:rPr>
          <w:rFonts w:hint="eastAsia" w:ascii="仿宋_GB2312" w:hAnsi="仿宋_GB2312" w:eastAsia="仿宋_GB2312" w:cs="仿宋_GB2312"/>
          <w:color w:val="auto"/>
          <w:sz w:val="24"/>
          <w:szCs w:val="24"/>
        </w:rPr>
        <w:t>须知前附表规定的时间内以书面形式通知</w:t>
      </w:r>
      <w:r>
        <w:rPr>
          <w:rFonts w:hint="eastAsia" w:ascii="仿宋_GB2312" w:hAnsi="仿宋_GB2312" w:eastAsia="仿宋_GB2312" w:cs="仿宋_GB2312"/>
          <w:color w:val="auto"/>
          <w:sz w:val="24"/>
          <w:szCs w:val="24"/>
          <w:lang w:eastAsia="zh-CN"/>
        </w:rPr>
        <w:t>招标单位</w:t>
      </w:r>
      <w:r>
        <w:rPr>
          <w:rFonts w:hint="eastAsia" w:ascii="仿宋_GB2312" w:hAnsi="仿宋_GB2312" w:eastAsia="仿宋_GB2312" w:cs="仿宋_GB2312"/>
          <w:color w:val="auto"/>
          <w:sz w:val="24"/>
          <w:szCs w:val="24"/>
        </w:rPr>
        <w:t>，确认已收到该修改。</w:t>
      </w:r>
      <w:r>
        <w:rPr>
          <w:rFonts w:hint="eastAsia" w:ascii="仿宋_GB2312" w:hAnsi="仿宋_GB2312" w:eastAsia="仿宋_GB2312" w:cs="仿宋_GB2312"/>
          <w:sz w:val="24"/>
          <w:szCs w:val="24"/>
        </w:rPr>
        <w:t xml:space="preserve"> </w:t>
      </w:r>
    </w:p>
    <w:p>
      <w:pPr>
        <w:pStyle w:val="5"/>
        <w:spacing w:line="500" w:lineRule="exact"/>
        <w:ind w:firstLine="460"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2.3.2澄清或者修改的内容是磋商文件的组成部分，将</w:t>
      </w:r>
      <w:r>
        <w:rPr>
          <w:rFonts w:hint="eastAsia" w:ascii="仿宋_GB2312" w:hAnsi="仿宋_GB2312" w:eastAsia="仿宋_GB2312" w:cs="仿宋_GB2312"/>
          <w:sz w:val="24"/>
          <w:szCs w:val="24"/>
        </w:rPr>
        <w:t>向所有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公布，并对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具有约束力。</w:t>
      </w:r>
    </w:p>
    <w:p>
      <w:pPr>
        <w:pStyle w:val="5"/>
        <w:spacing w:line="500" w:lineRule="exact"/>
        <w:ind w:firstLine="484"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2.3.3为使</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有充足的时间对磋商文件的修改部分进行研究，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单位可适当推迟响应文件截止期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6"/>
          <w:sz w:val="24"/>
          <w:szCs w:val="24"/>
        </w:rPr>
        <w:t>因</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原因未及时获知澄清、修改或补充内容而导致的任何后果将由</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自行承担。</w:t>
      </w:r>
    </w:p>
    <w:p>
      <w:pPr>
        <w:rPr>
          <w:rFonts w:hint="eastAsia" w:ascii="仿宋_GB2312" w:hAnsi="仿宋_GB2312" w:eastAsia="仿宋_GB2312" w:cs="仿宋_GB2312"/>
          <w:sz w:val="24"/>
          <w:szCs w:val="24"/>
        </w:rPr>
      </w:pPr>
      <w:bookmarkStart w:id="21" w:name="_Toc293736055"/>
      <w:bookmarkStart w:id="22" w:name="_Toc293738993"/>
      <w:bookmarkStart w:id="23" w:name="_Toc293736012"/>
      <w:bookmarkStart w:id="24" w:name="_Toc446599312"/>
      <w:bookmarkStart w:id="25" w:name="_Toc13231"/>
    </w:p>
    <w:p>
      <w:pPr>
        <w:pStyle w:val="4"/>
        <w:outlineLvl w:val="1"/>
        <w:rPr>
          <w:rFonts w:hint="eastAsia" w:ascii="仿宋_GB2312" w:hAnsi="仿宋_GB2312" w:eastAsia="仿宋_GB2312" w:cs="仿宋_GB2312"/>
          <w:b/>
          <w:bCs/>
          <w:sz w:val="24"/>
          <w:szCs w:val="24"/>
        </w:rPr>
      </w:pPr>
      <w:bookmarkStart w:id="26" w:name="_Toc31961"/>
      <w:bookmarkStart w:id="27" w:name="_Toc4145"/>
      <w:r>
        <w:rPr>
          <w:rFonts w:hint="eastAsia" w:ascii="仿宋_GB2312" w:hAnsi="仿宋_GB2312" w:eastAsia="仿宋_GB2312" w:cs="仿宋_GB2312"/>
          <w:b/>
          <w:bCs/>
          <w:sz w:val="24"/>
          <w:szCs w:val="24"/>
        </w:rPr>
        <w:t>三、响应文件的编制和数量</w:t>
      </w:r>
      <w:bookmarkEnd w:id="21"/>
      <w:bookmarkEnd w:id="22"/>
      <w:bookmarkEnd w:id="23"/>
      <w:bookmarkEnd w:id="24"/>
      <w:bookmarkEnd w:id="25"/>
      <w:bookmarkEnd w:id="26"/>
      <w:bookmarkEnd w:id="27"/>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3.1．响应文件的语言</w:t>
      </w:r>
    </w:p>
    <w:p>
      <w:pPr>
        <w:pStyle w:val="5"/>
        <w:spacing w:line="500" w:lineRule="exact"/>
        <w:ind w:firstLine="460" w:firstLineChars="202"/>
        <w:jc w:val="left"/>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3.1.1</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提交的响应文件以及</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与</w:t>
      </w:r>
      <w:r>
        <w:rPr>
          <w:rFonts w:hint="eastAsia" w:ascii="仿宋_GB2312" w:hAnsi="仿宋_GB2312" w:eastAsia="仿宋_GB2312" w:cs="仿宋_GB2312"/>
          <w:spacing w:val="-6"/>
          <w:sz w:val="24"/>
          <w:szCs w:val="24"/>
          <w:lang w:eastAsia="zh-CN"/>
        </w:rPr>
        <w:t>招标</w:t>
      </w:r>
      <w:r>
        <w:rPr>
          <w:rFonts w:hint="eastAsia" w:ascii="仿宋_GB2312" w:hAnsi="仿宋_GB2312" w:eastAsia="仿宋_GB2312" w:cs="仿宋_GB2312"/>
          <w:spacing w:val="-6"/>
          <w:sz w:val="24"/>
          <w:szCs w:val="24"/>
        </w:rPr>
        <w:t>单位就有关磋商的所有来往函电均应使用中文。</w:t>
      </w:r>
      <w:r>
        <w:rPr>
          <w:rFonts w:hint="eastAsia" w:ascii="仿宋_GB2312" w:hAnsi="仿宋_GB2312" w:eastAsia="仿宋_GB2312" w:cs="仿宋_GB2312"/>
          <w:spacing w:val="-6"/>
          <w:sz w:val="24"/>
          <w:szCs w:val="24"/>
          <w:lang w:eastAsia="zh-CN"/>
        </w:rPr>
        <w:t>投标单位</w:t>
      </w:r>
      <w:r>
        <w:rPr>
          <w:rFonts w:hint="eastAsia" w:ascii="仿宋_GB2312" w:hAnsi="仿宋_GB2312" w:eastAsia="仿宋_GB2312" w:cs="仿宋_GB2312"/>
          <w:spacing w:val="-6"/>
          <w:sz w:val="24"/>
          <w:szCs w:val="24"/>
        </w:rPr>
        <w:t>提交的支持文件或印刷的文献可以用另一种语言，但相应内容应附有中文翻译本，在解释响应文件的修改内容时以中文翻译本为准。</w:t>
      </w:r>
    </w:p>
    <w:p>
      <w:pPr>
        <w:pStyle w:val="2"/>
        <w:spacing w:line="600" w:lineRule="exact"/>
        <w:ind w:firstLine="484" w:firstLineChars="201"/>
        <w:contextualSpacing/>
        <w:jc w:val="left"/>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3.2响应文件的构成</w:t>
      </w:r>
    </w:p>
    <w:p>
      <w:pPr>
        <w:pStyle w:val="5"/>
        <w:spacing w:line="500" w:lineRule="exact"/>
        <w:ind w:firstLine="484" w:firstLineChars="202"/>
        <w:jc w:val="left"/>
        <w:outlineLvl w:val="9"/>
        <w:rPr>
          <w:rFonts w:hint="eastAsia" w:ascii="仿宋_GB2312" w:hAnsi="仿宋_GB2312" w:eastAsia="仿宋_GB2312" w:cs="仿宋_GB2312"/>
          <w:b w:val="0"/>
          <w:color w:val="auto"/>
          <w:kern w:val="2"/>
          <w:sz w:val="24"/>
          <w:szCs w:val="24"/>
          <w:lang w:val="en-US" w:eastAsia="zh-CN" w:bidi="ar-SA"/>
        </w:rPr>
      </w:pPr>
      <w:r>
        <w:rPr>
          <w:rFonts w:hint="eastAsia" w:ascii="仿宋_GB2312" w:hAnsi="仿宋_GB2312" w:eastAsia="仿宋_GB2312" w:cs="仿宋_GB2312"/>
          <w:b w:val="0"/>
          <w:color w:val="auto"/>
          <w:kern w:val="2"/>
          <w:sz w:val="24"/>
          <w:szCs w:val="24"/>
          <w:lang w:val="en-US" w:eastAsia="zh-CN" w:bidi="ar-SA"/>
        </w:rPr>
        <w:t>3.2.1投标单位编制的响应文件应包括但不少于下列内容：</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28" w:name="_Toc24143"/>
      <w:bookmarkStart w:id="29" w:name="_Toc32665"/>
      <w:r>
        <w:rPr>
          <w:rFonts w:hint="eastAsia" w:ascii="仿宋_GB2312" w:hAnsi="仿宋_GB2312" w:eastAsia="仿宋_GB2312" w:cs="仿宋_GB2312"/>
          <w:b w:val="0"/>
          <w:color w:val="auto"/>
          <w:kern w:val="2"/>
          <w:sz w:val="24"/>
          <w:szCs w:val="24"/>
          <w:lang w:val="en-US" w:eastAsia="zh-CN" w:bidi="ar-SA"/>
        </w:rPr>
        <w:t>一、投标函及投标函附录</w:t>
      </w:r>
      <w:bookmarkEnd w:id="28"/>
      <w:bookmarkEnd w:id="2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0" w:name="_Toc3762"/>
      <w:bookmarkStart w:id="31" w:name="_Toc10719"/>
      <w:r>
        <w:rPr>
          <w:rFonts w:hint="eastAsia" w:ascii="仿宋_GB2312" w:hAnsi="仿宋_GB2312" w:eastAsia="仿宋_GB2312" w:cs="仿宋_GB2312"/>
          <w:b w:val="0"/>
          <w:color w:val="auto"/>
          <w:kern w:val="2"/>
          <w:sz w:val="24"/>
          <w:szCs w:val="24"/>
          <w:lang w:val="en-US" w:eastAsia="zh-CN" w:bidi="ar-SA"/>
        </w:rPr>
        <w:t>二、法定代表人身份证明</w:t>
      </w:r>
      <w:bookmarkEnd w:id="30"/>
      <w:bookmarkEnd w:id="3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2" w:name="_Toc3324"/>
      <w:bookmarkStart w:id="33" w:name="_Toc16905"/>
      <w:r>
        <w:rPr>
          <w:rFonts w:hint="eastAsia" w:ascii="仿宋_GB2312" w:hAnsi="仿宋_GB2312" w:eastAsia="仿宋_GB2312" w:cs="仿宋_GB2312"/>
          <w:b w:val="0"/>
          <w:color w:val="auto"/>
          <w:kern w:val="2"/>
          <w:sz w:val="24"/>
          <w:szCs w:val="24"/>
          <w:lang w:val="en-US" w:eastAsia="zh-CN" w:bidi="ar-SA"/>
        </w:rPr>
        <w:t>三、授权委托书</w:t>
      </w:r>
      <w:bookmarkEnd w:id="32"/>
      <w:bookmarkEnd w:id="33"/>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4" w:name="_Toc21673"/>
      <w:bookmarkStart w:id="35" w:name="_Toc21004"/>
      <w:r>
        <w:rPr>
          <w:rFonts w:hint="eastAsia" w:ascii="仿宋_GB2312" w:hAnsi="仿宋_GB2312" w:eastAsia="仿宋_GB2312" w:cs="仿宋_GB2312"/>
          <w:b w:val="0"/>
          <w:color w:val="auto"/>
          <w:kern w:val="2"/>
          <w:sz w:val="24"/>
          <w:szCs w:val="24"/>
          <w:lang w:val="en-US" w:eastAsia="zh-CN" w:bidi="ar-SA"/>
        </w:rPr>
        <w:t>四、投标保证金</w:t>
      </w:r>
      <w:bookmarkEnd w:id="34"/>
      <w:bookmarkEnd w:id="35"/>
      <w:r>
        <w:rPr>
          <w:rFonts w:hint="eastAsia" w:ascii="仿宋_GB2312" w:hAnsi="仿宋_GB2312" w:eastAsia="仿宋_GB2312" w:cs="仿宋_GB2312"/>
          <w:b w:val="0"/>
          <w:color w:val="auto"/>
          <w:kern w:val="2"/>
          <w:sz w:val="24"/>
          <w:szCs w:val="24"/>
          <w:lang w:val="en-US" w:eastAsia="zh-CN" w:bidi="ar-SA"/>
        </w:rPr>
        <w:t xml:space="preserve"> </w:t>
      </w:r>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6" w:name="_Toc24"/>
      <w:bookmarkStart w:id="37" w:name="_Toc9023"/>
      <w:r>
        <w:rPr>
          <w:rFonts w:hint="eastAsia" w:ascii="仿宋_GB2312" w:hAnsi="仿宋_GB2312" w:eastAsia="仿宋_GB2312" w:cs="仿宋_GB2312"/>
          <w:b w:val="0"/>
          <w:color w:val="auto"/>
          <w:kern w:val="2"/>
          <w:sz w:val="24"/>
          <w:szCs w:val="24"/>
          <w:lang w:val="en-US" w:eastAsia="zh-CN" w:bidi="ar-SA"/>
        </w:rPr>
        <w:t>五、已标价工程量清单</w:t>
      </w:r>
      <w:bookmarkEnd w:id="36"/>
      <w:bookmarkEnd w:id="37"/>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38" w:name="_Toc7319"/>
      <w:bookmarkStart w:id="39" w:name="_Toc1833"/>
      <w:r>
        <w:rPr>
          <w:rFonts w:hint="eastAsia" w:ascii="仿宋_GB2312" w:hAnsi="仿宋_GB2312" w:eastAsia="仿宋_GB2312" w:cs="仿宋_GB2312"/>
          <w:b w:val="0"/>
          <w:color w:val="auto"/>
          <w:kern w:val="2"/>
          <w:sz w:val="24"/>
          <w:szCs w:val="24"/>
          <w:lang w:val="en-US" w:eastAsia="zh-CN" w:bidi="ar-SA"/>
        </w:rPr>
        <w:t>六、技术标投标格式</w:t>
      </w:r>
      <w:bookmarkEnd w:id="38"/>
      <w:bookmarkEnd w:id="39"/>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0" w:name="_Toc16242"/>
      <w:bookmarkStart w:id="41" w:name="_Toc31755"/>
      <w:r>
        <w:rPr>
          <w:rFonts w:hint="eastAsia" w:ascii="仿宋_GB2312" w:hAnsi="仿宋_GB2312" w:eastAsia="仿宋_GB2312" w:cs="仿宋_GB2312"/>
          <w:b w:val="0"/>
          <w:color w:val="auto"/>
          <w:kern w:val="2"/>
          <w:sz w:val="24"/>
          <w:szCs w:val="24"/>
          <w:lang w:val="en-US" w:eastAsia="zh-CN" w:bidi="ar-SA"/>
        </w:rPr>
        <w:t>七、项目管理机构</w:t>
      </w:r>
      <w:bookmarkEnd w:id="40"/>
      <w:bookmarkEnd w:id="41"/>
    </w:p>
    <w:p>
      <w:pPr>
        <w:spacing w:line="540" w:lineRule="exact"/>
        <w:ind w:firstLine="480" w:firstLineChars="200"/>
        <w:outlineLvl w:val="9"/>
        <w:rPr>
          <w:rFonts w:hint="eastAsia" w:ascii="仿宋_GB2312" w:hAnsi="仿宋_GB2312" w:eastAsia="仿宋_GB2312" w:cs="仿宋_GB2312"/>
          <w:b w:val="0"/>
          <w:color w:val="auto"/>
          <w:kern w:val="2"/>
          <w:sz w:val="24"/>
          <w:szCs w:val="24"/>
          <w:lang w:val="en-US" w:eastAsia="zh-CN" w:bidi="ar-SA"/>
        </w:rPr>
      </w:pPr>
      <w:bookmarkStart w:id="42" w:name="_Toc1559"/>
      <w:bookmarkStart w:id="43" w:name="_Toc12201"/>
      <w:r>
        <w:rPr>
          <w:rFonts w:hint="eastAsia" w:ascii="仿宋_GB2312" w:hAnsi="仿宋_GB2312" w:eastAsia="仿宋_GB2312" w:cs="仿宋_GB2312"/>
          <w:b w:val="0"/>
          <w:color w:val="auto"/>
          <w:kern w:val="2"/>
          <w:sz w:val="24"/>
          <w:szCs w:val="24"/>
          <w:lang w:val="en-US" w:eastAsia="zh-CN" w:bidi="ar-SA"/>
        </w:rPr>
        <w:t>八、资格审查资料</w:t>
      </w:r>
      <w:bookmarkEnd w:id="42"/>
      <w:bookmarkEnd w:id="43"/>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3.3响应文件编制</w:t>
      </w:r>
    </w:p>
    <w:p>
      <w:pPr>
        <w:pStyle w:val="2"/>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3.3.1 项目有分包的，供应商可对采购文件其中某一个分包或几个分包进行响应。</w:t>
      </w:r>
      <w:r>
        <w:rPr>
          <w:rFonts w:hint="eastAsia" w:ascii="仿宋_GB2312" w:hAnsi="仿宋_GB2312" w:eastAsia="仿宋_GB2312" w:cs="仿宋_GB2312"/>
          <w:spacing w:val="-6"/>
          <w:kern w:val="2"/>
          <w:sz w:val="24"/>
          <w:szCs w:val="24"/>
          <w:lang w:val="en-US" w:eastAsia="zh-CN" w:bidi="ar-SA"/>
        </w:rPr>
        <w:br w:type="textWrapping"/>
      </w:r>
      <w:r>
        <w:rPr>
          <w:rFonts w:hint="eastAsia" w:ascii="仿宋_GB2312" w:hAnsi="仿宋_GB2312" w:eastAsia="仿宋_GB2312" w:cs="仿宋_GB2312"/>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3.3.3无论采购文件服务需求中是否要求，供应商所响应的服务均应符合国家强制性标准。</w:t>
      </w:r>
    </w:p>
    <w:p>
      <w:pPr>
        <w:pStyle w:val="2"/>
        <w:spacing w:line="600" w:lineRule="exact"/>
        <w:ind w:firstLine="460" w:firstLineChars="201"/>
        <w:contextualSpacing/>
        <w:jc w:val="left"/>
        <w:outlineLvl w:val="9"/>
        <w:rPr>
          <w:rFonts w:hint="eastAsia" w:ascii="仿宋_GB2312" w:hAnsi="仿宋_GB2312" w:eastAsia="仿宋_GB2312" w:cs="仿宋_GB2312"/>
          <w:b/>
          <w:bCs/>
          <w:spacing w:val="-6"/>
          <w:kern w:val="2"/>
          <w:sz w:val="24"/>
          <w:szCs w:val="24"/>
          <w:lang w:val="en-US" w:eastAsia="zh-CN" w:bidi="ar-SA"/>
        </w:rPr>
      </w:pPr>
      <w:r>
        <w:rPr>
          <w:rFonts w:hint="eastAsia" w:ascii="仿宋_GB2312" w:hAnsi="仿宋_GB2312" w:eastAsia="仿宋_GB2312" w:cs="仿宋_GB2312"/>
          <w:b/>
          <w:bCs/>
          <w:spacing w:val="-6"/>
          <w:kern w:val="2"/>
          <w:sz w:val="24"/>
          <w:szCs w:val="24"/>
          <w:lang w:val="en-US" w:eastAsia="zh-CN" w:bidi="ar-SA"/>
        </w:rPr>
        <w:t>响应文件构成</w:t>
      </w:r>
    </w:p>
    <w:p>
      <w:pPr>
        <w:pStyle w:val="2"/>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3.3.4响应文件应包括以下内容：</w:t>
      </w:r>
    </w:p>
    <w:p>
      <w:pPr>
        <w:spacing w:line="540" w:lineRule="exac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（1）承诺函</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投标函及投标函附录</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已标价工程量清单</w:t>
      </w:r>
    </w:p>
    <w:p>
      <w:pPr>
        <w:spacing w:line="540" w:lineRule="exact"/>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技术标投标格式</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项目管理机构</w:t>
      </w: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资格审查资料</w:t>
      </w:r>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2"/>
          <w:sz w:val="24"/>
          <w:szCs w:val="24"/>
          <w:lang w:val="en-US" w:eastAsia="zh-CN" w:bidi="ar-SA"/>
        </w:rPr>
        <w:t>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color w:val="auto"/>
          <w:kern w:val="2"/>
          <w:sz w:val="24"/>
          <w:szCs w:val="24"/>
          <w:lang w:val="en-US" w:eastAsia="zh-CN" w:bidi="ar-SA"/>
        </w:rPr>
        <w:t>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color w:val="auto"/>
          <w:kern w:val="2"/>
          <w:sz w:val="24"/>
          <w:szCs w:val="24"/>
          <w:lang w:val="en-US" w:eastAsia="zh-CN" w:bidi="ar-SA"/>
        </w:rPr>
        <w:t>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color w:val="auto"/>
          <w:kern w:val="2"/>
          <w:sz w:val="24"/>
          <w:szCs w:val="24"/>
          <w:lang w:val="en-US" w:eastAsia="zh-CN" w:bidi="ar-SA"/>
        </w:rPr>
        <w:t>供应商情况表</w:t>
      </w:r>
    </w:p>
    <w:p>
      <w:pPr>
        <w:numPr>
          <w:ilvl w:val="0"/>
          <w:numId w:val="0"/>
        </w:num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color w:val="auto"/>
          <w:kern w:val="2"/>
          <w:sz w:val="24"/>
          <w:szCs w:val="24"/>
          <w:lang w:val="en-US" w:eastAsia="zh-CN" w:bidi="ar-SA"/>
        </w:rPr>
        <w:t>关于资格的声明函</w:t>
      </w:r>
    </w:p>
    <w:p>
      <w:pPr>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b w:val="0"/>
          <w:kern w:val="2"/>
          <w:sz w:val="24"/>
          <w:szCs w:val="24"/>
          <w:lang w:val="en-US" w:eastAsia="zh-CN" w:bidi="ar-SA"/>
        </w:rPr>
        <w:t>投标人认为需要提供的其他资料</w:t>
      </w:r>
    </w:p>
    <w:p>
      <w:pPr>
        <w:spacing w:line="540" w:lineRule="exact"/>
        <w:ind w:firstLine="456" w:firstLineChars="200"/>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 xml:space="preserve"> 3.3.5 除上述 3.3.4 条外，响应文件还应包括本须知第 3.3.6条的所有文件。</w:t>
      </w:r>
    </w:p>
    <w:p>
      <w:pPr>
        <w:pStyle w:val="2"/>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3.3.6证明服务的合格性和符合磋商文件规定的文件</w:t>
      </w:r>
    </w:p>
    <w:p>
      <w:pPr>
        <w:pStyle w:val="2"/>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bookmarkStart w:id="44" w:name="OLE_LINK1"/>
      <w:r>
        <w:rPr>
          <w:rFonts w:hint="eastAsia" w:ascii="仿宋_GB2312" w:hAnsi="仿宋_GB2312" w:eastAsia="仿宋_GB2312" w:cs="仿宋_GB2312"/>
          <w:spacing w:val="-6"/>
          <w:kern w:val="2"/>
          <w:sz w:val="24"/>
          <w:szCs w:val="24"/>
          <w:lang w:val="en-US" w:eastAsia="zh-CN" w:bidi="ar-SA"/>
        </w:rPr>
        <w:t>（1）</w:t>
      </w:r>
      <w:bookmarkEnd w:id="44"/>
      <w:r>
        <w:rPr>
          <w:rFonts w:hint="eastAsia" w:ascii="仿宋_GB2312" w:hAnsi="仿宋_GB2312" w:eastAsia="仿宋_GB2312" w:cs="仿宋_GB2312"/>
          <w:spacing w:val="-6"/>
          <w:kern w:val="2"/>
          <w:sz w:val="24"/>
          <w:szCs w:val="24"/>
          <w:lang w:val="en-US" w:eastAsia="zh-CN" w:bidi="ar-SA"/>
        </w:rPr>
        <w:t>供应商应提交证明文件，证明其拟供的合同项下的服务的合格性符合磋商文件的规定。该证明文件是磋商文件的一部分。</w:t>
      </w:r>
    </w:p>
    <w:p>
      <w:pPr>
        <w:pStyle w:val="2"/>
        <w:spacing w:line="600" w:lineRule="exact"/>
        <w:ind w:firstLine="458" w:firstLineChars="201"/>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（2）上款所述的证明文件，可以是文字资料、图纸和数据，它包括：</w:t>
      </w:r>
    </w:p>
    <w:p>
      <w:pPr>
        <w:pStyle w:val="2"/>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①服务内容及承诺的详细说明。</w:t>
      </w:r>
    </w:p>
    <w:p>
      <w:pPr>
        <w:pStyle w:val="2"/>
        <w:spacing w:line="600" w:lineRule="exact"/>
        <w:ind w:firstLine="684" w:firstLineChars="300"/>
        <w:contextualSpacing/>
        <w:jc w:val="left"/>
        <w:outlineLvl w:val="9"/>
        <w:rPr>
          <w:rFonts w:hint="eastAsia" w:ascii="仿宋_GB2312" w:hAnsi="仿宋_GB2312" w:eastAsia="仿宋_GB2312" w:cs="仿宋_GB2312"/>
          <w:spacing w:val="-6"/>
          <w:kern w:val="2"/>
          <w:sz w:val="24"/>
          <w:szCs w:val="24"/>
          <w:lang w:val="en-US" w:eastAsia="zh-CN" w:bidi="ar-SA"/>
        </w:rPr>
      </w:pPr>
      <w:r>
        <w:rPr>
          <w:rFonts w:hint="eastAsia" w:ascii="仿宋_GB2312" w:hAnsi="仿宋_GB2312" w:eastAsia="仿宋_GB2312" w:cs="仿宋_GB2312"/>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3.4. 磋商报价要求</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所提供的货物</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服务</w:t>
      </w:r>
      <w:r>
        <w:rPr>
          <w:rFonts w:hint="eastAsia" w:ascii="仿宋_GB2312" w:hAnsi="仿宋_GB2312" w:eastAsia="仿宋_GB2312" w:cs="仿宋_GB2312"/>
          <w:kern w:val="0"/>
          <w:sz w:val="24"/>
          <w:szCs w:val="24"/>
          <w:lang w:val="en-US" w:eastAsia="zh-CN"/>
        </w:rPr>
        <w:t>和工程</w:t>
      </w:r>
      <w:r>
        <w:rPr>
          <w:rFonts w:hint="eastAsia" w:ascii="仿宋_GB2312" w:hAnsi="仿宋_GB2312" w:eastAsia="仿宋_GB2312" w:cs="仿宋_GB2312"/>
          <w:color w:val="auto"/>
          <w:kern w:val="0"/>
          <w:sz w:val="24"/>
          <w:szCs w:val="24"/>
        </w:rPr>
        <w:t>均以人民币报价。</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3.4.2</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应按照“第</w:t>
      </w:r>
      <w:r>
        <w:rPr>
          <w:rFonts w:hint="eastAsia" w:ascii="仿宋_GB2312" w:hAnsi="仿宋_GB2312" w:eastAsia="仿宋_GB2312" w:cs="仿宋_GB2312"/>
          <w:kern w:val="0"/>
          <w:sz w:val="24"/>
          <w:szCs w:val="24"/>
          <w:lang w:eastAsia="zh-CN"/>
        </w:rPr>
        <w:t>二</w:t>
      </w:r>
      <w:r>
        <w:rPr>
          <w:rFonts w:hint="eastAsia" w:ascii="仿宋_GB2312" w:hAnsi="仿宋_GB2312" w:eastAsia="仿宋_GB2312" w:cs="仿宋_GB2312"/>
          <w:kern w:val="0"/>
          <w:sz w:val="24"/>
          <w:szCs w:val="24"/>
        </w:rPr>
        <w:t xml:space="preserve">章 </w:t>
      </w:r>
      <w:r>
        <w:rPr>
          <w:rFonts w:hint="eastAsia" w:ascii="仿宋_GB2312" w:hAnsi="仿宋_GB2312" w:eastAsia="仿宋_GB2312" w:cs="仿宋_GB2312"/>
          <w:kern w:val="0"/>
          <w:sz w:val="24"/>
          <w:szCs w:val="24"/>
          <w:lang w:eastAsia="zh-CN"/>
        </w:rPr>
        <w:t>工程量清单</w:t>
      </w:r>
      <w:r>
        <w:rPr>
          <w:rFonts w:hint="eastAsia" w:ascii="仿宋_GB2312" w:hAnsi="仿宋_GB2312" w:eastAsia="仿宋_GB2312" w:cs="仿宋_GB2312"/>
          <w:kern w:val="0"/>
          <w:sz w:val="24"/>
          <w:szCs w:val="24"/>
        </w:rPr>
        <w:t>”规定的货物、服务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工程</w:t>
      </w:r>
      <w:r>
        <w:rPr>
          <w:rFonts w:hint="eastAsia" w:ascii="仿宋_GB2312" w:hAnsi="仿宋_GB2312" w:eastAsia="仿宋_GB2312" w:cs="仿宋_GB2312"/>
          <w:kern w:val="0"/>
          <w:sz w:val="24"/>
          <w:szCs w:val="24"/>
        </w:rPr>
        <w:t>内容进行报价。</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应完整地填写</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中提供的《投标函及投标函附录》等</w:t>
      </w:r>
      <w:r>
        <w:rPr>
          <w:rFonts w:hint="eastAsia" w:ascii="仿宋_GB2312" w:hAnsi="仿宋_GB2312" w:eastAsia="仿宋_GB2312" w:cs="仿宋_GB2312"/>
          <w:kern w:val="0"/>
          <w:sz w:val="24"/>
          <w:szCs w:val="24"/>
          <w:lang w:eastAsia="zh-CN"/>
        </w:rPr>
        <w:t>磋商文件</w:t>
      </w:r>
      <w:r>
        <w:rPr>
          <w:rFonts w:hint="eastAsia" w:ascii="仿宋_GB2312" w:hAnsi="仿宋_GB2312" w:eastAsia="仿宋_GB2312" w:cs="仿宋_GB2312"/>
          <w:kern w:val="0"/>
          <w:sz w:val="24"/>
          <w:szCs w:val="24"/>
        </w:rPr>
        <w:t xml:space="preserve">中规定的所有内容。 </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3.4.3《投标函及投标函附录》填写时应响应下列要求：</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（1）对于报价免费的项目应标明“免费”；</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（2）所有根据合同或其它原因应由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支付的税款和其它应交纳的费用都要包括在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提交的磋商总价中；</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应包含货物运至最终目的地的运输、保险和伴随货物服务的有关费用。</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每一种规格的货物只允许有一个报价，否则将被视为无效投标。</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所报的总价在合同执行过程中是固定不变的，不得以任何理由予以变更。</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的最后磋商报价超过项目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预算的为无效报价。</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3.5备选方案</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3.5.1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应按照</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须知前附表要求编制磋商备选方案，否则将被视为无效响应文件。</w:t>
      </w:r>
    </w:p>
    <w:p>
      <w:pPr>
        <w:pStyle w:val="5"/>
        <w:spacing w:line="500" w:lineRule="exact"/>
        <w:ind w:firstLine="487" w:firstLineChars="202"/>
        <w:jc w:val="left"/>
        <w:outlineLvl w:val="9"/>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rPr>
        <w:t>3.6联合体投标</w:t>
      </w:r>
      <w:r>
        <w:rPr>
          <w:rFonts w:hint="eastAsia" w:ascii="仿宋_GB2312" w:hAnsi="仿宋_GB2312" w:eastAsia="仿宋_GB2312" w:cs="仿宋_GB2312"/>
          <w:b/>
          <w:bCs/>
          <w:kern w:val="0"/>
          <w:sz w:val="24"/>
          <w:szCs w:val="24"/>
          <w:lang w:eastAsia="zh-CN"/>
        </w:rPr>
        <w:t>（若有时）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3.6.1两个以上</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可以组成一个联合体，以一个</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的身份共同参与磋商。</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3.6.2采取联合体形式磋商的，联合体各方均应当符合政府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法第二十二条规定的条件。</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人根据</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项目的特殊要求规定</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特定条件的，联合体各方中至少有一方符合磋商文件规定的特定条件。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3.6.3联合体各方之间必须签订联合磋商协议，明确约定联合体主体及各方承担的工作和相应的责任，其响应文件中必须提供联合磋商协议。</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3.6.4以联合体形式参加政府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活动的，联合体各方不得再单独参加或者与其他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另外组成联合体参加同一合同项下的政府</w:t>
      </w:r>
      <w:r>
        <w:rPr>
          <w:rFonts w:hint="eastAsia" w:ascii="仿宋_GB2312" w:hAnsi="仿宋_GB2312" w:eastAsia="仿宋_GB2312" w:cs="仿宋_GB2312"/>
          <w:kern w:val="0"/>
          <w:sz w:val="24"/>
          <w:szCs w:val="24"/>
          <w:lang w:eastAsia="zh-CN"/>
        </w:rPr>
        <w:t>采购</w:t>
      </w:r>
      <w:r>
        <w:rPr>
          <w:rFonts w:hint="eastAsia" w:ascii="仿宋_GB2312" w:hAnsi="仿宋_GB2312" w:eastAsia="仿宋_GB2312" w:cs="仿宋_GB2312"/>
          <w:kern w:val="0"/>
          <w:sz w:val="24"/>
          <w:szCs w:val="24"/>
        </w:rPr>
        <w:t>活动。</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3.6.5采取联合体形式投标的，其响应文件必须由联合体所有成员或其各自正式书面授权的代表签署（盖章），以便对所有成员作为整体及作为个体均具有法律约束力。</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3.6.6联合体成交的，联合体各方应当共同与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合同。</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3.6.7联合体中有同类资质的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按照联合体分工承担相同工作的，应当按照资质等级较低的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确定资质等级。</w:t>
      </w:r>
    </w:p>
    <w:p>
      <w:pPr>
        <w:pStyle w:val="5"/>
        <w:spacing w:line="500" w:lineRule="exact"/>
        <w:ind w:firstLine="484" w:firstLineChars="202"/>
        <w:jc w:val="left"/>
        <w:outlineLvl w:val="9"/>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 xml:space="preserve">3.7. </w:t>
      </w:r>
      <w:r>
        <w:rPr>
          <w:rFonts w:hint="eastAsia" w:ascii="仿宋_GB2312" w:hAnsi="仿宋_GB2312" w:eastAsia="仿宋_GB2312" w:cs="仿宋_GB2312"/>
          <w:b/>
          <w:bCs/>
          <w:kern w:val="0"/>
          <w:sz w:val="24"/>
          <w:szCs w:val="24"/>
          <w:lang w:eastAsia="zh-CN"/>
        </w:rPr>
        <w:t>投标单位</w:t>
      </w:r>
      <w:r>
        <w:rPr>
          <w:rFonts w:hint="eastAsia" w:ascii="仿宋_GB2312" w:hAnsi="仿宋_GB2312" w:eastAsia="仿宋_GB2312" w:cs="仿宋_GB2312"/>
          <w:b/>
          <w:bCs/>
          <w:kern w:val="0"/>
          <w:sz w:val="24"/>
          <w:szCs w:val="24"/>
        </w:rPr>
        <w:t>资格证明文件</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3.7.1</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应提交证明其有资格参加磋商和成交后有能力履行合同的文件，并作为其响应文件的一部分。</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3.7.2资格证明文件必须真实可靠、不得伪造。</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3.7.3</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相关资格证明文件：</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（1）法人或者其他组织的营业执照等证明文件，自然人的身份证明；</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）具备法律、行政法规规定的其他条件的证明材料；</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招标</w:t>
      </w:r>
      <w:r>
        <w:rPr>
          <w:rFonts w:hint="eastAsia" w:ascii="仿宋_GB2312" w:hAnsi="仿宋_GB2312" w:eastAsia="仿宋_GB2312" w:cs="仿宋_GB2312"/>
          <w:color w:val="auto"/>
          <w:kern w:val="0"/>
          <w:sz w:val="24"/>
          <w:szCs w:val="24"/>
        </w:rPr>
        <w:t>项目有特殊要求的，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还应当提供其符合特殊要求的证明材料或者情况说明；</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）信用信息查询记录；</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（5）1.资质等级及范围：具备建设主管部门核发的建筑工程施工承包三级及以上资质；</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2.项目负责人资质类别和等级:项目负责人资质要求具备建筑工程专业二级及以上注册建造师执业资格和有效的安全生产考核合格证书，且不得担任其他在施建设工程项目的项目负责人；</w:t>
      </w:r>
    </w:p>
    <w:p>
      <w:pPr>
        <w:widowControl/>
        <w:spacing w:line="400" w:lineRule="exact"/>
        <w:ind w:firstLine="480" w:firstLineChars="200"/>
        <w:jc w:val="left"/>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 xml:space="preserve">     3.具备施工企业安全生产许可证。</w:t>
      </w:r>
      <w:r>
        <w:rPr>
          <w:rFonts w:hint="eastAsia" w:ascii="仿宋_GB2312" w:hAnsi="仿宋_GB2312" w:eastAsia="仿宋_GB2312" w:cs="仿宋_GB2312"/>
          <w:color w:val="auto"/>
          <w:kern w:val="0"/>
          <w:sz w:val="24"/>
          <w:szCs w:val="24"/>
          <w:lang w:val="en-US" w:eastAsia="zh-CN" w:bidi="ar-SA"/>
        </w:rPr>
        <w:br w:type="textWrapping"/>
      </w:r>
      <w:r>
        <w:rPr>
          <w:rFonts w:hint="eastAsia" w:ascii="仿宋_GB2312" w:hAnsi="仿宋_GB2312" w:eastAsia="仿宋_GB2312" w:cs="仿宋_GB2312"/>
          <w:color w:val="auto"/>
          <w:kern w:val="0"/>
          <w:sz w:val="24"/>
          <w:szCs w:val="24"/>
          <w:lang w:val="en-US" w:eastAsia="zh-CN" w:bidi="ar-SA"/>
        </w:rPr>
        <w:t xml:space="preserve">         4.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）磋商文件要求或</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认为需提供的其它相关资格证明材料。</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3.7.4 采取资格</w:t>
      </w:r>
      <w:r>
        <w:rPr>
          <w:rFonts w:hint="eastAsia" w:ascii="仿宋_GB2312" w:hAnsi="仿宋_GB2312" w:eastAsia="仿宋_GB2312" w:cs="仿宋_GB2312"/>
          <w:kern w:val="0"/>
          <w:sz w:val="24"/>
          <w:szCs w:val="24"/>
          <w:lang w:eastAsia="zh-CN"/>
        </w:rPr>
        <w:t>后</w:t>
      </w:r>
      <w:r>
        <w:rPr>
          <w:rFonts w:hint="eastAsia" w:ascii="仿宋_GB2312" w:hAnsi="仿宋_GB2312" w:eastAsia="仿宋_GB2312" w:cs="仿宋_GB2312"/>
          <w:kern w:val="0"/>
          <w:sz w:val="24"/>
          <w:szCs w:val="24"/>
        </w:rPr>
        <w:t>审方式</w:t>
      </w:r>
      <w:r>
        <w:rPr>
          <w:rFonts w:hint="eastAsia" w:ascii="仿宋_GB2312" w:hAnsi="仿宋_GB2312" w:eastAsia="仿宋_GB2312" w:cs="仿宋_GB2312"/>
          <w:kern w:val="0"/>
          <w:sz w:val="24"/>
          <w:szCs w:val="24"/>
          <w:lang w:eastAsia="zh-CN"/>
        </w:rPr>
        <w:t>。</w:t>
      </w:r>
    </w:p>
    <w:p>
      <w:pPr>
        <w:pStyle w:val="2"/>
        <w:spacing w:line="600" w:lineRule="exact"/>
        <w:ind w:firstLine="484" w:firstLineChars="201"/>
        <w:contextualSpacing/>
        <w:jc w:val="left"/>
        <w:outlineLvl w:val="9"/>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3.8. </w:t>
      </w:r>
      <w:r>
        <w:rPr>
          <w:rFonts w:hint="eastAsia" w:ascii="仿宋_GB2312" w:hAnsi="仿宋_GB2312" w:eastAsia="仿宋_GB2312" w:cs="仿宋_GB2312"/>
          <w:b/>
          <w:sz w:val="24"/>
          <w:szCs w:val="24"/>
          <w:lang w:eastAsia="zh-CN"/>
        </w:rPr>
        <w:t>磋商</w:t>
      </w:r>
      <w:r>
        <w:rPr>
          <w:rFonts w:hint="eastAsia" w:ascii="仿宋_GB2312" w:hAnsi="仿宋_GB2312" w:eastAsia="仿宋_GB2312" w:cs="仿宋_GB2312"/>
          <w:b/>
          <w:sz w:val="24"/>
          <w:szCs w:val="24"/>
        </w:rPr>
        <w:t>保证金</w:t>
      </w:r>
      <w:r>
        <w:rPr>
          <w:rFonts w:hint="eastAsia" w:ascii="仿宋_GB2312" w:hAnsi="仿宋_GB2312" w:eastAsia="仿宋_GB2312" w:cs="仿宋_GB2312"/>
          <w:b/>
          <w:sz w:val="24"/>
          <w:szCs w:val="24"/>
          <w:lang w:val="en-US" w:eastAsia="zh-CN"/>
        </w:rPr>
        <w:t>(此项目不收磋商保证金）</w:t>
      </w:r>
    </w:p>
    <w:p>
      <w:pPr>
        <w:pStyle w:val="5"/>
        <w:spacing w:line="500" w:lineRule="exact"/>
        <w:ind w:firstLine="484" w:firstLine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应在响应文件截止时间之前，应按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sz w:val="24"/>
          <w:szCs w:val="24"/>
        </w:rPr>
        <w:t>须知前附表规定的金额</w:t>
      </w:r>
      <w:r>
        <w:rPr>
          <w:rFonts w:hint="eastAsia" w:ascii="仿宋_GB2312" w:hAnsi="仿宋_GB2312" w:eastAsia="仿宋_GB2312" w:cs="仿宋_GB2312"/>
          <w:sz w:val="24"/>
          <w:szCs w:val="24"/>
          <w:lang w:eastAsia="zh-CN"/>
        </w:rPr>
        <w:t>和磋商</w:t>
      </w:r>
      <w:r>
        <w:rPr>
          <w:rFonts w:hint="eastAsia" w:ascii="仿宋_GB2312" w:hAnsi="仿宋_GB2312" w:eastAsia="仿宋_GB2312" w:cs="仿宋_GB2312"/>
          <w:sz w:val="24"/>
          <w:szCs w:val="24"/>
        </w:rPr>
        <w:t>保证金格式递交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保证金，并作为其响应文件的组成部分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（不接受现金缴纳）。保证金缴纳时间以该项目所对应的保证金收取账号中显示的到账时间为准。</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3.8.2对于未能按要求提交保证金的将视为未响应磋商文件的要求，其响应文件无效。</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3.8.3未</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保证金,代理机构将在</w:t>
      </w:r>
      <w:r>
        <w:rPr>
          <w:rFonts w:hint="eastAsia" w:ascii="仿宋_GB2312" w:hAnsi="仿宋_GB2312" w:eastAsia="仿宋_GB2312" w:cs="仿宋_GB2312"/>
          <w:kern w:val="0"/>
          <w:sz w:val="24"/>
          <w:szCs w:val="24"/>
          <w:lang w:eastAsia="zh-CN"/>
        </w:rPr>
        <w:t>中标</w:t>
      </w:r>
      <w:r>
        <w:rPr>
          <w:rFonts w:hint="eastAsia" w:ascii="仿宋_GB2312" w:hAnsi="仿宋_GB2312" w:eastAsia="仿宋_GB2312" w:cs="仿宋_GB2312"/>
          <w:kern w:val="0"/>
          <w:sz w:val="24"/>
          <w:szCs w:val="24"/>
        </w:rPr>
        <w:t>通知书发出后5个工作日内，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退还时，请携带投标单位收到退还</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保证金收据一份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并提供单位名称、账号、行号等相关资料</w:t>
      </w:r>
      <w:r>
        <w:rPr>
          <w:rFonts w:hint="eastAsia" w:ascii="仿宋_GB2312" w:hAnsi="仿宋_GB2312" w:eastAsia="仿宋_GB2312" w:cs="仿宋_GB2312"/>
          <w:kern w:val="0"/>
          <w:sz w:val="24"/>
          <w:szCs w:val="24"/>
          <w:lang w:eastAsia="zh-CN"/>
        </w:rPr>
        <w:t>）。代理机构</w:t>
      </w:r>
      <w:r>
        <w:rPr>
          <w:rFonts w:hint="eastAsia" w:ascii="仿宋_GB2312" w:hAnsi="仿宋_GB2312" w:eastAsia="仿宋_GB2312" w:cs="仿宋_GB2312"/>
          <w:kern w:val="0"/>
          <w:sz w:val="24"/>
          <w:szCs w:val="24"/>
        </w:rPr>
        <w:t>不退还现金。</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3.8.4</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的</w:t>
      </w:r>
      <w:r>
        <w:rPr>
          <w:rFonts w:hint="eastAsia" w:ascii="仿宋_GB2312" w:hAnsi="仿宋_GB2312" w:eastAsia="仿宋_GB2312" w:cs="仿宋_GB2312"/>
          <w:kern w:val="0"/>
          <w:sz w:val="24"/>
          <w:szCs w:val="24"/>
          <w:lang w:eastAsia="zh-CN"/>
        </w:rPr>
        <w:t>磋商</w:t>
      </w:r>
      <w:r>
        <w:rPr>
          <w:rFonts w:hint="eastAsia" w:ascii="仿宋_GB2312" w:hAnsi="仿宋_GB2312" w:eastAsia="仿宋_GB2312" w:cs="仿宋_GB2312"/>
          <w:kern w:val="0"/>
          <w:sz w:val="24"/>
          <w:szCs w:val="24"/>
        </w:rPr>
        <w:t>保证金,在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人签订合同，并将合同原件报</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代理机构后5个工作日内，</w:t>
      </w:r>
      <w:r>
        <w:rPr>
          <w:rFonts w:hint="eastAsia" w:ascii="仿宋_GB2312" w:hAnsi="仿宋_GB2312" w:eastAsia="仿宋_GB2312" w:cs="仿宋_GB2312"/>
          <w:kern w:val="0"/>
          <w:sz w:val="24"/>
          <w:szCs w:val="24"/>
          <w:lang w:eastAsia="zh-CN"/>
        </w:rPr>
        <w:t>原额</w:t>
      </w:r>
      <w:r>
        <w:rPr>
          <w:rFonts w:hint="eastAsia" w:ascii="仿宋_GB2312" w:hAnsi="仿宋_GB2312" w:eastAsia="仿宋_GB2312" w:cs="仿宋_GB2312"/>
          <w:kern w:val="0"/>
          <w:sz w:val="24"/>
          <w:szCs w:val="24"/>
        </w:rPr>
        <w:t>退还</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b/>
          <w:bCs/>
          <w:kern w:val="0"/>
          <w:sz w:val="24"/>
          <w:szCs w:val="24"/>
        </w:rPr>
        <w:t>退还时，请携带投标单位收到退还</w:t>
      </w:r>
      <w:r>
        <w:rPr>
          <w:rFonts w:hint="eastAsia" w:ascii="仿宋_GB2312" w:hAnsi="仿宋_GB2312" w:eastAsia="仿宋_GB2312" w:cs="仿宋_GB2312"/>
          <w:b/>
          <w:bCs/>
          <w:kern w:val="0"/>
          <w:sz w:val="24"/>
          <w:szCs w:val="24"/>
          <w:lang w:eastAsia="zh-CN"/>
        </w:rPr>
        <w:t>磋商</w:t>
      </w:r>
      <w:r>
        <w:rPr>
          <w:rFonts w:hint="eastAsia" w:ascii="仿宋_GB2312" w:hAnsi="仿宋_GB2312" w:eastAsia="仿宋_GB2312" w:cs="仿宋_GB2312"/>
          <w:b/>
          <w:bCs/>
          <w:kern w:val="0"/>
          <w:sz w:val="24"/>
          <w:szCs w:val="24"/>
        </w:rPr>
        <w:t>保证金收据一份</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rPr>
        <w:t>并提供单位名称、账号、行号等相关资料</w:t>
      </w: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val="0"/>
          <w:bCs w:val="0"/>
          <w:kern w:val="0"/>
          <w:sz w:val="24"/>
          <w:szCs w:val="24"/>
          <w:lang w:eastAsia="zh-CN"/>
        </w:rPr>
        <w:t>代理机构</w:t>
      </w:r>
      <w:r>
        <w:rPr>
          <w:rFonts w:hint="eastAsia" w:ascii="仿宋_GB2312" w:hAnsi="仿宋_GB2312" w:eastAsia="仿宋_GB2312" w:cs="仿宋_GB2312"/>
          <w:b w:val="0"/>
          <w:bCs w:val="0"/>
          <w:kern w:val="0"/>
          <w:sz w:val="24"/>
          <w:szCs w:val="24"/>
        </w:rPr>
        <w:t>不退还现金。</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3.8.5有下列情形之一的，保证金将被没收：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在响应文件中提供虚假资料的；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（2）除因不可抗力或磋商文件认可的情形以外，</w:t>
      </w:r>
      <w:r>
        <w:rPr>
          <w:rFonts w:hint="eastAsia" w:ascii="仿宋_GB2312" w:hAnsi="仿宋_GB2312" w:eastAsia="仿宋_GB2312" w:cs="仿宋_GB2312"/>
          <w:kern w:val="0"/>
          <w:sz w:val="24"/>
          <w:szCs w:val="24"/>
          <w:lang w:eastAsia="zh-CN"/>
        </w:rPr>
        <w:t>中标单位</w:t>
      </w:r>
      <w:r>
        <w:rPr>
          <w:rFonts w:hint="eastAsia" w:ascii="仿宋_GB2312" w:hAnsi="仿宋_GB2312" w:eastAsia="仿宋_GB2312" w:cs="仿宋_GB2312"/>
          <w:kern w:val="0"/>
          <w:sz w:val="24"/>
          <w:szCs w:val="24"/>
        </w:rPr>
        <w:t>不与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人签订合同的；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与</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人、其他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或者</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代理机构恶意串通的；</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（4）磋商文件规定的其他情形。</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 磋商的有效期</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3.9.1磋商有效期详见</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响应文件中有效期不足的将被视为无效文件。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3.9.2 有效期内</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未经</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结果确认谈判达成一致不得改变其磋商最后报价及承诺的全部义务。</w:t>
      </w:r>
    </w:p>
    <w:p>
      <w:pPr>
        <w:pStyle w:val="4"/>
        <w:outlineLvl w:val="1"/>
        <w:rPr>
          <w:rFonts w:hint="eastAsia" w:ascii="仿宋_GB2312" w:hAnsi="仿宋_GB2312" w:eastAsia="仿宋_GB2312" w:cs="仿宋_GB2312"/>
          <w:b/>
          <w:bCs/>
          <w:sz w:val="24"/>
          <w:szCs w:val="24"/>
        </w:rPr>
      </w:pPr>
      <w:bookmarkStart w:id="45" w:name="_Toc293736056"/>
      <w:bookmarkStart w:id="46" w:name="_Toc446599313"/>
      <w:bookmarkStart w:id="47" w:name="_Toc293738994"/>
      <w:bookmarkStart w:id="48" w:name="_Toc27302"/>
      <w:bookmarkStart w:id="49" w:name="_Toc293736013"/>
      <w:bookmarkStart w:id="50" w:name="_Toc22798"/>
    </w:p>
    <w:p>
      <w:pPr>
        <w:pStyle w:val="4"/>
        <w:numPr>
          <w:ilvl w:val="0"/>
          <w:numId w:val="4"/>
        </w:numPr>
        <w:outlineLvl w:val="1"/>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响应文件的递交</w:t>
      </w:r>
      <w:bookmarkEnd w:id="45"/>
      <w:bookmarkEnd w:id="46"/>
      <w:bookmarkEnd w:id="47"/>
      <w:bookmarkEnd w:id="48"/>
      <w:bookmarkEnd w:id="49"/>
      <w:bookmarkEnd w:id="50"/>
    </w:p>
    <w:p>
      <w:pPr>
        <w:pStyle w:val="4"/>
        <w:numPr>
          <w:ilvl w:val="0"/>
          <w:numId w:val="0"/>
        </w:numPr>
        <w:ind w:firstLine="482" w:firstLineChars="200"/>
        <w:jc w:val="both"/>
        <w:outlineLvl w:val="1"/>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color w:val="000000" w:themeColor="text1"/>
          <w:sz w:val="24"/>
          <w:szCs w:val="24"/>
          <w14:textFill>
            <w14:solidFill>
              <w14:schemeClr w14:val="tx1"/>
            </w14:solidFill>
          </w14:textFill>
        </w:rPr>
        <w:t>响</w:t>
      </w:r>
      <w:r>
        <w:rPr>
          <w:rFonts w:hint="eastAsia" w:ascii="仿宋_GB2312" w:hAnsi="仿宋_GB2312" w:eastAsia="仿宋_GB2312" w:cs="仿宋_GB2312"/>
          <w:b/>
          <w:sz w:val="24"/>
          <w:szCs w:val="24"/>
        </w:rPr>
        <w:t>应文件</w:t>
      </w:r>
      <w:r>
        <w:rPr>
          <w:rFonts w:hint="eastAsia" w:ascii="仿宋_GB2312" w:hAnsi="仿宋_GB2312" w:eastAsia="仿宋_GB2312" w:cs="仿宋_GB2312"/>
          <w:b/>
          <w:color w:val="000000" w:themeColor="text1"/>
          <w:sz w:val="24"/>
          <w:szCs w:val="24"/>
          <w14:textFill>
            <w14:solidFill>
              <w14:schemeClr w14:val="tx1"/>
            </w14:solidFill>
          </w14:textFill>
        </w:rPr>
        <w:t>的</w:t>
      </w:r>
      <w:r>
        <w:rPr>
          <w:rFonts w:hint="eastAsia" w:ascii="仿宋_GB2312" w:hAnsi="仿宋_GB2312" w:eastAsia="仿宋_GB2312" w:cs="仿宋_GB2312"/>
          <w:b/>
          <w:sz w:val="24"/>
          <w:szCs w:val="24"/>
        </w:rPr>
        <w:t>递交</w:t>
      </w:r>
    </w:p>
    <w:p>
      <w:pPr>
        <w:pStyle w:val="5"/>
        <w:spacing w:line="500" w:lineRule="exact"/>
        <w:ind w:firstLine="484" w:firstLineChars="202"/>
        <w:jc w:val="both"/>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投标截止时间以政采云中心交易平台显示的时间为准，逾期系统将自动关闭，未完成上传的响应文件视为逾期送达，将被拒绝。</w:t>
      </w:r>
    </w:p>
    <w:p>
      <w:pPr>
        <w:pStyle w:val="5"/>
        <w:spacing w:line="500" w:lineRule="exact"/>
        <w:ind w:firstLine="484" w:firstLineChars="202"/>
        <w:jc w:val="left"/>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4.3是否采用不见面开标方式详见投标人须知前附表，若本项目采用不见面开标，提供电子响应文件U盘、纸质响应文件详见须知前附表。</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4.4投标人应当在招标文件要求提交响应文件的截止时间前网上投标。</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4.6任何不完整或不满足招标文件要求的响应文件将被拒绝。</w:t>
      </w:r>
    </w:p>
    <w:p>
      <w:pPr>
        <w:pStyle w:val="5"/>
        <w:spacing w:line="500" w:lineRule="exact"/>
        <w:ind w:firstLine="484" w:firstLineChars="202"/>
        <w:jc w:val="left"/>
        <w:outlineLvl w:val="9"/>
        <w:rPr>
          <w:rFonts w:hint="eastAsia" w:ascii="仿宋_GB2312" w:hAnsi="仿宋_GB2312" w:eastAsia="仿宋_GB2312" w:cs="仿宋_GB2312"/>
          <w:kern w:val="0"/>
          <w:sz w:val="24"/>
          <w:szCs w:val="24"/>
          <w:lang w:val="en-US" w:eastAsia="zh-CN"/>
        </w:rPr>
      </w:pPr>
    </w:p>
    <w:p>
      <w:pPr>
        <w:pStyle w:val="4"/>
        <w:outlineLvl w:val="1"/>
        <w:rPr>
          <w:rFonts w:hint="eastAsia" w:ascii="仿宋_GB2312" w:hAnsi="仿宋_GB2312" w:eastAsia="仿宋_GB2312" w:cs="仿宋_GB2312"/>
          <w:b/>
          <w:bCs/>
          <w:sz w:val="24"/>
          <w:szCs w:val="24"/>
        </w:rPr>
      </w:pPr>
      <w:bookmarkStart w:id="51" w:name="_Toc293736014"/>
      <w:bookmarkStart w:id="52" w:name="_Toc293738995"/>
      <w:bookmarkStart w:id="53" w:name="_Toc446599314"/>
      <w:bookmarkStart w:id="54" w:name="_Toc293736057"/>
      <w:bookmarkStart w:id="55" w:name="_Toc19266"/>
      <w:bookmarkStart w:id="56" w:name="_Toc26601"/>
      <w:bookmarkStart w:id="57" w:name="_Toc9220"/>
      <w:r>
        <w:rPr>
          <w:rFonts w:hint="eastAsia" w:ascii="仿宋_GB2312" w:hAnsi="仿宋_GB2312" w:eastAsia="仿宋_GB2312" w:cs="仿宋_GB2312"/>
          <w:b/>
          <w:bCs/>
          <w:sz w:val="24"/>
          <w:szCs w:val="24"/>
        </w:rPr>
        <w:t>五、</w:t>
      </w:r>
      <w:bookmarkEnd w:id="51"/>
      <w:bookmarkEnd w:id="52"/>
      <w:bookmarkEnd w:id="53"/>
      <w:bookmarkEnd w:id="54"/>
      <w:r>
        <w:rPr>
          <w:rFonts w:hint="eastAsia" w:ascii="仿宋_GB2312" w:hAnsi="仿宋_GB2312" w:eastAsia="仿宋_GB2312" w:cs="仿宋_GB2312"/>
          <w:b/>
          <w:bCs/>
          <w:sz w:val="24"/>
          <w:szCs w:val="24"/>
        </w:rPr>
        <w:t>竞争性磋商程序</w:t>
      </w:r>
      <w:bookmarkEnd w:id="55"/>
      <w:bookmarkEnd w:id="56"/>
      <w:bookmarkEnd w:id="57"/>
    </w:p>
    <w:p>
      <w:pPr>
        <w:widowControl/>
        <w:spacing w:line="520" w:lineRule="atLeast"/>
        <w:ind w:firstLine="420"/>
        <w:textAlignment w:val="baseline"/>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w:t>
      </w:r>
      <w:r>
        <w:rPr>
          <w:rFonts w:hint="eastAsia" w:ascii="仿宋_GB2312" w:hAnsi="仿宋_GB2312" w:eastAsia="仿宋_GB2312" w:cs="仿宋_GB2312"/>
          <w:b/>
          <w:color w:val="000000"/>
          <w:kern w:val="0"/>
          <w:sz w:val="24"/>
          <w:szCs w:val="24"/>
        </w:rPr>
        <w:t>.</w:t>
      </w:r>
      <w:r>
        <w:rPr>
          <w:rFonts w:hint="eastAsia" w:ascii="仿宋_GB2312" w:hAnsi="仿宋_GB2312" w:eastAsia="仿宋_GB2312" w:cs="仿宋_GB2312"/>
          <w:b/>
          <w:sz w:val="24"/>
          <w:szCs w:val="24"/>
        </w:rPr>
        <w:t>1磋商小组的组成</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5.1.1评审由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单位依法组建的磋商小组负责。磋商小组由</w:t>
      </w: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HYPERLINK "file:///C:\\WordForm\\e944b4b1-01b6-4e42-b170-f783fcf7903a.doc" \l "_评标委员会" </w:instrText>
      </w:r>
      <w:r>
        <w:rPr>
          <w:rFonts w:hint="eastAsia" w:ascii="仿宋_GB2312" w:hAnsi="仿宋_GB2312" w:eastAsia="仿宋_GB2312" w:cs="仿宋_GB2312"/>
          <w:kern w:val="0"/>
          <w:sz w:val="24"/>
          <w:szCs w:val="24"/>
        </w:rPr>
        <w:fldChar w:fldCharType="separate"/>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须知前附表</w: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5.2磋商方法</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5.2.1磋商小组将按照磋商文件确定的评审方法进行评审。磋商小组对响应文件的评审分为响应文件初审、澄清有关问题、比较与评价响应文件、推荐中标候选人名单。</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5.2.1项目评审方法详见磋商文件“第</w:t>
      </w:r>
      <w:r>
        <w:rPr>
          <w:rFonts w:hint="eastAsia" w:ascii="仿宋_GB2312" w:hAnsi="仿宋_GB2312" w:eastAsia="仿宋_GB2312" w:cs="仿宋_GB2312"/>
          <w:kern w:val="0"/>
          <w:sz w:val="24"/>
          <w:szCs w:val="24"/>
          <w:lang w:eastAsia="zh-CN"/>
        </w:rPr>
        <w:t>三</w:t>
      </w:r>
      <w:r>
        <w:rPr>
          <w:rFonts w:hint="eastAsia" w:ascii="仿宋_GB2312" w:hAnsi="仿宋_GB2312" w:eastAsia="仿宋_GB2312" w:cs="仿宋_GB2312"/>
          <w:kern w:val="0"/>
          <w:sz w:val="24"/>
          <w:szCs w:val="24"/>
        </w:rPr>
        <w:t>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评审方法。</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5.3响应文件的初审</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初审分为资格性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5.3.1资格性</w:t>
      </w:r>
      <w:r>
        <w:rPr>
          <w:rFonts w:hint="eastAsia" w:ascii="仿宋_GB2312" w:hAnsi="仿宋_GB2312" w:eastAsia="仿宋_GB2312" w:cs="仿宋_GB2312"/>
          <w:kern w:val="0"/>
          <w:sz w:val="24"/>
          <w:szCs w:val="24"/>
          <w:lang w:eastAsia="zh-CN"/>
        </w:rPr>
        <w:t>审</w:t>
      </w:r>
      <w:r>
        <w:rPr>
          <w:rFonts w:hint="eastAsia" w:ascii="仿宋_GB2312" w:hAnsi="仿宋_GB2312" w:eastAsia="仿宋_GB2312" w:cs="仿宋_GB2312"/>
          <w:kern w:val="0"/>
          <w:sz w:val="24"/>
          <w:szCs w:val="24"/>
        </w:rPr>
        <w:t>查</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的响应文件进行资格评审。</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（2）磋商小组在进行资格检查时，不得改变磋商文件中已载明的资格条件、标准和办法。</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）磋商小组在评审中必要时可按</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提供的联系方式就有关问题进行查询核实，或要求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做出书面澄清，查询及澄清结果将作为审查的依据。</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）通过全部</w:t>
      </w:r>
      <w:r>
        <w:rPr>
          <w:rFonts w:hint="eastAsia" w:ascii="仿宋_GB2312" w:hAnsi="仿宋_GB2312" w:eastAsia="仿宋_GB2312" w:cs="仿宋_GB2312"/>
          <w:kern w:val="0"/>
          <w:sz w:val="24"/>
          <w:szCs w:val="24"/>
          <w:lang w:eastAsia="zh-CN"/>
        </w:rPr>
        <w:t>资格性审查</w:t>
      </w:r>
      <w:r>
        <w:rPr>
          <w:rFonts w:hint="eastAsia" w:ascii="仿宋_GB2312" w:hAnsi="仿宋_GB2312" w:eastAsia="仿宋_GB2312" w:cs="仿宋_GB2312"/>
          <w:kern w:val="0"/>
          <w:sz w:val="24"/>
          <w:szCs w:val="24"/>
        </w:rPr>
        <w:t>条件合格的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才能通过资格检查，其响应文件方可进入下一个检查阶段。</w:t>
      </w:r>
    </w:p>
    <w:p>
      <w:pPr>
        <w:pStyle w:val="5"/>
        <w:spacing w:line="500" w:lineRule="exact"/>
        <w:ind w:firstLine="484" w:firstLineChars="202"/>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5.3.2</w:t>
      </w:r>
      <w:r>
        <w:rPr>
          <w:rFonts w:hint="eastAsia" w:ascii="仿宋_GB2312" w:hAnsi="仿宋_GB2312" w:eastAsia="仿宋_GB2312" w:cs="仿宋_GB2312"/>
          <w:kern w:val="0"/>
          <w:sz w:val="24"/>
          <w:szCs w:val="24"/>
          <w:lang w:eastAsia="zh-CN"/>
        </w:rPr>
        <w:t>初步评审检查</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磋商小组根据磋商文件确定的评审因素和评审标准，对</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的响应文件进行</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w:t>
      </w:r>
      <w:r>
        <w:rPr>
          <w:rFonts w:hint="eastAsia" w:ascii="仿宋_GB2312" w:hAnsi="仿宋_GB2312" w:eastAsia="仿宋_GB2312" w:cs="仿宋_GB2312"/>
          <w:kern w:val="0"/>
          <w:sz w:val="24"/>
          <w:szCs w:val="24"/>
          <w:lang w:eastAsia="zh-CN"/>
        </w:rPr>
        <w:t>初步评审</w:t>
      </w:r>
      <w:r>
        <w:rPr>
          <w:rFonts w:hint="eastAsia" w:ascii="仿宋_GB2312" w:hAnsi="仿宋_GB2312" w:eastAsia="仿宋_GB2312" w:cs="仿宋_GB2312"/>
          <w:kern w:val="0"/>
          <w:sz w:val="24"/>
          <w:szCs w:val="24"/>
        </w:rPr>
        <w:t>检查不合格的</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的响应文件作无效文件处理。</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 xml:space="preserve">5.4违法违规行为 </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rPr>
        <w:t>5.4.1在评审过程中，</w:t>
      </w:r>
      <w:r>
        <w:rPr>
          <w:rFonts w:hint="eastAsia" w:ascii="仿宋_GB2312" w:hAnsi="仿宋_GB2312" w:eastAsia="仿宋_GB2312" w:cs="仿宋_GB2312"/>
          <w:color w:val="auto"/>
          <w:kern w:val="0"/>
          <w:sz w:val="24"/>
          <w:szCs w:val="24"/>
        </w:rPr>
        <w:t>磋商小组发现</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有下列情形之一的，作无效文件处理：</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（1）属于同一集团、协会、商会等组织成员的</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按照该组织要求协同投标；</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的响应文件由同一单位或者个人编制；</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委托同一单位或者个人办理投标事宜；</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的响应文件载明的项目管理成员为同一人；</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的响应文件异常一致或者投标报价呈规律性差异；</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的响应文件相互混装；</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（7）不同</w:t>
      </w:r>
      <w:r>
        <w:rPr>
          <w:rFonts w:hint="eastAsia" w:ascii="仿宋_GB2312" w:hAnsi="仿宋_GB2312" w:eastAsia="仿宋_GB2312" w:cs="仿宋_GB2312"/>
          <w:color w:val="auto"/>
          <w:kern w:val="0"/>
          <w:sz w:val="24"/>
          <w:szCs w:val="24"/>
          <w:lang w:eastAsia="zh-CN"/>
        </w:rPr>
        <w:t>投标单位</w:t>
      </w:r>
      <w:r>
        <w:rPr>
          <w:rFonts w:hint="eastAsia" w:ascii="仿宋_GB2312" w:hAnsi="仿宋_GB2312" w:eastAsia="仿宋_GB2312" w:cs="仿宋_GB2312"/>
          <w:color w:val="auto"/>
          <w:kern w:val="0"/>
          <w:sz w:val="24"/>
          <w:szCs w:val="24"/>
        </w:rPr>
        <w:t>的投标保证金从同一单位或者个人的账户转出；</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（8）使用伪造、变造的行政许可证件；</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（9）提供虚假的财务状况或者业绩；</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（10）提供虚假的项目负责人或者主要技术人员简历、劳动关系证明；</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（11）提供虚假的信用状况；</w:t>
      </w:r>
    </w:p>
    <w:p>
      <w:pPr>
        <w:pStyle w:val="5"/>
        <w:spacing w:line="500" w:lineRule="exact"/>
        <w:ind w:firstLine="484" w:firstLineChars="202"/>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（12）其他弄虚作假的行为。</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5.5 磋商小组审查响应文件是否完整、有无计算上的错误等。</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5.5.1 响应文件的修正及澄清</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（1）磋商小组对确定为实质上响应磋商文件要求的响应文件进行校核，看其是否有计算或表达上的错误，算术错误将按以下方法更正：</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不接受对其错误的更正，其响应文件将被视为无效文件。</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spacing w:line="500" w:lineRule="exact"/>
        <w:ind w:firstLine="484" w:firstLineChars="202"/>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5.5.3实质上没有响应磋商文件要求的响应文件将被视为无效文件。</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不得通过修正或撤销不合要求的偏离从而使其成为实质上响应的文件。</w:t>
      </w:r>
    </w:p>
    <w:p>
      <w:pPr>
        <w:pStyle w:val="2"/>
        <w:spacing w:line="600" w:lineRule="exact"/>
        <w:ind w:firstLine="482" w:firstLineChars="201"/>
        <w:contextualSpacing/>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5.5.4评审期间，磋商小组有权要求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对其响应文件中含义不明确、同类问题表述不一致或者有明显文字和计算错误的内容等作必要的澄清、说明或者补正。</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必须按照磋商小组要求的澄清内容和时间做出澄清。除按本磋商文件规定改正算术错误外，</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对响应文件的澄清不得超出响应文件的范围或者改变响应文件的实质性内容。在评审期间,磋商小组可要求</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对其响应文件进行澄清，但不得寻求、提供或允许</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对投标报价等实质性内容做任何更改。有关澄清的答复均应由</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的法定代表人或授权代表以书面形式作出并签字。</w:t>
      </w:r>
    </w:p>
    <w:p>
      <w:pPr>
        <w:pStyle w:val="5"/>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5.5.5</w:t>
      </w:r>
      <w:r>
        <w:rPr>
          <w:rFonts w:hint="eastAsia" w:ascii="仿宋_GB2312" w:hAnsi="仿宋_GB2312" w:eastAsia="仿宋_GB2312" w:cs="仿宋_GB2312"/>
          <w:kern w:val="0"/>
          <w:sz w:val="24"/>
          <w:szCs w:val="24"/>
          <w:lang w:eastAsia="zh-CN"/>
        </w:rPr>
        <w:t>投标单位</w:t>
      </w:r>
      <w:r>
        <w:rPr>
          <w:rFonts w:hint="eastAsia" w:ascii="仿宋_GB2312" w:hAnsi="仿宋_GB2312" w:eastAsia="仿宋_GB2312" w:cs="仿宋_GB2312"/>
          <w:kern w:val="0"/>
          <w:sz w:val="24"/>
          <w:szCs w:val="24"/>
        </w:rPr>
        <w:t>的澄清文件是其响应文件</w:t>
      </w:r>
      <w:r>
        <w:rPr>
          <w:rFonts w:hint="eastAsia" w:ascii="仿宋_GB2312" w:hAnsi="仿宋_GB2312" w:eastAsia="仿宋_GB2312" w:cs="仿宋_GB2312"/>
          <w:sz w:val="24"/>
          <w:szCs w:val="24"/>
        </w:rPr>
        <w:t>的组成部分。</w:t>
      </w:r>
    </w:p>
    <w:p>
      <w:pPr>
        <w:pStyle w:val="5"/>
        <w:spacing w:line="500" w:lineRule="exact"/>
        <w:ind w:firstLine="487" w:firstLineChars="202"/>
        <w:jc w:val="lef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5.6磋商</w:t>
      </w:r>
    </w:p>
    <w:p>
      <w:pPr>
        <w:pStyle w:val="5"/>
        <w:spacing w:line="500" w:lineRule="exact"/>
        <w:ind w:firstLine="484" w:firstLineChars="202"/>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5.6.1磋商小组所有成员应当集中与单一投标单位分别进行磋商，并给予所有参加磋商的投标单位平等的磋商机会。</w:t>
      </w:r>
    </w:p>
    <w:p>
      <w:pPr>
        <w:pStyle w:val="5"/>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_GB2312" w:hAnsi="仿宋_GB2312" w:eastAsia="仿宋_GB2312" w:cs="仿宋_GB2312"/>
          <w:kern w:val="2"/>
          <w:sz w:val="24"/>
          <w:szCs w:val="24"/>
          <w:highlight w:val="white"/>
          <w:lang w:val="en-US" w:eastAsia="zh-CN" w:bidi="ar-SA"/>
        </w:rPr>
        <w:br w:type="textWrapping"/>
      </w:r>
      <w:r>
        <w:rPr>
          <w:rFonts w:hint="eastAsia" w:ascii="仿宋_GB2312" w:hAnsi="仿宋_GB2312" w:eastAsia="仿宋_GB2312" w:cs="仿宋_GB2312"/>
          <w:kern w:val="2"/>
          <w:sz w:val="24"/>
          <w:szCs w:val="24"/>
          <w:highlight w:val="white"/>
          <w:lang w:val="en-US" w:eastAsia="zh-CN" w:bidi="ar-SA"/>
        </w:rPr>
        <w:t xml:space="preserve">　  </w:t>
      </w: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5"/>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5"/>
        <w:spacing w:line="500" w:lineRule="exact"/>
        <w:ind w:firstLine="484" w:firstLineChars="202"/>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5"/>
        <w:spacing w:line="500" w:lineRule="exact"/>
        <w:ind w:firstLine="560"/>
        <w:jc w:val="left"/>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5"/>
        <w:spacing w:line="500" w:lineRule="exact"/>
        <w:ind w:firstLine="56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5.6.10招标结果确认</w:t>
      </w:r>
    </w:p>
    <w:p>
      <w:pPr>
        <w:pStyle w:val="5"/>
        <w:spacing w:line="500" w:lineRule="exact"/>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5.7.公示或公告</w:t>
      </w:r>
    </w:p>
    <w:p>
      <w:pPr>
        <w:pStyle w:val="2"/>
        <w:adjustRightInd w:val="0"/>
        <w:snapToGrid w:val="0"/>
        <w:spacing w:before="120" w:beforeLines="50" w:after="120" w:afterLines="50" w:line="360" w:lineRule="auto"/>
        <w:ind w:firstLine="480" w:firstLineChars="200"/>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5.7.1</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确定后，招标代理机构将</w:t>
      </w:r>
      <w:r>
        <w:rPr>
          <w:rFonts w:hint="eastAsia" w:ascii="仿宋_GB2312" w:hAnsi="仿宋_GB2312" w:eastAsia="仿宋_GB2312" w:cs="仿宋_GB2312"/>
          <w:sz w:val="24"/>
          <w:szCs w:val="24"/>
          <w:highlight w:val="white"/>
          <w:lang w:eastAsia="zh-CN"/>
        </w:rPr>
        <w:t>在</w:t>
      </w:r>
      <w:r>
        <w:rPr>
          <w:rFonts w:hint="eastAsia" w:ascii="仿宋_GB2312" w:hAnsi="仿宋_GB2312" w:eastAsia="仿宋_GB2312" w:cs="仿宋_GB2312"/>
          <w:sz w:val="24"/>
          <w:szCs w:val="24"/>
          <w:highlight w:val="white"/>
          <w:lang w:val="en-US" w:eastAsia="zh-CN"/>
        </w:rPr>
        <w:t>新疆政府采购网</w:t>
      </w:r>
      <w:r>
        <w:rPr>
          <w:rFonts w:hint="eastAsia" w:ascii="仿宋_GB2312" w:hAnsi="仿宋_GB2312" w:eastAsia="仿宋_GB2312" w:cs="仿宋_GB2312"/>
          <w:sz w:val="24"/>
          <w:szCs w:val="24"/>
          <w:highlight w:val="white"/>
          <w:lang w:eastAsia="zh-CN"/>
        </w:rPr>
        <w:t>上公示</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公示期</w:t>
      </w:r>
      <w:r>
        <w:rPr>
          <w:rFonts w:hint="eastAsia" w:ascii="仿宋_GB2312" w:hAnsi="仿宋_GB2312" w:eastAsia="仿宋_GB2312" w:cs="仿宋_GB2312"/>
          <w:sz w:val="24"/>
          <w:szCs w:val="24"/>
          <w:highlight w:val="white"/>
          <w:lang w:val="en-US" w:eastAsia="zh-CN"/>
        </w:rPr>
        <w:t>结束后</w:t>
      </w:r>
      <w:r>
        <w:rPr>
          <w:rFonts w:hint="eastAsia" w:ascii="仿宋_GB2312" w:hAnsi="仿宋_GB2312" w:eastAsia="仿宋_GB2312" w:cs="仿宋_GB2312"/>
          <w:sz w:val="24"/>
          <w:szCs w:val="24"/>
          <w:highlight w:val="white"/>
        </w:rPr>
        <w:t>向</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发出《中标通知书》。《中标通知书》是合同的组成部分,对</w:t>
      </w:r>
      <w:r>
        <w:rPr>
          <w:rFonts w:hint="eastAsia" w:ascii="仿宋_GB2312" w:hAnsi="仿宋_GB2312" w:eastAsia="仿宋_GB2312" w:cs="仿宋_GB2312"/>
          <w:sz w:val="24"/>
          <w:szCs w:val="24"/>
          <w:highlight w:val="white"/>
          <w:lang w:eastAsia="zh-CN"/>
        </w:rPr>
        <w:t>中标单位</w:t>
      </w:r>
      <w:r>
        <w:rPr>
          <w:rFonts w:hint="eastAsia" w:ascii="仿宋_GB2312" w:hAnsi="仿宋_GB2312" w:eastAsia="仿宋_GB2312" w:cs="仿宋_GB2312"/>
          <w:sz w:val="24"/>
          <w:szCs w:val="24"/>
          <w:highlight w:val="white"/>
        </w:rPr>
        <w:t>和招标人具有同等法律效力。</w:t>
      </w:r>
    </w:p>
    <w:p>
      <w:pPr>
        <w:pStyle w:val="4"/>
        <w:outlineLvl w:val="1"/>
        <w:rPr>
          <w:rFonts w:hint="eastAsia" w:ascii="仿宋_GB2312" w:hAnsi="仿宋_GB2312" w:eastAsia="仿宋_GB2312" w:cs="仿宋_GB2312"/>
          <w:b/>
          <w:bCs/>
          <w:sz w:val="24"/>
          <w:szCs w:val="24"/>
        </w:rPr>
      </w:pPr>
      <w:bookmarkStart w:id="58" w:name="_Toc446599315"/>
      <w:bookmarkStart w:id="59" w:name="_Toc19051"/>
      <w:bookmarkStart w:id="60" w:name="_Toc10373"/>
      <w:bookmarkStart w:id="61" w:name="_Toc14347"/>
      <w:bookmarkStart w:id="62" w:name="_Toc293736015"/>
      <w:bookmarkStart w:id="63" w:name="_Toc293738996"/>
      <w:bookmarkStart w:id="64" w:name="_Toc293736058"/>
      <w:r>
        <w:rPr>
          <w:rFonts w:hint="eastAsia" w:ascii="仿宋_GB2312" w:hAnsi="仿宋_GB2312" w:eastAsia="仿宋_GB2312" w:cs="仿宋_GB2312"/>
          <w:b/>
          <w:bCs/>
          <w:sz w:val="24"/>
          <w:szCs w:val="24"/>
          <w:lang w:eastAsia="zh-CN"/>
        </w:rPr>
        <w:t>六、</w:t>
      </w:r>
      <w:r>
        <w:rPr>
          <w:rFonts w:hint="eastAsia" w:ascii="仿宋_GB2312" w:hAnsi="仿宋_GB2312" w:eastAsia="仿宋_GB2312" w:cs="仿宋_GB2312"/>
          <w:b/>
          <w:bCs/>
          <w:sz w:val="24"/>
          <w:szCs w:val="24"/>
        </w:rPr>
        <w:t>授予合同</w:t>
      </w:r>
      <w:bookmarkEnd w:id="58"/>
      <w:bookmarkEnd w:id="59"/>
      <w:bookmarkEnd w:id="60"/>
      <w:bookmarkEnd w:id="61"/>
      <w:bookmarkEnd w:id="62"/>
      <w:bookmarkEnd w:id="63"/>
      <w:bookmarkEnd w:id="64"/>
    </w:p>
    <w:p>
      <w:pPr>
        <w:widowControl/>
        <w:spacing w:line="520" w:lineRule="atLeast"/>
        <w:ind w:firstLine="420"/>
        <w:textAlignment w:val="baseline"/>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6.1签订合同</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4"/>
        <w:outlineLvl w:val="1"/>
        <w:rPr>
          <w:rFonts w:hint="eastAsia" w:ascii="仿宋_GB2312" w:hAnsi="仿宋_GB2312" w:eastAsia="仿宋_GB2312" w:cs="仿宋_GB2312"/>
          <w:b/>
          <w:bCs/>
          <w:sz w:val="24"/>
          <w:szCs w:val="24"/>
        </w:rPr>
      </w:pPr>
      <w:bookmarkStart w:id="65" w:name="_Toc293736059"/>
      <w:bookmarkStart w:id="66" w:name="_Toc293738997"/>
      <w:bookmarkStart w:id="67" w:name="_Toc293736016"/>
      <w:bookmarkStart w:id="68" w:name="_Toc446599316"/>
      <w:bookmarkStart w:id="69" w:name="_Toc21370"/>
      <w:bookmarkStart w:id="70" w:name="_Toc22901"/>
      <w:bookmarkStart w:id="71" w:name="_Toc14775"/>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质疑</w:t>
      </w:r>
      <w:bookmarkEnd w:id="65"/>
      <w:bookmarkEnd w:id="66"/>
      <w:bookmarkEnd w:id="67"/>
      <w:bookmarkEnd w:id="68"/>
      <w:r>
        <w:rPr>
          <w:rFonts w:hint="eastAsia" w:ascii="仿宋_GB2312" w:hAnsi="仿宋_GB2312" w:eastAsia="仿宋_GB2312" w:cs="仿宋_GB2312"/>
          <w:b/>
          <w:bCs/>
          <w:sz w:val="24"/>
          <w:szCs w:val="24"/>
        </w:rPr>
        <w:t>和投诉</w:t>
      </w:r>
      <w:bookmarkEnd w:id="69"/>
      <w:bookmarkEnd w:id="70"/>
      <w:bookmarkEnd w:id="71"/>
    </w:p>
    <w:p>
      <w:pPr>
        <w:widowControl/>
        <w:spacing w:line="520" w:lineRule="atLeast"/>
        <w:ind w:firstLine="420"/>
        <w:textAlignment w:val="baseline"/>
        <w:rPr>
          <w:rFonts w:hint="eastAsia" w:ascii="仿宋_GB2312" w:hAnsi="仿宋_GB2312" w:eastAsia="仿宋_GB2312" w:cs="仿宋_GB2312"/>
          <w:b/>
          <w:sz w:val="24"/>
          <w:szCs w:val="24"/>
        </w:rPr>
      </w:pPr>
      <w:bookmarkStart w:id="72" w:name="_Toc293736017"/>
      <w:bookmarkStart w:id="73" w:name="_Toc293736060"/>
      <w:bookmarkStart w:id="74" w:name="_Toc294515577"/>
      <w:bookmarkStart w:id="75" w:name="_Toc446599317"/>
      <w:bookmarkStart w:id="76" w:name="_Toc293738998"/>
      <w:r>
        <w:rPr>
          <w:rFonts w:hint="eastAsia" w:ascii="仿宋_GB2312" w:hAnsi="仿宋_GB2312" w:eastAsia="仿宋_GB2312" w:cs="仿宋_GB2312"/>
          <w:b/>
          <w:sz w:val="24"/>
          <w:szCs w:val="24"/>
        </w:rPr>
        <w:t>7.1质疑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7.1.1</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提出质疑应当符合以下条件：</w:t>
      </w:r>
    </w:p>
    <w:p>
      <w:pPr>
        <w:pStyle w:val="5"/>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如果</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对此次</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活动有疑问，可依据《政府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等相关规定，在规定的时间内以书面形式向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人或代理机构提出质疑。质疑书应当包括下列主要内容：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（1）质疑人的名称、地址、电话等；</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（2）质疑人法人签章和单位公章；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（3）具体的质疑事项及事实依据；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（4）明确的请求和必要（合法来源）的证明材料；</w:t>
      </w:r>
    </w:p>
    <w:p>
      <w:pPr>
        <w:wordWrap w:val="0"/>
        <w:topLinePunct/>
        <w:spacing w:line="420" w:lineRule="exact"/>
        <w:ind w:left="9300" w:leftChars="200" w:hanging="8880" w:hangingChars="3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（5）以联合体形式参与资格的，则必须联合体各方共同签署、盖章；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（6）提起质疑的日期。</w:t>
      </w:r>
    </w:p>
    <w:p>
      <w:pPr>
        <w:pStyle w:val="5"/>
        <w:wordWrap w:val="0"/>
        <w:spacing w:line="500" w:lineRule="exact"/>
        <w:ind w:firstLine="484"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特注：未按上述程序规定的必备内容进行质疑的，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人或代理机构将不予以受理。</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7.1.4被质疑人应当在受理质疑后7个工作日内作出答复，并以书面形式通知质疑人和其他有关</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，答复内容仅限于</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所质疑的内容，不得涉及国家秘密和商业秘密。</w:t>
      </w:r>
    </w:p>
    <w:p>
      <w:pPr>
        <w:widowControl/>
        <w:spacing w:line="520" w:lineRule="atLeast"/>
        <w:ind w:firstLine="420"/>
        <w:textAlignment w:val="baseline"/>
        <w:rPr>
          <w:rFonts w:hint="eastAsia" w:ascii="仿宋_GB2312" w:hAnsi="仿宋_GB2312" w:eastAsia="仿宋_GB2312" w:cs="仿宋_GB2312"/>
          <w:b/>
          <w:sz w:val="24"/>
          <w:szCs w:val="24"/>
        </w:rPr>
      </w:pPr>
      <w:bookmarkStart w:id="77" w:name="_Toc9365"/>
      <w:bookmarkStart w:id="78" w:name="_Toc456336161"/>
      <w:bookmarkStart w:id="79" w:name="_Toc483174929"/>
      <w:bookmarkStart w:id="80" w:name="_Toc450546725"/>
      <w:r>
        <w:rPr>
          <w:rFonts w:hint="eastAsia" w:ascii="仿宋_GB2312" w:hAnsi="仿宋_GB2312" w:eastAsia="仿宋_GB2312" w:cs="仿宋_GB2312"/>
          <w:b/>
          <w:sz w:val="24"/>
          <w:szCs w:val="24"/>
        </w:rPr>
        <w:t>7.2投诉</w:t>
      </w:r>
      <w:bookmarkEnd w:id="77"/>
      <w:bookmarkEnd w:id="78"/>
      <w:bookmarkEnd w:id="79"/>
      <w:bookmarkEnd w:id="80"/>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7.2.1质疑人如对被质疑人的质疑回复不满意或在规定时间内未做出回复的，可在答复期满后15个工作日内向本项目管辖内的政府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监督部门提起投诉。</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投诉应当有明确的请求和必要的证明材料。</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7.2.2投诉人提起投诉应符合以下条件：</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(1)投诉人应是参与项目的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(2)投诉前已依法进行质疑；</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(3)投诉书内容符合中华人民共和国财政部</w:t>
      </w:r>
      <w:r>
        <w:rPr>
          <w:rFonts w:hint="eastAsia" w:ascii="仿宋_GB2312" w:hAnsi="仿宋_GB2312" w:eastAsia="仿宋_GB2312" w:cs="仿宋_GB2312"/>
          <w:sz w:val="24"/>
          <w:szCs w:val="24"/>
          <w:lang w:val="en-US" w:eastAsia="zh-CN"/>
        </w:rPr>
        <w:t>94</w:t>
      </w:r>
      <w:r>
        <w:rPr>
          <w:rFonts w:hint="eastAsia" w:ascii="仿宋_GB2312" w:hAnsi="仿宋_GB2312" w:eastAsia="仿宋_GB2312" w:cs="仿宋_GB2312"/>
          <w:sz w:val="24"/>
          <w:szCs w:val="24"/>
        </w:rPr>
        <w:t>号令《</w:t>
      </w:r>
      <w:r>
        <w:rPr>
          <w:rFonts w:hint="eastAsia" w:ascii="仿宋_GB2312" w:hAnsi="仿宋_GB2312" w:eastAsia="仿宋_GB2312" w:cs="仿宋_GB2312"/>
          <w:sz w:val="24"/>
          <w:szCs w:val="24"/>
          <w:lang w:val="en-US" w:eastAsia="zh-CN"/>
        </w:rPr>
        <w:t>政府采购质疑和投诉办法</w:t>
      </w:r>
      <w:r>
        <w:rPr>
          <w:rFonts w:hint="eastAsia" w:ascii="仿宋_GB2312" w:hAnsi="仿宋_GB2312" w:eastAsia="仿宋_GB2312" w:cs="仿宋_GB2312"/>
          <w:sz w:val="24"/>
          <w:szCs w:val="24"/>
        </w:rPr>
        <w:t>》的规定；</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(4)在投诉有效期内；</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(5)同一投诉事项未经处理的；</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(6)</w:t>
      </w:r>
      <w:r>
        <w:rPr>
          <w:rFonts w:hint="eastAsia" w:ascii="仿宋_GB2312" w:hAnsi="仿宋_GB2312" w:eastAsia="仿宋_GB2312" w:cs="仿宋_GB2312"/>
          <w:sz w:val="24"/>
          <w:szCs w:val="24"/>
        </w:rPr>
        <w:t>相关法律、法规和省级以上人民政府财政部门规定的其他条件。</w:t>
      </w:r>
    </w:p>
    <w:p>
      <w:pPr>
        <w:wordWrap w:val="0"/>
        <w:topLinePunct/>
        <w:spacing w:line="420" w:lineRule="exact"/>
        <w:ind w:firstLine="480" w:firstLineChars="200"/>
        <w:rPr>
          <w:rFonts w:hint="eastAsia" w:ascii="仿宋_GB2312" w:hAnsi="仿宋_GB2312" w:eastAsia="仿宋_GB2312" w:cs="仿宋_GB2312"/>
          <w:sz w:val="24"/>
          <w:szCs w:val="24"/>
          <w:highlight w:val="green"/>
        </w:rPr>
      </w:pPr>
      <w:r>
        <w:rPr>
          <w:rFonts w:hint="eastAsia" w:ascii="仿宋_GB2312" w:hAnsi="仿宋_GB2312" w:eastAsia="仿宋_GB2312" w:cs="仿宋_GB2312"/>
          <w:sz w:val="24"/>
          <w:szCs w:val="24"/>
        </w:rPr>
        <w:t>7.2.3</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投诉时，应当当面提交投诉书，投诉书应当包括下列主要内容：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(1)投诉人的姓名或者名称、住所、联系方式及相关证明；</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(2)被投诉人的名称、住所、联系方式；</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(3)具体的投诉事项、事实根据和法律依据；</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(4)质疑和质疑答复情况及相关证明材料；</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(5)提起投诉的日期。</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投诉人为自然人的，应当由本人签字。投诉人为法人的，应当由其法定代表人签字并加盖单位公章。投诉人为其他组织的，应当由其</w:t>
      </w:r>
      <w:r>
        <w:rPr>
          <w:rFonts w:hint="eastAsia" w:ascii="仿宋_GB2312" w:hAnsi="仿宋_GB2312" w:eastAsia="仿宋_GB2312" w:cs="仿宋_GB2312"/>
          <w:sz w:val="24"/>
          <w:szCs w:val="24"/>
          <w:lang w:eastAsia="zh-CN"/>
        </w:rPr>
        <w:t>法定代表人</w:t>
      </w:r>
      <w:r>
        <w:rPr>
          <w:rFonts w:hint="eastAsia" w:ascii="仿宋_GB2312" w:hAnsi="仿宋_GB2312" w:eastAsia="仿宋_GB2312" w:cs="仿宋_GB2312"/>
          <w:sz w:val="24"/>
          <w:szCs w:val="24"/>
        </w:rPr>
        <w:t>签字盖章并加盖单位公章。</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7.2.5投诉人不符合上述规定提起的投诉，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监督部门不予受理。</w:t>
      </w:r>
    </w:p>
    <w:p>
      <w:pPr>
        <w:rPr>
          <w:rFonts w:hint="eastAsia" w:ascii="仿宋_GB2312" w:hAnsi="仿宋_GB2312" w:eastAsia="仿宋_GB2312" w:cs="仿宋_GB2312"/>
          <w:sz w:val="24"/>
          <w:szCs w:val="24"/>
        </w:rPr>
      </w:pPr>
    </w:p>
    <w:p>
      <w:pPr>
        <w:pStyle w:val="4"/>
        <w:outlineLvl w:val="1"/>
        <w:rPr>
          <w:rFonts w:hint="eastAsia" w:ascii="仿宋_GB2312" w:hAnsi="仿宋_GB2312" w:eastAsia="仿宋_GB2312" w:cs="仿宋_GB2312"/>
          <w:b/>
          <w:bCs/>
          <w:sz w:val="24"/>
          <w:szCs w:val="24"/>
        </w:rPr>
      </w:pPr>
      <w:bookmarkStart w:id="81" w:name="_Toc10303"/>
      <w:bookmarkStart w:id="82" w:name="_Toc3182"/>
      <w:bookmarkStart w:id="83" w:name="_Toc26647"/>
      <w:r>
        <w:rPr>
          <w:rFonts w:hint="eastAsia" w:ascii="仿宋_GB2312" w:hAnsi="仿宋_GB2312" w:eastAsia="仿宋_GB2312" w:cs="仿宋_GB2312"/>
          <w:b/>
          <w:bCs/>
          <w:sz w:val="24"/>
          <w:szCs w:val="24"/>
        </w:rPr>
        <w:t>八、项目验收</w:t>
      </w:r>
      <w:bookmarkEnd w:id="72"/>
      <w:bookmarkEnd w:id="73"/>
      <w:bookmarkEnd w:id="74"/>
      <w:bookmarkEnd w:id="75"/>
      <w:bookmarkEnd w:id="76"/>
      <w:bookmarkEnd w:id="81"/>
      <w:bookmarkEnd w:id="82"/>
      <w:bookmarkEnd w:id="83"/>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、安全标准对</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履约情况进行验收，并出具验收书。验收书包括每一项技术、</w:t>
      </w:r>
      <w:r>
        <w:rPr>
          <w:rFonts w:hint="eastAsia" w:ascii="仿宋_GB2312" w:hAnsi="仿宋_GB2312" w:eastAsia="仿宋_GB2312" w:cs="仿宋_GB2312"/>
          <w:sz w:val="24"/>
          <w:szCs w:val="24"/>
          <w:lang w:eastAsia="zh-CN"/>
        </w:rPr>
        <w:t>货物</w:t>
      </w:r>
      <w:r>
        <w:rPr>
          <w:rFonts w:hint="eastAsia" w:ascii="仿宋_GB2312" w:hAnsi="仿宋_GB2312" w:eastAsia="仿宋_GB2312" w:cs="仿宋_GB2312"/>
          <w:sz w:val="24"/>
          <w:szCs w:val="24"/>
        </w:rPr>
        <w:t>、安全标准的履约情况。</w:t>
      </w:r>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8.2</w:t>
      </w:r>
      <w:r>
        <w:rPr>
          <w:rFonts w:hint="eastAsia" w:ascii="仿宋_GB2312" w:hAnsi="仿宋_GB2312" w:eastAsia="仿宋_GB2312" w:cs="仿宋_GB2312"/>
          <w:sz w:val="24"/>
          <w:szCs w:val="24"/>
        </w:rPr>
        <w:t>验收标准:磋商文件、响应文件、</w:t>
      </w:r>
      <w:r>
        <w:rPr>
          <w:rFonts w:hint="eastAsia" w:ascii="仿宋_GB2312" w:hAnsi="仿宋_GB2312" w:eastAsia="仿宋_GB2312" w:cs="仿宋_GB2312"/>
          <w:sz w:val="24"/>
          <w:szCs w:val="24"/>
          <w:lang w:eastAsia="zh-CN"/>
        </w:rPr>
        <w:t>按照招标</w:t>
      </w:r>
      <w:r>
        <w:rPr>
          <w:rFonts w:hint="eastAsia" w:ascii="仿宋_GB2312" w:hAnsi="仿宋_GB2312" w:eastAsia="仿宋_GB2312" w:cs="仿宋_GB2312"/>
          <w:sz w:val="24"/>
          <w:szCs w:val="24"/>
        </w:rPr>
        <w:t>合同规定的标准。</w:t>
      </w:r>
    </w:p>
    <w:p>
      <w:pPr>
        <w:pStyle w:val="4"/>
        <w:outlineLvl w:val="1"/>
        <w:rPr>
          <w:rFonts w:hint="eastAsia" w:ascii="仿宋_GB2312" w:hAnsi="仿宋_GB2312" w:eastAsia="仿宋_GB2312" w:cs="仿宋_GB2312"/>
          <w:b/>
          <w:bCs/>
          <w:sz w:val="24"/>
          <w:szCs w:val="24"/>
        </w:rPr>
      </w:pPr>
      <w:bookmarkStart w:id="84" w:name="_Toc293736018"/>
      <w:bookmarkStart w:id="85" w:name="_Toc293738999"/>
      <w:bookmarkStart w:id="86" w:name="_Toc9470"/>
      <w:bookmarkStart w:id="87" w:name="_Toc6671"/>
      <w:bookmarkStart w:id="88" w:name="_Toc446599318"/>
      <w:bookmarkStart w:id="89" w:name="_Toc293736061"/>
      <w:bookmarkStart w:id="90" w:name="_Toc5386"/>
      <w:r>
        <w:rPr>
          <w:rFonts w:hint="eastAsia" w:ascii="仿宋_GB2312" w:hAnsi="仿宋_GB2312" w:eastAsia="仿宋_GB2312" w:cs="仿宋_GB2312"/>
          <w:b/>
          <w:bCs/>
          <w:sz w:val="24"/>
          <w:szCs w:val="24"/>
        </w:rPr>
        <w:t>九、适用法律</w:t>
      </w:r>
      <w:bookmarkEnd w:id="84"/>
      <w:bookmarkEnd w:id="85"/>
      <w:bookmarkEnd w:id="86"/>
      <w:bookmarkEnd w:id="87"/>
      <w:bookmarkEnd w:id="88"/>
      <w:bookmarkEnd w:id="89"/>
      <w:bookmarkEnd w:id="90"/>
    </w:p>
    <w:p>
      <w:pPr>
        <w:wordWrap w:val="0"/>
        <w:topLinePunct/>
        <w:spacing w:line="420" w:lineRule="exact"/>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9.1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的一切招标投标活动均适用于《政府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实施条例》、《政府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竞争性磋商</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方式管理办法》等相关规定。</w:t>
      </w:r>
    </w:p>
    <w:p>
      <w:pPr>
        <w:autoSpaceDE w:val="0"/>
        <w:autoSpaceDN w:val="0"/>
        <w:spacing w:line="500" w:lineRule="exact"/>
        <w:ind w:left="560" w:right="32" w:hanging="480" w:hangingChars="200"/>
        <w:contextualSpacing/>
        <w:rPr>
          <w:rFonts w:hint="eastAsia" w:ascii="仿宋_GB2312" w:hAnsi="仿宋_GB2312" w:eastAsia="仿宋_GB2312" w:cs="仿宋_GB2312"/>
          <w:color w:val="000000" w:themeColor="text1"/>
          <w:sz w:val="24"/>
          <w:szCs w:val="24"/>
          <w14:textFill>
            <w14:solidFill>
              <w14:schemeClr w14:val="tx1"/>
            </w14:solidFill>
          </w14:textFill>
        </w:rPr>
      </w:pPr>
    </w:p>
    <w:p>
      <w:pPr>
        <w:pStyle w:val="4"/>
        <w:outlineLvl w:val="1"/>
        <w:rPr>
          <w:rFonts w:hint="eastAsia" w:ascii="仿宋_GB2312" w:hAnsi="仿宋_GB2312" w:eastAsia="仿宋_GB2312" w:cs="仿宋_GB2312"/>
          <w:b/>
          <w:bCs/>
          <w:sz w:val="24"/>
          <w:szCs w:val="24"/>
        </w:rPr>
      </w:pPr>
      <w:bookmarkStart w:id="91" w:name="_Toc272247702"/>
      <w:bookmarkStart w:id="92" w:name="_Toc446599319"/>
      <w:bookmarkStart w:id="93" w:name="_Toc278891599"/>
      <w:bookmarkStart w:id="94" w:name="_Toc21968"/>
      <w:bookmarkStart w:id="95" w:name="_Toc7307"/>
      <w:bookmarkStart w:id="96" w:name="_Toc437611460"/>
      <w:bookmarkStart w:id="97" w:name="_Toc12184"/>
      <w:r>
        <w:rPr>
          <w:rFonts w:hint="eastAsia" w:ascii="仿宋_GB2312" w:hAnsi="仿宋_GB2312" w:eastAsia="仿宋_GB2312" w:cs="仿宋_GB2312"/>
          <w:b/>
          <w:bCs/>
          <w:sz w:val="24"/>
          <w:szCs w:val="24"/>
        </w:rPr>
        <w:t>十、磋商文件的解释权</w:t>
      </w:r>
      <w:bookmarkEnd w:id="91"/>
      <w:bookmarkEnd w:id="92"/>
      <w:bookmarkEnd w:id="93"/>
      <w:bookmarkEnd w:id="94"/>
      <w:bookmarkEnd w:id="95"/>
      <w:bookmarkEnd w:id="96"/>
      <w:bookmarkEnd w:id="97"/>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10.1</w:t>
      </w:r>
      <w:r>
        <w:rPr>
          <w:rFonts w:hint="eastAsia" w:ascii="仿宋_GB2312" w:hAnsi="仿宋_GB2312" w:eastAsia="仿宋_GB2312" w:cs="仿宋_GB2312"/>
          <w:sz w:val="24"/>
          <w:szCs w:val="24"/>
        </w:rPr>
        <w:t>本项目磋商文件的最终解释权为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单位所有。</w:t>
      </w:r>
    </w:p>
    <w:p>
      <w:pPr>
        <w:pStyle w:val="4"/>
        <w:outlineLvl w:val="1"/>
        <w:rPr>
          <w:rFonts w:hint="eastAsia" w:ascii="仿宋_GB2312" w:hAnsi="仿宋_GB2312" w:eastAsia="仿宋_GB2312" w:cs="仿宋_GB2312"/>
          <w:b/>
          <w:bCs/>
          <w:sz w:val="24"/>
          <w:szCs w:val="24"/>
        </w:rPr>
      </w:pPr>
      <w:bookmarkStart w:id="98" w:name="_Toc6349"/>
      <w:bookmarkStart w:id="99" w:name="_Toc437611461"/>
      <w:bookmarkStart w:id="100" w:name="_Toc446599320"/>
      <w:bookmarkStart w:id="101" w:name="_Toc11986"/>
      <w:bookmarkStart w:id="102" w:name="_Toc21207"/>
      <w:r>
        <w:rPr>
          <w:rFonts w:hint="eastAsia" w:ascii="仿宋_GB2312" w:hAnsi="仿宋_GB2312" w:eastAsia="仿宋_GB2312" w:cs="仿宋_GB2312"/>
          <w:b/>
          <w:bCs/>
          <w:sz w:val="24"/>
          <w:szCs w:val="24"/>
        </w:rPr>
        <w:t>十一、其他注意事项</w:t>
      </w:r>
      <w:bookmarkEnd w:id="98"/>
      <w:bookmarkEnd w:id="99"/>
      <w:bookmarkEnd w:id="100"/>
      <w:bookmarkEnd w:id="101"/>
      <w:bookmarkEnd w:id="102"/>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11.1</w:t>
      </w:r>
      <w:r>
        <w:rPr>
          <w:rFonts w:hint="eastAsia" w:ascii="仿宋_GB2312" w:hAnsi="仿宋_GB2312" w:eastAsia="仿宋_GB2312" w:cs="仿宋_GB2312"/>
          <w:sz w:val="24"/>
          <w:szCs w:val="24"/>
        </w:rPr>
        <w:t>单位负责人为同一人或者存在直接控股、管理关系的不同</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，不得参加同一合同项下的政府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11.2</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项目提供整体设计、规范编制或者项目管理、监理、检测等服务的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，不得再参加该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项目的其他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活动。</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11.3</w:t>
      </w:r>
      <w:r>
        <w:rPr>
          <w:rFonts w:hint="eastAsia" w:ascii="仿宋_GB2312" w:hAnsi="仿宋_GB2312" w:eastAsia="仿宋_GB2312" w:cs="仿宋_GB2312"/>
          <w:sz w:val="24"/>
          <w:szCs w:val="24"/>
        </w:rPr>
        <w:t>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法第二十二条第一款第五项所称重大违法记录，是指</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因违法经营受到刑事处罚或者责令停产停业、吊销许可证或者执照、较大数额罚款等行政处罚。</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11.4</w:t>
      </w:r>
      <w:r>
        <w:rPr>
          <w:rFonts w:hint="eastAsia" w:ascii="仿宋_GB2312" w:hAnsi="仿宋_GB2312" w:eastAsia="仿宋_GB2312" w:cs="仿宋_GB2312"/>
          <w:sz w:val="24"/>
          <w:szCs w:val="24"/>
        </w:rPr>
        <w:t>按照财政部《关于规范政府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行政处罚有关问题的通知》的规定，各级人民政府财政部门依法对参加政府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活动的</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作出的禁止参加政府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活动等行政处罚决定在全国范围内生效。</w:t>
      </w:r>
    </w:p>
    <w:p>
      <w:pPr>
        <w:pStyle w:val="5"/>
        <w:spacing w:line="500" w:lineRule="exact"/>
        <w:ind w:firstLine="487" w:firstLineChars="202"/>
        <w:jc w:val="left"/>
        <w:rPr>
          <w:rFonts w:hint="eastAsia" w:ascii="仿宋_GB2312" w:hAnsi="仿宋_GB2312" w:eastAsia="仿宋_GB2312" w:cs="仿宋_GB2312"/>
          <w:sz w:val="24"/>
          <w:szCs w:val="24"/>
        </w:rPr>
      </w:pPr>
      <w:r>
        <w:rPr>
          <w:rFonts w:hint="eastAsia" w:ascii="仿宋_GB2312" w:hAnsi="仿宋_GB2312" w:eastAsia="仿宋_GB2312" w:cs="仿宋_GB2312"/>
          <w:b/>
          <w:kern w:val="2"/>
          <w:sz w:val="24"/>
          <w:szCs w:val="24"/>
          <w:lang w:val="en-US" w:eastAsia="zh-CN" w:bidi="ar-SA"/>
        </w:rPr>
        <w:t>11.5</w:t>
      </w:r>
      <w:r>
        <w:rPr>
          <w:rFonts w:hint="eastAsia" w:ascii="仿宋_GB2312" w:hAnsi="仿宋_GB2312" w:eastAsia="仿宋_GB2312" w:cs="仿宋_GB2312"/>
          <w:sz w:val="24"/>
          <w:szCs w:val="24"/>
          <w:lang w:eastAsia="zh-CN"/>
        </w:rPr>
        <w:t>投标单位</w:t>
      </w:r>
      <w:r>
        <w:rPr>
          <w:rFonts w:hint="eastAsia" w:ascii="仿宋_GB2312" w:hAnsi="仿宋_GB2312" w:eastAsia="仿宋_GB2312" w:cs="仿宋_GB2312"/>
          <w:sz w:val="24"/>
          <w:szCs w:val="24"/>
        </w:rPr>
        <w:t>在参加政府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活动前3年内因违法经营被禁止在一定期限内参加政府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活动，期限届满的，可以参加政府</w:t>
      </w:r>
      <w:r>
        <w:rPr>
          <w:rFonts w:hint="eastAsia" w:ascii="仿宋_GB2312" w:hAnsi="仿宋_GB2312" w:eastAsia="仿宋_GB2312" w:cs="仿宋_GB2312"/>
          <w:sz w:val="24"/>
          <w:szCs w:val="24"/>
          <w:lang w:eastAsia="zh-CN"/>
        </w:rPr>
        <w:t>采购</w:t>
      </w:r>
      <w:r>
        <w:rPr>
          <w:rFonts w:hint="eastAsia" w:ascii="仿宋_GB2312" w:hAnsi="仿宋_GB2312" w:eastAsia="仿宋_GB2312" w:cs="仿宋_GB2312"/>
          <w:sz w:val="24"/>
          <w:szCs w:val="24"/>
        </w:rPr>
        <w:t>活动。</w:t>
      </w:r>
    </w:p>
    <w:p>
      <w:pPr>
        <w:pStyle w:val="2"/>
        <w:adjustRightInd w:val="0"/>
        <w:snapToGrid w:val="0"/>
        <w:spacing w:line="500" w:lineRule="exact"/>
        <w:rPr>
          <w:rFonts w:hint="eastAsia" w:ascii="仿宋_GB2312" w:hAnsi="仿宋_GB2312" w:eastAsia="仿宋_GB2312" w:cs="仿宋_GB2312"/>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3"/>
        <w:numPr>
          <w:numId w:val="0"/>
        </w:numPr>
        <w:spacing w:before="0" w:after="0" w:line="240" w:lineRule="auto"/>
        <w:ind w:left="1890" w:leftChars="0" w:firstLine="964" w:firstLineChars="300"/>
        <w:jc w:val="both"/>
        <w:outlineLvl w:val="0"/>
        <w:rPr>
          <w:rFonts w:hint="eastAsia" w:ascii="黑体" w:hAnsi="黑体" w:eastAsia="黑体" w:cs="黑体"/>
          <w:b/>
          <w:bCs w:val="0"/>
          <w:sz w:val="32"/>
          <w:szCs w:val="32"/>
          <w:lang w:eastAsia="zh-CN"/>
        </w:rPr>
      </w:pPr>
      <w:bookmarkStart w:id="103" w:name="_Toc6992"/>
      <w:bookmarkStart w:id="104" w:name="_Toc1612"/>
      <w:bookmarkStart w:id="105" w:name="_Toc294515580"/>
      <w:bookmarkStart w:id="106" w:name="_Toc293739001"/>
      <w:bookmarkStart w:id="107" w:name="_Toc446599322"/>
      <w:bookmarkStart w:id="108" w:name="_Toc293736063"/>
      <w:bookmarkStart w:id="109" w:name="_Toc293736020"/>
      <w:r>
        <w:rPr>
          <w:rFonts w:hint="eastAsia" w:ascii="黑体" w:hAnsi="黑体" w:eastAsia="黑体" w:cs="黑体"/>
          <w:b/>
          <w:bCs w:val="0"/>
          <w:sz w:val="32"/>
          <w:szCs w:val="32"/>
          <w:lang w:val="en-US" w:eastAsia="zh-CN"/>
        </w:rPr>
        <w:t>第二章</w:t>
      </w:r>
      <w:r>
        <w:rPr>
          <w:rFonts w:hint="eastAsia" w:ascii="黑体" w:hAnsi="黑体" w:eastAsia="黑体" w:cs="黑体"/>
          <w:b/>
          <w:bCs w:val="0"/>
          <w:sz w:val="32"/>
          <w:szCs w:val="32"/>
          <w:lang w:eastAsia="zh-CN"/>
        </w:rPr>
        <w:t>工程量清单</w:t>
      </w:r>
      <w:bookmarkEnd w:id="103"/>
      <w:bookmarkEnd w:id="104"/>
    </w:p>
    <w:bookmarkEnd w:id="105"/>
    <w:p>
      <w:pPr>
        <w:outlineLvl w:val="9"/>
        <w:rPr>
          <w:rFonts w:hint="eastAsia" w:ascii="仿宋_GB2312" w:hAnsi="仿宋_GB2312" w:eastAsia="仿宋_GB2312" w:cs="仿宋_GB2312"/>
          <w:b/>
          <w:bCs/>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b/>
          <w:bCs/>
          <w:sz w:val="24"/>
          <w:szCs w:val="24"/>
          <w:lang w:eastAsia="zh-CN"/>
        </w:rPr>
      </w:pPr>
      <w:bookmarkStart w:id="110" w:name="_Toc15678"/>
      <w:bookmarkStart w:id="111" w:name="_Toc31451"/>
      <w:bookmarkStart w:id="112" w:name="_Toc18089"/>
      <w:bookmarkStart w:id="113" w:name="_Toc3536"/>
      <w:bookmarkStart w:id="114" w:name="_Toc27995"/>
      <w:bookmarkStart w:id="115" w:name="_Toc16208"/>
      <w:bookmarkStart w:id="116" w:name="_Toc32026"/>
      <w:bookmarkStart w:id="117" w:name="_Toc17736"/>
      <w:bookmarkStart w:id="118" w:name="_Toc10205"/>
      <w:bookmarkStart w:id="119" w:name="_Toc484700952"/>
      <w:bookmarkStart w:id="120" w:name="_Toc24657"/>
      <w:bookmarkStart w:id="121" w:name="_Toc19038"/>
    </w:p>
    <w:p>
      <w:pPr>
        <w:pStyle w:val="4"/>
        <w:outlineLvl w:val="1"/>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一、</w:t>
      </w:r>
      <w:r>
        <w:rPr>
          <w:rFonts w:hint="eastAsia" w:ascii="仿宋_GB2312" w:hAnsi="仿宋_GB2312" w:eastAsia="仿宋_GB2312" w:cs="仿宋_GB2312"/>
          <w:b/>
          <w:bCs/>
          <w:color w:val="auto"/>
          <w:sz w:val="24"/>
          <w:szCs w:val="24"/>
        </w:rPr>
        <w:t>工程量清单（另册）</w:t>
      </w:r>
      <w:bookmarkEnd w:id="110"/>
      <w:bookmarkEnd w:id="111"/>
      <w:bookmarkEnd w:id="112"/>
      <w:bookmarkEnd w:id="113"/>
      <w:bookmarkEnd w:id="114"/>
      <w:bookmarkEnd w:id="115"/>
      <w:bookmarkEnd w:id="116"/>
      <w:bookmarkEnd w:id="117"/>
      <w:bookmarkEnd w:id="118"/>
      <w:bookmarkEnd w:id="119"/>
      <w:bookmarkEnd w:id="120"/>
      <w:bookmarkEnd w:id="121"/>
    </w:p>
    <w:p>
      <w:pPr>
        <w:widowControl w:val="0"/>
        <w:numPr>
          <w:ilvl w:val="0"/>
          <w:numId w:val="0"/>
        </w:numPr>
        <w:jc w:val="both"/>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pStyle w:val="3"/>
        <w:numPr>
          <w:numId w:val="0"/>
        </w:numPr>
        <w:spacing w:before="0" w:after="0" w:line="240" w:lineRule="auto"/>
        <w:ind w:left="1890" w:leftChars="0" w:firstLine="964" w:firstLineChars="300"/>
        <w:jc w:val="both"/>
        <w:outlineLvl w:val="0"/>
        <w:rPr>
          <w:rFonts w:hint="eastAsia" w:ascii="黑体" w:hAnsi="黑体" w:eastAsia="黑体" w:cs="黑体"/>
          <w:b/>
          <w:bCs w:val="0"/>
          <w:sz w:val="32"/>
          <w:szCs w:val="32"/>
          <w:lang w:eastAsia="zh-CN"/>
        </w:rPr>
      </w:pPr>
      <w:bookmarkStart w:id="122" w:name="_Toc31332"/>
      <w:bookmarkStart w:id="123" w:name="_Toc27367"/>
      <w:bookmarkStart w:id="124" w:name="_Toc10724"/>
      <w:r>
        <w:rPr>
          <w:rFonts w:hint="eastAsia" w:ascii="黑体" w:hAnsi="黑体" w:eastAsia="黑体" w:cs="黑体"/>
          <w:b/>
          <w:bCs w:val="0"/>
          <w:sz w:val="32"/>
          <w:szCs w:val="32"/>
          <w:lang w:val="en-US" w:eastAsia="zh-CN"/>
        </w:rPr>
        <w:t>第三章</w:t>
      </w:r>
      <w:r>
        <w:rPr>
          <w:rFonts w:hint="eastAsia" w:ascii="黑体" w:hAnsi="黑体" w:eastAsia="黑体" w:cs="黑体"/>
          <w:b/>
          <w:bCs w:val="0"/>
          <w:sz w:val="32"/>
          <w:szCs w:val="32"/>
          <w:lang w:eastAsia="zh-CN"/>
        </w:rPr>
        <w:t>评审方法</w:t>
      </w:r>
      <w:bookmarkEnd w:id="106"/>
      <w:bookmarkEnd w:id="107"/>
      <w:bookmarkEnd w:id="108"/>
      <w:bookmarkEnd w:id="109"/>
      <w:bookmarkEnd w:id="122"/>
      <w:bookmarkEnd w:id="123"/>
      <w:bookmarkEnd w:id="124"/>
    </w:p>
    <w:p>
      <w:pPr>
        <w:rPr>
          <w:rFonts w:hint="eastAsia" w:ascii="仿宋_GB2312" w:hAnsi="仿宋_GB2312" w:eastAsia="仿宋_GB2312" w:cs="仿宋_GB2312"/>
          <w:sz w:val="24"/>
          <w:szCs w:val="24"/>
        </w:rPr>
      </w:pPr>
    </w:p>
    <w:p>
      <w:pPr>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24"/>
          <w:szCs w:val="24"/>
        </w:rPr>
      </w:pPr>
      <w:bookmarkStart w:id="125" w:name="_Toc446599330"/>
      <w:bookmarkStart w:id="126" w:name="_Toc293736067"/>
      <w:bookmarkStart w:id="127" w:name="_Toc293736024"/>
      <w:bookmarkStart w:id="128" w:name="_Toc293739005"/>
      <w:r>
        <w:rPr>
          <w:rFonts w:hint="eastAsia" w:ascii="仿宋_GB2312" w:hAnsi="仿宋_GB2312" w:eastAsia="仿宋_GB2312" w:cs="仿宋_GB2312"/>
          <w:b/>
          <w:sz w:val="24"/>
          <w:szCs w:val="24"/>
          <w:highlight w:val="white"/>
          <w:lang w:val="en-US" w:eastAsia="zh-CN"/>
        </w:rPr>
        <w:t>一、</w:t>
      </w:r>
      <w:r>
        <w:rPr>
          <w:rFonts w:hint="eastAsia" w:ascii="仿宋_GB2312" w:hAnsi="仿宋_GB2312" w:eastAsia="仿宋_GB2312" w:cs="仿宋_GB2312"/>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1</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经磋商确定最终</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需求和提交最后报价的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后，由磋商小组采用</w:t>
      </w: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对提交最后报价的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lang w:eastAsia="zh-CN"/>
        </w:rPr>
        <w:t>综合评估法</w:t>
      </w:r>
      <w:r>
        <w:rPr>
          <w:rFonts w:hint="eastAsia" w:ascii="仿宋_GB2312" w:hAnsi="仿宋_GB2312" w:eastAsia="仿宋_GB2312" w:cs="仿宋_GB2312"/>
          <w:sz w:val="24"/>
          <w:szCs w:val="24"/>
          <w:highlight w:val="white"/>
        </w:rPr>
        <w:t>是指响应文件满足磋商文件全部实质性要求且按评审因素的量化指标评审得分最高的</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为</w:t>
      </w:r>
      <w:r>
        <w:rPr>
          <w:rFonts w:hint="eastAsia" w:ascii="仿宋_GB2312" w:hAnsi="仿宋_GB2312" w:eastAsia="仿宋_GB2312" w:cs="仿宋_GB2312"/>
          <w:sz w:val="24"/>
          <w:szCs w:val="24"/>
          <w:highlight w:val="white"/>
          <w:lang w:eastAsia="zh-CN"/>
        </w:rPr>
        <w:t>中标</w:t>
      </w:r>
      <w:r>
        <w:rPr>
          <w:rFonts w:hint="eastAsia" w:ascii="仿宋_GB2312" w:hAnsi="仿宋_GB2312" w:eastAsia="仿宋_GB2312" w:cs="仿宋_GB2312"/>
          <w:sz w:val="24"/>
          <w:szCs w:val="24"/>
          <w:highlight w:val="white"/>
        </w:rPr>
        <w:t>候选</w:t>
      </w:r>
      <w:r>
        <w:rPr>
          <w:rFonts w:hint="eastAsia" w:ascii="仿宋_GB2312" w:hAnsi="仿宋_GB2312" w:eastAsia="仿宋_GB2312" w:cs="仿宋_GB2312"/>
          <w:sz w:val="24"/>
          <w:szCs w:val="24"/>
          <w:highlight w:val="white"/>
          <w:lang w:eastAsia="zh-CN"/>
        </w:rPr>
        <w:t>人</w:t>
      </w:r>
      <w:r>
        <w:rPr>
          <w:rFonts w:hint="eastAsia" w:ascii="仿宋_GB2312" w:hAnsi="仿宋_GB2312" w:eastAsia="仿宋_GB2312" w:cs="仿宋_GB2312"/>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white"/>
        </w:rPr>
        <w:t>2</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评审时，磋商小组各成员应当独立对每个有效响应的文件进行评价、打分，然后汇总每个</w:t>
      </w:r>
      <w:r>
        <w:rPr>
          <w:rFonts w:hint="eastAsia" w:ascii="仿宋_GB2312" w:hAnsi="仿宋_GB2312" w:eastAsia="仿宋_GB2312" w:cs="仿宋_GB2312"/>
          <w:sz w:val="24"/>
          <w:szCs w:val="24"/>
          <w:highlight w:val="white"/>
          <w:lang w:eastAsia="zh-CN"/>
        </w:rPr>
        <w:t>投标单位</w:t>
      </w:r>
      <w:r>
        <w:rPr>
          <w:rFonts w:hint="eastAsia" w:ascii="仿宋_GB2312" w:hAnsi="仿宋_GB2312" w:eastAsia="仿宋_GB2312" w:cs="仿宋_GB2312"/>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3</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符合《政府</w:t>
      </w:r>
      <w:r>
        <w:rPr>
          <w:rFonts w:hint="eastAsia" w:ascii="仿宋_GB2312" w:hAnsi="仿宋_GB2312" w:eastAsia="仿宋_GB2312" w:cs="仿宋_GB2312"/>
          <w:sz w:val="24"/>
          <w:szCs w:val="24"/>
          <w:highlight w:val="white"/>
          <w:lang w:eastAsia="zh-CN"/>
        </w:rPr>
        <w:t>采购</w:t>
      </w:r>
      <w:r>
        <w:rPr>
          <w:rFonts w:hint="eastAsia" w:ascii="仿宋_GB2312" w:hAnsi="仿宋_GB2312" w:eastAsia="仿宋_GB2312" w:cs="仿宋_GB2312"/>
          <w:sz w:val="24"/>
          <w:szCs w:val="24"/>
          <w:highlight w:val="white"/>
        </w:rPr>
        <w:t>竞争性磋商</w:t>
      </w:r>
      <w:r>
        <w:rPr>
          <w:rFonts w:hint="eastAsia" w:ascii="仿宋_GB2312" w:hAnsi="仿宋_GB2312" w:eastAsia="仿宋_GB2312" w:cs="仿宋_GB2312"/>
          <w:sz w:val="24"/>
          <w:szCs w:val="24"/>
          <w:highlight w:val="white"/>
          <w:lang w:eastAsia="zh-CN"/>
        </w:rPr>
        <w:t>招标</w:t>
      </w:r>
      <w:r>
        <w:rPr>
          <w:rFonts w:hint="eastAsia" w:ascii="仿宋_GB2312" w:hAnsi="仿宋_GB2312" w:eastAsia="仿宋_GB2312" w:cs="仿宋_GB2312"/>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pPr>
      <w:bookmarkStart w:id="129" w:name="_Toc8130"/>
      <w:bookmarkStart w:id="130" w:name="_Toc4618"/>
      <w:bookmarkStart w:id="131" w:name="_Toc3537"/>
      <w:bookmarkStart w:id="132" w:name="_Toc14742"/>
      <w:bookmarkStart w:id="133" w:name="_Toc26597"/>
      <w:bookmarkStart w:id="134" w:name="_Toc2938"/>
      <w:r>
        <w:rPr>
          <w:rFonts w:hint="eastAsia" w:ascii="仿宋_GB2312" w:hAnsi="仿宋_GB2312" w:eastAsia="仿宋_GB2312" w:cs="仿宋_GB2312"/>
          <w:b/>
          <w:bCs/>
          <w:color w:val="000000" w:themeColor="text1"/>
          <w:kern w:val="2"/>
          <w:sz w:val="24"/>
          <w:szCs w:val="24"/>
          <w:lang w:val="zh-CN"/>
          <w14:textFill>
            <w14:solidFill>
              <w14:schemeClr w14:val="tx1"/>
            </w14:solidFill>
          </w14:textFill>
        </w:rPr>
        <w:t>资格后审评审表</w:t>
      </w:r>
      <w:bookmarkEnd w:id="129"/>
      <w:bookmarkEnd w:id="130"/>
      <w:bookmarkEnd w:id="131"/>
      <w:bookmarkEnd w:id="132"/>
      <w:bookmarkEnd w:id="133"/>
      <w:bookmarkEnd w:id="134"/>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419"/>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bookmarkStart w:id="135" w:name="_Toc27601"/>
            <w:bookmarkStart w:id="136" w:name="_Toc29464"/>
            <w:bookmarkStart w:id="137" w:name="_Toc11954"/>
            <w:bookmarkStart w:id="138" w:name="_Toc30312"/>
            <w:bookmarkStart w:id="139" w:name="_Toc11547"/>
            <w:bookmarkStart w:id="140" w:name="_Toc8406"/>
            <w:r>
              <w:rPr>
                <w:rFonts w:hint="eastAsia" w:ascii="仿宋_GB2312" w:hAnsi="仿宋_GB2312" w:eastAsia="仿宋_GB2312" w:cs="仿宋_GB2312"/>
                <w:b/>
                <w:spacing w:val="-2"/>
                <w:sz w:val="24"/>
                <w:szCs w:val="24"/>
              </w:rPr>
              <w:t>序号</w:t>
            </w:r>
          </w:p>
        </w:tc>
        <w:tc>
          <w:tcPr>
            <w:tcW w:w="2124"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评审内容</w:t>
            </w:r>
          </w:p>
        </w:tc>
        <w:tc>
          <w:tcPr>
            <w:tcW w:w="4437" w:type="dxa"/>
            <w:vMerge w:val="restart"/>
            <w:noWrap w:val="0"/>
            <w:vAlign w:val="center"/>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评审合格标准</w:t>
            </w:r>
          </w:p>
        </w:tc>
        <w:tc>
          <w:tcPr>
            <w:tcW w:w="1808" w:type="dxa"/>
            <w:gridSpan w:val="3"/>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lang w:eastAsia="zh-CN"/>
              </w:rPr>
              <w:t>投标人</w:t>
            </w:r>
            <w:r>
              <w:rPr>
                <w:rFonts w:hint="eastAsia" w:ascii="仿宋_GB2312" w:hAnsi="仿宋_GB2312" w:eastAsia="仿宋_GB2312" w:cs="仿宋_GB2312"/>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2124"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4437"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419" w:type="dxa"/>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0" w:type="dxa"/>
            <w:noWrap w:val="0"/>
            <w:vAlign w:val="top"/>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营业执照等证明</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有效的营业执照复印件需加盖供应商单位公章</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法定代表人身份证明书及</w:t>
            </w:r>
            <w:r>
              <w:rPr>
                <w:rFonts w:hint="eastAsia" w:ascii="仿宋_GB2312" w:hAnsi="仿宋_GB2312" w:eastAsia="仿宋_GB2312" w:cs="仿宋_GB2312"/>
                <w:sz w:val="24"/>
                <w:szCs w:val="24"/>
                <w:highlight w:val="white"/>
              </w:rPr>
              <w:t>法定代表人授权书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(1)</w:t>
            </w:r>
            <w:r>
              <w:rPr>
                <w:rFonts w:hint="eastAsia" w:ascii="仿宋_GB2312" w:hAnsi="仿宋_GB2312" w:eastAsia="仿宋_GB2312" w:cs="仿宋_GB2312"/>
                <w:sz w:val="24"/>
                <w:szCs w:val="24"/>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(2)</w:t>
            </w:r>
            <w:r>
              <w:rPr>
                <w:rFonts w:hint="eastAsia" w:ascii="仿宋_GB2312" w:hAnsi="仿宋_GB2312" w:eastAsia="仿宋_GB2312" w:cs="仿宋_GB2312"/>
                <w:sz w:val="24"/>
                <w:szCs w:val="24"/>
                <w:highlight w:val="white"/>
              </w:rPr>
              <w:t xml:space="preserve"> </w:t>
            </w:r>
            <w:r>
              <w:rPr>
                <w:rFonts w:hint="eastAsia" w:ascii="仿宋_GB2312" w:hAnsi="仿宋_GB2312" w:eastAsia="仿宋_GB2312" w:cs="仿宋_GB2312"/>
                <w:sz w:val="24"/>
                <w:szCs w:val="24"/>
                <w:highlight w:val="white"/>
                <w:lang w:eastAsia="zh-CN"/>
              </w:rPr>
              <w:t>法定代表人身份证明书附完整的</w:t>
            </w:r>
            <w:r>
              <w:rPr>
                <w:rFonts w:hint="eastAsia" w:ascii="仿宋_GB2312" w:hAnsi="仿宋_GB2312" w:eastAsia="仿宋_GB2312" w:cs="仿宋_GB2312"/>
                <w:sz w:val="24"/>
                <w:szCs w:val="24"/>
                <w:highlight w:val="white"/>
              </w:rPr>
              <w:t>法定代表人身份证复印件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r>
              <w:rPr>
                <w:rFonts w:hint="eastAsia" w:ascii="仿宋_GB2312" w:hAnsi="仿宋_GB2312" w:eastAsia="仿宋_GB2312" w:cs="仿宋_GB2312"/>
                <w:sz w:val="24"/>
                <w:szCs w:val="24"/>
                <w:highlight w:val="white"/>
                <w:lang w:eastAsia="zh-CN"/>
              </w:rPr>
              <w:t>。</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val="en-US" w:eastAsia="zh-CN"/>
              </w:rPr>
              <w:t>3</w:t>
            </w:r>
            <w:r>
              <w:rPr>
                <w:rFonts w:hint="eastAsia" w:ascii="仿宋_GB2312" w:hAnsi="仿宋_GB2312" w:eastAsia="仿宋_GB2312" w:cs="仿宋_GB2312"/>
                <w:sz w:val="24"/>
                <w:szCs w:val="24"/>
                <w:highlight w:val="white"/>
              </w:rPr>
              <w:t>）</w:t>
            </w:r>
            <w:r>
              <w:rPr>
                <w:rFonts w:hint="eastAsia" w:ascii="仿宋_GB2312" w:hAnsi="仿宋_GB2312" w:eastAsia="仿宋_GB2312" w:cs="仿宋_GB2312"/>
                <w:sz w:val="24"/>
                <w:szCs w:val="24"/>
                <w:highlight w:val="white"/>
                <w:lang w:eastAsia="zh-CN"/>
              </w:rPr>
              <w:t>法定代表人授权委托书</w:t>
            </w:r>
            <w:r>
              <w:rPr>
                <w:rFonts w:hint="eastAsia" w:ascii="仿宋_GB2312" w:hAnsi="仿宋_GB2312" w:eastAsia="仿宋_GB2312" w:cs="仿宋_GB2312"/>
                <w:sz w:val="24"/>
                <w:szCs w:val="24"/>
                <w:highlight w:val="white"/>
              </w:rPr>
              <w:t>附完整的法定代表人身份证复印件、被授权人身份证复印件，</w:t>
            </w:r>
            <w:r>
              <w:rPr>
                <w:rFonts w:hint="eastAsia" w:ascii="仿宋_GB2312" w:hAnsi="仿宋_GB2312" w:eastAsia="仿宋_GB2312" w:cs="仿宋_GB2312"/>
                <w:sz w:val="24"/>
                <w:szCs w:val="24"/>
                <w:highlight w:val="white"/>
                <w:lang w:eastAsia="zh-CN"/>
              </w:rPr>
              <w:t>并</w:t>
            </w:r>
            <w:r>
              <w:rPr>
                <w:rFonts w:hint="eastAsia" w:ascii="仿宋_GB2312" w:hAnsi="仿宋_GB2312" w:eastAsia="仿宋_GB2312" w:cs="仿宋_GB2312"/>
                <w:sz w:val="24"/>
                <w:szCs w:val="24"/>
                <w:highlight w:val="white"/>
              </w:rPr>
              <w:t>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具有良好的商业信誉和健全的财务会计制度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（1）提供会计师事务所出具的</w:t>
            </w:r>
            <w:r>
              <w:rPr>
                <w:rFonts w:hint="eastAsia" w:ascii="仿宋_GB2312" w:hAnsi="仿宋_GB2312" w:eastAsia="仿宋_GB2312" w:cs="仿宋_GB2312"/>
                <w:sz w:val="24"/>
                <w:szCs w:val="24"/>
                <w:highlight w:val="white"/>
                <w:lang w:val="en-US" w:eastAsia="zh-CN"/>
              </w:rPr>
              <w:t>2021年度或2022年度财务审计报告</w:t>
            </w:r>
            <w:r>
              <w:rPr>
                <w:rFonts w:hint="eastAsia" w:ascii="仿宋_GB2312" w:hAnsi="仿宋_GB2312" w:eastAsia="仿宋_GB2312" w:cs="仿宋_GB2312"/>
                <w:sz w:val="24"/>
                <w:szCs w:val="24"/>
                <w:highlight w:val="white"/>
              </w:rPr>
              <w:t>复印件或银行在开标日前</w:t>
            </w:r>
            <w:r>
              <w:rPr>
                <w:rFonts w:hint="eastAsia" w:ascii="仿宋_GB2312" w:hAnsi="仿宋_GB2312" w:eastAsia="仿宋_GB2312" w:cs="仿宋_GB2312"/>
                <w:sz w:val="24"/>
                <w:szCs w:val="24"/>
                <w:highlight w:val="white"/>
                <w:lang w:val="en-US" w:eastAsia="zh-CN"/>
              </w:rPr>
              <w:t>六</w:t>
            </w:r>
            <w:r>
              <w:rPr>
                <w:rFonts w:hint="eastAsia" w:ascii="仿宋_GB2312" w:hAnsi="仿宋_GB2312" w:eastAsia="仿宋_GB2312" w:cs="仿宋_GB2312"/>
                <w:sz w:val="24"/>
                <w:szCs w:val="24"/>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（2）复印件加盖</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 xml:space="preserve">公章； </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具有履行合同所必需的设备和专业技术能力</w:t>
            </w:r>
          </w:p>
        </w:tc>
        <w:tc>
          <w:tcPr>
            <w:tcW w:w="4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提供了可充分满足履行合同所需设备和专业技术能力的承诺</w:t>
            </w:r>
            <w:r>
              <w:rPr>
                <w:rFonts w:hint="eastAsia" w:ascii="仿宋_GB2312" w:hAnsi="仿宋_GB2312" w:eastAsia="仿宋_GB2312" w:cs="仿宋_GB2312"/>
                <w:sz w:val="24"/>
                <w:szCs w:val="24"/>
                <w:highlight w:val="white"/>
                <w:lang w:eastAsia="zh-CN"/>
              </w:rPr>
              <w:t>（格式自拟）</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有依法缴纳税收和社会保障资金的良好记录</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（1）提供开标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个月依法缴纳税收证明，证明材料可以是缴费的银行单据等复印件并加盖公章或免缴纳证明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（2）提供开标</w:t>
            </w:r>
            <w:r>
              <w:rPr>
                <w:rFonts w:hint="eastAsia" w:ascii="仿宋_GB2312" w:hAnsi="仿宋_GB2312" w:eastAsia="仿宋_GB2312" w:cs="仿宋_GB2312"/>
                <w:sz w:val="24"/>
                <w:szCs w:val="24"/>
                <w:highlight w:val="white"/>
                <w:lang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六个月任意三</w:t>
            </w:r>
            <w:r>
              <w:rPr>
                <w:rFonts w:hint="eastAsia" w:ascii="仿宋_GB2312" w:hAnsi="仿宋_GB2312" w:eastAsia="仿宋_GB2312" w:cs="仿宋_GB2312"/>
                <w:sz w:val="24"/>
                <w:szCs w:val="24"/>
                <w:highlight w:val="white"/>
              </w:rPr>
              <w:t>个月依法缴纳社保证明，证明材料可以是缴费的银行单据或社保机构开具的证明等复印件并加盖公章或免缴纳证明</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投标人声明函</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rPr>
              <w:t>提供了参加政府采购活动前三年内，在经营活动中没有重大违法记录的书面声明</w:t>
            </w:r>
            <w:r>
              <w:rPr>
                <w:rFonts w:hint="eastAsia" w:ascii="仿宋_GB2312" w:hAnsi="仿宋_GB2312" w:eastAsia="仿宋_GB2312" w:cs="仿宋_GB2312"/>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单位负责人为同一人或者存在直接控股、管理关系的不同</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，不得参加同一合同项下的政府采购活动。除单一来源采购项目外，为采购项目提供整体设计、规范编制或者项目管理、监理、检测等服务的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，不得再参加该采购项目的其他采购活动</w:t>
            </w:r>
            <w:r>
              <w:rPr>
                <w:rFonts w:hint="eastAsia" w:ascii="仿宋_GB2312" w:hAnsi="仿宋_GB2312" w:eastAsia="仿宋_GB2312" w:cs="仿宋_GB2312"/>
                <w:sz w:val="24"/>
                <w:szCs w:val="24"/>
                <w:highlight w:val="white"/>
                <w:lang w:eastAsia="zh-CN"/>
              </w:rPr>
              <w:t>的书面声明。</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24"/>
                <w:szCs w:val="24"/>
              </w:rPr>
            </w:pPr>
            <w:r>
              <w:rPr>
                <w:rFonts w:hint="eastAsia" w:ascii="仿宋_GB2312" w:hAnsi="仿宋_GB2312" w:eastAsia="仿宋_GB2312" w:cs="仿宋_GB2312"/>
                <w:color w:val="auto"/>
                <w:spacing w:val="-2"/>
                <w:sz w:val="24"/>
                <w:szCs w:val="24"/>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信用信息查询</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lang w:eastAsia="zh-CN"/>
              </w:rPr>
            </w:pPr>
            <w:r>
              <w:rPr>
                <w:rFonts w:hint="eastAsia" w:ascii="仿宋_GB2312" w:hAnsi="仿宋_GB2312" w:eastAsia="仿宋_GB2312" w:cs="仿宋_GB2312"/>
                <w:sz w:val="24"/>
                <w:szCs w:val="24"/>
                <w:highlight w:val="white"/>
              </w:rPr>
              <w:t>投标人不得为“信用中国网站（www.creditchina.gov.cn）中列入失信被执行人和</w:t>
            </w:r>
            <w:r>
              <w:rPr>
                <w:rFonts w:hint="eastAsia" w:ascii="仿宋_GB2312" w:hAnsi="仿宋_GB2312" w:eastAsia="仿宋_GB2312" w:cs="仿宋_GB2312"/>
                <w:sz w:val="24"/>
                <w:szCs w:val="24"/>
                <w:highlight w:val="white"/>
                <w:lang w:eastAsia="zh-CN"/>
              </w:rPr>
              <w:t>税收违法黑名单</w:t>
            </w:r>
            <w:r>
              <w:rPr>
                <w:rFonts w:hint="eastAsia" w:ascii="仿宋_GB2312" w:hAnsi="仿宋_GB2312" w:eastAsia="仿宋_GB2312" w:cs="仿宋_GB2312"/>
                <w:sz w:val="24"/>
                <w:szCs w:val="24"/>
                <w:highlight w:val="white"/>
              </w:rPr>
              <w:t>的</w:t>
            </w:r>
            <w:r>
              <w:rPr>
                <w:rFonts w:hint="eastAsia" w:ascii="仿宋_GB2312" w:hAnsi="仿宋_GB2312" w:eastAsia="仿宋_GB2312" w:cs="仿宋_GB2312"/>
                <w:sz w:val="24"/>
                <w:szCs w:val="24"/>
                <w:highlight w:val="white"/>
                <w:lang w:eastAsia="zh-CN"/>
              </w:rPr>
              <w:t>投标人</w:t>
            </w:r>
            <w:r>
              <w:rPr>
                <w:rFonts w:hint="eastAsia" w:ascii="仿宋_GB2312" w:hAnsi="仿宋_GB2312" w:eastAsia="仿宋_GB2312" w:cs="仿宋_GB2312"/>
                <w:sz w:val="24"/>
                <w:szCs w:val="24"/>
                <w:highlight w:val="white"/>
              </w:rPr>
              <w:t>，不得为中国政府采购网（www.ccgp.gov.cn）政府采购严重违法失信行为记录名单中被财政部门禁止参加政府采购活动的投标人（以代理机构查询结果为准）</w:t>
            </w:r>
            <w:r>
              <w:rPr>
                <w:rFonts w:hint="eastAsia" w:ascii="仿宋_GB2312" w:hAnsi="仿宋_GB2312" w:eastAsia="仿宋_GB2312" w:cs="仿宋_GB2312"/>
                <w:sz w:val="24"/>
                <w:szCs w:val="24"/>
                <w:highlight w:val="white"/>
                <w:lang w:eastAsia="zh-CN"/>
              </w:rPr>
              <w:t>。</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eastAsia="zh-CN"/>
              </w:rPr>
              <w:t>落实政策</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lang w:val="en-US" w:eastAsia="zh-CN"/>
              </w:rPr>
              <w:t>本项目为专门面向中小企业，故只接受全部服务由中小企业提供，按要求填写中小企业声明函。</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企业资质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建筑工程施工总承包三级及以上资质原件或复印件（加盖公章）。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项目负责人资质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工程项目负责人具备建筑工程二级及以上执业资格，具备有效的安全生产考核合格证书；</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24"/>
                <w:szCs w:val="24"/>
                <w:lang w:val="en-US" w:eastAsia="zh-CN"/>
              </w:rPr>
            </w:pPr>
            <w:r>
              <w:rPr>
                <w:rFonts w:hint="eastAsia" w:ascii="仿宋_GB2312" w:hAnsi="仿宋_GB2312" w:eastAsia="仿宋_GB2312" w:cs="仿宋_GB2312"/>
                <w:b w:val="0"/>
                <w:bCs w:val="0"/>
                <w:color w:val="auto"/>
                <w:spacing w:val="-2"/>
                <w:sz w:val="24"/>
                <w:szCs w:val="24"/>
                <w:lang w:val="en-US" w:eastAsia="zh-CN"/>
              </w:rPr>
              <w:t>11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具备施工企业安全生产许可证件</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4"/>
                <w:szCs w:val="24"/>
                <w:highlight w:val="white"/>
                <w:lang w:val="en-US" w:eastAsia="zh-CN"/>
              </w:rPr>
            </w:pPr>
            <w:r>
              <w:rPr>
                <w:rFonts w:hint="eastAsia" w:ascii="仿宋_GB2312" w:hAnsi="仿宋_GB2312" w:eastAsia="仿宋_GB2312" w:cs="仿宋_GB2312"/>
                <w:sz w:val="24"/>
                <w:szCs w:val="24"/>
                <w:highlight w:val="white"/>
                <w:lang w:val="en-US" w:eastAsia="zh-CN"/>
              </w:rPr>
              <w:t>具备施工企业安全生产许可证件原件或复印件（加盖公章）。</w:t>
            </w: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r>
              <w:rPr>
                <w:rFonts w:hint="eastAsia" w:ascii="仿宋_GB2312" w:hAnsi="仿宋_GB2312" w:eastAsia="仿宋_GB2312" w:cs="仿宋_GB2312"/>
                <w:sz w:val="24"/>
                <w:szCs w:val="24"/>
                <w:highlight w:val="white"/>
              </w:rPr>
              <w:t>结论</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sz w:val="24"/>
                <w:szCs w:val="24"/>
                <w:highlight w:val="white"/>
              </w:rPr>
            </w:pPr>
          </w:p>
        </w:tc>
        <w:tc>
          <w:tcPr>
            <w:tcW w:w="419"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0" w:type="dxa"/>
            <w:noWrap w:val="0"/>
            <w:vAlign w:val="top"/>
          </w:tcPr>
          <w:p>
            <w:pPr>
              <w:spacing w:line="360" w:lineRule="auto"/>
              <w:jc w:val="left"/>
              <w:rPr>
                <w:rFonts w:hint="eastAsia" w:ascii="仿宋_GB2312" w:hAnsi="仿宋_GB2312" w:eastAsia="仿宋_GB2312" w:cs="仿宋_GB2312"/>
                <w:spacing w:val="-2"/>
                <w:sz w:val="24"/>
                <w:szCs w:val="24"/>
              </w:rPr>
            </w:pPr>
          </w:p>
        </w:tc>
        <w:tc>
          <w:tcPr>
            <w:tcW w:w="699" w:type="dxa"/>
            <w:noWrap w:val="0"/>
            <w:vAlign w:val="top"/>
          </w:tcPr>
          <w:p>
            <w:pPr>
              <w:spacing w:line="360" w:lineRule="auto"/>
              <w:jc w:val="left"/>
              <w:rPr>
                <w:rFonts w:hint="eastAsia" w:ascii="仿宋_GB2312" w:hAnsi="仿宋_GB2312" w:eastAsia="仿宋_GB2312" w:cs="仿宋_GB2312"/>
                <w:spacing w:val="-2"/>
                <w:sz w:val="24"/>
                <w:szCs w:val="24"/>
              </w:rPr>
            </w:pPr>
          </w:p>
        </w:tc>
      </w:tr>
      <w:bookmarkEnd w:id="135"/>
      <w:bookmarkEnd w:id="136"/>
      <w:bookmarkEnd w:id="137"/>
      <w:bookmarkEnd w:id="138"/>
      <w:bookmarkEnd w:id="139"/>
      <w:bookmarkEnd w:id="140"/>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rPr>
                <w:rFonts w:hint="eastAsia" w:ascii="仿宋_GB2312" w:hAnsi="仿宋_GB2312" w:eastAsia="仿宋_GB2312" w:cs="仿宋_GB2312"/>
                <w:sz w:val="24"/>
                <w:szCs w:val="24"/>
                <w:highlight w:val="white"/>
                <w:vertAlign w:val="baseline"/>
              </w:rPr>
            </w:pPr>
          </w:p>
        </w:tc>
      </w:tr>
    </w:tbl>
    <w:p>
      <w:pPr>
        <w:rPr>
          <w:rFonts w:hint="eastAsia" w:ascii="仿宋_GB2312" w:hAnsi="仿宋_GB2312" w:eastAsia="仿宋_GB2312" w:cs="仿宋_GB2312"/>
          <w:sz w:val="24"/>
          <w:szCs w:val="24"/>
          <w:highlight w:val="white"/>
        </w:rPr>
      </w:pPr>
    </w:p>
    <w:p>
      <w:pPr>
        <w:spacing w:line="360" w:lineRule="auto"/>
        <w:ind w:firstLine="472"/>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注：符合要求用“√”表示，不符合用“×”表示，结论为“合格”或“不合格”，有任一项不符合要求，结论为不合格。</w:t>
      </w: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rPr>
          <w:rFonts w:hint="eastAsia" w:ascii="仿宋_GB2312" w:hAnsi="仿宋_GB2312" w:eastAsia="仿宋_GB2312" w:cs="仿宋_GB2312"/>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序号</w:t>
            </w:r>
          </w:p>
        </w:tc>
        <w:tc>
          <w:tcPr>
            <w:tcW w:w="6211" w:type="dxa"/>
            <w:vMerge w:val="restart"/>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rPr>
              <w:t>评审内容</w:t>
            </w:r>
          </w:p>
        </w:tc>
        <w:tc>
          <w:tcPr>
            <w:tcW w:w="2097" w:type="dxa"/>
            <w:gridSpan w:val="3"/>
            <w:noWrap w:val="0"/>
            <w:vAlign w:val="bottom"/>
          </w:tcPr>
          <w:p>
            <w:pPr>
              <w:spacing w:line="360" w:lineRule="auto"/>
              <w:jc w:val="center"/>
              <w:rPr>
                <w:rFonts w:hint="eastAsia" w:ascii="仿宋_GB2312" w:hAnsi="仿宋_GB2312" w:eastAsia="仿宋_GB2312" w:cs="仿宋_GB2312"/>
                <w:b/>
                <w:spacing w:val="-2"/>
                <w:sz w:val="24"/>
                <w:szCs w:val="24"/>
              </w:rPr>
            </w:pPr>
            <w:r>
              <w:rPr>
                <w:rFonts w:hint="eastAsia" w:ascii="仿宋_GB2312" w:hAnsi="仿宋_GB2312" w:eastAsia="仿宋_GB2312" w:cs="仿宋_GB2312"/>
                <w:b/>
                <w:spacing w:val="-2"/>
                <w:sz w:val="24"/>
                <w:szCs w:val="24"/>
                <w:lang w:eastAsia="zh-CN"/>
              </w:rPr>
              <w:t>投标人</w:t>
            </w:r>
            <w:r>
              <w:rPr>
                <w:rFonts w:hint="eastAsia" w:ascii="仿宋_GB2312" w:hAnsi="仿宋_GB2312" w:eastAsia="仿宋_GB2312" w:cs="仿宋_GB2312"/>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6211" w:type="dxa"/>
            <w:vMerge w:val="continue"/>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bottom"/>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c>
          <w:tcPr>
            <w:tcW w:w="699" w:type="dxa"/>
            <w:noWrap w:val="0"/>
            <w:vAlign w:val="top"/>
          </w:tcPr>
          <w:p>
            <w:pPr>
              <w:spacing w:line="360" w:lineRule="auto"/>
              <w:jc w:val="center"/>
              <w:rPr>
                <w:rFonts w:hint="eastAsia" w:ascii="仿宋_GB2312" w:hAnsi="仿宋_GB2312" w:eastAsia="仿宋_GB2312" w:cs="仿宋_GB2312"/>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投标文件按招标文件的规定要求签署、盖章的；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按规定的格式填写，没有内容不全的；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工期满足招标文件规定的；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投标报价未超过最高限价的；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投标有效期满足招标文件要求；</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符合招标文件中规定的其它实质性要求的；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6211" w:type="dxa"/>
            <w:noWrap w:val="0"/>
            <w:vAlign w:val="center"/>
          </w:tcPr>
          <w:p>
            <w:pPr>
              <w:pStyle w:val="16"/>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投标文件中未附有招标人不能接受的附加条件的；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不属于法律、法规和招标文件中规定的其他无效投标情形的。</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16"/>
              <w:spacing w:line="360" w:lineRule="auto"/>
              <w:rPr>
                <w:rFonts w:hint="eastAsia" w:ascii="仿宋_GB2312" w:hAnsi="仿宋_GB2312" w:eastAsia="仿宋_GB2312" w:cs="仿宋_GB2312"/>
                <w:sz w:val="24"/>
                <w:szCs w:val="24"/>
              </w:rPr>
            </w:pPr>
          </w:p>
        </w:tc>
        <w:tc>
          <w:tcPr>
            <w:tcW w:w="6211" w:type="dxa"/>
            <w:noWrap w:val="0"/>
            <w:vAlign w:val="top"/>
          </w:tcPr>
          <w:p>
            <w:pPr>
              <w:pStyle w:val="16"/>
              <w:spacing w:line="360" w:lineRule="auto"/>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结论</w:t>
            </w: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c>
          <w:tcPr>
            <w:tcW w:w="699" w:type="dxa"/>
            <w:noWrap w:val="0"/>
            <w:vAlign w:val="top"/>
          </w:tcPr>
          <w:p>
            <w:pPr>
              <w:pStyle w:val="16"/>
              <w:rPr>
                <w:rFonts w:hint="eastAsia" w:ascii="仿宋_GB2312" w:hAnsi="仿宋_GB2312" w:eastAsia="仿宋_GB2312" w:cs="仿宋_GB2312"/>
                <w:sz w:val="24"/>
                <w:szCs w:val="24"/>
              </w:rPr>
            </w:pPr>
          </w:p>
        </w:tc>
      </w:tr>
    </w:tbl>
    <w:p>
      <w:pPr>
        <w:spacing w:line="360" w:lineRule="auto"/>
        <w:ind w:firstLine="472"/>
        <w:jc w:val="left"/>
        <w:rPr>
          <w:rFonts w:hint="eastAsia" w:ascii="仿宋_GB2312" w:hAnsi="仿宋_GB2312" w:eastAsia="仿宋_GB2312" w:cs="仿宋_GB2312"/>
          <w:sz w:val="24"/>
          <w:szCs w:val="24"/>
          <w:highlight w:val="white"/>
        </w:rPr>
      </w:pPr>
      <w:r>
        <w:rPr>
          <w:rFonts w:hint="eastAsia" w:ascii="仿宋_GB2312" w:hAnsi="仿宋_GB2312" w:eastAsia="仿宋_GB2312" w:cs="仿宋_GB2312"/>
          <w:spacing w:val="-2"/>
          <w:sz w:val="24"/>
          <w:szCs w:val="24"/>
        </w:rPr>
        <w:t>注：符合要求用“√”表示，不符合用“×”表示，结论为“合格”或“不合格”，有任一项不符合要求，结论为不合格。</w:t>
      </w:r>
    </w:p>
    <w:p>
      <w:pPr>
        <w:pStyle w:val="6"/>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商务部分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经济部分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1" w:name="sumBusiness"/>
            <w:bookmarkEnd w:id="141"/>
            <w:r>
              <w:rPr>
                <w:rFonts w:hint="eastAsia" w:ascii="仿宋_GB2312" w:hAnsi="仿宋_GB2312" w:eastAsia="仿宋_GB2312" w:cs="仿宋_GB2312"/>
                <w:kern w:val="2"/>
                <w:sz w:val="24"/>
                <w:szCs w:val="24"/>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技术部分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2" w:name="sumPrice"/>
            <w:bookmarkEnd w:id="142"/>
            <w:r>
              <w:rPr>
                <w:rFonts w:hint="eastAsia" w:ascii="仿宋_GB2312" w:hAnsi="仿宋_GB2312" w:eastAsia="仿宋_GB2312" w:cs="仿宋_GB2312"/>
                <w:kern w:val="2"/>
                <w:sz w:val="24"/>
                <w:szCs w:val="24"/>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合计</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_GB2312" w:hAnsi="仿宋_GB2312" w:eastAsia="仿宋_GB2312" w:cs="仿宋_GB2312"/>
                <w:kern w:val="2"/>
                <w:sz w:val="24"/>
                <w:szCs w:val="24"/>
                <w:lang w:val="en-US" w:eastAsia="zh-CN" w:bidi="ar-SA"/>
              </w:rPr>
            </w:pPr>
            <w:bookmarkStart w:id="143" w:name="sumpoint2"/>
            <w:bookmarkEnd w:id="143"/>
            <w:r>
              <w:rPr>
                <w:rFonts w:hint="eastAsia" w:ascii="仿宋_GB2312" w:hAnsi="仿宋_GB2312" w:eastAsia="仿宋_GB2312" w:cs="仿宋_GB2312"/>
                <w:kern w:val="2"/>
                <w:sz w:val="24"/>
                <w:szCs w:val="24"/>
                <w:lang w:val="en-US" w:eastAsia="zh-CN" w:bidi="ar-SA"/>
              </w:rPr>
              <w:t>100</w:t>
            </w:r>
          </w:p>
        </w:tc>
      </w:tr>
    </w:tbl>
    <w:p>
      <w:pPr>
        <w:numPr>
          <w:ilvl w:val="0"/>
          <w:numId w:val="0"/>
        </w:numPr>
        <w:spacing w:line="360" w:lineRule="exact"/>
        <w:ind w:leftChars="0"/>
        <w:outlineLvl w:val="1"/>
        <w:rPr>
          <w:rFonts w:hint="eastAsia" w:ascii="仿宋_GB2312" w:hAnsi="仿宋_GB2312" w:eastAsia="仿宋_GB2312" w:cs="仿宋_GB2312"/>
          <w:sz w:val="24"/>
          <w:szCs w:val="24"/>
          <w:lang w:eastAsia="zh-CN"/>
        </w:rPr>
      </w:pPr>
      <w:bookmarkStart w:id="144" w:name="_Toc5687"/>
    </w:p>
    <w:p>
      <w:pPr>
        <w:numPr>
          <w:ilvl w:val="0"/>
          <w:numId w:val="5"/>
        </w:numPr>
        <w:spacing w:line="360" w:lineRule="exact"/>
        <w:ind w:left="0" w:leftChars="0" w:firstLine="0" w:firstLineChars="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color w:val="auto"/>
          <w:sz w:val="24"/>
          <w:szCs w:val="24"/>
          <w:highlight w:val="white"/>
          <w:lang w:eastAsia="zh-CN"/>
        </w:rPr>
        <w:t>综合评分</w:t>
      </w:r>
      <w:r>
        <w:rPr>
          <w:rFonts w:hint="eastAsia" w:ascii="仿宋_GB2312" w:hAnsi="仿宋_GB2312" w:eastAsia="仿宋_GB2312" w:cs="仿宋_GB2312"/>
          <w:b/>
          <w:bCs/>
          <w:color w:val="auto"/>
          <w:sz w:val="24"/>
          <w:szCs w:val="24"/>
          <w:highlight w:val="white"/>
          <w:lang w:val="en-US" w:eastAsia="zh-CN"/>
        </w:rPr>
        <w:t>细则</w:t>
      </w:r>
      <w:r>
        <w:rPr>
          <w:rFonts w:hint="eastAsia" w:ascii="仿宋_GB2312" w:hAnsi="仿宋_GB2312" w:eastAsia="仿宋_GB2312" w:cs="仿宋_GB2312"/>
          <w:b/>
          <w:bCs/>
          <w:color w:val="auto"/>
          <w:sz w:val="24"/>
          <w:szCs w:val="24"/>
          <w:highlight w:val="white"/>
          <w:lang w:eastAsia="zh-CN"/>
        </w:rPr>
        <w:t>表</w:t>
      </w:r>
      <w:bookmarkEnd w:id="144"/>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401"/>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8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评审项目</w:t>
            </w:r>
          </w:p>
        </w:tc>
        <w:tc>
          <w:tcPr>
            <w:tcW w:w="1401"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分值</w:t>
            </w:r>
          </w:p>
        </w:tc>
        <w:tc>
          <w:tcPr>
            <w:tcW w:w="5566" w:type="dxa"/>
            <w:noWrap w:val="0"/>
            <w:vAlign w:val="top"/>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经济部分</w:t>
            </w:r>
          </w:p>
        </w:tc>
        <w:tc>
          <w:tcPr>
            <w:tcW w:w="1401"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30分</w:t>
            </w:r>
          </w:p>
        </w:tc>
        <w:tc>
          <w:tcPr>
            <w:tcW w:w="5566" w:type="dxa"/>
            <w:noWrap w:val="0"/>
            <w:vAlign w:val="top"/>
          </w:tcPr>
          <w:p>
            <w:pPr>
              <w:pStyle w:val="16"/>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6"/>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投标报价得分=（评标基准价/投标报价）×价格权重。</w:t>
            </w:r>
          </w:p>
        </w:tc>
      </w:tr>
    </w:tbl>
    <w:p>
      <w:pPr>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eastAsia="zh-CN"/>
        </w:rPr>
      </w:pPr>
    </w:p>
    <w:p>
      <w:pPr>
        <w:outlineLvl w:val="9"/>
        <w:rPr>
          <w:rFonts w:hint="eastAsia" w:ascii="仿宋_GB2312" w:hAnsi="仿宋_GB2312" w:eastAsia="仿宋_GB2312" w:cs="仿宋_GB2312"/>
          <w:sz w:val="24"/>
          <w:szCs w:val="24"/>
          <w:lang w:eastAsia="zh-CN"/>
        </w:rPr>
      </w:pP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915"/>
        <w:gridCol w:w="883"/>
        <w:gridCol w:w="6183"/>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总分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商务</w:t>
            </w:r>
            <w:r>
              <w:rPr>
                <w:rFonts w:hint="eastAsia" w:ascii="仿宋_GB2312" w:hAnsi="仿宋_GB2312" w:eastAsia="仿宋_GB2312" w:cs="仿宋_GB2312"/>
                <w:sz w:val="24"/>
                <w:szCs w:val="24"/>
                <w:lang w:eastAsia="zh-CN"/>
              </w:rPr>
              <w:t>部分</w:t>
            </w:r>
          </w:p>
        </w:tc>
        <w:tc>
          <w:tcPr>
            <w:tcW w:w="91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91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4分</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提供类似业绩，每提供一</w:t>
            </w:r>
            <w:r>
              <w:rPr>
                <w:rFonts w:hint="eastAsia" w:ascii="仿宋_GB2312" w:hAnsi="仿宋_GB2312" w:eastAsia="仿宋_GB2312" w:cs="仿宋_GB2312"/>
                <w:sz w:val="24"/>
                <w:szCs w:val="24"/>
                <w:lang w:eastAsia="zh-CN"/>
              </w:rPr>
              <w:t>项</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分，最高得4分</w:t>
            </w:r>
            <w:r>
              <w:rPr>
                <w:rFonts w:hint="eastAsia" w:ascii="仿宋_GB2312" w:hAnsi="仿宋_GB2312" w:eastAsia="仿宋_GB2312" w:cs="仿宋_GB2312"/>
                <w:sz w:val="24"/>
                <w:szCs w:val="24"/>
                <w:lang w:eastAsia="zh-CN"/>
              </w:rPr>
              <w:t>；（提供中标通知书或与业主签订的正式合同，相关证明材料复印件并加盖投标单位公章，否则不得分）；</w:t>
            </w:r>
          </w:p>
        </w:tc>
      </w:tr>
    </w:tbl>
    <w:p>
      <w:pPr>
        <w:spacing w:line="360" w:lineRule="exact"/>
        <w:outlineLvl w:val="9"/>
        <w:rPr>
          <w:rFonts w:hint="eastAsia" w:ascii="仿宋_GB2312" w:hAnsi="仿宋_GB2312" w:eastAsia="仿宋_GB2312" w:cs="仿宋_GB2312"/>
          <w:sz w:val="24"/>
          <w:szCs w:val="24"/>
        </w:rPr>
      </w:pP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项目分值</w:t>
            </w:r>
          </w:p>
        </w:tc>
        <w:tc>
          <w:tcPr>
            <w:tcW w:w="2209" w:type="dxa"/>
            <w:gridSpan w:val="2"/>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评分内容</w:t>
            </w:r>
          </w:p>
        </w:tc>
        <w:tc>
          <w:tcPr>
            <w:tcW w:w="5795" w:type="dxa"/>
            <w:vAlign w:val="center"/>
          </w:tcPr>
          <w:p>
            <w:pPr>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技术标</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14:textFill>
                  <w14:solidFill>
                    <w14:schemeClr w14:val="tx1"/>
                  </w14:solidFill>
                </w14:textFill>
              </w:rPr>
              <w:t>分</w:t>
            </w:r>
          </w:p>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全面性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施工方法先进得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施工设备、劳动力计划合理得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确保工程质量、工期、安全措施得力得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文明施工措施可信度高得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施工总进度计划合理得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平面布置合理得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可行性</w:t>
            </w:r>
          </w:p>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涉及主要内容齐全措施计划详尽得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流水段的划分合理得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分，一般得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流水作业的合理性得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各项交叉作业切合实际得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5795" w:type="dxa"/>
            <w:vAlign w:val="center"/>
          </w:tcPr>
          <w:p>
            <w:pPr>
              <w:pStyle w:val="26"/>
              <w:widowControl/>
              <w:snapToGrid/>
              <w:spacing w:line="340" w:lineRule="exact"/>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机具合理可行得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针对性</w:t>
            </w:r>
          </w:p>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5</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涉及重点内容突出得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工程项目的质保体系健全得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安保体系健全有效得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创优措施切实可行得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分，尚可得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工程的安全措施得力</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pStyle w:val="26"/>
              <w:widowControl/>
              <w:snapToGrid/>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文明施工措施得力得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pStyle w:val="81"/>
              <w:spacing w:line="3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先进性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采用新工艺、新技术、新设备各得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4</w:t>
            </w:r>
          </w:p>
        </w:tc>
        <w:tc>
          <w:tcPr>
            <w:tcW w:w="5795" w:type="dxa"/>
            <w:vAlign w:val="center"/>
          </w:tcPr>
          <w:p>
            <w:pPr>
              <w:widowControl/>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在确保工程质量前提下，有降低成本、缩短工期、减轻劳动强度提高进度提案者得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分，方案尚可得</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分，一般得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lang w:val="en-US" w:eastAsia="zh-CN"/>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3</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强制性</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pStyle w:val="81"/>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制定了质量通病的防治措施、措施可行各得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1.5</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执行国家强制性条文、有切实可行的保证措施得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restart"/>
            <w:vAlign w:val="center"/>
          </w:tcPr>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w:t>
            </w:r>
          </w:p>
          <w:p>
            <w:pPr>
              <w:widowControl/>
              <w:spacing w:line="3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保修有承诺、有违约经济处罚且措施可行各得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123" w:type="dxa"/>
            <w:vMerge w:val="continue"/>
            <w:vAlign w:val="center"/>
          </w:tcPr>
          <w:p>
            <w:pPr>
              <w:widowControl/>
              <w:spacing w:line="340" w:lineRule="exact"/>
              <w:jc w:val="center"/>
              <w:rPr>
                <w:rFonts w:hint="eastAsia" w:ascii="仿宋_GB2312" w:hAnsi="仿宋_GB2312" w:eastAsia="仿宋_GB2312" w:cs="仿宋_GB2312"/>
                <w:sz w:val="24"/>
                <w:szCs w:val="24"/>
              </w:rPr>
            </w:pPr>
          </w:p>
        </w:tc>
        <w:tc>
          <w:tcPr>
            <w:tcW w:w="1086" w:type="dxa"/>
            <w:vAlign w:val="center"/>
          </w:tcPr>
          <w:p>
            <w:pPr>
              <w:widowControl/>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2</w:t>
            </w:r>
          </w:p>
        </w:tc>
        <w:tc>
          <w:tcPr>
            <w:tcW w:w="5795" w:type="dxa"/>
            <w:vAlign w:val="center"/>
          </w:tcPr>
          <w:p>
            <w:pPr>
              <w:widowControl/>
              <w:spacing w:line="3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承诺达到优质质量标准、并有切实可行质量保证措施得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分，否则酌情扣分；达不到有违约经济处罚的得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分，否则不得分</w:t>
            </w:r>
          </w:p>
        </w:tc>
      </w:tr>
    </w:tbl>
    <w:p>
      <w:pPr>
        <w:pStyle w:val="47"/>
        <w:rPr>
          <w:rFonts w:hint="eastAsia" w:ascii="仿宋_GB2312" w:hAnsi="仿宋_GB2312" w:eastAsia="仿宋_GB2312" w:cs="仿宋_GB2312"/>
          <w:b/>
          <w:bCs/>
          <w:sz w:val="24"/>
          <w:szCs w:val="24"/>
          <w:highlight w:val="white"/>
          <w:lang w:val="en-US" w:eastAsia="zh-CN"/>
        </w:rPr>
      </w:pPr>
    </w:p>
    <w:p>
      <w:pPr>
        <w:rPr>
          <w:rFonts w:hint="eastAsia" w:ascii="仿宋_GB2312" w:hAnsi="仿宋_GB2312" w:eastAsia="仿宋_GB2312" w:cs="仿宋_GB2312"/>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5" w:name="_Toc19838"/>
      <w:r>
        <w:rPr>
          <w:rFonts w:hint="eastAsia" w:ascii="仿宋_GB2312" w:hAnsi="仿宋_GB2312" w:eastAsia="仿宋_GB2312" w:cs="仿宋_GB2312"/>
          <w:b/>
          <w:bCs/>
          <w:sz w:val="24"/>
          <w:szCs w:val="24"/>
          <w:highlight w:val="white"/>
          <w:lang w:val="en-US" w:eastAsia="zh-CN"/>
        </w:rPr>
        <w:t>二、</w:t>
      </w:r>
      <w:r>
        <w:rPr>
          <w:rFonts w:hint="eastAsia" w:ascii="仿宋_GB2312" w:hAnsi="仿宋_GB2312" w:eastAsia="仿宋_GB2312" w:cs="仿宋_GB2312"/>
          <w:b/>
          <w:bCs/>
          <w:sz w:val="24"/>
          <w:szCs w:val="24"/>
          <w:highlight w:val="white"/>
        </w:rPr>
        <w:t>推荐</w:t>
      </w:r>
      <w:r>
        <w:rPr>
          <w:rFonts w:hint="eastAsia" w:ascii="仿宋_GB2312" w:hAnsi="仿宋_GB2312" w:eastAsia="仿宋_GB2312" w:cs="仿宋_GB2312"/>
          <w:b/>
          <w:bCs/>
          <w:sz w:val="24"/>
          <w:szCs w:val="24"/>
          <w:highlight w:val="white"/>
          <w:lang w:eastAsia="zh-CN"/>
        </w:rPr>
        <w:t>中标候选人</w:t>
      </w:r>
      <w:bookmarkEnd w:id="145"/>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磋商小组应当根据综合评分情况，按照评审得分由高到低顺序推荐3名以上</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人</w:t>
      </w:r>
      <w:r>
        <w:rPr>
          <w:rFonts w:hint="eastAsia" w:ascii="仿宋_GB2312" w:hAnsi="仿宋_GB2312" w:eastAsia="仿宋_GB2312" w:cs="仿宋_GB2312"/>
          <w:bCs/>
          <w:sz w:val="24"/>
          <w:szCs w:val="24"/>
          <w:highlight w:val="white"/>
        </w:rPr>
        <w:t>，并编写评审报告。符合《政府</w:t>
      </w:r>
      <w:r>
        <w:rPr>
          <w:rFonts w:hint="eastAsia" w:ascii="仿宋_GB2312" w:hAnsi="仿宋_GB2312" w:eastAsia="仿宋_GB2312" w:cs="仿宋_GB2312"/>
          <w:bCs/>
          <w:sz w:val="24"/>
          <w:szCs w:val="24"/>
          <w:highlight w:val="white"/>
          <w:lang w:eastAsia="zh-CN"/>
        </w:rPr>
        <w:t>采购</w:t>
      </w:r>
      <w:r>
        <w:rPr>
          <w:rFonts w:hint="eastAsia" w:ascii="仿宋_GB2312" w:hAnsi="仿宋_GB2312" w:eastAsia="仿宋_GB2312" w:cs="仿宋_GB2312"/>
          <w:bCs/>
          <w:sz w:val="24"/>
          <w:szCs w:val="24"/>
          <w:highlight w:val="white"/>
        </w:rPr>
        <w:t>竞争性磋商</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方式管理暂行办法》（财库[2014]214号）中第二十一条第三款情形的，可以推荐2家</w:t>
      </w:r>
      <w:r>
        <w:rPr>
          <w:rFonts w:hint="eastAsia" w:ascii="仿宋_GB2312" w:hAnsi="仿宋_GB2312" w:eastAsia="仿宋_GB2312" w:cs="仿宋_GB2312"/>
          <w:bCs/>
          <w:sz w:val="24"/>
          <w:szCs w:val="24"/>
          <w:highlight w:val="white"/>
          <w:lang w:eastAsia="zh-CN"/>
        </w:rPr>
        <w:t>中标候选人</w:t>
      </w:r>
      <w:r>
        <w:rPr>
          <w:rFonts w:hint="eastAsia" w:ascii="仿宋_GB2312" w:hAnsi="仿宋_GB2312" w:eastAsia="仿宋_GB2312" w:cs="仿宋_GB2312"/>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w:t>
      </w:r>
      <w:r>
        <w:rPr>
          <w:rFonts w:hint="eastAsia" w:ascii="仿宋_GB2312" w:hAnsi="仿宋_GB2312" w:eastAsia="仿宋_GB2312" w:cs="仿宋_GB2312"/>
          <w:bCs/>
          <w:sz w:val="24"/>
          <w:szCs w:val="24"/>
          <w:highlight w:val="white"/>
        </w:rPr>
        <w:t>评分计算方法解释</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_GB2312" w:hAnsi="仿宋_GB2312" w:eastAsia="仿宋_GB2312" w:cs="仿宋_GB2312"/>
          <w:b/>
          <w:bCs/>
          <w:sz w:val="24"/>
          <w:szCs w:val="24"/>
          <w:lang w:eastAsia="zh-CN"/>
        </w:rPr>
      </w:pPr>
      <w:bookmarkStart w:id="146" w:name="_Toc22277"/>
      <w:r>
        <w:rPr>
          <w:rFonts w:hint="eastAsia" w:ascii="仿宋_GB2312" w:hAnsi="仿宋_GB2312" w:eastAsia="仿宋_GB2312" w:cs="仿宋_GB2312"/>
          <w:b/>
          <w:bCs/>
          <w:sz w:val="24"/>
          <w:szCs w:val="24"/>
          <w:highlight w:val="white"/>
          <w:lang w:val="en-US" w:eastAsia="zh-CN"/>
        </w:rPr>
        <w:t>三、</w:t>
      </w:r>
      <w:r>
        <w:rPr>
          <w:rFonts w:hint="eastAsia" w:ascii="仿宋_GB2312" w:hAnsi="仿宋_GB2312" w:eastAsia="仿宋_GB2312" w:cs="仿宋_GB2312"/>
          <w:b/>
          <w:bCs/>
          <w:sz w:val="24"/>
          <w:szCs w:val="24"/>
          <w:highlight w:val="white"/>
        </w:rPr>
        <w:t>确定</w:t>
      </w:r>
      <w:r>
        <w:rPr>
          <w:rFonts w:hint="eastAsia" w:ascii="仿宋_GB2312" w:hAnsi="仿宋_GB2312" w:eastAsia="仿宋_GB2312" w:cs="仿宋_GB2312"/>
          <w:b/>
          <w:bCs/>
          <w:sz w:val="24"/>
          <w:szCs w:val="24"/>
          <w:highlight w:val="white"/>
          <w:lang w:eastAsia="zh-CN"/>
        </w:rPr>
        <w:t>中标单位</w:t>
      </w:r>
      <w:bookmarkEnd w:id="146"/>
    </w:p>
    <w:p>
      <w:pPr>
        <w:widowControl/>
        <w:adjustRightInd w:val="0"/>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highlight w:val="white"/>
        </w:rPr>
        <w:t>1</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代理机构应当在评审结束后2个工作日内将评审报告送</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人确认。</w:t>
      </w:r>
    </w:p>
    <w:p>
      <w:pPr>
        <w:widowControl/>
        <w:adjustRightInd w:val="0"/>
        <w:snapToGrid w:val="0"/>
        <w:spacing w:line="360" w:lineRule="auto"/>
        <w:ind w:firstLine="480" w:firstLineChars="200"/>
        <w:rPr>
          <w:rFonts w:hint="eastAsia" w:ascii="仿宋_GB2312" w:hAnsi="仿宋_GB2312" w:eastAsia="仿宋_GB2312" w:cs="仿宋_GB2312"/>
          <w:bCs/>
          <w:sz w:val="24"/>
          <w:szCs w:val="24"/>
          <w:highlight w:val="white"/>
        </w:rPr>
      </w:pPr>
      <w:r>
        <w:rPr>
          <w:rFonts w:hint="eastAsia" w:ascii="仿宋_GB2312" w:hAnsi="仿宋_GB2312" w:eastAsia="仿宋_GB2312" w:cs="仿宋_GB2312"/>
          <w:bCs/>
          <w:sz w:val="24"/>
          <w:szCs w:val="24"/>
          <w:highlight w:val="white"/>
        </w:rPr>
        <w:t>2</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人应当在收到评审报告后5个工作日内，从评审报告提出的</w:t>
      </w:r>
      <w:r>
        <w:rPr>
          <w:rFonts w:hint="eastAsia" w:ascii="仿宋_GB2312" w:hAnsi="仿宋_GB2312" w:eastAsia="仿宋_GB2312" w:cs="仿宋_GB2312"/>
          <w:bCs/>
          <w:sz w:val="24"/>
          <w:szCs w:val="24"/>
          <w:highlight w:val="white"/>
          <w:lang w:eastAsia="zh-CN"/>
        </w:rPr>
        <w:t>中标</w:t>
      </w:r>
      <w:r>
        <w:rPr>
          <w:rFonts w:hint="eastAsia" w:ascii="仿宋_GB2312" w:hAnsi="仿宋_GB2312" w:eastAsia="仿宋_GB2312" w:cs="仿宋_GB2312"/>
          <w:bCs/>
          <w:sz w:val="24"/>
          <w:szCs w:val="24"/>
          <w:highlight w:val="white"/>
        </w:rPr>
        <w:t>候选</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中，按照排序由高到低的原则确定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，也可以书面授权磋商小组直接确定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r>
        <w:rPr>
          <w:rFonts w:hint="eastAsia" w:ascii="仿宋_GB2312" w:hAnsi="仿宋_GB2312" w:eastAsia="仿宋_GB2312" w:cs="仿宋_GB2312"/>
          <w:bCs/>
          <w:sz w:val="24"/>
          <w:szCs w:val="24"/>
          <w:highlight w:val="white"/>
          <w:lang w:eastAsia="zh-CN"/>
        </w:rPr>
        <w:t>招标</w:t>
      </w:r>
      <w:r>
        <w:rPr>
          <w:rFonts w:hint="eastAsia" w:ascii="仿宋_GB2312" w:hAnsi="仿宋_GB2312" w:eastAsia="仿宋_GB2312" w:cs="仿宋_GB2312"/>
          <w:bCs/>
          <w:sz w:val="24"/>
          <w:szCs w:val="24"/>
          <w:highlight w:val="white"/>
        </w:rPr>
        <w:t>人逾期未确定</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且不提出异议的，视为确定评审报告提出的排序第一的</w:t>
      </w:r>
      <w:r>
        <w:rPr>
          <w:rFonts w:hint="eastAsia" w:ascii="仿宋_GB2312" w:hAnsi="仿宋_GB2312" w:eastAsia="仿宋_GB2312" w:cs="仿宋_GB2312"/>
          <w:bCs/>
          <w:sz w:val="24"/>
          <w:szCs w:val="24"/>
          <w:highlight w:val="white"/>
          <w:lang w:eastAsia="zh-CN"/>
        </w:rPr>
        <w:t>投标单位</w:t>
      </w:r>
      <w:r>
        <w:rPr>
          <w:rFonts w:hint="eastAsia" w:ascii="仿宋_GB2312" w:hAnsi="仿宋_GB2312" w:eastAsia="仿宋_GB2312" w:cs="仿宋_GB2312"/>
          <w:bCs/>
          <w:sz w:val="24"/>
          <w:szCs w:val="24"/>
          <w:highlight w:val="white"/>
        </w:rPr>
        <w:t>为</w:t>
      </w:r>
      <w:r>
        <w:rPr>
          <w:rFonts w:hint="eastAsia" w:ascii="仿宋_GB2312" w:hAnsi="仿宋_GB2312" w:eastAsia="仿宋_GB2312" w:cs="仿宋_GB2312"/>
          <w:bCs/>
          <w:sz w:val="24"/>
          <w:szCs w:val="24"/>
          <w:highlight w:val="white"/>
          <w:lang w:eastAsia="zh-CN"/>
        </w:rPr>
        <w:t>中标单位</w:t>
      </w:r>
      <w:r>
        <w:rPr>
          <w:rFonts w:hint="eastAsia" w:ascii="仿宋_GB2312" w:hAnsi="仿宋_GB2312" w:eastAsia="仿宋_GB2312" w:cs="仿宋_GB2312"/>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_GB2312" w:hAnsi="仿宋_GB2312" w:eastAsia="仿宋_GB2312" w:cs="仿宋_GB2312"/>
          <w:b/>
          <w:bCs/>
          <w:sz w:val="24"/>
          <w:szCs w:val="24"/>
          <w:highlight w:val="white"/>
          <w:lang w:val="en-US" w:eastAsia="zh-CN"/>
        </w:rPr>
      </w:pPr>
      <w:bookmarkStart w:id="147" w:name="_Toc21266"/>
    </w:p>
    <w:p>
      <w:pPr>
        <w:widowControl/>
        <w:numPr>
          <w:ilvl w:val="0"/>
          <w:numId w:val="0"/>
        </w:numPr>
        <w:adjustRightInd w:val="0"/>
        <w:snapToGrid w:val="0"/>
        <w:spacing w:line="360" w:lineRule="auto"/>
        <w:outlineLvl w:val="1"/>
        <w:rPr>
          <w:rFonts w:hint="eastAsia" w:ascii="仿宋_GB2312" w:hAnsi="仿宋_GB2312" w:eastAsia="仿宋_GB2312" w:cs="仿宋_GB2312"/>
          <w:b/>
          <w:bCs/>
          <w:sz w:val="24"/>
          <w:szCs w:val="24"/>
          <w:highlight w:val="white"/>
          <w:lang w:val="en-US" w:eastAsia="zh-CN"/>
        </w:rPr>
      </w:pPr>
    </w:p>
    <w:p>
      <w:pPr>
        <w:widowControl/>
        <w:numPr>
          <w:ilvl w:val="0"/>
          <w:numId w:val="0"/>
        </w:numPr>
        <w:adjustRightInd w:val="0"/>
        <w:snapToGrid w:val="0"/>
        <w:spacing w:line="360" w:lineRule="auto"/>
        <w:outlineLvl w:val="1"/>
        <w:rPr>
          <w:rFonts w:hint="eastAsia" w:ascii="仿宋_GB2312" w:hAnsi="仿宋_GB2312" w:eastAsia="仿宋_GB2312" w:cs="仿宋_GB2312"/>
          <w:b/>
          <w:bCs/>
          <w:sz w:val="24"/>
          <w:szCs w:val="24"/>
          <w:highlight w:val="white"/>
          <w:lang w:val="en-US" w:eastAsia="zh-CN"/>
        </w:rPr>
      </w:pPr>
      <w:r>
        <w:rPr>
          <w:rFonts w:hint="eastAsia" w:ascii="仿宋_GB2312" w:hAnsi="仿宋_GB2312" w:eastAsia="仿宋_GB2312" w:cs="仿宋_GB2312"/>
          <w:b/>
          <w:bCs/>
          <w:sz w:val="24"/>
          <w:szCs w:val="24"/>
          <w:highlight w:val="white"/>
          <w:lang w:val="en-US" w:eastAsia="zh-CN"/>
        </w:rPr>
        <w:t>四、控制价编制说明</w:t>
      </w:r>
      <w:bookmarkEnd w:id="147"/>
    </w:p>
    <w:p>
      <w:pPr>
        <w:spacing w:line="500" w:lineRule="exact"/>
        <w:jc w:val="both"/>
        <w:rPr>
          <w:rFonts w:hint="eastAsia" w:ascii="仿宋_GB2312" w:hAnsi="仿宋_GB2312" w:eastAsia="仿宋_GB2312" w:cs="仿宋_GB2312"/>
          <w:b/>
          <w:bCs w:val="0"/>
          <w:sz w:val="24"/>
          <w:szCs w:val="24"/>
          <w:lang w:eastAsia="zh-CN"/>
        </w:rPr>
      </w:pPr>
      <w:bookmarkStart w:id="148" w:name="_Toc6170"/>
      <w:bookmarkStart w:id="149" w:name="_Toc25437"/>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bCs w:val="0"/>
          <w:sz w:val="24"/>
          <w:szCs w:val="24"/>
          <w:lang w:eastAsia="zh-CN"/>
        </w:rPr>
        <w:t>乌苏市古尔图镇古尔图村基层组织阵地建设项目</w:t>
      </w:r>
    </w:p>
    <w:p>
      <w:pPr>
        <w:spacing w:line="500" w:lineRule="exact"/>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bCs w:val="0"/>
          <w:sz w:val="24"/>
          <w:szCs w:val="24"/>
          <w:lang w:eastAsia="zh-CN"/>
        </w:rPr>
        <w:t>控制价编制说明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一、工程概况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本工程为</w:t>
      </w:r>
      <w:r>
        <w:rPr>
          <w:rFonts w:hint="eastAsia" w:ascii="仿宋_GB2312" w:hAnsi="仿宋_GB2312" w:eastAsia="仿宋_GB2312" w:cs="仿宋_GB2312"/>
          <w:b w:val="0"/>
          <w:bCs/>
          <w:sz w:val="24"/>
          <w:szCs w:val="24"/>
          <w:lang w:eastAsia="zh-CN"/>
        </w:rPr>
        <w:t>乌苏市古尔图镇古尔图村基层组织阵地建设项目</w:t>
      </w:r>
      <w:r>
        <w:rPr>
          <w:rFonts w:hint="eastAsia" w:ascii="仿宋_GB2312" w:hAnsi="仿宋_GB2312" w:eastAsia="仿宋_GB2312" w:cs="仿宋_GB2312"/>
          <w:b w:val="0"/>
          <w:bCs/>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建设规模：</w:t>
      </w:r>
      <w:r>
        <w:rPr>
          <w:rFonts w:hint="eastAsia" w:ascii="仿宋_GB2312" w:hAnsi="仿宋_GB2312" w:eastAsia="仿宋_GB2312" w:cs="仿宋_GB2312"/>
          <w:sz w:val="24"/>
          <w:szCs w:val="24"/>
          <w:lang w:val="en-US" w:eastAsia="zh-CN"/>
        </w:rPr>
        <w:t>新建一栋基层组织阵地，建筑面积557.16平方米，建筑结构为框架结构，新建部分室外配套附属工程</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二、编制范围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本报告编制范围为</w:t>
      </w:r>
      <w:r>
        <w:rPr>
          <w:rFonts w:hint="eastAsia" w:ascii="仿宋_GB2312" w:hAnsi="仿宋_GB2312" w:eastAsia="仿宋_GB2312" w:cs="仿宋_GB2312"/>
          <w:sz w:val="24"/>
          <w:szCs w:val="24"/>
          <w:lang w:val="en-US" w:eastAsia="zh-CN"/>
        </w:rPr>
        <w:t>:甲方提供的由新疆北疆建筑规划设计研究院（有限责任公司）设计《</w:t>
      </w:r>
      <w:r>
        <w:rPr>
          <w:rFonts w:hint="eastAsia" w:ascii="仿宋_GB2312" w:hAnsi="仿宋_GB2312" w:eastAsia="仿宋_GB2312" w:cs="仿宋_GB2312"/>
          <w:b w:val="0"/>
          <w:bCs/>
          <w:sz w:val="24"/>
          <w:szCs w:val="24"/>
          <w:lang w:val="en-US" w:eastAsia="zh-CN"/>
        </w:rPr>
        <w:t>乌苏市古尔图镇古尔图村基层组织阵地建设项目</w:t>
      </w:r>
      <w:r>
        <w:rPr>
          <w:rFonts w:hint="eastAsia" w:ascii="仿宋_GB2312" w:hAnsi="仿宋_GB2312" w:eastAsia="仿宋_GB2312" w:cs="仿宋_GB2312"/>
          <w:sz w:val="24"/>
          <w:szCs w:val="24"/>
          <w:lang w:val="en-US" w:eastAsia="zh-CN"/>
        </w:rPr>
        <w:t>》的图纸涉及的全部内容</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三、编制依据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及解释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2、国家或省级、行业建设主管部门颁发的计价定额和计价办法。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3、业主提供的</w:t>
      </w:r>
      <w:r>
        <w:rPr>
          <w:rFonts w:hint="eastAsia" w:ascii="仿宋_GB2312" w:hAnsi="仿宋_GB2312" w:eastAsia="仿宋_GB2312" w:cs="仿宋_GB2312"/>
          <w:sz w:val="24"/>
          <w:szCs w:val="24"/>
          <w:lang w:val="en-US" w:eastAsia="zh-CN"/>
        </w:rPr>
        <w:t>图纸</w:t>
      </w:r>
      <w:r>
        <w:rPr>
          <w:rFonts w:hint="eastAsia" w:ascii="仿宋_GB2312" w:hAnsi="仿宋_GB2312" w:eastAsia="仿宋_GB2312" w:cs="仿宋_GB2312"/>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、与本工程有关的标准（包括标准图集）、规范、技术资料。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、施工现场情况、工程特点及常规施工方案。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、其他有关文件、资料。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四、计价依据</w:t>
      </w:r>
    </w:p>
    <w:p>
      <w:pPr>
        <w:pStyle w:val="26"/>
        <w:keepNext w:val="0"/>
        <w:keepLines w:val="0"/>
        <w:pageBreakBefore w:val="0"/>
        <w:widowControl w:val="0"/>
        <w:kinsoku/>
        <w:wordWrap/>
        <w:overflowPunct/>
        <w:topLinePunct w:val="0"/>
        <w:autoSpaceDE w:val="0"/>
        <w:autoSpaceDN w:val="0"/>
        <w:bidi w:val="0"/>
        <w:spacing w:line="360" w:lineRule="auto"/>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1、定额依据：2010年《新疆维吾尔自治区建筑工程消耗量定额</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上、下册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全国统一建筑装饰装修工程消耗量定额》、《全国统一安装工程预算定额》、2010年《新疆维吾尔自治区抗震加固计价定额》、2012年《新疆维吾尔自治区市政工程消耗量定额》、2015年《新疆维吾尔自治区建筑安装补充消耗量定额》、2015《新疆维吾尔自治区园林绿化工程消耗量定额》及所附工程量计算规则和相关解释</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2、税金调整执行塔地住建发〔2019〕71号文《关于调整我区建设工程计价依据增值税税率的通知》，税率为9%。</w:t>
      </w:r>
    </w:p>
    <w:p>
      <w:pPr>
        <w:keepNext w:val="0"/>
        <w:keepLines w:val="0"/>
        <w:pageBreakBefore w:val="0"/>
        <w:widowControl w:val="0"/>
        <w:kinsoku/>
        <w:wordWrap/>
        <w:overflowPunct/>
        <w:topLinePunct w:val="0"/>
        <w:autoSpaceDE w:val="0"/>
        <w:autoSpaceDN w:val="0"/>
        <w:bidi w:val="0"/>
        <w:spacing w:line="36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、材料费调差：按乌苏市2</w:t>
      </w:r>
      <w:r>
        <w:rPr>
          <w:rFonts w:hint="eastAsia" w:ascii="仿宋_GB2312" w:hAnsi="仿宋_GB2312" w:eastAsia="仿宋_GB2312" w:cs="仿宋_GB2312"/>
          <w:sz w:val="24"/>
          <w:szCs w:val="24"/>
          <w:lang w:val="en-US" w:eastAsia="zh-CN"/>
        </w:rPr>
        <w:t>023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月建设工程综合价格信息的通知及附件二调整(材料价格为综合信息价)未发布信息价的材料价格按现行市场价计入，调整部分不参与取费，只计税金。</w:t>
      </w:r>
    </w:p>
    <w:p>
      <w:pPr>
        <w:keepNext w:val="0"/>
        <w:keepLines w:val="0"/>
        <w:pageBreakBefore w:val="0"/>
        <w:widowControl w:val="0"/>
        <w:kinsoku/>
        <w:wordWrap/>
        <w:overflowPunct/>
        <w:topLinePunct w:val="0"/>
        <w:autoSpaceDE w:val="0"/>
        <w:autoSpaceDN w:val="0"/>
        <w:bidi w:val="0"/>
        <w:spacing w:line="36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、人工工资单价的调整:塔城地区住房和城乡建设局和塔城地区发展和改革委员会发布(塔地住建发)[20</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95</w:t>
      </w:r>
      <w:r>
        <w:rPr>
          <w:rFonts w:hint="eastAsia" w:ascii="仿宋_GB2312" w:hAnsi="仿宋_GB2312" w:eastAsia="仿宋_GB2312" w:cs="仿宋_GB2312"/>
          <w:sz w:val="24"/>
          <w:szCs w:val="24"/>
        </w:rPr>
        <w:t>号文，安装人工</w:t>
      </w:r>
      <w:r>
        <w:rPr>
          <w:rFonts w:hint="eastAsia" w:ascii="仿宋_GB2312" w:hAnsi="仿宋_GB2312" w:eastAsia="仿宋_GB2312" w:cs="仿宋_GB2312"/>
          <w:sz w:val="24"/>
          <w:szCs w:val="24"/>
          <w:lang w:val="en-US" w:eastAsia="zh-CN"/>
        </w:rPr>
        <w:t>100.96</w:t>
      </w:r>
      <w:r>
        <w:rPr>
          <w:rFonts w:hint="eastAsia" w:ascii="仿宋_GB2312" w:hAnsi="仿宋_GB2312" w:eastAsia="仿宋_GB2312" w:cs="仿宋_GB2312"/>
          <w:sz w:val="24"/>
          <w:szCs w:val="24"/>
        </w:rPr>
        <w:t>元/工日，</w:t>
      </w:r>
      <w:r>
        <w:rPr>
          <w:rFonts w:hint="eastAsia" w:ascii="仿宋_GB2312" w:hAnsi="仿宋_GB2312" w:eastAsia="仿宋_GB2312" w:cs="仿宋_GB2312"/>
          <w:sz w:val="24"/>
          <w:szCs w:val="24"/>
          <w:lang w:eastAsia="zh-CN"/>
        </w:rPr>
        <w:t>装饰人工</w:t>
      </w:r>
      <w:r>
        <w:rPr>
          <w:rFonts w:hint="eastAsia" w:ascii="仿宋_GB2312" w:hAnsi="仿宋_GB2312" w:eastAsia="仿宋_GB2312" w:cs="仿宋_GB2312"/>
          <w:sz w:val="24"/>
          <w:szCs w:val="24"/>
          <w:lang w:val="en-US" w:eastAsia="zh-CN"/>
        </w:rPr>
        <w:t>108.83元/工日，</w:t>
      </w:r>
      <w:r>
        <w:rPr>
          <w:rFonts w:hint="eastAsia" w:ascii="仿宋_GB2312" w:hAnsi="仿宋_GB2312" w:eastAsia="仿宋_GB2312" w:cs="仿宋_GB2312"/>
          <w:sz w:val="24"/>
          <w:szCs w:val="24"/>
        </w:rPr>
        <w:t>土建人工</w:t>
      </w:r>
      <w:r>
        <w:rPr>
          <w:rFonts w:hint="eastAsia" w:ascii="仿宋_GB2312" w:hAnsi="仿宋_GB2312" w:eastAsia="仿宋_GB2312" w:cs="仿宋_GB2312"/>
          <w:sz w:val="24"/>
          <w:szCs w:val="24"/>
          <w:lang w:val="en-US" w:eastAsia="zh-CN"/>
        </w:rPr>
        <w:t>98.94</w:t>
      </w:r>
      <w:r>
        <w:rPr>
          <w:rFonts w:hint="eastAsia" w:ascii="仿宋_GB2312" w:hAnsi="仿宋_GB2312" w:eastAsia="仿宋_GB2312" w:cs="仿宋_GB2312"/>
          <w:sz w:val="24"/>
          <w:szCs w:val="24"/>
        </w:rPr>
        <w:t>元/工日，施工机械机上人工</w:t>
      </w:r>
      <w:r>
        <w:rPr>
          <w:rFonts w:hint="eastAsia" w:ascii="仿宋_GB2312" w:hAnsi="仿宋_GB2312" w:eastAsia="仿宋_GB2312" w:cs="仿宋_GB2312"/>
          <w:sz w:val="24"/>
          <w:szCs w:val="24"/>
          <w:lang w:val="en-US" w:eastAsia="zh-CN"/>
        </w:rPr>
        <w:t>100.96</w:t>
      </w:r>
      <w:r>
        <w:rPr>
          <w:rFonts w:hint="eastAsia" w:ascii="仿宋_GB2312" w:hAnsi="仿宋_GB2312" w:eastAsia="仿宋_GB2312" w:cs="仿宋_GB2312"/>
          <w:sz w:val="24"/>
          <w:szCs w:val="24"/>
        </w:rPr>
        <w:t>元/工日。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、费用定额依据：塔城地区住房和城乡建设局发布（塔地住建发[2016]57 号）《关于建筑业营业税改增值税调整塔城地区建设工程计价依据的实施意见》附件1 建设工程费用调整表。临时设施费为可竞争费用，控制价中已按规定费率记取，投标人报价时可在规定范围浮动。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6、取费类别：建筑工程、装修工程、安装工程取费四类。</w:t>
      </w:r>
    </w:p>
    <w:p>
      <w:pPr>
        <w:pStyle w:val="33"/>
        <w:keepNext w:val="0"/>
        <w:keepLines w:val="0"/>
        <w:widowControl/>
        <w:numPr>
          <w:ilvl w:val="0"/>
          <w:numId w:val="6"/>
        </w:numPr>
        <w:suppressLineNumbers w:val="0"/>
        <w:spacing w:before="0" w:beforeAutospacing="0" w:after="0" w:afterAutospacing="0"/>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本工程暂列金</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（不含税）共计134000元。</w:t>
      </w:r>
    </w:p>
    <w:p>
      <w:pPr>
        <w:pStyle w:val="33"/>
        <w:keepNext w:val="0"/>
        <w:keepLines w:val="0"/>
        <w:widowControl/>
        <w:numPr>
          <w:ilvl w:val="0"/>
          <w:numId w:val="6"/>
        </w:numPr>
        <w:suppressLineNumbers w:val="0"/>
        <w:spacing w:before="0" w:beforeAutospacing="0" w:after="0" w:afterAutospacing="0"/>
        <w:ind w:left="0" w:right="0" w:firstLine="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本工程专业工程暂估价（不含税）共计320000元。</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_GB2312" w:hAnsi="仿宋_GB2312" w:eastAsia="仿宋_GB2312" w:cs="仿宋_GB2312"/>
          <w:color w:val="000000" w:themeColor="text1"/>
          <w:sz w:val="24"/>
          <w:szCs w:val="24"/>
          <w14:textFill>
            <w14:solidFill>
              <w14:schemeClr w14:val="tx1"/>
            </w14:solidFill>
          </w14:textFill>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根据现场实际情况本工程不考虑智慧工地费用，如发生按实计算。</w:t>
      </w:r>
      <w:r>
        <w:rPr>
          <w:rFonts w:hint="eastAsia" w:ascii="仿宋_GB2312" w:hAnsi="仿宋_GB2312" w:eastAsia="仿宋_GB2312" w:cs="仿宋_GB2312"/>
          <w:kern w:val="2"/>
          <w:sz w:val="24"/>
          <w:szCs w:val="24"/>
          <w:lang w:val="en-US" w:eastAsia="zh-CN" w:bidi="ar-SA"/>
        </w:rPr>
        <w:t xml:space="preserve">               </w:t>
      </w: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kern w:val="2"/>
          <w:sz w:val="24"/>
          <w:szCs w:val="24"/>
          <w:lang w:val="en-US" w:eastAsia="zh-CN" w:bidi="ar-SA"/>
        </w:rPr>
      </w:pPr>
    </w:p>
    <w:p>
      <w:pPr>
        <w:pStyle w:val="3"/>
        <w:numPr>
          <w:numId w:val="0"/>
        </w:numPr>
        <w:spacing w:before="0" w:after="0" w:line="240" w:lineRule="auto"/>
        <w:ind w:left="1890" w:leftChars="0"/>
        <w:outlineLvl w:val="0"/>
        <w:rPr>
          <w:rFonts w:hint="eastAsia" w:ascii="黑体" w:hAnsi="黑体" w:eastAsia="黑体" w:cs="黑体"/>
          <w:b/>
          <w:bCs w:val="0"/>
          <w:sz w:val="32"/>
          <w:szCs w:val="32"/>
          <w:lang w:eastAsia="zh-CN"/>
        </w:rPr>
      </w:pPr>
      <w:r>
        <w:rPr>
          <w:rFonts w:hint="eastAsia" w:ascii="黑体" w:hAnsi="黑体" w:eastAsia="黑体" w:cs="黑体"/>
          <w:b/>
          <w:bCs w:val="0"/>
          <w:sz w:val="32"/>
          <w:szCs w:val="32"/>
          <w:lang w:val="en-US" w:eastAsia="zh-CN"/>
        </w:rPr>
        <w:t xml:space="preserve">第四章   </w:t>
      </w:r>
      <w:bookmarkStart w:id="150" w:name="_Toc24819"/>
      <w:r>
        <w:rPr>
          <w:rFonts w:hint="eastAsia" w:ascii="黑体" w:hAnsi="黑体" w:eastAsia="黑体" w:cs="黑体"/>
          <w:b/>
          <w:bCs w:val="0"/>
          <w:sz w:val="32"/>
          <w:szCs w:val="32"/>
          <w:lang w:eastAsia="zh-CN"/>
        </w:rPr>
        <w:t>合同格式及合同条款</w:t>
      </w:r>
      <w:bookmarkEnd w:id="125"/>
      <w:bookmarkEnd w:id="126"/>
      <w:bookmarkEnd w:id="127"/>
      <w:bookmarkEnd w:id="128"/>
      <w:bookmarkEnd w:id="148"/>
      <w:r>
        <w:rPr>
          <w:rFonts w:hint="eastAsia" w:ascii="黑体" w:hAnsi="黑体" w:eastAsia="黑体" w:cs="黑体"/>
          <w:b/>
          <w:bCs w:val="0"/>
          <w:sz w:val="32"/>
          <w:szCs w:val="32"/>
          <w:lang w:eastAsia="zh-CN"/>
        </w:rPr>
        <w:t>草拟</w:t>
      </w:r>
      <w:bookmarkEnd w:id="149"/>
      <w:bookmarkEnd w:id="150"/>
      <w:bookmarkStart w:id="311" w:name="_GoBack"/>
      <w:bookmarkEnd w:id="311"/>
    </w:p>
    <w:p>
      <w:pPr>
        <w:rPr>
          <w:rFonts w:hint="eastAsia" w:ascii="黑体" w:hAnsi="黑体" w:eastAsia="黑体" w:cs="黑体"/>
          <w:sz w:val="32"/>
          <w:szCs w:val="32"/>
        </w:rPr>
      </w:pP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（根据《政府</w:t>
      </w:r>
      <w:r>
        <w:rPr>
          <w:rFonts w:hint="eastAsia" w:ascii="仿宋_GB2312" w:hAnsi="仿宋_GB2312" w:eastAsia="仿宋_GB2312" w:cs="仿宋_GB2312"/>
          <w:bCs/>
          <w:sz w:val="24"/>
          <w:szCs w:val="24"/>
          <w:lang w:eastAsia="zh-CN"/>
        </w:rPr>
        <w:t>采购</w:t>
      </w:r>
      <w:r>
        <w:rPr>
          <w:rFonts w:hint="eastAsia" w:ascii="仿宋_GB2312" w:hAnsi="仿宋_GB2312" w:eastAsia="仿宋_GB2312" w:cs="仿宋_GB2312"/>
          <w:bCs/>
          <w:sz w:val="24"/>
          <w:szCs w:val="24"/>
        </w:rPr>
        <w:t>法》</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sz w:val="24"/>
          <w:szCs w:val="24"/>
          <w:lang w:eastAsia="zh-CN"/>
        </w:rPr>
        <w:t>《中华人民共和国招标投标法》</w:t>
      </w:r>
      <w:r>
        <w:rPr>
          <w:rFonts w:hint="eastAsia" w:ascii="仿宋_GB2312" w:hAnsi="仿宋_GB2312" w:eastAsia="仿宋_GB2312" w:cs="仿宋_GB2312"/>
          <w:bCs/>
          <w:sz w:val="24"/>
          <w:szCs w:val="24"/>
        </w:rPr>
        <w:t>和《中华人民共和国</w:t>
      </w:r>
      <w:r>
        <w:rPr>
          <w:rFonts w:hint="eastAsia" w:ascii="仿宋_GB2312" w:hAnsi="仿宋_GB2312" w:eastAsia="仿宋_GB2312" w:cs="仿宋_GB2312"/>
          <w:bCs/>
          <w:sz w:val="24"/>
          <w:szCs w:val="24"/>
          <w:lang w:eastAsia="zh-CN"/>
        </w:rPr>
        <w:t>民法典</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人和</w:t>
      </w:r>
      <w:r>
        <w:rPr>
          <w:rFonts w:hint="eastAsia" w:ascii="仿宋_GB2312" w:hAnsi="仿宋_GB2312" w:eastAsia="仿宋_GB2312" w:cs="仿宋_GB2312"/>
          <w:bCs/>
          <w:sz w:val="24"/>
          <w:szCs w:val="24"/>
          <w:lang w:eastAsia="zh-CN"/>
        </w:rPr>
        <w:t>投标单位</w:t>
      </w:r>
      <w:r>
        <w:rPr>
          <w:rFonts w:hint="eastAsia" w:ascii="仿宋_GB2312" w:hAnsi="仿宋_GB2312" w:eastAsia="仿宋_GB2312" w:cs="仿宋_GB2312"/>
          <w:bCs/>
          <w:sz w:val="24"/>
          <w:szCs w:val="24"/>
        </w:rPr>
        <w:t>之间的权利和义务，应当按照平等的原则以合同方式约定。此合同书仅作为签订正式合同时的参考，正式合同书应包括本参考格式之内容。）</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 合同文件</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本合同所附下列文件是构成本合同不可分割的部分：</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CN"/>
        </w:rPr>
        <w:t>磋商文件</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(2)合同条款</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(3)中标人提交的响应文件</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(4)技术规格（包括图纸，如果有的话）</w:t>
      </w:r>
    </w:p>
    <w:p>
      <w:pPr>
        <w:pStyle w:val="5"/>
        <w:spacing w:line="440" w:lineRule="exact"/>
        <w:ind w:left="560" w:firstLine="0" w:firstLineChars="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(5)中标/成交通知书</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2．合同范围和条件</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本合同的范围和条件与上述文件的规定相一致。</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3．货物及数量</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本合同所提供的货物数量详见磋商文件“第</w:t>
      </w: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章</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eastAsia="zh-CN"/>
        </w:rPr>
        <w:t>工程量清单</w:t>
      </w:r>
      <w:r>
        <w:rPr>
          <w:rFonts w:hint="eastAsia" w:ascii="仿宋_GB2312" w:hAnsi="仿宋_GB2312" w:eastAsia="仿宋_GB2312" w:cs="仿宋_GB2312"/>
          <w:bCs/>
          <w:sz w:val="24"/>
          <w:szCs w:val="24"/>
        </w:rPr>
        <w:t>”。</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4．合同金额</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合同总金额为元人民币，分项价格见响应文件按报价明细表。</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5．合同生效及支付条件和方式</w:t>
      </w:r>
    </w:p>
    <w:p>
      <w:pPr>
        <w:pStyle w:val="5"/>
        <w:spacing w:line="440" w:lineRule="exact"/>
        <w:ind w:firstLine="56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6．交货时间和交货地点</w:t>
      </w:r>
    </w:p>
    <w:p>
      <w:pPr>
        <w:pStyle w:val="5"/>
        <w:spacing w:line="440" w:lineRule="exact"/>
        <w:ind w:firstLine="56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招标</w:t>
      </w:r>
      <w:r>
        <w:rPr>
          <w:rFonts w:hint="eastAsia" w:ascii="仿宋_GB2312" w:hAnsi="仿宋_GB2312" w:eastAsia="仿宋_GB2312" w:cs="仿宋_GB2312"/>
          <w:kern w:val="0"/>
          <w:sz w:val="24"/>
          <w:szCs w:val="24"/>
        </w:rPr>
        <w:t>人（盖章）：</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供　　方（盖章）：</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单位地址：</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单位地址：</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法人代表授权人(签字)：</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法人代表授权人(签字)：</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 系 人：</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联 系 人：</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　　话：</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电　　话：</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传　　真：</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传　　真：</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邮政编码：</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邮政编码：</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开户银行：</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开户银行：</w:t>
      </w:r>
    </w:p>
    <w:p>
      <w:pPr>
        <w:autoSpaceDE w:val="0"/>
        <w:autoSpaceDN w:val="0"/>
        <w:adjustRightInd w:val="0"/>
        <w:spacing w:line="50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帐　　号：</w:t>
      </w:r>
      <w:r>
        <w:rPr>
          <w:rFonts w:hint="eastAsia" w:ascii="仿宋_GB2312" w:hAnsi="仿宋_GB2312" w:eastAsia="仿宋_GB2312" w:cs="仿宋_GB2312"/>
          <w:kern w:val="0"/>
          <w:sz w:val="24"/>
          <w:szCs w:val="24"/>
        </w:rPr>
        <w:tab/>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帐　　号：</w:t>
      </w:r>
    </w:p>
    <w:p>
      <w:pPr>
        <w:rPr>
          <w:rFonts w:hint="eastAsia" w:ascii="仿宋_GB2312" w:hAnsi="仿宋_GB2312" w:eastAsia="仿宋_GB2312" w:cs="仿宋_GB2312"/>
          <w:sz w:val="24"/>
          <w:szCs w:val="24"/>
        </w:rPr>
      </w:pPr>
    </w:p>
    <w:p>
      <w:pPr>
        <w:spacing w:line="500" w:lineRule="exact"/>
        <w:jc w:val="center"/>
        <w:outlineLvl w:val="9"/>
        <w:rPr>
          <w:rFonts w:hint="eastAsia" w:ascii="仿宋_GB2312" w:hAnsi="仿宋_GB2312" w:eastAsia="仿宋_GB2312" w:cs="仿宋_GB2312"/>
          <w:b/>
          <w:kern w:val="0"/>
          <w:sz w:val="24"/>
          <w:szCs w:val="24"/>
          <w:lang w:eastAsia="zh-CN"/>
        </w:rPr>
      </w:pPr>
      <w:bookmarkStart w:id="151" w:name="_Hlk450145418"/>
      <w:r>
        <w:rPr>
          <w:rFonts w:hint="eastAsia" w:ascii="仿宋_GB2312" w:hAnsi="仿宋_GB2312" w:eastAsia="仿宋_GB2312" w:cs="仿宋_GB2312"/>
          <w:b/>
          <w:spacing w:val="120"/>
          <w:kern w:val="0"/>
          <w:sz w:val="24"/>
          <w:szCs w:val="24"/>
        </w:rPr>
        <w:t>合同条</w:t>
      </w:r>
      <w:r>
        <w:rPr>
          <w:rFonts w:hint="eastAsia" w:ascii="仿宋_GB2312" w:hAnsi="仿宋_GB2312" w:eastAsia="仿宋_GB2312" w:cs="仿宋_GB2312"/>
          <w:b/>
          <w:kern w:val="0"/>
          <w:sz w:val="24"/>
          <w:szCs w:val="24"/>
        </w:rPr>
        <w:t>款</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草</w:t>
      </w:r>
      <w:r>
        <w:rPr>
          <w:rFonts w:hint="eastAsia" w:ascii="仿宋_GB2312" w:hAnsi="仿宋_GB2312" w:eastAsia="仿宋_GB2312" w:cs="仿宋_GB2312"/>
          <w:b/>
          <w:kern w:val="0"/>
          <w:sz w:val="24"/>
          <w:szCs w:val="24"/>
          <w:lang w:val="en-US" w:eastAsia="zh-CN"/>
        </w:rPr>
        <w:t xml:space="preserve">  </w:t>
      </w:r>
      <w:r>
        <w:rPr>
          <w:rFonts w:hint="eastAsia" w:ascii="仿宋_GB2312" w:hAnsi="仿宋_GB2312" w:eastAsia="仿宋_GB2312" w:cs="仿宋_GB2312"/>
          <w:b/>
          <w:kern w:val="0"/>
          <w:sz w:val="24"/>
          <w:szCs w:val="24"/>
          <w:lang w:eastAsia="zh-CN"/>
        </w:rPr>
        <w:t>拟</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1．有关概念</w:t>
      </w:r>
    </w:p>
    <w:p>
      <w:pPr>
        <w:spacing w:line="500" w:lineRule="exact"/>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本合同下列术语应解释为：</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1.1</w:t>
      </w:r>
      <w:r>
        <w:rPr>
          <w:rFonts w:hint="eastAsia" w:ascii="仿宋_GB2312" w:hAnsi="仿宋_GB2312" w:eastAsia="仿宋_GB2312" w:cs="仿宋_GB2312"/>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1.2“合同价”，系指根据合同规定供方在正确地履行合同义务后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人应支付给供方的价格。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1.3“货物”，系指供方根据合同规定须向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人提供的各种形态和种类的物品，包括产品、设备、配件等。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人”，系指磋商文件中所述购买货物和服务的单位。</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1.7“天”，系日历天数。</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2．技术规格</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2.2除技术规格另有规定外，计量单位均使用中华人民共和国法定计量单位。</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3．专利权</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3.1供方应保证</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3.2供方按合同要求为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人提交的设计方案，其所有权、使用权等所有权力均转为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人所拥有，供方放弃拥有关于设计方案的所有权力。</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4.包装要求</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4.1除合同另有规定外，供方提供的所有单独包装的货物都应具有原始的、完好的标准包装。如遇交付前已拆封货物，</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人有权拒绝接受或要求更换。</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4.2每个包装箱内的装箱清单、使用说明书、质量证书、保修卡及软件使用说明等所有资料均须齐全。</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 装运条件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5.1供方负责安排运输，运输费由供方承担。</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5.2提单日期应视为实际交货日期。</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 付款</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6.1本合同以人民币支付。</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6.2供方按照合同规定交货。交货后供方把下列单据提交给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人按合同规定审核后办理付款手续：</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（1）发票</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（2）质量证书</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（3）详细配置、数量清单</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（4）检验报告</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人按合同规定的合同生效及支付条件和方式安排付款。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7．伴随服务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7.2供方应提供下列服务：</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（1）货物的现场安装和启动监督；</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（2）提供货物组装和维修所必须的工具；</w:t>
      </w:r>
    </w:p>
    <w:p>
      <w:pPr>
        <w:spacing w:line="500" w:lineRule="exact"/>
        <w:ind w:left="565" w:leftChars="269" w:firstLine="1"/>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（3）在项目现场就货物的安装、启动、运行和维护，按</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人的要求提供技术培训。</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7.3伴随服务的费用含在合同价中，不另行支付。</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8.</w:t>
      </w:r>
      <w:r>
        <w:rPr>
          <w:rFonts w:hint="eastAsia" w:ascii="仿宋_GB2312" w:hAnsi="仿宋_GB2312" w:eastAsia="仿宋_GB2312" w:cs="仿宋_GB2312"/>
          <w:b/>
          <w:sz w:val="24"/>
          <w:szCs w:val="24"/>
        </w:rPr>
        <w:t>备品备件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8.1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方可能被要</w:t>
      </w:r>
      <w:r>
        <w:rPr>
          <w:rFonts w:hint="eastAsia" w:ascii="仿宋_GB2312" w:hAnsi="仿宋_GB2312" w:eastAsia="仿宋_GB2312" w:cs="仿宋_GB2312"/>
          <w:sz w:val="24"/>
          <w:szCs w:val="24"/>
        </w:rPr>
        <w:t>求提供下列与备件有关的材料、通知和资料：</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（2）在备件停止生产的情况下，供方应事先将要停止生产的计划通知买方有足够的时间</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所需的备件；</w:t>
      </w:r>
    </w:p>
    <w:p>
      <w:pPr>
        <w:spacing w:line="500" w:lineRule="exact"/>
        <w:ind w:left="567" w:leftChars="27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（3）在备件停止生产后，如果</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要求，供方应免费向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（一）质量保证</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9.2在质保期内或货物无质保期的则在两年内，如果货物的数量、质量或规格与合同不符，或证实货物有缺陷的，</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人可尽快以书面形式向供方提出本保证下的索赔。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9.3供方在收到索赔通知后十日内须免费更换有缺陷的货物或部件。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9.4供方在收到索赔通知后十日内没有弥补缺陷，</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人可采取必要的补救措施，其风险和费用将由供方承担，</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(二)质量保证期后服务</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 质保期满后，应</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要求，供方应按投标时的价格与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所需零配件，若投标时的价格高于市场价，则按市场价与与</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签订定期维修保养合同及提供</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所需零配件。</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 乙方交货后，若设备发生故障，乙方应在甲方报修后</w:t>
      </w:r>
      <w:r>
        <w:rPr>
          <w:rFonts w:hint="eastAsia" w:ascii="仿宋_GB2312" w:hAnsi="仿宋_GB2312" w:eastAsia="仿宋_GB2312" w:cs="仿宋_GB2312"/>
          <w:sz w:val="24"/>
          <w:szCs w:val="24"/>
          <w:lang w:val="en-US" w:eastAsia="zh-CN"/>
        </w:rPr>
        <w:t>按承诺时间</w:t>
      </w:r>
      <w:r>
        <w:rPr>
          <w:rFonts w:hint="eastAsia" w:ascii="仿宋_GB2312" w:hAnsi="仿宋_GB2312" w:eastAsia="仿宋_GB2312" w:cs="仿宋_GB2312"/>
          <w:sz w:val="24"/>
          <w:szCs w:val="24"/>
        </w:rPr>
        <w:t>到达。</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10.2货物交付后，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人申请有关部门对货物的质量、数量等进行检验并出具检验证书。</w:t>
      </w:r>
    </w:p>
    <w:p>
      <w:pPr>
        <w:spacing w:line="500" w:lineRule="exact"/>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人有权根据有关部门出具的检验证书向供方提出索赔。</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11.2在合同条款第8条规定的质保期内，如果供方对差异负有责任而</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人提出索赔，供方应按照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人的损失程度进行赔偿。</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w:t>
      </w:r>
      <w:r>
        <w:rPr>
          <w:rFonts w:hint="eastAsia" w:ascii="仿宋_GB2312" w:hAnsi="仿宋_GB2312" w:eastAsia="仿宋_GB2312" w:cs="仿宋_GB2312"/>
          <w:b/>
          <w:bCs/>
          <w:sz w:val="24"/>
          <w:szCs w:val="24"/>
        </w:rPr>
        <w:t>供</w:t>
      </w:r>
      <w:r>
        <w:rPr>
          <w:rFonts w:hint="eastAsia" w:ascii="仿宋_GB2312" w:hAnsi="仿宋_GB2312" w:eastAsia="仿宋_GB2312" w:cs="仿宋_GB2312"/>
          <w:b/>
          <w:sz w:val="24"/>
          <w:szCs w:val="24"/>
        </w:rPr>
        <w:t>方履约延误</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12.1</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方应</w:t>
      </w:r>
      <w:r>
        <w:rPr>
          <w:rFonts w:hint="eastAsia" w:ascii="仿宋_GB2312" w:hAnsi="仿宋_GB2312" w:eastAsia="仿宋_GB2312" w:cs="仿宋_GB2312"/>
          <w:sz w:val="24"/>
          <w:szCs w:val="24"/>
        </w:rPr>
        <w:t>按规定</w:t>
      </w:r>
      <w:r>
        <w:rPr>
          <w:rFonts w:hint="eastAsia" w:ascii="仿宋_GB2312" w:hAnsi="仿宋_GB2312" w:eastAsia="仿宋_GB2312" w:cs="仿宋_GB2312"/>
          <w:bCs/>
          <w:sz w:val="24"/>
          <w:szCs w:val="24"/>
        </w:rPr>
        <w:t>的时间交货和提供服务。</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12.2如</w:t>
      </w:r>
      <w:r>
        <w:rPr>
          <w:rFonts w:hint="eastAsia" w:ascii="仿宋_GB2312" w:hAnsi="仿宋_GB2312" w:eastAsia="仿宋_GB2312" w:cs="仿宋_GB2312"/>
          <w:sz w:val="24"/>
          <w:szCs w:val="24"/>
        </w:rPr>
        <w:t>供方无正当理由而拖延交货，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人有权终止合同。</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12.3在履行</w:t>
      </w:r>
      <w:r>
        <w:rPr>
          <w:rFonts w:hint="eastAsia" w:ascii="仿宋_GB2312" w:hAnsi="仿宋_GB2312" w:eastAsia="仿宋_GB2312" w:cs="仿宋_GB2312"/>
          <w:sz w:val="24"/>
          <w:szCs w:val="24"/>
        </w:rPr>
        <w:t>合同过程中，如果供方遇到可能妨碍按时交货和提供服务的情况时，应及时以书面形式将拖延的事实、可能拖延的期限和理由通知</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12.4供方交付的货物不符合磋商文件、响应文件和本合同规定的，</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有权拒收，并且供方需向</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支付本合同总价10%的违约金。</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13．不可抗力</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13.1如果双</w:t>
      </w:r>
      <w:r>
        <w:rPr>
          <w:rFonts w:hint="eastAsia" w:ascii="仿宋_GB2312" w:hAnsi="仿宋_GB2312" w:eastAsia="仿宋_GB2312" w:cs="仿宋_GB2312"/>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14．税费</w:t>
      </w:r>
    </w:p>
    <w:p>
      <w:pPr>
        <w:spacing w:line="500" w:lineRule="exact"/>
        <w:ind w:left="566" w:hanging="484" w:hangingChars="202"/>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14.1政府根据现行税法对</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方征收的与本合同有关的一切税费均由</w:t>
      </w:r>
      <w:r>
        <w:rPr>
          <w:rFonts w:hint="eastAsia" w:ascii="仿宋_GB2312" w:hAnsi="仿宋_GB2312" w:eastAsia="仿宋_GB2312" w:cs="仿宋_GB2312"/>
          <w:sz w:val="24"/>
          <w:szCs w:val="24"/>
        </w:rPr>
        <w:t>供</w:t>
      </w:r>
      <w:r>
        <w:rPr>
          <w:rFonts w:hint="eastAsia" w:ascii="仿宋_GB2312" w:hAnsi="仿宋_GB2312" w:eastAsia="仿宋_GB2312" w:cs="仿宋_GB2312"/>
          <w:bCs/>
          <w:sz w:val="24"/>
          <w:szCs w:val="24"/>
        </w:rPr>
        <w:t>方负担。</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15．违约终止合同</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15.1出现下</w:t>
      </w:r>
      <w:r>
        <w:rPr>
          <w:rFonts w:hint="eastAsia" w:ascii="仿宋_GB2312" w:hAnsi="仿宋_GB2312" w:eastAsia="仿宋_GB2312" w:cs="仿宋_GB2312"/>
          <w:sz w:val="24"/>
          <w:szCs w:val="24"/>
        </w:rPr>
        <w:t>列情况之一，</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人在对供方违约而采取的任何补救措施不受影响的情况下，可向供方发出终止部分或全部合同的书面通知书。</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如果</w:t>
      </w:r>
      <w:r>
        <w:rPr>
          <w:rFonts w:hint="eastAsia" w:ascii="仿宋_GB2312" w:hAnsi="仿宋_GB2312" w:eastAsia="仿宋_GB2312" w:cs="仿宋_GB2312"/>
          <w:sz w:val="24"/>
          <w:szCs w:val="24"/>
        </w:rPr>
        <w:t>供方未能按合同规定的期限或</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人同意延长的限期内提供部分或全部货物（服务）、完成工程施工；</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（2）供方在收到</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人发出的违约通知后20天内，或经</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人书面认可延长的时间内未能纠正其过失；</w:t>
      </w:r>
    </w:p>
    <w:p>
      <w:pPr>
        <w:pStyle w:val="5"/>
        <w:tabs>
          <w:tab w:val="left" w:pos="3210"/>
        </w:tabs>
        <w:spacing w:line="500" w:lineRule="exact"/>
        <w:ind w:left="708" w:leftChars="337" w:firstLine="1"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（3）如果供方未能履行合同规定</w:t>
      </w:r>
      <w:r>
        <w:rPr>
          <w:rFonts w:hint="eastAsia" w:ascii="仿宋_GB2312" w:hAnsi="仿宋_GB2312" w:eastAsia="仿宋_GB2312" w:cs="仿宋_GB2312"/>
          <w:bCs/>
          <w:sz w:val="24"/>
          <w:szCs w:val="24"/>
        </w:rPr>
        <w:t>的其它任何义务。</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15.2在</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bCs/>
          <w:sz w:val="24"/>
          <w:szCs w:val="24"/>
        </w:rPr>
        <w:t>人</w:t>
      </w:r>
      <w:r>
        <w:rPr>
          <w:rFonts w:hint="eastAsia" w:ascii="仿宋_GB2312" w:hAnsi="仿宋_GB2312" w:eastAsia="仿宋_GB2312" w:cs="仿宋_GB2312"/>
          <w:sz w:val="24"/>
          <w:szCs w:val="24"/>
        </w:rPr>
        <w:t>根据上述第15.1条规定，终止了全部或部分合同后，</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人可以依其认为适当的条件和方法购买类似未交的货物、服务或进行工程施工，供方应对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人购买类似货物、服务或进行工程施工所超出的费用部分负责，并继续执行合同中未终止部分。</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16．破产终止合同</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16.1如果供</w:t>
      </w:r>
      <w:r>
        <w:rPr>
          <w:rFonts w:hint="eastAsia" w:ascii="仿宋_GB2312" w:hAnsi="仿宋_GB2312" w:eastAsia="仿宋_GB2312" w:cs="仿宋_GB2312"/>
          <w:sz w:val="24"/>
          <w:szCs w:val="24"/>
        </w:rPr>
        <w:t>方破产或无清偿能力时，</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人可在任何时候以书面形式通知供方终止合同而无须给供方补偿。终止该合同将不损害或影响</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w:t>
      </w:r>
      <w:r>
        <w:rPr>
          <w:rFonts w:hint="eastAsia" w:ascii="仿宋_GB2312" w:hAnsi="仿宋_GB2312" w:eastAsia="仿宋_GB2312" w:cs="仿宋_GB2312"/>
          <w:bCs/>
          <w:sz w:val="24"/>
          <w:szCs w:val="24"/>
        </w:rPr>
        <w:t>已经采取或将要采取的补救措施的权利。</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17．转让</w:t>
      </w:r>
    </w:p>
    <w:p>
      <w:pPr>
        <w:pStyle w:val="5"/>
        <w:spacing w:line="500" w:lineRule="exact"/>
        <w:ind w:left="720" w:hanging="616" w:hangingChars="257"/>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17.1除</w:t>
      </w:r>
      <w:r>
        <w:rPr>
          <w:rFonts w:hint="eastAsia" w:ascii="仿宋_GB2312" w:hAnsi="仿宋_GB2312" w:eastAsia="仿宋_GB2312" w:cs="仿宋_GB2312"/>
          <w:bCs/>
          <w:sz w:val="24"/>
          <w:szCs w:val="24"/>
          <w:lang w:eastAsia="zh-CN"/>
        </w:rPr>
        <w:t>招标</w:t>
      </w:r>
      <w:r>
        <w:rPr>
          <w:rFonts w:hint="eastAsia" w:ascii="仿宋_GB2312" w:hAnsi="仿宋_GB2312" w:eastAsia="仿宋_GB2312" w:cs="仿宋_GB2312"/>
          <w:sz w:val="24"/>
          <w:szCs w:val="24"/>
        </w:rPr>
        <w:t>人事先书面同意外，供方不得部分转让或全部转让其应履行的合</w:t>
      </w:r>
      <w:r>
        <w:rPr>
          <w:rFonts w:hint="eastAsia" w:ascii="仿宋_GB2312" w:hAnsi="仿宋_GB2312" w:eastAsia="仿宋_GB2312" w:cs="仿宋_GB2312"/>
          <w:bCs/>
          <w:sz w:val="24"/>
          <w:szCs w:val="24"/>
        </w:rPr>
        <w:t>同义务。</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18．适用法律</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18.1本合同应按中华人民共和国的法律进行解释。</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19．合同生效</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19.1合同在双方授权代表签字并盖章后生效。</w:t>
      </w:r>
    </w:p>
    <w:p>
      <w:pPr>
        <w:pStyle w:val="5"/>
        <w:spacing w:line="500" w:lineRule="exact"/>
        <w:ind w:left="720" w:hanging="616" w:hangingChars="257"/>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19.2本</w:t>
      </w:r>
      <w:r>
        <w:rPr>
          <w:rFonts w:hint="eastAsia" w:ascii="仿宋_GB2312" w:hAnsi="仿宋_GB2312" w:eastAsia="仿宋_GB2312" w:cs="仿宋_GB2312"/>
          <w:sz w:val="24"/>
          <w:szCs w:val="24"/>
        </w:rPr>
        <w:t>合同一式四份，以中文书写，</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人、供方、</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中心、政府</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监管部门各执一份。</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  争议解决方式</w:t>
      </w:r>
    </w:p>
    <w:p>
      <w:pPr>
        <w:pStyle w:val="5"/>
        <w:spacing w:line="500" w:lineRule="exact"/>
        <w:ind w:firstLine="0" w:firstLineChars="0"/>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20.1 合同</w:t>
      </w:r>
      <w:r>
        <w:rPr>
          <w:rFonts w:hint="eastAsia" w:ascii="仿宋_GB2312" w:hAnsi="仿宋_GB2312" w:eastAsia="仿宋_GB2312" w:cs="仿宋_GB2312"/>
          <w:sz w:val="24"/>
          <w:szCs w:val="24"/>
        </w:rPr>
        <w:t>实施或与合同有关的一切争议应通过双方协商解决。若协商不成，则向</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人所在地法院提起诉讼</w:t>
      </w:r>
      <w:r>
        <w:rPr>
          <w:rFonts w:hint="eastAsia" w:ascii="仿宋_GB2312" w:hAnsi="仿宋_GB2312" w:eastAsia="仿宋_GB2312" w:cs="仿宋_GB2312"/>
          <w:bCs/>
          <w:sz w:val="24"/>
          <w:szCs w:val="24"/>
        </w:rPr>
        <w:t>。</w:t>
      </w:r>
    </w:p>
    <w:p>
      <w:pPr>
        <w:pStyle w:val="5"/>
        <w:spacing w:line="500" w:lineRule="exact"/>
        <w:ind w:firstLine="0" w:firstLineChars="0"/>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21．合同修改</w:t>
      </w:r>
    </w:p>
    <w:p>
      <w:pPr>
        <w:jc w:val="left"/>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21.1除双方</w:t>
      </w:r>
      <w:r>
        <w:rPr>
          <w:rFonts w:hint="eastAsia" w:ascii="仿宋_GB2312" w:hAnsi="仿宋_GB2312" w:eastAsia="仿宋_GB2312" w:cs="仿宋_GB2312"/>
          <w:sz w:val="24"/>
          <w:szCs w:val="24"/>
        </w:rPr>
        <w:t>签署书面修改协议，并成为本合同不可分割的一部分的情况之外，本合同不得有任何变化或修</w:t>
      </w:r>
      <w:r>
        <w:rPr>
          <w:rFonts w:hint="eastAsia" w:ascii="仿宋_GB2312" w:hAnsi="仿宋_GB2312" w:eastAsia="仿宋_GB2312" w:cs="仿宋_GB2312"/>
          <w:bCs/>
          <w:sz w:val="24"/>
          <w:szCs w:val="24"/>
        </w:rPr>
        <w:t>改。</w:t>
      </w:r>
      <w:bookmarkEnd w:id="151"/>
    </w:p>
    <w:p>
      <w:pPr>
        <w:jc w:val="left"/>
        <w:outlineLvl w:val="9"/>
        <w:rPr>
          <w:rFonts w:hint="eastAsia" w:ascii="仿宋_GB2312" w:hAnsi="仿宋_GB2312" w:eastAsia="仿宋_GB2312" w:cs="仿宋_GB2312"/>
          <w:bCs/>
          <w:sz w:val="24"/>
          <w:szCs w:val="24"/>
          <w:shd w:val="clear" w:color="auto" w:fill="92D050"/>
        </w:rPr>
      </w:pPr>
    </w:p>
    <w:p>
      <w:pPr>
        <w:widowControl/>
        <w:jc w:val="left"/>
        <w:outlineLvl w:val="9"/>
        <w:rPr>
          <w:rFonts w:hint="eastAsia" w:ascii="仿宋_GB2312" w:hAnsi="仿宋_GB2312" w:eastAsia="仿宋_GB2312" w:cs="仿宋_GB2312"/>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_GB2312" w:hAnsi="仿宋_GB2312" w:eastAsia="仿宋_GB2312" w:cs="仿宋_GB2312"/>
          <w:bCs/>
          <w:color w:val="000000" w:themeColor="text1"/>
          <w:sz w:val="24"/>
          <w:szCs w:val="24"/>
          <w14:textFill>
            <w14:solidFill>
              <w14:schemeClr w14:val="tx1"/>
            </w14:solidFill>
          </w14:textFill>
        </w:rPr>
      </w:pPr>
    </w:p>
    <w:p>
      <w:pPr>
        <w:widowControl/>
        <w:jc w:val="left"/>
        <w:outlineLvl w:val="9"/>
        <w:rPr>
          <w:rFonts w:hint="eastAsia" w:ascii="仿宋_GB2312" w:hAnsi="仿宋_GB2312" w:eastAsia="仿宋_GB2312" w:cs="仿宋_GB2312"/>
          <w:b/>
          <w:bCs w:val="0"/>
          <w:kern w:val="44"/>
          <w:sz w:val="24"/>
          <w:szCs w:val="24"/>
          <w:lang w:val="en-US" w:eastAsia="zh-CN" w:bidi="ar-SA"/>
        </w:rPr>
      </w:pPr>
      <w:r>
        <w:rPr>
          <w:rFonts w:hint="eastAsia" w:ascii="仿宋_GB2312" w:hAnsi="仿宋_GB2312" w:eastAsia="仿宋_GB2312" w:cs="仿宋_GB2312"/>
          <w:bCs/>
          <w:color w:val="000000" w:themeColor="text1"/>
          <w:sz w:val="24"/>
          <w:szCs w:val="24"/>
          <w14:textFill>
            <w14:solidFill>
              <w14:schemeClr w14:val="tx1"/>
            </w14:solidFill>
          </w14:textFill>
        </w:rPr>
        <w:br w:type="page"/>
      </w:r>
    </w:p>
    <w:p>
      <w:pPr>
        <w:pStyle w:val="3"/>
        <w:numPr>
          <w:numId w:val="0"/>
        </w:numPr>
        <w:spacing w:before="0" w:after="0" w:line="240" w:lineRule="auto"/>
        <w:ind w:left="1890" w:leftChars="0"/>
        <w:jc w:val="both"/>
        <w:outlineLvl w:val="0"/>
        <w:rPr>
          <w:rFonts w:hint="eastAsia" w:ascii="黑体" w:hAnsi="黑体" w:eastAsia="黑体" w:cs="黑体"/>
          <w:b/>
          <w:bCs w:val="0"/>
          <w:color w:val="auto"/>
          <w:kern w:val="44"/>
          <w:sz w:val="32"/>
          <w:szCs w:val="32"/>
          <w:lang w:val="en-US" w:eastAsia="zh-CN" w:bidi="ar-SA"/>
        </w:rPr>
      </w:pPr>
      <w:bookmarkStart w:id="152" w:name="_Toc18901"/>
      <w:bookmarkStart w:id="153" w:name="_Toc22213"/>
      <w:bookmarkStart w:id="154" w:name="_Toc3428"/>
      <w:bookmarkStart w:id="155" w:name="_Toc257633148"/>
      <w:r>
        <w:rPr>
          <w:rFonts w:hint="eastAsia" w:ascii="黑体" w:hAnsi="黑体" w:eastAsia="黑体" w:cs="黑体"/>
          <w:b/>
          <w:bCs w:val="0"/>
          <w:color w:val="auto"/>
          <w:sz w:val="32"/>
          <w:szCs w:val="32"/>
          <w:lang w:val="en-US" w:eastAsia="zh-CN"/>
        </w:rPr>
        <w:t>第五章  竞争性磋商投标文件格式</w:t>
      </w:r>
      <w:bookmarkEnd w:id="152"/>
      <w:bookmarkEnd w:id="153"/>
      <w:bookmarkEnd w:id="154"/>
    </w:p>
    <w:p>
      <w:pPr>
        <w:rPr>
          <w:rFonts w:hint="eastAsia" w:ascii="仿宋_GB2312" w:hAnsi="仿宋_GB2312" w:eastAsia="仿宋_GB2312" w:cs="仿宋_GB2312"/>
          <w:color w:val="auto"/>
          <w:sz w:val="24"/>
          <w:szCs w:val="24"/>
        </w:rPr>
      </w:pPr>
    </w:p>
    <w:bookmarkEnd w:id="155"/>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2160" w:firstLineChars="9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乌苏市古尔图镇基层组织阵地建设项目</w:t>
      </w: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响   应 </w:t>
      </w:r>
      <w:r>
        <w:rPr>
          <w:rFonts w:hint="eastAsia" w:ascii="仿宋_GB2312" w:hAnsi="仿宋_GB2312" w:eastAsia="仿宋_GB2312" w:cs="仿宋_GB2312"/>
          <w:b/>
          <w:bCs/>
          <w:sz w:val="24"/>
          <w:szCs w:val="24"/>
        </w:rPr>
        <w:t xml:space="preserve"> 文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 xml:space="preserve"> 件</w:t>
      </w: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日期：       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日</w:t>
      </w:r>
    </w:p>
    <w:p>
      <w:pPr>
        <w:spacing w:line="4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jc w:val="center"/>
        <w:outlineLvl w:val="9"/>
        <w:rPr>
          <w:rFonts w:hint="eastAsia" w:ascii="仿宋_GB2312" w:hAnsi="仿宋_GB2312" w:eastAsia="仿宋_GB2312" w:cs="仿宋_GB2312"/>
          <w:sz w:val="24"/>
          <w:szCs w:val="24"/>
        </w:rPr>
      </w:pPr>
      <w:bookmarkStart w:id="156" w:name="_Toc152045787"/>
      <w:bookmarkStart w:id="157" w:name="_Toc247085873"/>
      <w:bookmarkStart w:id="158" w:name="_Toc1357"/>
      <w:bookmarkStart w:id="159" w:name="_Toc246997098"/>
      <w:bookmarkStart w:id="160" w:name="_Toc39861328"/>
      <w:bookmarkStart w:id="161" w:name="_Toc18394"/>
      <w:bookmarkStart w:id="162" w:name="_Toc12210"/>
      <w:bookmarkStart w:id="163" w:name="_Toc12986"/>
      <w:bookmarkStart w:id="164" w:name="_Toc152042576"/>
      <w:bookmarkStart w:id="165" w:name="_Toc246996355"/>
      <w:bookmarkStart w:id="166" w:name="_Toc179632807"/>
      <w:bookmarkStart w:id="167" w:name="_Toc144974856"/>
      <w:bookmarkStart w:id="168" w:name="_Toc31530"/>
      <w:r>
        <w:rPr>
          <w:rFonts w:hint="eastAsia" w:ascii="仿宋_GB2312" w:hAnsi="仿宋_GB2312" w:eastAsia="仿宋_GB2312" w:cs="仿宋_GB2312"/>
          <w:sz w:val="24"/>
          <w:szCs w:val="24"/>
        </w:rPr>
        <w:t>目    录</w:t>
      </w:r>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18"/>
        <w:rPr>
          <w:rFonts w:hint="eastAsia" w:ascii="仿宋_GB2312" w:hAnsi="仿宋_GB2312" w:eastAsia="仿宋_GB2312" w:cs="仿宋_GB2312"/>
          <w:sz w:val="24"/>
          <w:szCs w:val="24"/>
        </w:rPr>
      </w:pPr>
    </w:p>
    <w:p>
      <w:pPr>
        <w:spacing w:line="540" w:lineRule="exact"/>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一、承诺函</w:t>
      </w:r>
    </w:p>
    <w:p>
      <w:pPr>
        <w:spacing w:line="540" w:lineRule="exact"/>
        <w:outlineLvl w:val="9"/>
        <w:rPr>
          <w:rFonts w:hint="eastAsia" w:ascii="仿宋_GB2312" w:hAnsi="仿宋_GB2312" w:eastAsia="仿宋_GB2312" w:cs="仿宋_GB2312"/>
          <w:sz w:val="24"/>
          <w:szCs w:val="24"/>
        </w:rPr>
      </w:pPr>
      <w:bookmarkStart w:id="169" w:name="_Toc15346"/>
      <w:bookmarkStart w:id="170" w:name="_Toc25382"/>
      <w:bookmarkStart w:id="171" w:name="_Toc8904"/>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、投标函及投标函附录</w:t>
      </w:r>
      <w:bookmarkEnd w:id="169"/>
      <w:bookmarkEnd w:id="170"/>
      <w:bookmarkEnd w:id="171"/>
    </w:p>
    <w:p>
      <w:pPr>
        <w:spacing w:line="540" w:lineRule="exact"/>
        <w:outlineLvl w:val="9"/>
        <w:rPr>
          <w:rFonts w:hint="eastAsia" w:ascii="仿宋_GB2312" w:hAnsi="仿宋_GB2312" w:eastAsia="仿宋_GB2312" w:cs="仿宋_GB2312"/>
          <w:sz w:val="24"/>
          <w:szCs w:val="24"/>
        </w:rPr>
      </w:pPr>
      <w:bookmarkStart w:id="172" w:name="_Toc27895"/>
      <w:bookmarkStart w:id="173" w:name="_Toc22578"/>
      <w:bookmarkStart w:id="174" w:name="_Toc15420"/>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w:t>
      </w:r>
      <w:bookmarkEnd w:id="172"/>
      <w:r>
        <w:rPr>
          <w:rFonts w:hint="eastAsia" w:ascii="仿宋_GB2312" w:hAnsi="仿宋_GB2312" w:eastAsia="仿宋_GB2312" w:cs="仿宋_GB2312"/>
          <w:sz w:val="24"/>
          <w:szCs w:val="24"/>
        </w:rPr>
        <w:t>投标保证金</w:t>
      </w:r>
      <w:r>
        <w:rPr>
          <w:rFonts w:hint="eastAsia" w:ascii="仿宋_GB2312" w:hAnsi="仿宋_GB2312" w:eastAsia="仿宋_GB2312" w:cs="仿宋_GB2312"/>
          <w:sz w:val="24"/>
          <w:szCs w:val="24"/>
          <w:lang w:eastAsia="zh-CN"/>
        </w:rPr>
        <w:t>收据</w:t>
      </w:r>
      <w:bookmarkEnd w:id="173"/>
      <w:bookmarkEnd w:id="174"/>
    </w:p>
    <w:p>
      <w:pPr>
        <w:spacing w:line="540" w:lineRule="exact"/>
        <w:outlineLvl w:val="9"/>
        <w:rPr>
          <w:rFonts w:hint="eastAsia" w:ascii="仿宋_GB2312" w:hAnsi="仿宋_GB2312" w:eastAsia="仿宋_GB2312" w:cs="仿宋_GB2312"/>
          <w:sz w:val="24"/>
          <w:szCs w:val="24"/>
        </w:rPr>
      </w:pPr>
      <w:bookmarkStart w:id="175" w:name="_Toc22135"/>
      <w:bookmarkStart w:id="176" w:name="_Toc1739"/>
      <w:bookmarkStart w:id="177" w:name="_Toc18226"/>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rPr>
        <w:t>、已标价工程量清单</w:t>
      </w:r>
      <w:bookmarkEnd w:id="175"/>
      <w:bookmarkEnd w:id="176"/>
      <w:bookmarkEnd w:id="177"/>
    </w:p>
    <w:p>
      <w:pPr>
        <w:spacing w:line="540" w:lineRule="exact"/>
        <w:outlineLvl w:val="9"/>
        <w:rPr>
          <w:rFonts w:hint="eastAsia" w:ascii="仿宋_GB2312" w:hAnsi="仿宋_GB2312" w:eastAsia="仿宋_GB2312" w:cs="仿宋_GB2312"/>
          <w:sz w:val="24"/>
          <w:szCs w:val="24"/>
          <w:lang w:eastAsia="zh-CN"/>
        </w:rPr>
      </w:pPr>
      <w:bookmarkStart w:id="178" w:name="_Toc31368"/>
      <w:bookmarkStart w:id="179" w:name="_Toc30964"/>
      <w:bookmarkStart w:id="180" w:name="_Toc19753"/>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lang w:eastAsia="zh-CN"/>
        </w:rPr>
        <w:t>、技术标投标格式</w:t>
      </w:r>
      <w:bookmarkEnd w:id="178"/>
      <w:bookmarkEnd w:id="179"/>
      <w:bookmarkEnd w:id="180"/>
    </w:p>
    <w:p>
      <w:pPr>
        <w:spacing w:line="540" w:lineRule="exact"/>
        <w:outlineLvl w:val="9"/>
        <w:rPr>
          <w:rFonts w:hint="eastAsia" w:ascii="仿宋_GB2312" w:hAnsi="仿宋_GB2312" w:eastAsia="仿宋_GB2312" w:cs="仿宋_GB2312"/>
          <w:sz w:val="24"/>
          <w:szCs w:val="24"/>
        </w:rPr>
      </w:pPr>
      <w:bookmarkStart w:id="181" w:name="_Toc24847"/>
      <w:bookmarkStart w:id="182" w:name="_Toc12159"/>
      <w:bookmarkStart w:id="183" w:name="_Toc7869"/>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、项目管理机构</w:t>
      </w:r>
      <w:bookmarkEnd w:id="181"/>
      <w:bookmarkEnd w:id="182"/>
      <w:bookmarkEnd w:id="183"/>
    </w:p>
    <w:p>
      <w:pPr>
        <w:spacing w:line="540" w:lineRule="exact"/>
        <w:outlineLvl w:val="9"/>
        <w:rPr>
          <w:rFonts w:hint="eastAsia" w:ascii="仿宋_GB2312" w:hAnsi="仿宋_GB2312" w:eastAsia="仿宋_GB2312" w:cs="仿宋_GB2312"/>
          <w:sz w:val="24"/>
          <w:szCs w:val="24"/>
        </w:rPr>
      </w:pPr>
      <w:bookmarkStart w:id="184" w:name="_Toc1747"/>
      <w:bookmarkStart w:id="185" w:name="_Toc940"/>
      <w:bookmarkStart w:id="186" w:name="_Toc21819"/>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sz w:val="24"/>
          <w:szCs w:val="24"/>
        </w:rPr>
        <w:t>、资格审查资料</w:t>
      </w:r>
      <w:bookmarkEnd w:id="184"/>
      <w:bookmarkEnd w:id="185"/>
      <w:bookmarkEnd w:id="186"/>
    </w:p>
    <w:p>
      <w:pPr>
        <w:pStyle w:val="86"/>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八、近三年（2020年1月以后）项目业绩表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九、商务条款偏离表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十、服务需求偏离表</w:t>
      </w:r>
    </w:p>
    <w:p>
      <w:pPr>
        <w:numPr>
          <w:ilvl w:val="0"/>
          <w:numId w:val="0"/>
        </w:numPr>
        <w:spacing w:line="360" w:lineRule="auto"/>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十一、供应商情况表</w:t>
      </w:r>
    </w:p>
    <w:p>
      <w:pPr>
        <w:numPr>
          <w:ilvl w:val="0"/>
          <w:numId w:val="0"/>
        </w:num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2"/>
          <w:sz w:val="24"/>
          <w:szCs w:val="24"/>
          <w:lang w:val="en-US" w:eastAsia="zh-CN" w:bidi="ar-SA"/>
        </w:rPr>
        <w:t>十二、关于资格的声明函</w:t>
      </w:r>
    </w:p>
    <w:p>
      <w:pPr>
        <w:jc w:val="both"/>
        <w:outlineLvl w:val="9"/>
        <w:rPr>
          <w:rFonts w:hint="eastAsia" w:ascii="仿宋_GB2312" w:hAnsi="仿宋_GB2312" w:eastAsia="仿宋_GB2312" w:cs="仿宋_GB2312"/>
          <w:b w:val="0"/>
          <w:kern w:val="2"/>
          <w:sz w:val="24"/>
          <w:szCs w:val="24"/>
          <w:lang w:val="en-US" w:eastAsia="zh-CN" w:bidi="ar-SA"/>
        </w:rPr>
      </w:pPr>
      <w:bookmarkStart w:id="187" w:name="_Toc1786"/>
      <w:bookmarkStart w:id="188" w:name="_Toc32415"/>
      <w:r>
        <w:rPr>
          <w:rFonts w:hint="eastAsia" w:ascii="仿宋_GB2312" w:hAnsi="仿宋_GB2312" w:eastAsia="仿宋_GB2312" w:cs="仿宋_GB2312"/>
          <w:b w:val="0"/>
          <w:kern w:val="2"/>
          <w:sz w:val="24"/>
          <w:szCs w:val="24"/>
          <w:lang w:val="en-US" w:eastAsia="zh-CN" w:bidi="ar-SA"/>
        </w:rPr>
        <w:t>十三、投标人认为需要提供的其他资料</w:t>
      </w:r>
      <w:bookmarkEnd w:id="187"/>
      <w:bookmarkEnd w:id="188"/>
    </w:p>
    <w:p>
      <w:pPr>
        <w:outlineLvl w:val="9"/>
        <w:rPr>
          <w:rFonts w:hint="eastAsia" w:ascii="仿宋_GB2312" w:hAnsi="仿宋_GB2312" w:eastAsia="仿宋_GB2312" w:cs="仿宋_GB2312"/>
          <w:sz w:val="24"/>
          <w:szCs w:val="24"/>
        </w:rPr>
      </w:pPr>
    </w:p>
    <w:p>
      <w:pPr>
        <w:spacing w:line="5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一、</w:t>
      </w:r>
      <w:r>
        <w:rPr>
          <w:rFonts w:hint="eastAsia" w:ascii="仿宋_GB2312" w:hAnsi="仿宋_GB2312" w:eastAsia="仿宋_GB2312" w:cs="仿宋_GB2312"/>
          <w:b/>
          <w:sz w:val="24"/>
          <w:szCs w:val="24"/>
        </w:rPr>
        <w:t>承诺函</w:t>
      </w:r>
    </w:p>
    <w:p>
      <w:pPr>
        <w:pStyle w:val="18"/>
        <w:spacing w:before="1" w:line="360" w:lineRule="auto"/>
        <w:ind w:left="120" w:right="111" w:firstLine="48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根据贵方为     （项目名称）    项目竞争性磋商的邀请（竞争性磋商文件编号） ， 签字代表（姓名、职务）经正式授权并代表供应商（供应商名称、地址）提交下述文件正本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rPr>
        <w:t>份</w:t>
      </w:r>
      <w:r>
        <w:rPr>
          <w:rFonts w:hint="eastAsia" w:ascii="仿宋_GB2312" w:hAnsi="仿宋_GB2312" w:eastAsia="仿宋_GB2312" w:cs="仿宋_GB2312"/>
          <w:sz w:val="24"/>
          <w:szCs w:val="24"/>
        </w:rPr>
        <w:t>和副本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w:t>
      </w:r>
    </w:p>
    <w:p>
      <w:pPr>
        <w:pStyle w:val="76"/>
        <w:numPr>
          <w:ilvl w:val="0"/>
          <w:numId w:val="0"/>
        </w:numPr>
        <w:tabs>
          <w:tab w:val="left" w:pos="1366"/>
        </w:tabs>
        <w:spacing w:before="14"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磋商报价一览表；</w:t>
      </w:r>
    </w:p>
    <w:p>
      <w:pPr>
        <w:pStyle w:val="76"/>
        <w:numPr>
          <w:ilvl w:val="0"/>
          <w:numId w:val="0"/>
        </w:numPr>
        <w:tabs>
          <w:tab w:val="left" w:pos="1366"/>
        </w:tabs>
        <w:spacing w:before="14"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分项报价表；</w:t>
      </w:r>
    </w:p>
    <w:p>
      <w:pPr>
        <w:pStyle w:val="76"/>
        <w:numPr>
          <w:ilvl w:val="0"/>
          <w:numId w:val="0"/>
        </w:numPr>
        <w:tabs>
          <w:tab w:val="left" w:pos="1366"/>
        </w:tabs>
        <w:spacing w:before="14"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商务条款、服务需求偏离表；</w:t>
      </w:r>
    </w:p>
    <w:p>
      <w:pPr>
        <w:pStyle w:val="76"/>
        <w:tabs>
          <w:tab w:val="left" w:pos="1366"/>
        </w:tabs>
        <w:spacing w:before="14"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按磋商文件供应商须知、技术需求及其他要求提供有关文件；</w:t>
      </w:r>
    </w:p>
    <w:p>
      <w:pPr>
        <w:pStyle w:val="76"/>
        <w:tabs>
          <w:tab w:val="left" w:pos="1366"/>
        </w:tabs>
        <w:spacing w:before="14" w:line="360" w:lineRule="auto"/>
        <w:ind w:firstLine="720" w:firstLineChars="3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据此函，签字代表宣布并同意如下：</w:t>
      </w:r>
    </w:p>
    <w:p>
      <w:pPr>
        <w:pStyle w:val="18"/>
        <w:spacing w:before="14"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1、所附报价表中规定的应提交和交付的服务总价</w:t>
      </w:r>
      <w:r>
        <w:rPr>
          <w:rFonts w:hint="eastAsia" w:ascii="仿宋_GB2312" w:hAnsi="仿宋_GB2312" w:eastAsia="仿宋_GB2312" w:cs="仿宋_GB2312"/>
          <w:sz w:val="24"/>
          <w:szCs w:val="24"/>
          <w:lang w:eastAsia="zh-CN"/>
        </w:rPr>
        <w:t>详见报价一览表</w:t>
      </w:r>
      <w:r>
        <w:rPr>
          <w:rFonts w:hint="eastAsia" w:ascii="仿宋_GB2312" w:hAnsi="仿宋_GB2312" w:eastAsia="仿宋_GB2312" w:cs="仿宋_GB2312"/>
          <w:sz w:val="24"/>
          <w:szCs w:val="24"/>
        </w:rPr>
        <w:t>。</w:t>
      </w:r>
    </w:p>
    <w:p>
      <w:pPr>
        <w:pStyle w:val="18"/>
        <w:spacing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2、供应商将按磋商文件的规定履行合同责任和义务。</w:t>
      </w:r>
    </w:p>
    <w:p>
      <w:pPr>
        <w:pStyle w:val="18"/>
        <w:spacing w:line="360" w:lineRule="auto"/>
        <w:ind w:right="109"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3、供应商已详细阅读并理解了磋商文件的全部，包括修改文件。我们完全理解并同意放弃对这方面有不明及误解的权利。</w:t>
      </w:r>
    </w:p>
    <w:p>
      <w:pPr>
        <w:pStyle w:val="18"/>
        <w:tabs>
          <w:tab w:val="left" w:pos="5354"/>
        </w:tabs>
        <w:spacing w:before="17"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4、本项目有效期自竞争性磋商之日起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个日历日。</w:t>
      </w:r>
    </w:p>
    <w:p>
      <w:pPr>
        <w:pStyle w:val="18"/>
        <w:spacing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5、在规定的竞争性磋商时间后，如果在有效期内撤回，同意保证金将被贵方没收。</w:t>
      </w:r>
    </w:p>
    <w:p>
      <w:pPr>
        <w:pStyle w:val="18"/>
        <w:spacing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6、供应商同意提供按照贵方可能要求的与其磋商有关的一切数据或资料，完全理解贵方不一定接受最低价的磋商报价或收到的任何磋商的约定。</w:t>
      </w:r>
    </w:p>
    <w:p>
      <w:pPr>
        <w:pStyle w:val="18"/>
        <w:spacing w:before="2" w:line="360" w:lineRule="auto"/>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7、与本磋商有关的一切正式往来信函请寄：</w:t>
      </w:r>
    </w:p>
    <w:p>
      <w:pPr>
        <w:pStyle w:val="18"/>
        <w:tabs>
          <w:tab w:val="left" w:pos="2535"/>
          <w:tab w:val="left" w:pos="5895"/>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rPr>
        <w:tab/>
      </w:r>
    </w:p>
    <w:p>
      <w:pPr>
        <w:pStyle w:val="18"/>
        <w:tabs>
          <w:tab w:val="left" w:pos="2499"/>
          <w:tab w:val="left" w:pos="5859"/>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rPr>
        <w:tab/>
      </w:r>
    </w:p>
    <w:p>
      <w:pPr>
        <w:pStyle w:val="18"/>
        <w:tabs>
          <w:tab w:val="left" w:pos="2379"/>
        </w:tabs>
        <w:spacing w:after="0" w:line="240" w:lineRule="auto"/>
        <w:ind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供应商代表签字：</w:t>
      </w:r>
    </w:p>
    <w:p>
      <w:pPr>
        <w:pStyle w:val="18"/>
        <w:tabs>
          <w:tab w:val="left" w:pos="2379"/>
        </w:tabs>
        <w:spacing w:after="0" w:line="240" w:lineRule="auto"/>
        <w:ind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pStyle w:val="18"/>
        <w:tabs>
          <w:tab w:val="left" w:pos="2379"/>
        </w:tabs>
        <w:spacing w:after="0" w:line="240" w:lineRule="auto"/>
        <w:ind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报 价 方 名 称： </w:t>
      </w:r>
    </w:p>
    <w:p>
      <w:pPr>
        <w:pStyle w:val="18"/>
        <w:tabs>
          <w:tab w:val="left" w:pos="6579"/>
          <w:tab w:val="left" w:pos="7419"/>
          <w:tab w:val="left" w:pos="8259"/>
        </w:tabs>
        <w:rPr>
          <w:rFonts w:hint="eastAsia" w:ascii="仿宋_GB2312" w:hAnsi="仿宋_GB2312" w:eastAsia="仿宋_GB2312" w:cs="仿宋_GB2312"/>
          <w:sz w:val="24"/>
          <w:szCs w:val="24"/>
        </w:rPr>
      </w:pPr>
    </w:p>
    <w:p>
      <w:pPr>
        <w:pStyle w:val="18"/>
        <w:tabs>
          <w:tab w:val="left" w:pos="6579"/>
          <w:tab w:val="left" w:pos="7419"/>
          <w:tab w:val="left" w:pos="8259"/>
        </w:tabs>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公   章：</w:t>
      </w:r>
      <w:r>
        <w:rPr>
          <w:rFonts w:hint="eastAsia" w:ascii="仿宋_GB2312" w:hAnsi="仿宋_GB2312" w:eastAsia="仿宋_GB2312" w:cs="仿宋_GB2312"/>
          <w:sz w:val="24"/>
          <w:szCs w:val="24"/>
          <w:lang w:val="en-US" w:eastAsia="zh-CN"/>
        </w:rPr>
        <w:t xml:space="preserve">                                           </w:t>
      </w:r>
    </w:p>
    <w:p>
      <w:pPr>
        <w:pStyle w:val="18"/>
        <w:tabs>
          <w:tab w:val="left" w:pos="6579"/>
          <w:tab w:val="left" w:pos="7419"/>
          <w:tab w:val="left" w:pos="8259"/>
        </w:tabs>
        <w:ind w:firstLine="6240" w:firstLineChars="26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pPr>
        <w:pStyle w:val="18"/>
        <w:tabs>
          <w:tab w:val="left" w:pos="2379"/>
        </w:tabs>
        <w:spacing w:before="62" w:line="360" w:lineRule="auto"/>
        <w:ind w:right="7339"/>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4"/>
        <w:numPr>
          <w:ilvl w:val="0"/>
          <w:numId w:val="0"/>
        </w:numPr>
        <w:ind w:firstLine="1205" w:firstLineChars="500"/>
        <w:jc w:val="both"/>
        <w:outlineLvl w:val="1"/>
        <w:rPr>
          <w:rFonts w:hint="eastAsia" w:ascii="仿宋_GB2312" w:hAnsi="仿宋_GB2312" w:eastAsia="仿宋_GB2312" w:cs="仿宋_GB2312"/>
          <w:b/>
          <w:bCs/>
          <w:sz w:val="24"/>
          <w:szCs w:val="24"/>
        </w:rPr>
      </w:pPr>
      <w:bookmarkStart w:id="189" w:name="_Toc39861329"/>
      <w:bookmarkStart w:id="190" w:name="_Toc12612"/>
      <w:bookmarkStart w:id="191" w:name="_Toc144974857"/>
      <w:bookmarkStart w:id="192" w:name="_Toc179632808"/>
      <w:bookmarkStart w:id="193" w:name="_Toc14991"/>
      <w:bookmarkStart w:id="194" w:name="_Toc247085874"/>
      <w:bookmarkStart w:id="195" w:name="_Toc246997099"/>
      <w:bookmarkStart w:id="196" w:name="_Toc16768"/>
      <w:bookmarkStart w:id="197" w:name="_Toc246996356"/>
      <w:bookmarkStart w:id="198" w:name="_Toc152042577"/>
      <w:bookmarkStart w:id="199" w:name="_Toc2000"/>
      <w:bookmarkStart w:id="200" w:name="_Toc152045788"/>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投标函及投标函附录</w:t>
      </w:r>
      <w:bookmarkEnd w:id="189"/>
      <w:bookmarkEnd w:id="190"/>
      <w:bookmarkEnd w:id="191"/>
      <w:bookmarkEnd w:id="192"/>
      <w:bookmarkEnd w:id="193"/>
      <w:bookmarkEnd w:id="194"/>
      <w:bookmarkEnd w:id="195"/>
      <w:bookmarkEnd w:id="196"/>
      <w:bookmarkEnd w:id="197"/>
      <w:bookmarkEnd w:id="198"/>
      <w:bookmarkEnd w:id="199"/>
      <w:bookmarkEnd w:id="200"/>
    </w:p>
    <w:p>
      <w:pPr>
        <w:pStyle w:val="5"/>
        <w:numPr>
          <w:ilvl w:val="0"/>
          <w:numId w:val="0"/>
        </w:numPr>
        <w:rPr>
          <w:rFonts w:hint="eastAsia" w:ascii="仿宋_GB2312" w:hAnsi="仿宋_GB2312" w:eastAsia="仿宋_GB2312" w:cs="仿宋_GB2312"/>
          <w:sz w:val="24"/>
          <w:szCs w:val="24"/>
        </w:rPr>
      </w:pPr>
    </w:p>
    <w:p>
      <w:pPr>
        <w:jc w:val="center"/>
        <w:outlineLvl w:val="9"/>
        <w:rPr>
          <w:rFonts w:hint="eastAsia" w:ascii="仿宋_GB2312" w:hAnsi="仿宋_GB2312" w:eastAsia="仿宋_GB2312" w:cs="仿宋_GB2312"/>
          <w:sz w:val="24"/>
          <w:szCs w:val="24"/>
        </w:rPr>
      </w:pPr>
      <w:bookmarkStart w:id="201" w:name="_Toc247085875"/>
      <w:bookmarkStart w:id="202" w:name="_Toc179632809"/>
      <w:bookmarkStart w:id="203" w:name="_Toc152042578"/>
      <w:bookmarkStart w:id="204" w:name="_Toc246997100"/>
      <w:bookmarkStart w:id="205" w:name="_Toc246996357"/>
      <w:bookmarkStart w:id="206" w:name="_Toc29832"/>
      <w:bookmarkStart w:id="207" w:name="_Toc22731"/>
      <w:bookmarkStart w:id="208" w:name="_Toc29128"/>
      <w:bookmarkStart w:id="209" w:name="_Toc13880"/>
      <w:bookmarkStart w:id="210" w:name="_Toc144974858"/>
      <w:bookmarkStart w:id="211" w:name="_Toc152045789"/>
      <w:bookmarkStart w:id="212" w:name="_Toc16510"/>
      <w:bookmarkStart w:id="213" w:name="_Toc22838"/>
      <w:bookmarkStart w:id="214" w:name="_Toc2474"/>
      <w:r>
        <w:rPr>
          <w:rFonts w:hint="eastAsia" w:ascii="仿宋_GB2312" w:hAnsi="仿宋_GB2312" w:eastAsia="仿宋_GB2312" w:cs="仿宋_GB2312"/>
          <w:sz w:val="24"/>
          <w:szCs w:val="24"/>
        </w:rPr>
        <w:t>（一）投标函</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XXXXXXXXXXXX</w:t>
      </w:r>
      <w:r>
        <w:rPr>
          <w:rFonts w:hint="eastAsia" w:ascii="仿宋_GB2312" w:hAnsi="仿宋_GB2312" w:eastAsia="仿宋_GB2312" w:cs="仿宋_GB2312"/>
          <w:sz w:val="24"/>
          <w:szCs w:val="24"/>
        </w:rPr>
        <w:t>（招标人名称）：</w:t>
      </w:r>
    </w:p>
    <w:p>
      <w:pPr>
        <w:pStyle w:val="33"/>
        <w:shd w:val="clear" w:color="auto" w:fill="FFFFFF"/>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1．我方已仔细研究了</w:t>
      </w:r>
      <w:r>
        <w:rPr>
          <w:rFonts w:hint="eastAsia" w:ascii="仿宋_GB2312" w:hAnsi="仿宋_GB2312" w:eastAsia="仿宋_GB2312" w:cs="仿宋_GB2312"/>
          <w:sz w:val="24"/>
          <w:szCs w:val="24"/>
          <w:lang w:val="en-US" w:eastAsia="zh-CN"/>
        </w:rPr>
        <w:t>乌苏市古尔图镇古尔图村基层组织阵地建设项目</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的全部内容，愿意以人民币（大写）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）的投标总报价，工期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日历天，按合同约定实施和完成承包工程，修补工程中的任何缺陷，工程质量达到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2．我方承诺在</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文件规定的</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有效期内不修改、撤销</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3．随同本投标函提交</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保证金一份，金额为人民币（大写）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4．如我方中标：</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（2）随同本投标函递交的投标函附录属于合同文件的组成部分。</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（3）我方承诺按照</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规定向你方递交履约担保。</w:t>
      </w:r>
    </w:p>
    <w:p>
      <w:pPr>
        <w:spacing w:line="440" w:lineRule="exact"/>
        <w:ind w:firstLine="820" w:firstLineChars="342"/>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（4）我方承诺在合同约定的期限内完成并移交全部合同工程。</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5．我方在此声明，所递交的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及有关资料内容完整、真实和准确。</w:t>
      </w:r>
    </w:p>
    <w:p>
      <w:pPr>
        <w:spacing w:line="44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440" w:lineRule="exact"/>
        <w:outlineLvl w:val="9"/>
        <w:rPr>
          <w:rFonts w:hint="eastAsia" w:ascii="仿宋_GB2312" w:hAnsi="仿宋_GB2312" w:eastAsia="仿宋_GB2312" w:cs="仿宋_GB2312"/>
          <w:sz w:val="24"/>
          <w:szCs w:val="24"/>
        </w:rPr>
      </w:pPr>
    </w:p>
    <w:p>
      <w:pPr>
        <w:pStyle w:val="6"/>
        <w:ind w:left="0" w:leftChars="0" w:firstLine="0" w:firstLineChars="0"/>
        <w:jc w:val="both"/>
        <w:outlineLvl w:val="9"/>
        <w:rPr>
          <w:rFonts w:hint="eastAsia" w:ascii="仿宋_GB2312" w:hAnsi="仿宋_GB2312" w:eastAsia="仿宋_GB2312" w:cs="仿宋_GB2312"/>
          <w:sz w:val="24"/>
          <w:szCs w:val="24"/>
        </w:rPr>
      </w:pP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响应单位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（盖单位章）</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r>
        <w:rPr>
          <w:rFonts w:hint="eastAsia" w:ascii="仿宋_GB2312" w:hAnsi="仿宋_GB2312" w:eastAsia="仿宋_GB2312" w:cs="仿宋_GB2312"/>
          <w:sz w:val="24"/>
          <w:szCs w:val="24"/>
          <w:u w:val="single"/>
        </w:rPr>
        <w:t xml:space="preserve">                                 </w:t>
      </w:r>
    </w:p>
    <w:p>
      <w:pPr>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440" w:lineRule="exact"/>
        <w:rPr>
          <w:rFonts w:hint="eastAsia" w:ascii="仿宋_GB2312" w:hAnsi="仿宋_GB2312" w:eastAsia="仿宋_GB2312" w:cs="仿宋_GB2312"/>
          <w:sz w:val="24"/>
          <w:szCs w:val="24"/>
        </w:rPr>
      </w:pPr>
    </w:p>
    <w:p>
      <w:pPr>
        <w:spacing w:line="440" w:lineRule="exact"/>
        <w:ind w:firstLine="2400" w:firstLineChars="1000"/>
        <w:rPr>
          <w:rFonts w:hint="eastAsia" w:ascii="仿宋_GB2312" w:hAnsi="仿宋_GB2312" w:eastAsia="仿宋_GB2312" w:cs="仿宋_GB2312"/>
          <w:sz w:val="24"/>
          <w:szCs w:val="24"/>
        </w:rPr>
      </w:pPr>
      <w:bookmarkStart w:id="215" w:name="_Toc9540"/>
      <w:bookmarkStart w:id="216" w:name="_Toc246997101"/>
      <w:bookmarkStart w:id="217" w:name="_Toc4756"/>
      <w:bookmarkStart w:id="218" w:name="_Toc246996358"/>
      <w:bookmarkStart w:id="219" w:name="_Toc247085876"/>
      <w:bookmarkStart w:id="220" w:name="_Toc28905"/>
      <w:bookmarkStart w:id="221" w:name="_Toc179632810"/>
      <w:bookmarkStart w:id="222" w:name="_Toc16319"/>
      <w:bookmarkStart w:id="223" w:name="_Toc32355"/>
      <w:bookmarkStart w:id="224" w:name="_Toc23984"/>
      <w:bookmarkStart w:id="225" w:name="_Toc152042579"/>
      <w:bookmarkStart w:id="226" w:name="_Toc7031"/>
      <w:bookmarkStart w:id="227" w:name="_Toc152045790"/>
      <w:bookmarkStart w:id="228" w:name="_Toc144974859"/>
      <w:r>
        <w:rPr>
          <w:rFonts w:hint="eastAsia" w:ascii="仿宋_GB2312" w:hAnsi="仿宋_GB2312" w:eastAsia="仿宋_GB2312" w:cs="仿宋_GB2312"/>
          <w:sz w:val="24"/>
          <w:szCs w:val="24"/>
        </w:rPr>
        <w:t>（二）投标函附录</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jc w:val="center"/>
        <w:rPr>
          <w:rFonts w:hint="eastAsia" w:ascii="仿宋_GB2312" w:hAnsi="仿宋_GB2312" w:eastAsia="仿宋_GB2312" w:cs="仿宋_GB2312"/>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3257"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3765"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约定内容</w:t>
            </w:r>
          </w:p>
        </w:tc>
        <w:tc>
          <w:tcPr>
            <w:tcW w:w="1001" w:type="dxa"/>
            <w:vAlign w:val="center"/>
          </w:tcPr>
          <w:p>
            <w:pPr>
              <w:spacing w:line="44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3765" w:type="dxa"/>
            <w:vAlign w:val="center"/>
          </w:tcPr>
          <w:p>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天数：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日历天</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缺陷责任期</w:t>
            </w:r>
          </w:p>
        </w:tc>
        <w:tc>
          <w:tcPr>
            <w:tcW w:w="3765" w:type="dxa"/>
            <w:vAlign w:val="center"/>
          </w:tcPr>
          <w:p>
            <w:pPr>
              <w:spacing w:line="44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按国家规定执行</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25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765"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1" w:type="dxa"/>
            <w:vAlign w:val="center"/>
          </w:tcPr>
          <w:p>
            <w:pPr>
              <w:spacing w:line="440" w:lineRule="exact"/>
              <w:jc w:val="center"/>
              <w:rPr>
                <w:rFonts w:hint="eastAsia" w:ascii="仿宋_GB2312" w:hAnsi="仿宋_GB2312" w:eastAsia="仿宋_GB2312" w:cs="仿宋_GB2312"/>
                <w:sz w:val="24"/>
                <w:szCs w:val="24"/>
              </w:rPr>
            </w:pPr>
          </w:p>
        </w:tc>
      </w:tr>
    </w:tbl>
    <w:p>
      <w:pPr>
        <w:spacing w:line="440" w:lineRule="exact"/>
        <w:ind w:left="840" w:leftChars="400" w:firstLine="2640" w:firstLineChars="1100"/>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4"/>
        <w:numPr>
          <w:ilvl w:val="0"/>
          <w:numId w:val="0"/>
        </w:numPr>
        <w:jc w:val="center"/>
        <w:outlineLvl w:val="1"/>
        <w:rPr>
          <w:rFonts w:hint="eastAsia" w:ascii="仿宋_GB2312" w:hAnsi="仿宋_GB2312" w:eastAsia="仿宋_GB2312" w:cs="仿宋_GB2312"/>
          <w:b/>
          <w:bCs/>
          <w:sz w:val="24"/>
          <w:szCs w:val="24"/>
          <w:lang w:val="en-US" w:eastAsia="zh-CN"/>
        </w:rPr>
      </w:pPr>
      <w:bookmarkStart w:id="229" w:name="_Toc144974862"/>
      <w:bookmarkStart w:id="230" w:name="_Toc39861332"/>
      <w:bookmarkStart w:id="231" w:name="_Toc246996362"/>
      <w:bookmarkStart w:id="232" w:name="_Toc152042583"/>
      <w:bookmarkStart w:id="233" w:name="_Toc20452"/>
      <w:bookmarkStart w:id="234" w:name="_Toc152045794"/>
      <w:bookmarkStart w:id="235" w:name="_Toc246997105"/>
      <w:bookmarkStart w:id="236" w:name="_Toc31706"/>
      <w:bookmarkStart w:id="237" w:name="_Toc247085880"/>
      <w:bookmarkStart w:id="238" w:name="_Toc179632814"/>
      <w:bookmarkStart w:id="239" w:name="_Toc30047"/>
      <w:bookmarkStart w:id="240" w:name="_Toc30275"/>
      <w:r>
        <w:rPr>
          <w:rFonts w:hint="eastAsia" w:ascii="仿宋_GB2312" w:hAnsi="仿宋_GB2312" w:eastAsia="仿宋_GB2312" w:cs="仿宋_GB2312"/>
          <w:b/>
          <w:bCs/>
          <w:sz w:val="24"/>
          <w:szCs w:val="24"/>
          <w:lang w:val="en-US" w:eastAsia="zh-CN"/>
        </w:rPr>
        <w:t>三、磋商保证金</w:t>
      </w:r>
      <w:bookmarkEnd w:id="229"/>
      <w:bookmarkEnd w:id="230"/>
      <w:bookmarkEnd w:id="231"/>
      <w:bookmarkEnd w:id="232"/>
      <w:bookmarkEnd w:id="233"/>
      <w:bookmarkEnd w:id="234"/>
      <w:bookmarkEnd w:id="235"/>
      <w:bookmarkEnd w:id="236"/>
      <w:bookmarkEnd w:id="237"/>
      <w:bookmarkEnd w:id="238"/>
      <w:r>
        <w:rPr>
          <w:rFonts w:hint="eastAsia" w:ascii="仿宋_GB2312" w:hAnsi="仿宋_GB2312" w:eastAsia="仿宋_GB2312" w:cs="仿宋_GB2312"/>
          <w:b/>
          <w:bCs/>
          <w:sz w:val="24"/>
          <w:szCs w:val="24"/>
          <w:lang w:val="en-US" w:eastAsia="zh-CN"/>
        </w:rPr>
        <w:t>收据</w:t>
      </w:r>
      <w:bookmarkEnd w:id="239"/>
      <w:bookmarkEnd w:id="240"/>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6"/>
        <w:outlineLvl w:val="9"/>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rPr>
        <w:t xml:space="preserve">                 </w:t>
      </w:r>
    </w:p>
    <w:p>
      <w:pPr>
        <w:spacing w:line="440" w:lineRule="exact"/>
        <w:rPr>
          <w:rFonts w:hint="eastAsia" w:ascii="仿宋_GB2312" w:hAnsi="仿宋_GB2312" w:eastAsia="仿宋_GB2312" w:cs="仿宋_GB2312"/>
          <w:sz w:val="24"/>
          <w:szCs w:val="24"/>
        </w:rPr>
      </w:pPr>
    </w:p>
    <w:p>
      <w:pPr>
        <w:spacing w:line="440" w:lineRule="exact"/>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4"/>
        <w:numPr>
          <w:ilvl w:val="0"/>
          <w:numId w:val="0"/>
        </w:numPr>
        <w:jc w:val="center"/>
        <w:rPr>
          <w:rFonts w:hint="eastAsia" w:ascii="仿宋_GB2312" w:hAnsi="仿宋_GB2312" w:eastAsia="仿宋_GB2312" w:cs="仿宋_GB2312"/>
          <w:b/>
          <w:bCs/>
          <w:sz w:val="24"/>
          <w:szCs w:val="24"/>
        </w:rPr>
      </w:pPr>
      <w:bookmarkStart w:id="241" w:name="_Toc144974863"/>
      <w:bookmarkStart w:id="242" w:name="_Toc246996363"/>
      <w:bookmarkStart w:id="243" w:name="_Toc5899"/>
      <w:bookmarkStart w:id="244" w:name="_Toc246997106"/>
      <w:bookmarkStart w:id="245" w:name="_Toc247085881"/>
      <w:bookmarkStart w:id="246" w:name="_Toc152045795"/>
      <w:bookmarkStart w:id="247" w:name="_Toc26020"/>
      <w:bookmarkStart w:id="248" w:name="_Toc179632815"/>
      <w:bookmarkStart w:id="249" w:name="_Toc152042584"/>
      <w:bookmarkStart w:id="250" w:name="_Toc39861333"/>
      <w:bookmarkStart w:id="251" w:name="_Toc11944"/>
      <w:bookmarkStart w:id="252" w:name="_Toc22672"/>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已标价工程量清单</w:t>
      </w:r>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0"/>
        </w:numPr>
        <w:rPr>
          <w:rFonts w:hint="eastAsia" w:ascii="仿宋_GB2312" w:hAnsi="仿宋_GB2312" w:eastAsia="仿宋_GB2312" w:cs="仿宋_GB2312"/>
          <w:sz w:val="24"/>
          <w:szCs w:val="24"/>
        </w:rPr>
      </w:pPr>
    </w:p>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7"/>
        </w:numPr>
        <w:spacing w:line="440" w:lineRule="exact"/>
        <w:ind w:left="0" w:leftChars="0" w:firstLine="0" w:firstLineChars="0"/>
        <w:jc w:val="center"/>
        <w:outlineLvl w:val="1"/>
        <w:rPr>
          <w:rFonts w:hint="eastAsia" w:ascii="仿宋_GB2312" w:hAnsi="仿宋_GB2312" w:eastAsia="仿宋_GB2312" w:cs="仿宋_GB2312"/>
          <w:b/>
          <w:bCs/>
          <w:kern w:val="2"/>
          <w:sz w:val="24"/>
          <w:szCs w:val="24"/>
          <w:lang w:val="en-US" w:eastAsia="zh-CN" w:bidi="ar-SA"/>
        </w:rPr>
      </w:pPr>
      <w:bookmarkStart w:id="253" w:name="_Toc4835"/>
      <w:r>
        <w:rPr>
          <w:rFonts w:hint="eastAsia" w:ascii="仿宋_GB2312" w:hAnsi="仿宋_GB2312" w:eastAsia="仿宋_GB2312" w:cs="仿宋_GB2312"/>
          <w:b/>
          <w:bCs/>
          <w:kern w:val="2"/>
          <w:sz w:val="24"/>
          <w:szCs w:val="24"/>
          <w:lang w:val="en-US" w:eastAsia="zh-CN" w:bidi="ar-SA"/>
        </w:rPr>
        <w:t>技术标投标格式</w:t>
      </w:r>
      <w:bookmarkEnd w:id="253"/>
    </w:p>
    <w:p>
      <w:pPr>
        <w:numPr>
          <w:ilvl w:val="0"/>
          <w:numId w:val="0"/>
        </w:numPr>
        <w:ind w:leftChars="0"/>
        <w:jc w:val="both"/>
        <w:outlineLvl w:val="9"/>
        <w:rPr>
          <w:rFonts w:hint="eastAsia" w:ascii="仿宋_GB2312" w:hAnsi="仿宋_GB2312" w:eastAsia="仿宋_GB2312" w:cs="仿宋_GB2312"/>
          <w:sz w:val="24"/>
          <w:szCs w:val="24"/>
          <w:lang w:val="en-US" w:eastAsia="zh-CN"/>
        </w:rPr>
      </w:pPr>
    </w:p>
    <w:p>
      <w:pPr>
        <w:spacing w:line="4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响应文件</w:t>
      </w:r>
      <w:r>
        <w:rPr>
          <w:rFonts w:hint="eastAsia" w:ascii="仿宋_GB2312" w:hAnsi="仿宋_GB2312" w:eastAsia="仿宋_GB2312" w:cs="仿宋_GB2312"/>
          <w:b/>
          <w:bCs/>
          <w:sz w:val="24"/>
          <w:szCs w:val="24"/>
        </w:rPr>
        <w:t>须按技术标格式目录顺序编写</w:t>
      </w:r>
    </w:p>
    <w:p>
      <w:pPr>
        <w:spacing w:line="440" w:lineRule="exact"/>
        <w:ind w:firstLine="241" w:firstLineChars="100"/>
        <w:rPr>
          <w:rFonts w:hint="eastAsia" w:ascii="仿宋_GB2312" w:hAnsi="仿宋_GB2312" w:eastAsia="仿宋_GB2312" w:cs="仿宋_GB2312"/>
          <w:b/>
          <w:sz w:val="24"/>
          <w:szCs w:val="24"/>
        </w:rPr>
      </w:pPr>
      <w:bookmarkStart w:id="254" w:name="_Toc26900"/>
      <w:bookmarkStart w:id="255" w:name="_Toc152042592"/>
      <w:bookmarkStart w:id="256" w:name="_Toc144974871"/>
      <w:bookmarkStart w:id="257" w:name="_Toc179632823"/>
      <w:bookmarkStart w:id="258" w:name="_Toc246996369"/>
      <w:bookmarkStart w:id="259" w:name="_Toc246997112"/>
      <w:bookmarkStart w:id="260" w:name="_Toc152045803"/>
      <w:bookmarkStart w:id="261" w:name="_Toc247085887"/>
      <w:bookmarkStart w:id="262" w:name="_Toc39861335"/>
      <w:r>
        <w:rPr>
          <w:rFonts w:hint="eastAsia" w:ascii="仿宋_GB2312" w:hAnsi="仿宋_GB2312" w:eastAsia="仿宋_GB2312" w:cs="仿宋_GB2312"/>
          <w:b/>
          <w:sz w:val="24"/>
          <w:szCs w:val="24"/>
        </w:rPr>
        <w:t>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1.全面性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1.1工程概况、施工组织方案；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1.2施工机械设备、劳动力投入计划；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1.3质量、工期、投资控制方案；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1.4文明施工措施；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1.5施工总进度计划（附图）；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1.6施工现场平面布置（附图）；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2.1施工措施及计划；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2.2施工现场流水段的划分；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2.3施工现场流水作业；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2.4施工现场交叉作业；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2.5施工现场机具配置和布置；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３.针对性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3.1施工的重点和关键部位处理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3.2质保体系；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３.3安保体系；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３.4创优措施；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３.5安全措施；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３.6文明施工和防止扰民措施。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４.先进性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４.1采用的新工艺、新技术、新设备；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36" w:leftChars="684"/>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４.2在确保工程质量前提下，有降低成本、缩短工期、减轻劳动强度、提高进度的方案；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４.3在执行国家强制性条文前提下体现施工的先进性措施。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５.强制性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５.1防治质量通病的措施；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５.2行国家强制性条文的保证措施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６.1保修承诺和违约经济处罚承诺；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６.2工程质量争优承诺及保证质量措施。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ind w:firstLine="616" w:firstLineChars="257"/>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 xml:space="preserve">       注：</w:t>
      </w:r>
      <w:r>
        <w:rPr>
          <w:rFonts w:hint="eastAsia" w:ascii="仿宋_GB2312" w:hAnsi="仿宋_GB2312" w:eastAsia="仿宋_GB2312" w:cs="仿宋_GB2312"/>
          <w:kern w:val="0"/>
          <w:sz w:val="24"/>
          <w:szCs w:val="24"/>
          <w:lang w:eastAsia="zh-CN"/>
        </w:rPr>
        <w:t>响应文件</w:t>
      </w:r>
      <w:r>
        <w:rPr>
          <w:rFonts w:hint="eastAsia" w:ascii="仿宋_GB2312" w:hAnsi="仿宋_GB2312" w:eastAsia="仿宋_GB2312" w:cs="仿宋_GB2312"/>
          <w:kern w:val="0"/>
          <w:sz w:val="24"/>
          <w:szCs w:val="24"/>
        </w:rPr>
        <w:t>须按技术标格式目录顺序编写</w:t>
      </w: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bookmarkStart w:id="263" w:name="_Toc23758"/>
      <w:bookmarkStart w:id="264" w:name="_Toc19180"/>
      <w:bookmarkStart w:id="265" w:name="_Toc18537"/>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六、项目管理机构</w:t>
      </w:r>
      <w:bookmarkEnd w:id="254"/>
      <w:bookmarkEnd w:id="255"/>
      <w:bookmarkEnd w:id="256"/>
      <w:bookmarkEnd w:id="257"/>
      <w:bookmarkEnd w:id="258"/>
      <w:bookmarkEnd w:id="259"/>
      <w:bookmarkEnd w:id="260"/>
      <w:bookmarkEnd w:id="261"/>
      <w:bookmarkEnd w:id="262"/>
      <w:bookmarkEnd w:id="263"/>
      <w:bookmarkEnd w:id="264"/>
      <w:bookmarkEnd w:id="265"/>
    </w:p>
    <w:p>
      <w:pPr>
        <w:jc w:val="center"/>
        <w:outlineLvl w:val="9"/>
        <w:rPr>
          <w:rFonts w:hint="eastAsia" w:ascii="仿宋_GB2312" w:hAnsi="仿宋_GB2312" w:eastAsia="仿宋_GB2312" w:cs="仿宋_GB2312"/>
          <w:sz w:val="24"/>
          <w:szCs w:val="24"/>
        </w:rPr>
      </w:pPr>
      <w:bookmarkStart w:id="266" w:name="_Toc246997113"/>
      <w:bookmarkStart w:id="267" w:name="_Toc152045804"/>
      <w:bookmarkStart w:id="268" w:name="_Toc246996370"/>
      <w:bookmarkStart w:id="269" w:name="_Toc144974872"/>
      <w:bookmarkStart w:id="270" w:name="_Toc2909"/>
      <w:bookmarkStart w:id="271" w:name="_Toc31712"/>
      <w:bookmarkStart w:id="272" w:name="_Toc10712"/>
      <w:bookmarkStart w:id="273" w:name="_Toc9651"/>
      <w:bookmarkStart w:id="274" w:name="_Toc471"/>
      <w:bookmarkStart w:id="275" w:name="_Toc13266"/>
      <w:bookmarkStart w:id="276" w:name="_Toc179632824"/>
      <w:bookmarkStart w:id="277" w:name="_Toc28283"/>
      <w:bookmarkStart w:id="278" w:name="_Toc152042593"/>
      <w:bookmarkStart w:id="279" w:name="_Toc247085888"/>
      <w:r>
        <w:rPr>
          <w:rFonts w:hint="eastAsia" w:ascii="仿宋_GB2312" w:hAnsi="仿宋_GB2312" w:eastAsia="仿宋_GB2312" w:cs="仿宋_GB2312"/>
          <w:sz w:val="24"/>
          <w:szCs w:val="24"/>
        </w:rPr>
        <w:t>（一）项目管理机构组成表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440" w:lineRule="exact"/>
        <w:jc w:val="center"/>
        <w:rPr>
          <w:rFonts w:hint="eastAsia" w:ascii="仿宋_GB2312" w:hAnsi="仿宋_GB2312" w:eastAsia="仿宋_GB2312" w:cs="仿宋_GB2312"/>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721"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719" w:type="dxa"/>
            <w:vMerge w:val="restart"/>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5763" w:type="dxa"/>
            <w:gridSpan w:val="5"/>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执业或职业资格证明</w:t>
            </w:r>
          </w:p>
        </w:tc>
        <w:tc>
          <w:tcPr>
            <w:tcW w:w="672"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_GB2312" w:hAnsi="仿宋_GB2312" w:eastAsia="仿宋_GB2312" w:cs="仿宋_GB2312"/>
                <w:sz w:val="24"/>
                <w:szCs w:val="24"/>
              </w:rPr>
            </w:pPr>
          </w:p>
        </w:tc>
        <w:tc>
          <w:tcPr>
            <w:tcW w:w="721" w:type="dxa"/>
            <w:vMerge w:val="continue"/>
            <w:vAlign w:val="center"/>
          </w:tcPr>
          <w:p>
            <w:pPr>
              <w:spacing w:line="440" w:lineRule="exact"/>
              <w:jc w:val="center"/>
              <w:rPr>
                <w:rFonts w:hint="eastAsia" w:ascii="仿宋_GB2312" w:hAnsi="仿宋_GB2312" w:eastAsia="仿宋_GB2312" w:cs="仿宋_GB2312"/>
                <w:sz w:val="24"/>
                <w:szCs w:val="24"/>
              </w:rPr>
            </w:pPr>
          </w:p>
        </w:tc>
        <w:tc>
          <w:tcPr>
            <w:tcW w:w="719" w:type="dxa"/>
            <w:vMerge w:val="continue"/>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证书名称</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级别</w:t>
            </w:r>
          </w:p>
        </w:tc>
        <w:tc>
          <w:tcPr>
            <w:tcW w:w="721"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证号</w:t>
            </w:r>
          </w:p>
        </w:tc>
        <w:tc>
          <w:tcPr>
            <w:tcW w:w="719"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2523"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社保</w:t>
            </w: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108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721" w:type="dxa"/>
            <w:vAlign w:val="center"/>
          </w:tcPr>
          <w:p>
            <w:pPr>
              <w:spacing w:line="440" w:lineRule="exact"/>
              <w:jc w:val="center"/>
              <w:rPr>
                <w:rFonts w:hint="eastAsia" w:ascii="仿宋_GB2312" w:hAnsi="仿宋_GB2312" w:eastAsia="仿宋_GB2312" w:cs="仿宋_GB2312"/>
                <w:sz w:val="24"/>
                <w:szCs w:val="24"/>
              </w:rPr>
            </w:pPr>
          </w:p>
        </w:tc>
        <w:tc>
          <w:tcPr>
            <w:tcW w:w="719" w:type="dxa"/>
            <w:vAlign w:val="center"/>
          </w:tcPr>
          <w:p>
            <w:pPr>
              <w:spacing w:line="440" w:lineRule="exact"/>
              <w:jc w:val="center"/>
              <w:rPr>
                <w:rFonts w:hint="eastAsia" w:ascii="仿宋_GB2312" w:hAnsi="仿宋_GB2312" w:eastAsia="仿宋_GB2312" w:cs="仿宋_GB2312"/>
                <w:sz w:val="24"/>
                <w:szCs w:val="24"/>
              </w:rPr>
            </w:pPr>
          </w:p>
        </w:tc>
        <w:tc>
          <w:tcPr>
            <w:tcW w:w="2523" w:type="dxa"/>
            <w:vAlign w:val="center"/>
          </w:tcPr>
          <w:p>
            <w:pPr>
              <w:spacing w:line="440" w:lineRule="exact"/>
              <w:jc w:val="center"/>
              <w:rPr>
                <w:rFonts w:hint="eastAsia" w:ascii="仿宋_GB2312" w:hAnsi="仿宋_GB2312" w:eastAsia="仿宋_GB2312" w:cs="仿宋_GB2312"/>
                <w:sz w:val="24"/>
                <w:szCs w:val="24"/>
              </w:rPr>
            </w:pPr>
          </w:p>
        </w:tc>
        <w:tc>
          <w:tcPr>
            <w:tcW w:w="672" w:type="dxa"/>
            <w:vAlign w:val="center"/>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108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721" w:type="dxa"/>
          </w:tcPr>
          <w:p>
            <w:pPr>
              <w:spacing w:line="440" w:lineRule="exact"/>
              <w:jc w:val="center"/>
              <w:rPr>
                <w:rFonts w:hint="eastAsia" w:ascii="仿宋_GB2312" w:hAnsi="仿宋_GB2312" w:eastAsia="仿宋_GB2312" w:cs="仿宋_GB2312"/>
                <w:sz w:val="24"/>
                <w:szCs w:val="24"/>
              </w:rPr>
            </w:pPr>
          </w:p>
        </w:tc>
        <w:tc>
          <w:tcPr>
            <w:tcW w:w="719" w:type="dxa"/>
          </w:tcPr>
          <w:p>
            <w:pPr>
              <w:spacing w:line="440" w:lineRule="exact"/>
              <w:jc w:val="center"/>
              <w:rPr>
                <w:rFonts w:hint="eastAsia" w:ascii="仿宋_GB2312" w:hAnsi="仿宋_GB2312" w:eastAsia="仿宋_GB2312" w:cs="仿宋_GB2312"/>
                <w:sz w:val="24"/>
                <w:szCs w:val="24"/>
              </w:rPr>
            </w:pPr>
          </w:p>
        </w:tc>
        <w:tc>
          <w:tcPr>
            <w:tcW w:w="2523" w:type="dxa"/>
          </w:tcPr>
          <w:p>
            <w:pPr>
              <w:spacing w:line="440" w:lineRule="exact"/>
              <w:jc w:val="center"/>
              <w:rPr>
                <w:rFonts w:hint="eastAsia" w:ascii="仿宋_GB2312" w:hAnsi="仿宋_GB2312" w:eastAsia="仿宋_GB2312" w:cs="仿宋_GB2312"/>
                <w:sz w:val="24"/>
                <w:szCs w:val="24"/>
              </w:rPr>
            </w:pPr>
          </w:p>
        </w:tc>
        <w:tc>
          <w:tcPr>
            <w:tcW w:w="672" w:type="dxa"/>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p>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jc w:val="center"/>
        <w:outlineLvl w:val="9"/>
        <w:rPr>
          <w:rFonts w:hint="eastAsia" w:ascii="仿宋_GB2312" w:hAnsi="仿宋_GB2312" w:eastAsia="仿宋_GB2312" w:cs="仿宋_GB2312"/>
          <w:sz w:val="24"/>
          <w:szCs w:val="24"/>
        </w:rPr>
      </w:pPr>
      <w:bookmarkStart w:id="280" w:name="_Toc27260"/>
      <w:bookmarkStart w:id="281" w:name="_Toc179632825"/>
      <w:bookmarkStart w:id="282" w:name="_Toc25807"/>
      <w:bookmarkStart w:id="283" w:name="_Toc152042594"/>
      <w:bookmarkStart w:id="284" w:name="_Toc12165"/>
      <w:bookmarkStart w:id="285" w:name="_Toc25883"/>
      <w:bookmarkStart w:id="286" w:name="_Toc144974873"/>
      <w:bookmarkStart w:id="287" w:name="_Toc246996371"/>
      <w:bookmarkStart w:id="288" w:name="_Toc10443"/>
      <w:bookmarkStart w:id="289" w:name="_Toc247085889"/>
      <w:bookmarkStart w:id="290" w:name="_Toc246997114"/>
      <w:bookmarkStart w:id="291" w:name="_Toc11976"/>
      <w:bookmarkStart w:id="292" w:name="_Toc152045805"/>
      <w:bookmarkStart w:id="293" w:name="_Toc26724"/>
      <w:r>
        <w:rPr>
          <w:rFonts w:hint="eastAsia" w:ascii="仿宋_GB2312" w:hAnsi="仿宋_GB2312" w:eastAsia="仿宋_GB2312" w:cs="仿宋_GB2312"/>
          <w:sz w:val="24"/>
          <w:szCs w:val="24"/>
        </w:rPr>
        <w:t>（二）项目经理简历表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应附注册建造师执业资格证书、身份证、职称证、学历证、</w:t>
      </w:r>
      <w:r>
        <w:rPr>
          <w:rFonts w:hint="eastAsia" w:ascii="仿宋_GB2312" w:hAnsi="仿宋_GB2312" w:eastAsia="仿宋_GB2312" w:cs="仿宋_GB2312"/>
          <w:sz w:val="24"/>
          <w:szCs w:val="24"/>
          <w:lang w:eastAsia="zh-CN"/>
        </w:rPr>
        <w:t>社保</w:t>
      </w:r>
      <w:r>
        <w:rPr>
          <w:rFonts w:hint="eastAsia" w:ascii="仿宋_GB2312" w:hAnsi="仿宋_GB2312" w:eastAsia="仿宋_GB2312" w:cs="仿宋_GB2312"/>
          <w:sz w:val="24"/>
          <w:szCs w:val="24"/>
        </w:rPr>
        <w:t>复印件，管理过的项目业绩</w:t>
      </w:r>
      <w:r>
        <w:rPr>
          <w:rFonts w:hint="eastAsia" w:ascii="仿宋_GB2312" w:hAnsi="仿宋_GB2312" w:eastAsia="仿宋_GB2312" w:cs="仿宋_GB2312"/>
          <w:sz w:val="24"/>
          <w:szCs w:val="24"/>
          <w:lang w:val="en-US" w:eastAsia="zh-CN"/>
        </w:rPr>
        <w:t>（若有时）</w:t>
      </w:r>
      <w:r>
        <w:rPr>
          <w:rFonts w:hint="eastAsia" w:ascii="仿宋_GB2312" w:hAnsi="仿宋_GB2312" w:eastAsia="仿宋_GB2312" w:cs="仿宋_GB2312"/>
          <w:sz w:val="24"/>
          <w:szCs w:val="24"/>
        </w:rPr>
        <w:t>须附合同协议书复印件。</w:t>
      </w:r>
    </w:p>
    <w:p>
      <w:pPr>
        <w:topLinePunct/>
        <w:spacing w:line="440" w:lineRule="exact"/>
        <w:jc w:val="center"/>
        <w:rPr>
          <w:rFonts w:hint="eastAsia" w:ascii="仿宋_GB2312" w:hAnsi="仿宋_GB2312" w:eastAsia="仿宋_GB2312" w:cs="仿宋_GB2312"/>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称</w:t>
            </w:r>
          </w:p>
        </w:tc>
        <w:tc>
          <w:tcPr>
            <w:tcW w:w="1079" w:type="dxa"/>
            <w:gridSpan w:val="2"/>
            <w:vAlign w:val="center"/>
          </w:tcPr>
          <w:p>
            <w:pPr>
              <w:spacing w:line="440" w:lineRule="exact"/>
              <w:jc w:val="center"/>
              <w:rPr>
                <w:rFonts w:hint="eastAsia" w:ascii="仿宋_GB2312" w:hAnsi="仿宋_GB2312" w:eastAsia="仿宋_GB2312" w:cs="仿宋_GB2312"/>
                <w:sz w:val="24"/>
                <w:szCs w:val="24"/>
              </w:rPr>
            </w:pPr>
          </w:p>
        </w:tc>
        <w:tc>
          <w:tcPr>
            <w:tcW w:w="927" w:type="dxa"/>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1065" w:type="dxa"/>
            <w:vAlign w:val="center"/>
          </w:tcPr>
          <w:p>
            <w:pPr>
              <w:spacing w:line="440" w:lineRule="exact"/>
              <w:jc w:val="center"/>
              <w:rPr>
                <w:rFonts w:hint="eastAsia" w:ascii="仿宋_GB2312" w:hAnsi="仿宋_GB2312" w:eastAsia="仿宋_GB2312" w:cs="仿宋_GB2312"/>
                <w:sz w:val="24"/>
                <w:szCs w:val="24"/>
              </w:rPr>
            </w:pPr>
          </w:p>
        </w:tc>
        <w:tc>
          <w:tcPr>
            <w:tcW w:w="2130" w:type="dxa"/>
            <w:gridSpan w:val="3"/>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拟在本合同任职</w:t>
            </w:r>
          </w:p>
        </w:tc>
        <w:tc>
          <w:tcPr>
            <w:tcW w:w="2135" w:type="dxa"/>
            <w:vAlign w:val="center"/>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7336" w:type="dxa"/>
            <w:gridSpan w:val="8"/>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3420" w:type="dxa"/>
            <w:gridSpan w:val="4"/>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参加过的类似项目</w:t>
            </w:r>
          </w:p>
        </w:tc>
        <w:tc>
          <w:tcPr>
            <w:tcW w:w="1261" w:type="dxa"/>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担任职务</w:t>
            </w:r>
          </w:p>
        </w:tc>
        <w:tc>
          <w:tcPr>
            <w:tcW w:w="2296" w:type="dxa"/>
            <w:gridSpan w:val="2"/>
            <w:vAlign w:val="center"/>
          </w:tcPr>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_GB2312" w:hAnsi="仿宋_GB2312" w:eastAsia="仿宋_GB2312" w:cs="仿宋_GB2312"/>
                <w:sz w:val="24"/>
                <w:szCs w:val="24"/>
              </w:rPr>
            </w:pPr>
          </w:p>
        </w:tc>
        <w:tc>
          <w:tcPr>
            <w:tcW w:w="3420" w:type="dxa"/>
            <w:gridSpan w:val="4"/>
          </w:tcPr>
          <w:p>
            <w:pPr>
              <w:spacing w:line="440" w:lineRule="exact"/>
              <w:rPr>
                <w:rFonts w:hint="eastAsia" w:ascii="仿宋_GB2312" w:hAnsi="仿宋_GB2312" w:eastAsia="仿宋_GB2312" w:cs="仿宋_GB2312"/>
                <w:sz w:val="24"/>
                <w:szCs w:val="24"/>
              </w:rPr>
            </w:pPr>
          </w:p>
        </w:tc>
        <w:tc>
          <w:tcPr>
            <w:tcW w:w="1261" w:type="dxa"/>
          </w:tcPr>
          <w:p>
            <w:pPr>
              <w:spacing w:line="440" w:lineRule="exact"/>
              <w:rPr>
                <w:rFonts w:hint="eastAsia" w:ascii="仿宋_GB2312" w:hAnsi="仿宋_GB2312" w:eastAsia="仿宋_GB2312" w:cs="仿宋_GB2312"/>
                <w:sz w:val="24"/>
                <w:szCs w:val="24"/>
              </w:rPr>
            </w:pPr>
          </w:p>
        </w:tc>
        <w:tc>
          <w:tcPr>
            <w:tcW w:w="2296" w:type="dxa"/>
            <w:gridSpan w:val="2"/>
          </w:tcPr>
          <w:p>
            <w:pPr>
              <w:spacing w:line="440" w:lineRule="exact"/>
              <w:rPr>
                <w:rFonts w:hint="eastAsia" w:ascii="仿宋_GB2312" w:hAnsi="仿宋_GB2312" w:eastAsia="仿宋_GB2312" w:cs="仿宋_GB2312"/>
                <w:sz w:val="24"/>
                <w:szCs w:val="24"/>
              </w:rPr>
            </w:pPr>
          </w:p>
        </w:tc>
      </w:tr>
    </w:tbl>
    <w:p>
      <w:pPr>
        <w:topLinePunct/>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spacing w:line="440" w:lineRule="exact"/>
        <w:ind w:leftChars="0"/>
        <w:jc w:val="center"/>
        <w:outlineLvl w:val="1"/>
        <w:rPr>
          <w:rFonts w:hint="eastAsia" w:ascii="仿宋_GB2312" w:hAnsi="仿宋_GB2312" w:eastAsia="仿宋_GB2312" w:cs="仿宋_GB2312"/>
          <w:b/>
          <w:bCs/>
          <w:kern w:val="2"/>
          <w:sz w:val="24"/>
          <w:szCs w:val="24"/>
          <w:lang w:val="en-US" w:eastAsia="zh-CN" w:bidi="ar-SA"/>
        </w:rPr>
      </w:pPr>
      <w:bookmarkStart w:id="294" w:name="_Toc247085890"/>
      <w:bookmarkStart w:id="295" w:name="_Toc152045807"/>
      <w:bookmarkStart w:id="296" w:name="_Toc246997115"/>
      <w:bookmarkStart w:id="297" w:name="_Toc27490"/>
      <w:bookmarkStart w:id="298" w:name="_Toc3069"/>
      <w:bookmarkStart w:id="299" w:name="_Toc3489"/>
      <w:bookmarkStart w:id="300" w:name="_Toc152042596"/>
      <w:bookmarkStart w:id="301" w:name="_Toc144974875"/>
      <w:bookmarkStart w:id="302" w:name="_Toc39861336"/>
      <w:bookmarkStart w:id="303" w:name="_Toc179632827"/>
      <w:bookmarkStart w:id="304" w:name="_Toc246996372"/>
      <w:bookmarkStart w:id="305" w:name="_Toc3507"/>
      <w:r>
        <w:rPr>
          <w:rFonts w:hint="eastAsia" w:ascii="仿宋_GB2312" w:hAnsi="仿宋_GB2312" w:eastAsia="仿宋_GB2312" w:cs="仿宋_GB2312"/>
          <w:b/>
          <w:bCs/>
          <w:kern w:val="2"/>
          <w:sz w:val="24"/>
          <w:szCs w:val="24"/>
          <w:lang w:val="en-US" w:eastAsia="zh-CN" w:bidi="ar-SA"/>
        </w:rPr>
        <w:t>七、资格审查资料</w:t>
      </w:r>
      <w:bookmarkEnd w:id="294"/>
      <w:bookmarkEnd w:id="295"/>
      <w:bookmarkEnd w:id="296"/>
      <w:bookmarkEnd w:id="297"/>
      <w:bookmarkEnd w:id="298"/>
      <w:bookmarkEnd w:id="299"/>
      <w:bookmarkEnd w:id="300"/>
      <w:bookmarkEnd w:id="301"/>
      <w:bookmarkEnd w:id="302"/>
      <w:bookmarkEnd w:id="303"/>
      <w:bookmarkEnd w:id="304"/>
      <w:bookmarkEnd w:id="305"/>
    </w:p>
    <w:p>
      <w:pPr>
        <w:pStyle w:val="18"/>
        <w:ind w:firstLine="482" w:firstLineChars="20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（1）有效的营业执照及建筑工程施工总承包三级及以上资质或复印件（加盖公章）；具备施工企业安全生产许可证件或复印件（加盖公章）；</w:t>
      </w:r>
    </w:p>
    <w:p>
      <w:pPr>
        <w:pStyle w:val="18"/>
        <w:ind w:firstLine="482" w:firstLineChars="200"/>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kern w:val="2"/>
          <w:sz w:val="24"/>
          <w:szCs w:val="24"/>
          <w:lang w:val="en-US" w:eastAsia="zh-CN" w:bidi="ar-SA"/>
        </w:rPr>
        <w:t>工程项目负责人具备建筑工程二级及以上执业资格，具备有效的安全生产考核合格证书。</w:t>
      </w:r>
    </w:p>
    <w:p>
      <w:pPr>
        <w:pStyle w:val="18"/>
        <w:rPr>
          <w:rFonts w:hint="eastAsia" w:ascii="仿宋_GB2312" w:hAnsi="仿宋_GB2312" w:eastAsia="仿宋_GB2312" w:cs="仿宋_GB2312"/>
          <w:sz w:val="24"/>
          <w:szCs w:val="24"/>
          <w:lang w:val="en-US" w:eastAsia="zh-CN"/>
        </w:rPr>
      </w:pPr>
    </w:p>
    <w:p>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sz w:val="24"/>
          <w:szCs w:val="24"/>
          <w:lang w:val="en-US" w:eastAsia="zh-CN"/>
        </w:rPr>
        <w:t>2-1</w:t>
      </w:r>
      <w:r>
        <w:rPr>
          <w:rFonts w:hint="eastAsia" w:ascii="仿宋_GB2312" w:hAnsi="仿宋_GB2312" w:eastAsia="仿宋_GB2312" w:cs="仿宋_GB2312"/>
          <w:b/>
          <w:sz w:val="24"/>
          <w:szCs w:val="24"/>
        </w:rPr>
        <w:t>法定代表人身份证明书</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企业类型：</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    址：</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营业期限：</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职务：</w:t>
      </w:r>
      <w:r>
        <w:rPr>
          <w:rFonts w:hint="eastAsia" w:ascii="仿宋_GB2312" w:hAnsi="仿宋_GB2312" w:eastAsia="仿宋_GB2312" w:cs="仿宋_GB2312"/>
          <w:sz w:val="24"/>
          <w:szCs w:val="24"/>
          <w:u w:val="single"/>
        </w:rPr>
        <w:t xml:space="preserve">        </w:t>
      </w:r>
    </w:p>
    <w:p>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系 </w:t>
      </w:r>
      <w:r>
        <w:rPr>
          <w:rFonts w:hint="eastAsia" w:ascii="仿宋_GB2312" w:hAnsi="仿宋_GB2312" w:eastAsia="仿宋_GB2312" w:cs="仿宋_GB2312"/>
          <w:sz w:val="24"/>
          <w:szCs w:val="24"/>
          <w:u w:val="single"/>
        </w:rPr>
        <w:t xml:space="preserve">         （响应单位名称）               </w:t>
      </w:r>
      <w:r>
        <w:rPr>
          <w:rFonts w:hint="eastAsia" w:ascii="仿宋_GB2312" w:hAnsi="仿宋_GB2312" w:eastAsia="仿宋_GB2312" w:cs="仿宋_GB2312"/>
          <w:sz w:val="24"/>
          <w:szCs w:val="24"/>
        </w:rPr>
        <w:t>的法定代表人。</w:t>
      </w:r>
    </w:p>
    <w:p>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spacing w:line="360" w:lineRule="auto"/>
        <w:ind w:firstLine="6600" w:firstLineChars="27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备注：附法定代表人身份证复印件</w:t>
      </w: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pStyle w:val="16"/>
        <w:ind w:firstLine="482"/>
        <w:rPr>
          <w:rFonts w:hint="eastAsia" w:ascii="仿宋_GB2312" w:hAnsi="仿宋_GB2312" w:eastAsia="仿宋_GB2312" w:cs="仿宋_GB2312"/>
          <w:b/>
          <w:sz w:val="24"/>
          <w:szCs w:val="24"/>
        </w:rPr>
      </w:pPr>
    </w:p>
    <w:p>
      <w:pPr>
        <w:rPr>
          <w:rFonts w:hint="eastAsia" w:ascii="仿宋_GB2312" w:hAnsi="仿宋_GB2312" w:eastAsia="仿宋_GB2312" w:cs="仿宋_GB2312"/>
          <w:sz w:val="24"/>
          <w:szCs w:val="24"/>
        </w:rPr>
      </w:pPr>
    </w:p>
    <w:p>
      <w:pPr>
        <w:pStyle w:val="16"/>
        <w:rPr>
          <w:rFonts w:hint="eastAsia" w:ascii="仿宋_GB2312" w:hAnsi="仿宋_GB2312" w:eastAsia="仿宋_GB2312" w:cs="仿宋_GB2312"/>
          <w:b/>
          <w:sz w:val="24"/>
          <w:szCs w:val="24"/>
        </w:rPr>
      </w:pPr>
    </w:p>
    <w:p>
      <w:pPr>
        <w:pStyle w:val="16"/>
        <w:ind w:firstLine="482"/>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2-2</w:t>
      </w:r>
      <w:r>
        <w:rPr>
          <w:rFonts w:hint="eastAsia" w:ascii="仿宋_GB2312" w:hAnsi="仿宋_GB2312" w:eastAsia="仿宋_GB2312" w:cs="仿宋_GB2312"/>
          <w:b/>
          <w:sz w:val="24"/>
          <w:szCs w:val="24"/>
        </w:rPr>
        <w:t>法定代表人授权书格式</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日签字生效，特此声明。</w:t>
      </w:r>
    </w:p>
    <w:p>
      <w:pPr>
        <w:spacing w:line="360" w:lineRule="auto"/>
        <w:ind w:firstLine="48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法定代表人身份证正反面复印件</w:t>
            </w:r>
          </w:p>
        </w:tc>
        <w:tc>
          <w:tcPr>
            <w:tcW w:w="4085" w:type="dxa"/>
            <w:noWrap w:val="0"/>
            <w:vAlign w:val="top"/>
          </w:tcPr>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p>
          <w:p>
            <w:pPr>
              <w:spacing w:line="440" w:lineRule="exact"/>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委托代理人身份证正反面复印件</w:t>
            </w:r>
          </w:p>
        </w:tc>
      </w:tr>
    </w:tbl>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6009" w:firstLineChars="2504"/>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bCs/>
          <w:sz w:val="24"/>
          <w:szCs w:val="24"/>
        </w:rPr>
      </w:pPr>
    </w:p>
    <w:p>
      <w:pPr>
        <w:spacing w:line="360" w:lineRule="auto"/>
        <w:ind w:firstLine="48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授权日期：年 月 日</w:t>
      </w:r>
    </w:p>
    <w:p>
      <w:pPr>
        <w:spacing w:line="360" w:lineRule="auto"/>
        <w:ind w:firstLine="482"/>
        <w:rPr>
          <w:rFonts w:hint="eastAsia" w:ascii="仿宋_GB2312" w:hAnsi="仿宋_GB2312" w:eastAsia="仿宋_GB2312" w:cs="仿宋_GB2312"/>
          <w:b/>
          <w:sz w:val="24"/>
          <w:szCs w:val="24"/>
        </w:rPr>
      </w:pPr>
    </w:p>
    <w:p>
      <w:pPr>
        <w:spacing w:line="360" w:lineRule="auto"/>
        <w:ind w:firstLine="48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注：1、法定代表人本人作为公司代理人前来参加竞争性磋商的供应商，可不提供此项证明文件。</w:t>
      </w:r>
    </w:p>
    <w:p>
      <w:pPr>
        <w:spacing w:line="360" w:lineRule="auto"/>
        <w:ind w:firstLine="48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2、授权书上须附有法定代表人和委托代理人的居民身份证复印件，否则视为无效。</w:t>
      </w: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（3）供应商须提供</w:t>
      </w:r>
      <w:r>
        <w:rPr>
          <w:rFonts w:hint="eastAsia" w:ascii="仿宋_GB2312" w:hAnsi="仿宋_GB2312" w:eastAsia="仿宋_GB2312" w:cs="仿宋_GB2312"/>
          <w:b/>
          <w:sz w:val="24"/>
          <w:szCs w:val="24"/>
          <w:lang w:val="en-US" w:eastAsia="zh-CN"/>
        </w:rPr>
        <w:t>2021年或2022</w:t>
      </w:r>
      <w:r>
        <w:rPr>
          <w:rFonts w:hint="eastAsia" w:ascii="仿宋_GB2312" w:hAnsi="仿宋_GB2312" w:eastAsia="仿宋_GB2312" w:cs="仿宋_GB2312"/>
          <w:b/>
          <w:sz w:val="24"/>
          <w:szCs w:val="24"/>
        </w:rPr>
        <w:t>年度完整的财务审计报告复印件，并加盖供应商公章。如供应商无法提供审计报告，则须提供银行出具的资信证明。</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1）供应商须提供银行出具的资信证明原件（成立一年内的公司可提交验资证明复印件并加盖供应商公章）；</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2）银行资信证明应能说明该供应商与银行之间业务往来正常，企业信誉良好等；</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3）银行出具的存款证明不能替代银行资信证明，存款证明无效。</w:t>
      </w:r>
    </w:p>
    <w:p>
      <w:pP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w:t>
      </w:r>
    </w:p>
    <w:p>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（4）具备履行合同所必需的设备和专业技术能力证明材料（格式自拟）</w:t>
      </w: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（5）有依法缴纳税收和社会保障资金的良好记录</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_GB2312" w:hAnsi="仿宋_GB2312" w:eastAsia="仿宋_GB2312" w:cs="仿宋_GB2312"/>
          <w:sz w:val="24"/>
          <w:szCs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注：依法不需要缴纳社会保障资金的供应商，须提供相应文件证明其依法不需要缴纳社会保障资金。</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w:t>
      </w:r>
      <w:r>
        <w:rPr>
          <w:rFonts w:hint="eastAsia" w:ascii="仿宋_GB2312" w:hAnsi="仿宋_GB2312" w:eastAsia="仿宋_GB2312" w:cs="仿宋_GB2312"/>
          <w:sz w:val="24"/>
          <w:szCs w:val="24"/>
          <w:highlight w:val="white"/>
        </w:rPr>
        <w:t>提供开标</w:t>
      </w:r>
      <w:r>
        <w:rPr>
          <w:rFonts w:hint="eastAsia" w:ascii="仿宋_GB2312" w:hAnsi="仿宋_GB2312" w:eastAsia="仿宋_GB2312" w:cs="仿宋_GB2312"/>
          <w:sz w:val="24"/>
          <w:szCs w:val="24"/>
          <w:highlight w:val="white"/>
          <w:lang w:val="en-US" w:eastAsia="zh-CN"/>
        </w:rPr>
        <w:t>日</w:t>
      </w:r>
      <w:r>
        <w:rPr>
          <w:rFonts w:hint="eastAsia" w:ascii="仿宋_GB2312" w:hAnsi="仿宋_GB2312" w:eastAsia="仿宋_GB2312" w:cs="仿宋_GB2312"/>
          <w:sz w:val="24"/>
          <w:szCs w:val="24"/>
          <w:highlight w:val="white"/>
        </w:rPr>
        <w:t>前</w:t>
      </w:r>
      <w:r>
        <w:rPr>
          <w:rFonts w:hint="eastAsia" w:ascii="仿宋_GB2312" w:hAnsi="仿宋_GB2312" w:eastAsia="仿宋_GB2312" w:cs="仿宋_GB2312"/>
          <w:sz w:val="24"/>
          <w:szCs w:val="24"/>
          <w:highlight w:val="white"/>
          <w:lang w:eastAsia="zh-CN"/>
        </w:rPr>
        <w:t>六个月</w:t>
      </w:r>
      <w:r>
        <w:rPr>
          <w:rFonts w:hint="eastAsia" w:ascii="仿宋_GB2312" w:hAnsi="仿宋_GB2312" w:eastAsia="仿宋_GB2312" w:cs="仿宋_GB2312"/>
          <w:sz w:val="24"/>
          <w:szCs w:val="24"/>
          <w:highlight w:val="white"/>
          <w:lang w:val="en-US" w:eastAsia="zh-CN"/>
        </w:rPr>
        <w:t>任意三</w:t>
      </w:r>
      <w:r>
        <w:rPr>
          <w:rFonts w:hint="eastAsia" w:ascii="仿宋_GB2312" w:hAnsi="仿宋_GB2312" w:eastAsia="仿宋_GB2312" w:cs="仿宋_GB2312"/>
          <w:sz w:val="24"/>
          <w:szCs w:val="24"/>
          <w:highlight w:val="white"/>
        </w:rPr>
        <w:t>个月</w:t>
      </w:r>
      <w:r>
        <w:rPr>
          <w:rFonts w:hint="eastAsia" w:ascii="仿宋_GB2312" w:hAnsi="仿宋_GB2312" w:eastAsia="仿宋_GB2312" w:cs="仿宋_GB2312"/>
          <w:sz w:val="24"/>
          <w:szCs w:val="24"/>
        </w:rPr>
        <w:t>依法纳税（法人单位必须为增值税或企业所得税）证明（银行缴费凭证或税务机关开具的证明）复印件（加盖供应商公章）</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注：依法免税或零报税的供应商，须提供相应文件证明其依法免税证明文件或纳税申报表复印件。</w:t>
      </w:r>
    </w:p>
    <w:p>
      <w:pPr>
        <w:pStyle w:val="86"/>
        <w:ind w:left="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（6）供应商声明函</w:t>
      </w:r>
    </w:p>
    <w:p>
      <w:pPr>
        <w:pStyle w:val="86"/>
        <w:ind w:firstLine="48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u w:val="single"/>
        </w:rPr>
        <w:t xml:space="preserve">（采购人名称） </w:t>
      </w:r>
      <w:r>
        <w:rPr>
          <w:rFonts w:hint="eastAsia" w:ascii="仿宋_GB2312" w:hAnsi="仿宋_GB2312" w:eastAsia="仿宋_GB2312" w:cs="仿宋_GB2312"/>
          <w:b/>
          <w:bCs/>
          <w:sz w:val="24"/>
          <w:szCs w:val="24"/>
        </w:rPr>
        <w:t xml:space="preserve"> ：</w:t>
      </w:r>
    </w:p>
    <w:p>
      <w:pPr>
        <w:pStyle w:val="86"/>
        <w:ind w:firstLine="48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在参加本次项目磋商中，我单位承诺：</w:t>
      </w:r>
    </w:p>
    <w:p>
      <w:pPr>
        <w:numPr>
          <w:ilvl w:val="0"/>
          <w:numId w:val="8"/>
        </w:num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5386" w:type="dxa"/>
            <w:noWrap w:val="0"/>
            <w:vAlign w:val="top"/>
          </w:tcPr>
          <w:p>
            <w:pPr>
              <w:spacing w:line="360" w:lineRule="auto"/>
              <w:ind w:firstLine="480"/>
              <w:jc w:val="left"/>
              <w:rPr>
                <w:rFonts w:hint="eastAsia" w:ascii="仿宋_GB2312" w:hAnsi="仿宋_GB2312" w:eastAsia="仿宋_GB2312" w:cs="仿宋_GB2312"/>
                <w:sz w:val="24"/>
                <w:szCs w:val="24"/>
              </w:rPr>
            </w:pPr>
          </w:p>
        </w:tc>
        <w:tc>
          <w:tcPr>
            <w:tcW w:w="3402" w:type="dxa"/>
            <w:noWrap w:val="0"/>
            <w:vAlign w:val="top"/>
          </w:tcPr>
          <w:p>
            <w:pPr>
              <w:spacing w:line="360" w:lineRule="auto"/>
              <w:ind w:firstLine="480"/>
              <w:jc w:val="left"/>
              <w:rPr>
                <w:rFonts w:hint="eastAsia" w:ascii="仿宋_GB2312" w:hAnsi="仿宋_GB2312" w:eastAsia="仿宋_GB2312" w:cs="仿宋_GB2312"/>
                <w:sz w:val="24"/>
                <w:szCs w:val="24"/>
              </w:rPr>
            </w:pPr>
          </w:p>
        </w:tc>
      </w:tr>
    </w:tbl>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3、我单位不是为采购项目提供整体设计、规范编制或者项目管理、监理、检测等服务的投标人。</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供应商：（加盖公章）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供应商授权代表人(签字)：          </w:t>
      </w:r>
    </w:p>
    <w:p>
      <w:pPr>
        <w:spacing w:line="360" w:lineRule="auto"/>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    期：   年 月 日  </w:t>
      </w:r>
    </w:p>
    <w:p>
      <w:pPr>
        <w:pStyle w:val="13"/>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numPr>
          <w:ilvl w:val="0"/>
          <w:numId w:val="9"/>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bCs/>
          <w:spacing w:val="-2"/>
          <w:sz w:val="24"/>
          <w:szCs w:val="24"/>
        </w:rPr>
        <w:t xml:space="preserve">信用信息查询    </w:t>
      </w:r>
      <w:r>
        <w:rPr>
          <w:rFonts w:hint="eastAsia" w:ascii="仿宋_GB2312" w:hAnsi="仿宋_GB2312" w:eastAsia="仿宋_GB2312" w:cs="仿宋_GB2312"/>
          <w:spacing w:val="-2"/>
          <w:sz w:val="24"/>
          <w:szCs w:val="24"/>
        </w:rPr>
        <w:t>供应商不得为“信用中国网站（www.creditchina.gov.cn）中列入失信被执行人和</w:t>
      </w:r>
      <w:r>
        <w:rPr>
          <w:rFonts w:hint="eastAsia" w:ascii="仿宋_GB2312" w:hAnsi="仿宋_GB2312" w:eastAsia="仿宋_GB2312" w:cs="仿宋_GB2312"/>
          <w:spacing w:val="-2"/>
          <w:sz w:val="24"/>
          <w:szCs w:val="24"/>
          <w:lang w:eastAsia="zh-CN"/>
        </w:rPr>
        <w:t>税收违法黑名单</w:t>
      </w:r>
      <w:r>
        <w:rPr>
          <w:rFonts w:hint="eastAsia" w:ascii="仿宋_GB2312" w:hAnsi="仿宋_GB2312" w:eastAsia="仿宋_GB2312" w:cs="仿宋_GB2312"/>
          <w:spacing w:val="-2"/>
          <w:sz w:val="24"/>
          <w:szCs w:val="24"/>
        </w:rPr>
        <w:t>的供应商，不得为中国政府采购网（www.ccgp.gov.cn）政府采购严重违法失信行为记录名单中被财政部门禁止参加政府采购活动的供应商（以代理机构查询结果为准）</w:t>
      </w:r>
    </w:p>
    <w:p>
      <w:pPr>
        <w:pStyle w:val="18"/>
        <w:rPr>
          <w:rFonts w:hint="eastAsia" w:ascii="仿宋_GB2312" w:hAnsi="仿宋_GB2312" w:eastAsia="仿宋_GB2312" w:cs="仿宋_GB2312"/>
          <w:spacing w:val="-2"/>
          <w:sz w:val="24"/>
          <w:szCs w:val="24"/>
        </w:rPr>
      </w:pPr>
    </w:p>
    <w:p>
      <w:pPr>
        <w:pStyle w:val="19"/>
        <w:rPr>
          <w:rFonts w:hint="eastAsia" w:ascii="仿宋_GB2312" w:hAnsi="仿宋_GB2312" w:eastAsia="仿宋_GB2312" w:cs="仿宋_GB2312"/>
          <w:spacing w:val="-2"/>
          <w:sz w:val="24"/>
          <w:szCs w:val="24"/>
        </w:rPr>
      </w:pPr>
    </w:p>
    <w:p>
      <w:pPr>
        <w:numPr>
          <w:ilvl w:val="0"/>
          <w:numId w:val="9"/>
        </w:numPr>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落实政策</w:t>
      </w:r>
      <w:r>
        <w:rPr>
          <w:rFonts w:hint="eastAsia" w:ascii="仿宋_GB2312" w:hAnsi="仿宋_GB2312" w:eastAsia="仿宋_GB2312" w:cs="仿宋_GB2312"/>
          <w:spacing w:val="-2"/>
          <w:sz w:val="24"/>
          <w:szCs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168" w:firstLineChars="9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中小企业声明函（一）</w:t>
      </w:r>
    </w:p>
    <w:p>
      <w:pPr>
        <w:spacing w:line="5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本公司郑重声明，根据《政府采购促进中小企业发展管理办法》（财库﹝2020﹞46 号）的规定，本公司参加（单位名称）的（项目名称）采购活动，</w:t>
      </w:r>
      <w:r>
        <w:rPr>
          <w:rFonts w:hint="eastAsia" w:ascii="仿宋_GB2312" w:hAnsi="仿宋_GB2312" w:eastAsia="仿宋_GB2312" w:cs="仿宋_GB2312"/>
          <w:sz w:val="24"/>
          <w:szCs w:val="24"/>
          <w:lang w:val="en-US" w:eastAsia="zh-CN"/>
        </w:rPr>
        <w:t>工程的施工单位全部为符合政策的中小企业</w:t>
      </w:r>
      <w:r>
        <w:rPr>
          <w:rFonts w:hint="eastAsia" w:ascii="仿宋_GB2312" w:hAnsi="仿宋_GB2312" w:eastAsia="仿宋_GB2312" w:cs="仿宋_GB2312"/>
          <w:sz w:val="24"/>
          <w:szCs w:val="24"/>
        </w:rPr>
        <w:t xml:space="preserve">。相关企业的具体情况如下：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（标的名称） ，属于（采购文件中明确的所属行业） 行业；</w:t>
      </w:r>
      <w:r>
        <w:rPr>
          <w:rFonts w:hint="eastAsia" w:ascii="仿宋_GB2312" w:hAnsi="仿宋_GB2312" w:eastAsia="仿宋_GB2312" w:cs="仿宋_GB2312"/>
          <w:sz w:val="24"/>
          <w:szCs w:val="24"/>
          <w:lang w:val="en-US" w:eastAsia="zh-CN"/>
        </w:rPr>
        <w:t>承建商</w:t>
      </w:r>
      <w:r>
        <w:rPr>
          <w:rFonts w:hint="eastAsia" w:ascii="仿宋_GB2312" w:hAnsi="仿宋_GB2312" w:eastAsia="仿宋_GB2312" w:cs="仿宋_GB2312"/>
          <w:sz w:val="24"/>
          <w:szCs w:val="24"/>
        </w:rPr>
        <w:t>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万元，属于（中型企业、小型企业、微型企业）；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 为大企业的情形，也不存在与大企业的负责人为同一人的情形。</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本企业对上述声明内容的真实性负责。如有虚假，将依法承担相应责任。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企业名称（盖章）：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 期： </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1从业人员、营业收入、资产总额填报上一年度数据，无上一年度数据的新成立企业可不填报。</w:t>
      </w:r>
    </w:p>
    <w:p>
      <w:pPr>
        <w:spacing w:line="5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注：不符合小微企业情形的投标人无须提供上述声明函件。</w:t>
      </w:r>
    </w:p>
    <w:p>
      <w:pPr>
        <w:spacing w:line="500" w:lineRule="exact"/>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本公司对上述声明内容的真实性负责，如有虚假，将依法承担责任。</w:t>
      </w:r>
      <w:r>
        <w:rPr>
          <w:rFonts w:hint="eastAsia" w:ascii="仿宋_GB2312" w:hAnsi="仿宋_GB2312" w:eastAsia="仿宋_GB2312" w:cs="仿宋_GB2312"/>
          <w:bCs/>
          <w:sz w:val="24"/>
          <w:szCs w:val="24"/>
        </w:rPr>
        <w:t xml:space="preserve"> </w:t>
      </w:r>
    </w:p>
    <w:p>
      <w:pPr>
        <w:spacing w:line="360" w:lineRule="auto"/>
        <w:ind w:firstLine="2650" w:firstLineChars="11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监狱企业声明函（二）</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本公司郑重声明，根据《关于政府采购支持监狱企业发展有关问题的通知》（财库[2014]68号）的规定，本公司为监狱企业。</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本公司参加______单位的______项目采购活动，采购活动提供本企业（填写制造的货物，由本企业承担工程、提供服务）。</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本条所称货物不包括使用大型企业注册商标的货物和服务。</w:t>
      </w:r>
      <w:r>
        <w:rPr>
          <w:rFonts w:hint="eastAsia" w:ascii="仿宋_GB2312" w:hAnsi="仿宋_GB2312" w:eastAsia="仿宋_GB2312" w:cs="仿宋_GB2312"/>
          <w:bCs/>
          <w:sz w:val="24"/>
          <w:szCs w:val="24"/>
        </w:rPr>
        <w:br w:type="textWrapping"/>
      </w:r>
      <w:r>
        <w:rPr>
          <w:rFonts w:hint="eastAsia" w:ascii="仿宋_GB2312" w:hAnsi="仿宋_GB2312" w:eastAsia="仿宋_GB2312" w:cs="仿宋_GB2312"/>
          <w:bCs/>
          <w:sz w:val="24"/>
          <w:szCs w:val="24"/>
        </w:rPr>
        <w:t xml:space="preserve">   本公司对上述声明的真实性负责。如有虚假，将依法承担相应责任。</w:t>
      </w:r>
      <w:r>
        <w:rPr>
          <w:rFonts w:hint="eastAsia" w:ascii="仿宋_GB2312" w:hAnsi="仿宋_GB2312" w:eastAsia="仿宋_GB2312" w:cs="仿宋_GB2312"/>
          <w:bCs/>
          <w:sz w:val="24"/>
          <w:szCs w:val="24"/>
        </w:rPr>
        <w:br w:type="textWrapping"/>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企业名称（盖公章）：</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法定代表人（负责人）或其授权代表(签字)：</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日期：</w:t>
      </w:r>
    </w:p>
    <w:p>
      <w:pPr>
        <w:spacing w:line="360" w:lineRule="auto"/>
        <w:ind w:firstLine="482"/>
        <w:jc w:val="center"/>
        <w:rPr>
          <w:rFonts w:hint="eastAsia" w:ascii="仿宋_GB2312" w:hAnsi="仿宋_GB2312" w:eastAsia="仿宋_GB2312" w:cs="仿宋_GB2312"/>
          <w:b/>
          <w:sz w:val="24"/>
          <w:szCs w:val="24"/>
        </w:rPr>
      </w:pPr>
    </w:p>
    <w:p>
      <w:pPr>
        <w:spacing w:line="360" w:lineRule="auto"/>
        <w:ind w:firstLine="1446" w:firstLineChars="600"/>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残疾人福利性单位声明函（三）</w:t>
      </w: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本单位郑重声明，根据《财政部、民政部、中国残疾人联合会关于促进残疾人就业政府采购政策的通知》（财库〔2017〕141号）的规定，本单位为符合条件的残疾人福利性单位。</w:t>
      </w:r>
    </w:p>
    <w:p>
      <w:pPr>
        <w:pStyle w:val="33"/>
        <w:shd w:val="clear" w:color="auto" w:fill="FFFFFF"/>
        <w:spacing w:line="360" w:lineRule="auto"/>
        <w:ind w:firstLine="480"/>
        <w:rPr>
          <w:rFonts w:hint="eastAsia" w:ascii="仿宋_GB2312" w:hAnsi="仿宋_GB2312" w:eastAsia="仿宋_GB2312" w:cs="仿宋_GB2312"/>
          <w:sz w:val="24"/>
          <w:szCs w:val="24"/>
        </w:rPr>
      </w:pP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本单位参加</w:t>
      </w:r>
      <w:r>
        <w:rPr>
          <w:rFonts w:hint="eastAsia" w:ascii="仿宋_GB2312" w:hAnsi="仿宋_GB2312" w:eastAsia="仿宋_GB2312" w:cs="仿宋_GB2312"/>
          <w:sz w:val="24"/>
          <w:szCs w:val="24"/>
          <w:u w:val="single"/>
        </w:rPr>
        <w:t>（采购代理机构）</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（项目名称和采购编号）</w:t>
      </w:r>
      <w:r>
        <w:rPr>
          <w:rFonts w:hint="eastAsia" w:ascii="仿宋_GB2312" w:hAnsi="仿宋_GB2312" w:eastAsia="仿宋_GB2312" w:cs="仿宋_GB2312"/>
          <w:sz w:val="24"/>
          <w:szCs w:val="24"/>
        </w:rPr>
        <w:t>采购活动，提供本单位的服务。</w:t>
      </w:r>
    </w:p>
    <w:p>
      <w:pPr>
        <w:pStyle w:val="33"/>
        <w:shd w:val="clear" w:color="auto" w:fill="FFFFFF"/>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本单位对上述声明的真实性负责。如有虚假，将依法承担相应责任。</w:t>
      </w:r>
    </w:p>
    <w:p>
      <w:pPr>
        <w:widowControl/>
        <w:tabs>
          <w:tab w:val="left" w:pos="6831"/>
        </w:tabs>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b/>
      </w:r>
    </w:p>
    <w:p>
      <w:pPr>
        <w:widowControl/>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投标人（盖章）：</w:t>
      </w:r>
    </w:p>
    <w:p>
      <w:pPr>
        <w:widowControl/>
        <w:spacing w:line="360" w:lineRule="auto"/>
        <w:ind w:firstLine="4920" w:firstLineChars="205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投标人授权代表（签字）：</w:t>
      </w:r>
    </w:p>
    <w:p>
      <w:pPr>
        <w:pStyle w:val="2"/>
        <w:spacing w:line="360" w:lineRule="auto"/>
        <w:ind w:firstLine="4920" w:firstLineChars="205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　期：</w:t>
      </w:r>
    </w:p>
    <w:p>
      <w:pPr>
        <w:pStyle w:val="2"/>
        <w:spacing w:line="360" w:lineRule="auto"/>
        <w:ind w:firstLine="4920" w:firstLineChars="2050"/>
        <w:rPr>
          <w:rFonts w:hint="eastAsia" w:ascii="仿宋_GB2312" w:hAnsi="仿宋_GB2312" w:eastAsia="仿宋_GB2312" w:cs="仿宋_GB2312"/>
          <w:kern w:val="0"/>
          <w:sz w:val="24"/>
          <w:szCs w:val="24"/>
        </w:rPr>
      </w:pP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注：不符合上述情形的投标人无须提供上述声明函件。</w:t>
      </w:r>
    </w:p>
    <w:p>
      <w:pPr>
        <w:pStyle w:val="18"/>
        <w:rPr>
          <w:rFonts w:hint="eastAsia" w:ascii="仿宋_GB2312" w:hAnsi="仿宋_GB2312" w:eastAsia="仿宋_GB2312" w:cs="仿宋_GB2312"/>
          <w:sz w:val="24"/>
          <w:szCs w:val="24"/>
        </w:rPr>
      </w:pPr>
    </w:p>
    <w:p>
      <w:pPr>
        <w:pStyle w:val="86"/>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八、近三年（2020年1月以后）项目业绩表</w:t>
      </w:r>
    </w:p>
    <w:p>
      <w:pPr>
        <w:pStyle w:val="86"/>
        <w:spacing w:line="360" w:lineRule="auto"/>
        <w:ind w:firstLine="720" w:firstLineChars="3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_GB2312" w:hAnsi="仿宋_GB2312" w:eastAsia="仿宋_GB2312" w:cs="仿宋_GB2312"/>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_GB2312" w:hAnsi="仿宋_GB2312" w:eastAsia="仿宋_GB2312" w:cs="仿宋_GB2312"/>
                <w:color w:val="auto"/>
                <w:sz w:val="24"/>
                <w:szCs w:val="24"/>
              </w:rPr>
            </w:pPr>
          </w:p>
        </w:tc>
      </w:tr>
    </w:tbl>
    <w:p>
      <w:pPr>
        <w:pStyle w:val="1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numPr>
          <w:ilvl w:val="0"/>
          <w:numId w:val="10"/>
        </w:numPr>
        <w:spacing w:line="360" w:lineRule="auto"/>
        <w:ind w:firstLine="562"/>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商务条款偏离表</w:t>
      </w:r>
    </w:p>
    <w:p>
      <w:pPr>
        <w:numPr>
          <w:ilvl w:val="0"/>
          <w:numId w:val="0"/>
        </w:numPr>
        <w:spacing w:line="360" w:lineRule="auto"/>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315" w:type="dxa"/>
            <w:shd w:val="clear" w:color="auto" w:fill="FFFFFF"/>
            <w:noWrap w:val="0"/>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采购文件条目号</w:t>
            </w:r>
          </w:p>
        </w:tc>
        <w:tc>
          <w:tcPr>
            <w:tcW w:w="2453"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采购文件的商务条款</w:t>
            </w:r>
          </w:p>
        </w:tc>
        <w:tc>
          <w:tcPr>
            <w:tcW w:w="1842"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响应文件的商务条款</w:t>
            </w:r>
          </w:p>
        </w:tc>
        <w:tc>
          <w:tcPr>
            <w:tcW w:w="1794" w:type="dxa"/>
            <w:shd w:val="clear" w:color="auto" w:fill="FFFFFF"/>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_GB2312" w:hAnsi="仿宋_GB2312" w:eastAsia="仿宋_GB2312" w:cs="仿宋_GB2312"/>
                <w:snapToGrid/>
                <w:spacing w:val="0"/>
                <w:kern w:val="2"/>
                <w:sz w:val="24"/>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_GB2312" w:hAnsi="仿宋_GB2312" w:eastAsia="仿宋_GB2312" w:cs="仿宋_GB2312"/>
                <w:snapToGrid/>
                <w:spacing w:val="0"/>
                <w:kern w:val="2"/>
                <w:sz w:val="24"/>
                <w:szCs w:val="24"/>
              </w:rPr>
            </w:pPr>
          </w:p>
        </w:tc>
        <w:tc>
          <w:tcPr>
            <w:tcW w:w="1794" w:type="dxa"/>
            <w:noWrap w:val="0"/>
            <w:vAlign w:val="center"/>
          </w:tcPr>
          <w:p>
            <w:pPr>
              <w:ind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_GB2312" w:hAnsi="仿宋_GB2312" w:eastAsia="仿宋_GB2312" w:cs="仿宋_GB2312"/>
                <w:sz w:val="24"/>
                <w:szCs w:val="24"/>
              </w:rPr>
            </w:pPr>
          </w:p>
        </w:tc>
        <w:tc>
          <w:tcPr>
            <w:tcW w:w="2315" w:type="dxa"/>
            <w:noWrap w:val="0"/>
            <w:vAlign w:val="center"/>
          </w:tcPr>
          <w:p>
            <w:pPr>
              <w:ind w:firstLine="480"/>
              <w:rPr>
                <w:rFonts w:hint="eastAsia" w:ascii="仿宋_GB2312" w:hAnsi="仿宋_GB2312" w:eastAsia="仿宋_GB2312" w:cs="仿宋_GB2312"/>
                <w:sz w:val="24"/>
                <w:szCs w:val="24"/>
              </w:rPr>
            </w:pPr>
          </w:p>
        </w:tc>
        <w:tc>
          <w:tcPr>
            <w:tcW w:w="2453" w:type="dxa"/>
            <w:noWrap w:val="0"/>
            <w:vAlign w:val="center"/>
          </w:tcPr>
          <w:p>
            <w:pPr>
              <w:ind w:firstLine="480"/>
              <w:jc w:val="center"/>
              <w:rPr>
                <w:rFonts w:hint="eastAsia" w:ascii="仿宋_GB2312" w:hAnsi="仿宋_GB2312" w:eastAsia="仿宋_GB2312" w:cs="仿宋_GB2312"/>
                <w:sz w:val="24"/>
                <w:szCs w:val="24"/>
              </w:rPr>
            </w:pPr>
          </w:p>
        </w:tc>
        <w:tc>
          <w:tcPr>
            <w:tcW w:w="1842" w:type="dxa"/>
            <w:noWrap w:val="0"/>
            <w:vAlign w:val="center"/>
          </w:tcPr>
          <w:p>
            <w:pPr>
              <w:ind w:firstLine="480"/>
              <w:jc w:val="center"/>
              <w:rPr>
                <w:rFonts w:hint="eastAsia" w:ascii="仿宋_GB2312" w:hAnsi="仿宋_GB2312" w:eastAsia="仿宋_GB2312" w:cs="仿宋_GB2312"/>
                <w:sz w:val="24"/>
                <w:szCs w:val="24"/>
              </w:rPr>
            </w:pPr>
          </w:p>
        </w:tc>
        <w:tc>
          <w:tcPr>
            <w:tcW w:w="1794" w:type="dxa"/>
            <w:noWrap w:val="0"/>
            <w:vAlign w:val="center"/>
          </w:tcPr>
          <w:p>
            <w:pPr>
              <w:ind w:right="-35" w:firstLine="480"/>
              <w:jc w:val="center"/>
              <w:rPr>
                <w:rFonts w:hint="eastAsia" w:ascii="仿宋_GB2312" w:hAnsi="仿宋_GB2312" w:eastAsia="仿宋_GB2312" w:cs="仿宋_GB2312"/>
                <w:sz w:val="24"/>
                <w:szCs w:val="24"/>
              </w:rPr>
            </w:pPr>
          </w:p>
        </w:tc>
      </w:tr>
    </w:tbl>
    <w:p>
      <w:pPr>
        <w:spacing w:line="360" w:lineRule="auto"/>
        <w:ind w:firstLine="3600" w:firstLineChars="15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3600" w:firstLineChars="15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2"/>
          <w:sz w:val="24"/>
          <w:szCs w:val="24"/>
          <w:lang w:val="en-US" w:eastAsia="zh-CN" w:bidi="ar-SA"/>
        </w:rPr>
        <w:t xml:space="preserve">  供应商代表签字：</w:t>
      </w:r>
    </w:p>
    <w:p>
      <w:pPr>
        <w:pStyle w:val="16"/>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                  </w:t>
      </w:r>
    </w:p>
    <w:p>
      <w:pPr>
        <w:ind w:firstLine="420"/>
        <w:rPr>
          <w:rFonts w:hint="eastAsia" w:ascii="仿宋_GB2312" w:hAnsi="仿宋_GB2312" w:eastAsia="仿宋_GB2312" w:cs="仿宋_GB2312"/>
          <w:sz w:val="24"/>
          <w:szCs w:val="24"/>
        </w:rPr>
      </w:pPr>
    </w:p>
    <w:p>
      <w:pPr>
        <w:pStyle w:val="16"/>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16"/>
        <w:rPr>
          <w:rFonts w:hint="eastAsia" w:ascii="仿宋_GB2312" w:hAnsi="仿宋_GB2312" w:eastAsia="仿宋_GB2312" w:cs="仿宋_GB2312"/>
          <w:sz w:val="24"/>
          <w:szCs w:val="24"/>
        </w:rPr>
      </w:pPr>
    </w:p>
    <w:p>
      <w:pPr>
        <w:rPr>
          <w:rFonts w:hint="eastAsia"/>
        </w:rPr>
      </w:pPr>
    </w:p>
    <w:p>
      <w:pPr>
        <w:rPr>
          <w:rFonts w:hint="eastAsia" w:ascii="仿宋_GB2312" w:hAnsi="仿宋_GB2312" w:eastAsia="仿宋_GB2312" w:cs="仿宋_GB2312"/>
          <w:sz w:val="24"/>
          <w:szCs w:val="24"/>
        </w:rPr>
      </w:pPr>
    </w:p>
    <w:p>
      <w:pPr>
        <w:pStyle w:val="5"/>
        <w:ind w:firstLine="420"/>
        <w:rPr>
          <w:rFonts w:hint="eastAsia" w:ascii="仿宋_GB2312" w:hAnsi="仿宋_GB2312" w:eastAsia="仿宋_GB2312" w:cs="仿宋_GB2312"/>
          <w:sz w:val="24"/>
          <w:szCs w:val="24"/>
        </w:rPr>
      </w:pP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十、服务需求偏离表</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项目编号：</w:t>
      </w:r>
      <w:r>
        <w:rPr>
          <w:rFonts w:hint="eastAsia" w:ascii="仿宋_GB2312" w:hAnsi="仿宋_GB2312" w:eastAsia="仿宋_GB2312" w:cs="仿宋_GB2312"/>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竞争性磋商文</w:t>
            </w:r>
          </w:p>
          <w:p>
            <w:pPr>
              <w:autoSpaceDE w:val="0"/>
              <w:autoSpaceDN w:val="0"/>
              <w:spacing w:line="360" w:lineRule="auto"/>
              <w:ind w:right="-6053"/>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竞争性磋商</w:t>
            </w:r>
          </w:p>
          <w:p>
            <w:pPr>
              <w:autoSpaceDE w:val="0"/>
              <w:autoSpaceDN w:val="0"/>
              <w:spacing w:line="360" w:lineRule="auto"/>
              <w:ind w:right="-4577"/>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_GB2312" w:hAnsi="仿宋_GB2312" w:eastAsia="仿宋_GB2312" w:cs="仿宋_GB2312"/>
                <w:sz w:val="24"/>
                <w:szCs w:val="24"/>
              </w:rPr>
            </w:pPr>
          </w:p>
        </w:tc>
      </w:tr>
    </w:tbl>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供应商授权代表签字： _____________</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r>
        <w:rPr>
          <w:rFonts w:hint="eastAsia" w:ascii="仿宋_GB2312" w:hAnsi="仿宋_GB2312" w:eastAsia="仿宋_GB2312" w:cs="仿宋_GB2312"/>
          <w:sz w:val="24"/>
          <w:szCs w:val="24"/>
          <w:u w:val="single"/>
        </w:rPr>
        <w:t xml:space="preserve">               </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autoSpaceDE w:val="0"/>
        <w:autoSpaceDN w:val="0"/>
        <w:spacing w:line="360" w:lineRule="auto"/>
        <w:ind w:right="-136" w:firstLine="480"/>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1、对竞争性磋商文件有任何偏离应列明“正偏离”或“负偏离”。</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2、对竞争性磋商文件无偏离应标明“无偏离。</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3、此表格经法人授权代表签字方有效。</w:t>
      </w:r>
    </w:p>
    <w:p>
      <w:pPr>
        <w:pStyle w:val="18"/>
        <w:spacing w:line="360" w:lineRule="auto"/>
        <w:ind w:firstLine="1446" w:firstLineChars="600"/>
        <w:rPr>
          <w:rFonts w:hint="eastAsia" w:ascii="仿宋_GB2312" w:hAnsi="仿宋_GB2312" w:eastAsia="仿宋_GB2312" w:cs="仿宋_GB2312"/>
          <w:b/>
          <w:sz w:val="24"/>
          <w:szCs w:val="24"/>
        </w:rPr>
      </w:pPr>
    </w:p>
    <w:p>
      <w:pPr>
        <w:pStyle w:val="18"/>
        <w:spacing w:line="360" w:lineRule="auto"/>
        <w:rPr>
          <w:rFonts w:hint="eastAsia" w:ascii="仿宋_GB2312" w:hAnsi="仿宋_GB2312" w:eastAsia="仿宋_GB2312" w:cs="仿宋_GB2312"/>
          <w:b/>
          <w:sz w:val="24"/>
          <w:szCs w:val="24"/>
        </w:rPr>
      </w:pPr>
    </w:p>
    <w:p>
      <w:pPr>
        <w:spacing w:line="360" w:lineRule="auto"/>
        <w:ind w:firstLine="482"/>
        <w:jc w:val="center"/>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b/>
          <w:color w:val="000000"/>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十一、供应商情况表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联系方式</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法定代表人</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项目负责人</w:t>
            </w:r>
          </w:p>
        </w:tc>
        <w:tc>
          <w:tcPr>
            <w:tcW w:w="106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年度净资产：           营业额：        利润：</w:t>
            </w:r>
          </w:p>
          <w:p>
            <w:pPr>
              <w:autoSpaceDE w:val="0"/>
              <w:autoSpaceDN w:val="0"/>
              <w:adjustRightInd w:val="0"/>
              <w:spacing w:line="400" w:lineRule="exact"/>
              <w:ind w:firstLine="480"/>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sz w:val="24"/>
                <w:szCs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_GB2312" w:hAnsi="仿宋_GB2312" w:eastAsia="仿宋_GB2312" w:cs="仿宋_GB2312"/>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_GB2312" w:hAnsi="仿宋_GB2312" w:eastAsia="仿宋_GB2312" w:cs="仿宋_GB2312"/>
                <w:color w:val="000000"/>
                <w:kern w:val="0"/>
                <w:sz w:val="24"/>
                <w:szCs w:val="24"/>
              </w:rPr>
            </w:pPr>
          </w:p>
        </w:tc>
      </w:tr>
    </w:tbl>
    <w:p>
      <w:pPr>
        <w:autoSpaceDE w:val="0"/>
        <w:autoSpaceDN w:val="0"/>
        <w:adjustRightInd w:val="0"/>
        <w:snapToGrid w:val="0"/>
        <w:spacing w:before="25" w:after="25" w:line="360" w:lineRule="auto"/>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lang w:val="zh-CN"/>
        </w:rPr>
        <w:t>授权代表（签字）：</w:t>
      </w:r>
      <w:r>
        <w:rPr>
          <w:rFonts w:hint="eastAsia" w:ascii="仿宋_GB2312" w:hAnsi="仿宋_GB2312" w:eastAsia="仿宋_GB2312" w:cs="仿宋_GB2312"/>
          <w:sz w:val="24"/>
          <w:szCs w:val="24"/>
          <w:u w:val="single"/>
          <w:lang w:val="zh-CN"/>
        </w:rPr>
        <w:t xml:space="preserve">             </w:t>
      </w:r>
      <w:r>
        <w:rPr>
          <w:rFonts w:hint="eastAsia" w:ascii="仿宋_GB2312" w:hAnsi="仿宋_GB2312" w:eastAsia="仿宋_GB2312" w:cs="仿宋_GB2312"/>
          <w:sz w:val="24"/>
          <w:szCs w:val="24"/>
          <w:lang w:val="zh-CN"/>
        </w:rPr>
        <w:t xml:space="preserve">                        </w:t>
      </w:r>
    </w:p>
    <w:p>
      <w:pPr>
        <w:autoSpaceDE w:val="0"/>
        <w:autoSpaceDN w:val="0"/>
        <w:adjustRightInd w:val="0"/>
        <w:snapToGrid w:val="0"/>
        <w:spacing w:before="25" w:after="25" w:line="360" w:lineRule="auto"/>
        <w:ind w:firstLine="48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供应商(盖章)：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lang w:val="zh-CN"/>
        </w:rPr>
        <w:t xml:space="preserve">  </w:t>
      </w:r>
    </w:p>
    <w:p>
      <w:pPr>
        <w:tabs>
          <w:tab w:val="left" w:pos="5580"/>
        </w:tabs>
        <w:spacing w:before="120"/>
        <w:ind w:firstLine="48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u w:val="single"/>
        </w:rPr>
        <w:t xml:space="preserve">                        </w:t>
      </w:r>
    </w:p>
    <w:p>
      <w:pPr>
        <w:pStyle w:val="18"/>
        <w:rPr>
          <w:rFonts w:hint="eastAsia" w:ascii="仿宋_GB2312" w:hAnsi="仿宋_GB2312" w:eastAsia="仿宋_GB2312" w:cs="仿宋_GB2312"/>
          <w:sz w:val="24"/>
          <w:szCs w:val="24"/>
        </w:rPr>
      </w:pPr>
    </w:p>
    <w:p>
      <w:pPr>
        <w:bidi w:val="0"/>
        <w:rPr>
          <w:rFonts w:hint="eastAsia" w:ascii="仿宋_GB2312" w:hAnsi="仿宋_GB2312" w:eastAsia="仿宋_GB2312" w:cs="仿宋_GB2312"/>
          <w:kern w:val="2"/>
          <w:sz w:val="24"/>
          <w:szCs w:val="24"/>
          <w:lang w:val="en-US" w:eastAsia="zh-CN" w:bidi="ar-SA"/>
        </w:rPr>
      </w:pPr>
    </w:p>
    <w:p>
      <w:pPr>
        <w:numPr>
          <w:ilvl w:val="0"/>
          <w:numId w:val="0"/>
        </w:numPr>
        <w:spacing w:line="360" w:lineRule="auto"/>
        <w:jc w:val="center"/>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十二、关于资格的声明函</w:t>
      </w:r>
    </w:p>
    <w:p>
      <w:pPr>
        <w:spacing w:line="360" w:lineRule="auto"/>
        <w:ind w:firstLine="480"/>
        <w:rPr>
          <w:rFonts w:hint="eastAsia" w:ascii="仿宋_GB2312" w:hAnsi="仿宋_GB2312" w:eastAsia="仿宋_GB2312" w:cs="仿宋_GB2312"/>
          <w:sz w:val="24"/>
          <w:szCs w:val="24"/>
        </w:rPr>
      </w:pP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lang w:val="en-US" w:eastAsia="zh-CN"/>
        </w:rPr>
        <w:t>乌苏市政务服务中心</w:t>
      </w:r>
      <w:r>
        <w:rPr>
          <w:rFonts w:hint="eastAsia" w:ascii="仿宋_GB2312" w:hAnsi="仿宋_GB2312" w:eastAsia="仿宋_GB2312" w:cs="仿宋_GB2312"/>
          <w:sz w:val="24"/>
          <w:szCs w:val="24"/>
        </w:rPr>
        <w:t>：</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关于贵方20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日第（项目编号）竞争性磋商公告关于</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的项目，本签字人愿意参加磋商响应，并有能力提供</w:t>
      </w:r>
      <w:r>
        <w:rPr>
          <w:rFonts w:hint="eastAsia" w:ascii="仿宋_GB2312" w:hAnsi="仿宋_GB2312" w:eastAsia="仿宋_GB2312" w:cs="仿宋_GB2312"/>
          <w:sz w:val="24"/>
          <w:szCs w:val="24"/>
          <w:u w:val="single"/>
        </w:rPr>
        <w:t>（项目名称）</w:t>
      </w:r>
      <w:r>
        <w:rPr>
          <w:rFonts w:hint="eastAsia" w:ascii="仿宋_GB2312" w:hAnsi="仿宋_GB2312" w:eastAsia="仿宋_GB2312" w:cs="仿宋_GB2312"/>
          <w:sz w:val="24"/>
          <w:szCs w:val="24"/>
        </w:rPr>
        <w:t>项目中的</w:t>
      </w:r>
      <w:r>
        <w:rPr>
          <w:rFonts w:hint="eastAsia" w:ascii="仿宋_GB2312" w:hAnsi="仿宋_GB2312" w:eastAsia="仿宋_GB2312" w:cs="仿宋_GB2312"/>
          <w:sz w:val="24"/>
          <w:szCs w:val="24"/>
          <w:u w:val="single"/>
        </w:rPr>
        <w:t>（分包编号及服务名称）</w:t>
      </w:r>
      <w:r>
        <w:rPr>
          <w:rFonts w:hint="eastAsia" w:ascii="仿宋_GB2312" w:hAnsi="仿宋_GB2312" w:eastAsia="仿宋_GB2312" w:cs="仿宋_GB2312"/>
          <w:sz w:val="24"/>
          <w:szCs w:val="24"/>
        </w:rPr>
        <w:t>相关服务，并保证所提交的所有文件和说明是真实和准确的。</w:t>
      </w:r>
    </w:p>
    <w:p>
      <w:pPr>
        <w:spacing w:line="360" w:lineRule="auto"/>
        <w:ind w:firstLine="48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u w:val="single"/>
        </w:rPr>
        <w:t xml:space="preserve">  供应商名称  </w:t>
      </w:r>
      <w:r>
        <w:rPr>
          <w:rFonts w:hint="eastAsia" w:ascii="仿宋_GB2312" w:hAnsi="仿宋_GB2312" w:eastAsia="仿宋_GB2312" w:cs="仿宋_GB2312"/>
          <w:sz w:val="24"/>
          <w:szCs w:val="24"/>
        </w:rPr>
        <w:t xml:space="preserve">   签字人姓名、职务：</w:t>
      </w:r>
      <w:r>
        <w:rPr>
          <w:rFonts w:hint="eastAsia" w:ascii="仿宋_GB2312" w:hAnsi="仿宋_GB2312" w:eastAsia="仿宋_GB2312" w:cs="仿宋_GB2312"/>
          <w:sz w:val="24"/>
          <w:szCs w:val="24"/>
          <w:u w:val="single"/>
        </w:rPr>
        <w:t xml:space="preserve">               </w:t>
      </w:r>
    </w:p>
    <w:p>
      <w:pPr>
        <w:spacing w:line="360" w:lineRule="auto"/>
        <w:ind w:firstLine="48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地址：                </w:t>
      </w:r>
      <w:r>
        <w:rPr>
          <w:rFonts w:hint="eastAsia" w:ascii="仿宋_GB2312" w:hAnsi="仿宋_GB2312" w:eastAsia="仿宋_GB2312" w:cs="仿宋_GB2312"/>
          <w:sz w:val="24"/>
          <w:szCs w:val="24"/>
          <w:lang w:val="en-US" w:eastAsia="zh-CN"/>
        </w:rPr>
        <w:t>授权</w:t>
      </w:r>
      <w:r>
        <w:rPr>
          <w:rFonts w:hint="eastAsia" w:ascii="仿宋_GB2312" w:hAnsi="仿宋_GB2312" w:eastAsia="仿宋_GB2312" w:cs="仿宋_GB2312"/>
          <w:sz w:val="24"/>
          <w:szCs w:val="24"/>
        </w:rPr>
        <w:t>签署本资格文件人：</w:t>
      </w:r>
      <w:r>
        <w:rPr>
          <w:rFonts w:hint="eastAsia" w:ascii="仿宋_GB2312" w:hAnsi="仿宋_GB2312" w:eastAsia="仿宋_GB2312" w:cs="仿宋_GB2312"/>
          <w:sz w:val="24"/>
          <w:szCs w:val="24"/>
          <w:u w:val="single"/>
        </w:rPr>
        <w:t xml:space="preserve">授权人姓名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邮编：                      电话：      </w:t>
      </w:r>
    </w:p>
    <w:p>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供应商盖章：                                    </w:t>
      </w:r>
    </w:p>
    <w:p>
      <w:pPr>
        <w:spacing w:line="360" w:lineRule="auto"/>
        <w:ind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18"/>
        <w:rPr>
          <w:rFonts w:hint="eastAsia" w:ascii="仿宋_GB2312" w:hAnsi="仿宋_GB2312" w:eastAsia="仿宋_GB2312" w:cs="仿宋_GB2312"/>
          <w:kern w:val="2"/>
          <w:sz w:val="24"/>
          <w:szCs w:val="24"/>
          <w:lang w:val="en-US" w:eastAsia="zh-CN" w:bidi="ar-SA"/>
        </w:rPr>
      </w:pPr>
    </w:p>
    <w:p>
      <w:pPr>
        <w:pStyle w:val="19"/>
        <w:rPr>
          <w:rFonts w:hint="eastAsia" w:ascii="仿宋_GB2312" w:hAnsi="仿宋_GB2312" w:eastAsia="仿宋_GB2312" w:cs="仿宋_GB2312"/>
          <w:kern w:val="2"/>
          <w:sz w:val="24"/>
          <w:szCs w:val="24"/>
          <w:lang w:val="en-US" w:eastAsia="zh-CN" w:bidi="ar-SA"/>
        </w:rPr>
      </w:pPr>
    </w:p>
    <w:p>
      <w:pPr>
        <w:rPr>
          <w:rFonts w:hint="eastAsia" w:ascii="仿宋_GB2312" w:hAnsi="仿宋_GB2312" w:eastAsia="仿宋_GB2312" w:cs="仿宋_GB2312"/>
          <w:kern w:val="2"/>
          <w:sz w:val="24"/>
          <w:szCs w:val="24"/>
          <w:lang w:val="en-US" w:eastAsia="zh-CN" w:bidi="ar-SA"/>
        </w:rPr>
      </w:pPr>
    </w:p>
    <w:p>
      <w:pPr>
        <w:pStyle w:val="18"/>
        <w:rPr>
          <w:rFonts w:hint="eastAsia" w:ascii="仿宋_GB2312" w:hAnsi="仿宋_GB2312" w:eastAsia="仿宋_GB2312" w:cs="仿宋_GB2312"/>
          <w:kern w:val="2"/>
          <w:sz w:val="24"/>
          <w:szCs w:val="24"/>
          <w:lang w:val="en-US" w:eastAsia="zh-CN" w:bidi="ar-SA"/>
        </w:rPr>
      </w:pPr>
    </w:p>
    <w:p>
      <w:pPr>
        <w:pStyle w:val="19"/>
        <w:rPr>
          <w:rFonts w:hint="eastAsia" w:ascii="仿宋_GB2312" w:hAnsi="仿宋_GB2312" w:eastAsia="仿宋_GB2312" w:cs="仿宋_GB2312"/>
          <w:sz w:val="24"/>
          <w:szCs w:val="24"/>
          <w:lang w:val="en-US" w:eastAsia="zh-CN"/>
        </w:rPr>
      </w:pPr>
    </w:p>
    <w:p>
      <w:pPr>
        <w:tabs>
          <w:tab w:val="left" w:pos="3109"/>
        </w:tabs>
        <w:bidi w:val="0"/>
        <w:ind w:firstLine="964" w:firstLineChars="400"/>
        <w:jc w:val="left"/>
        <w:rPr>
          <w:rFonts w:hint="eastAsia" w:ascii="仿宋_GB2312" w:hAnsi="仿宋_GB2312" w:eastAsia="仿宋_GB2312" w:cs="仿宋_GB2312"/>
          <w:sz w:val="24"/>
          <w:szCs w:val="24"/>
          <w:lang w:val="en-US" w:eastAsia="zh-CN"/>
        </w:rPr>
      </w:pPr>
      <w:bookmarkStart w:id="306" w:name="_Toc17960"/>
      <w:bookmarkStart w:id="307" w:name="_Toc13778"/>
      <w:bookmarkStart w:id="308" w:name="_Toc28685"/>
      <w:bookmarkStart w:id="309" w:name="_Toc18553"/>
      <w:bookmarkStart w:id="310" w:name="_Toc26482"/>
      <w:r>
        <w:rPr>
          <w:rFonts w:hint="eastAsia" w:ascii="仿宋_GB2312" w:hAnsi="仿宋_GB2312" w:eastAsia="仿宋_GB2312" w:cs="仿宋_GB2312"/>
          <w:b/>
          <w:bCs/>
          <w:sz w:val="24"/>
          <w:szCs w:val="24"/>
          <w:lang w:val="en-US" w:eastAsia="zh-CN"/>
        </w:rPr>
        <w:t>十三</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响应单位认为需要提供的其他资料</w:t>
      </w:r>
      <w:bookmarkEnd w:id="306"/>
      <w:bookmarkEnd w:id="307"/>
      <w:bookmarkEnd w:id="308"/>
      <w:bookmarkEnd w:id="309"/>
      <w:bookmarkEnd w:id="310"/>
    </w:p>
    <w:p>
      <w:pPr>
        <w:ind w:left="0" w:leftChars="0" w:firstLine="0" w:firstLineChars="0"/>
        <w:jc w:val="both"/>
        <w:outlineLvl w:val="9"/>
        <w:rPr>
          <w:rFonts w:hint="eastAsia" w:ascii="仿宋_GB2312" w:hAnsi="仿宋_GB2312" w:eastAsia="仿宋_GB2312" w:cs="仿宋_GB2312"/>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ngsana New">
    <w:altName w:val="Microsoft Sans Serif"/>
    <w:panose1 w:val="02020603050405020304"/>
    <w:charset w:val="DE"/>
    <w:family w:val="roman"/>
    <w:pitch w:val="default"/>
    <w:sig w:usb0="00000000"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rPr>
        <w:rFonts w:hint="default" w:eastAsia="宋体"/>
        <w:lang w:val="en-US" w:eastAsia="zh-CN"/>
      </w:rPr>
    </w:pPr>
    <w:r>
      <w:rPr>
        <w:rFonts w:hint="eastAsia"/>
        <w:lang w:val="en-US" w:eastAsia="zh-CN"/>
      </w:rPr>
      <w:t xml:space="preserve">                                                                        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A752B3BF"/>
    <w:multiLevelType w:val="singleLevel"/>
    <w:tmpl w:val="A752B3BF"/>
    <w:lvl w:ilvl="0" w:tentative="0">
      <w:start w:val="7"/>
      <w:numFmt w:val="decimal"/>
      <w:suff w:val="nothing"/>
      <w:lvlText w:val="%1、"/>
      <w:lvlJc w:val="left"/>
    </w:lvl>
  </w:abstractNum>
  <w:abstractNum w:abstractNumId="2">
    <w:nsid w:val="B0D89085"/>
    <w:multiLevelType w:val="singleLevel"/>
    <w:tmpl w:val="B0D89085"/>
    <w:lvl w:ilvl="0" w:tentative="0">
      <w:start w:val="7"/>
      <w:numFmt w:val="decimal"/>
      <w:suff w:val="nothing"/>
      <w:lvlText w:val="（%1）"/>
      <w:lvlJc w:val="left"/>
    </w:lvl>
  </w:abstractNum>
  <w:abstractNum w:abstractNumId="3">
    <w:nsid w:val="B321F74E"/>
    <w:multiLevelType w:val="singleLevel"/>
    <w:tmpl w:val="B321F74E"/>
    <w:lvl w:ilvl="0" w:tentative="0">
      <w:start w:val="1"/>
      <w:numFmt w:val="chineseCounting"/>
      <w:suff w:val="space"/>
      <w:lvlText w:val="第%1章"/>
      <w:lvlJc w:val="left"/>
      <w:pPr>
        <w:ind w:left="1890"/>
      </w:pPr>
      <w:rPr>
        <w:rFonts w:hint="eastAsia"/>
      </w:rPr>
    </w:lvl>
  </w:abstractNum>
  <w:abstractNum w:abstractNumId="4">
    <w:nsid w:val="B9558ABA"/>
    <w:multiLevelType w:val="singleLevel"/>
    <w:tmpl w:val="B9558ABA"/>
    <w:lvl w:ilvl="0" w:tentative="0">
      <w:start w:val="5"/>
      <w:numFmt w:val="chineseCounting"/>
      <w:suff w:val="nothing"/>
      <w:lvlText w:val="%1、"/>
      <w:lvlJc w:val="left"/>
      <w:rPr>
        <w:rFonts w:hint="eastAsia"/>
      </w:rPr>
    </w:lvl>
  </w:abstractNum>
  <w:abstractNum w:abstractNumId="5">
    <w:nsid w:val="E5FAD3F9"/>
    <w:multiLevelType w:val="singleLevel"/>
    <w:tmpl w:val="E5FAD3F9"/>
    <w:lvl w:ilvl="0" w:tentative="0">
      <w:start w:val="1"/>
      <w:numFmt w:val="chineseCounting"/>
      <w:suff w:val="nothing"/>
      <w:lvlText w:val="%1、"/>
      <w:lvlJc w:val="left"/>
      <w:rPr>
        <w:rFonts w:hint="eastAsia"/>
      </w:rPr>
    </w:lvl>
  </w:abstractNum>
  <w:abstractNum w:abstractNumId="6">
    <w:nsid w:val="23425BF4"/>
    <w:multiLevelType w:val="singleLevel"/>
    <w:tmpl w:val="23425BF4"/>
    <w:lvl w:ilvl="0" w:tentative="0">
      <w:start w:val="1"/>
      <w:numFmt w:val="chineseCounting"/>
      <w:suff w:val="nothing"/>
      <w:lvlText w:val="%1、"/>
      <w:lvlJc w:val="left"/>
      <w:rPr>
        <w:rFonts w:hint="eastAsia"/>
      </w:rPr>
    </w:lvl>
  </w:abstractNum>
  <w:abstractNum w:abstractNumId="7">
    <w:nsid w:val="264B843C"/>
    <w:multiLevelType w:val="singleLevel"/>
    <w:tmpl w:val="264B843C"/>
    <w:lvl w:ilvl="0" w:tentative="0">
      <w:start w:val="2"/>
      <w:numFmt w:val="decimal"/>
      <w:suff w:val="nothing"/>
      <w:lvlText w:val="%1、"/>
      <w:lvlJc w:val="left"/>
    </w:lvl>
  </w:abstractNum>
  <w:abstractNum w:abstractNumId="8">
    <w:nsid w:val="59F18048"/>
    <w:multiLevelType w:val="singleLevel"/>
    <w:tmpl w:val="59F18048"/>
    <w:lvl w:ilvl="0" w:tentative="0">
      <w:start w:val="9"/>
      <w:numFmt w:val="chineseCounting"/>
      <w:suff w:val="nothing"/>
      <w:lvlText w:val="%1、"/>
      <w:lvlJc w:val="left"/>
      <w:rPr>
        <w:rFonts w:hint="eastAsia"/>
      </w:rPr>
    </w:lvl>
  </w:abstractNum>
  <w:abstractNum w:abstractNumId="9">
    <w:nsid w:val="61A26AF3"/>
    <w:multiLevelType w:val="singleLevel"/>
    <w:tmpl w:val="61A26AF3"/>
    <w:lvl w:ilvl="0" w:tentative="0">
      <w:start w:val="4"/>
      <w:numFmt w:val="chineseCounting"/>
      <w:suff w:val="nothing"/>
      <w:lvlText w:val="%1、"/>
      <w:lvlJc w:val="left"/>
      <w:rPr>
        <w:rFonts w:hint="eastAsia"/>
      </w:rPr>
    </w:lvl>
  </w:abstractNum>
  <w:num w:numId="1">
    <w:abstractNumId w:val="5"/>
  </w:num>
  <w:num w:numId="2">
    <w:abstractNumId w:val="3"/>
  </w:num>
  <w:num w:numId="3">
    <w:abstractNumId w:val="7"/>
  </w:num>
  <w:num w:numId="4">
    <w:abstractNumId w:val="9"/>
  </w:num>
  <w:num w:numId="5">
    <w:abstractNumId w:val="6"/>
  </w:num>
  <w:num w:numId="6">
    <w:abstractNumId w:val="1"/>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OWNkNDE1OTA3MDE3MDdmMjFmYjkwOWU3OThiMDM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11F9"/>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104"/>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64C9A"/>
    <w:rsid w:val="0108435E"/>
    <w:rsid w:val="01114B27"/>
    <w:rsid w:val="01170C55"/>
    <w:rsid w:val="012D66CB"/>
    <w:rsid w:val="013E4BBF"/>
    <w:rsid w:val="014A1E70"/>
    <w:rsid w:val="014A2DD9"/>
    <w:rsid w:val="01514167"/>
    <w:rsid w:val="01576FB8"/>
    <w:rsid w:val="01657087"/>
    <w:rsid w:val="016E4695"/>
    <w:rsid w:val="017326A9"/>
    <w:rsid w:val="0176006D"/>
    <w:rsid w:val="01826A17"/>
    <w:rsid w:val="01830099"/>
    <w:rsid w:val="018F39D1"/>
    <w:rsid w:val="019D1BBD"/>
    <w:rsid w:val="019E58AF"/>
    <w:rsid w:val="01A22C15"/>
    <w:rsid w:val="01A544B3"/>
    <w:rsid w:val="01BD0287"/>
    <w:rsid w:val="01BF07A9"/>
    <w:rsid w:val="01D134FA"/>
    <w:rsid w:val="01E02A7C"/>
    <w:rsid w:val="01EE7C08"/>
    <w:rsid w:val="01FD609D"/>
    <w:rsid w:val="02052A74"/>
    <w:rsid w:val="02117D9A"/>
    <w:rsid w:val="021A6C4F"/>
    <w:rsid w:val="021C29C7"/>
    <w:rsid w:val="021F4265"/>
    <w:rsid w:val="02315D47"/>
    <w:rsid w:val="023A4BFB"/>
    <w:rsid w:val="024E35D5"/>
    <w:rsid w:val="025C1016"/>
    <w:rsid w:val="02663C9A"/>
    <w:rsid w:val="026F6B0F"/>
    <w:rsid w:val="02777BFD"/>
    <w:rsid w:val="027F1BF5"/>
    <w:rsid w:val="02920C55"/>
    <w:rsid w:val="0294775E"/>
    <w:rsid w:val="029E5C40"/>
    <w:rsid w:val="02B0310F"/>
    <w:rsid w:val="02BD514D"/>
    <w:rsid w:val="02C1531D"/>
    <w:rsid w:val="02C848FD"/>
    <w:rsid w:val="02CD3CC1"/>
    <w:rsid w:val="02DF39F5"/>
    <w:rsid w:val="02E22446"/>
    <w:rsid w:val="02FA082F"/>
    <w:rsid w:val="03015719"/>
    <w:rsid w:val="03064AB8"/>
    <w:rsid w:val="03082F4B"/>
    <w:rsid w:val="0311542F"/>
    <w:rsid w:val="03280EF8"/>
    <w:rsid w:val="033931D6"/>
    <w:rsid w:val="033F5582"/>
    <w:rsid w:val="035717DD"/>
    <w:rsid w:val="035E49F2"/>
    <w:rsid w:val="03685798"/>
    <w:rsid w:val="036A2E06"/>
    <w:rsid w:val="036B0B8C"/>
    <w:rsid w:val="036F1BDB"/>
    <w:rsid w:val="03827C16"/>
    <w:rsid w:val="038500F8"/>
    <w:rsid w:val="03864561"/>
    <w:rsid w:val="03937E1A"/>
    <w:rsid w:val="0396275C"/>
    <w:rsid w:val="039A309C"/>
    <w:rsid w:val="039C39E2"/>
    <w:rsid w:val="039D57BB"/>
    <w:rsid w:val="03CF3A69"/>
    <w:rsid w:val="03CF75C5"/>
    <w:rsid w:val="03D170F2"/>
    <w:rsid w:val="03D80B70"/>
    <w:rsid w:val="03DA48E8"/>
    <w:rsid w:val="03E47515"/>
    <w:rsid w:val="03EA4D45"/>
    <w:rsid w:val="03EF5EB9"/>
    <w:rsid w:val="03F60B9E"/>
    <w:rsid w:val="03F93A73"/>
    <w:rsid w:val="03FC1482"/>
    <w:rsid w:val="040A351A"/>
    <w:rsid w:val="040F6ABA"/>
    <w:rsid w:val="0410030A"/>
    <w:rsid w:val="04113609"/>
    <w:rsid w:val="041D688F"/>
    <w:rsid w:val="042046F5"/>
    <w:rsid w:val="04205325"/>
    <w:rsid w:val="042C4F6C"/>
    <w:rsid w:val="043438CC"/>
    <w:rsid w:val="044F0626"/>
    <w:rsid w:val="04531FA4"/>
    <w:rsid w:val="04581CB1"/>
    <w:rsid w:val="04610B65"/>
    <w:rsid w:val="04706FFA"/>
    <w:rsid w:val="047C599F"/>
    <w:rsid w:val="04842D14"/>
    <w:rsid w:val="048447B6"/>
    <w:rsid w:val="048C31EB"/>
    <w:rsid w:val="04904E09"/>
    <w:rsid w:val="049F343C"/>
    <w:rsid w:val="04B1004E"/>
    <w:rsid w:val="04B14F1D"/>
    <w:rsid w:val="04B85326"/>
    <w:rsid w:val="04C16888"/>
    <w:rsid w:val="04E12B8F"/>
    <w:rsid w:val="04E225E4"/>
    <w:rsid w:val="04E74BBB"/>
    <w:rsid w:val="04EF43C3"/>
    <w:rsid w:val="04FA2D68"/>
    <w:rsid w:val="04FB3F3C"/>
    <w:rsid w:val="0505406E"/>
    <w:rsid w:val="05094D59"/>
    <w:rsid w:val="051B49C3"/>
    <w:rsid w:val="052F2A11"/>
    <w:rsid w:val="053F22E2"/>
    <w:rsid w:val="053F3A8A"/>
    <w:rsid w:val="054369D5"/>
    <w:rsid w:val="05465FAD"/>
    <w:rsid w:val="05493229"/>
    <w:rsid w:val="05511C23"/>
    <w:rsid w:val="055466C4"/>
    <w:rsid w:val="056E5958"/>
    <w:rsid w:val="0575419C"/>
    <w:rsid w:val="057B5C57"/>
    <w:rsid w:val="057C5B78"/>
    <w:rsid w:val="058014BF"/>
    <w:rsid w:val="05850883"/>
    <w:rsid w:val="05926AFC"/>
    <w:rsid w:val="05A607FA"/>
    <w:rsid w:val="05C93DFF"/>
    <w:rsid w:val="05D709B3"/>
    <w:rsid w:val="05DE1D42"/>
    <w:rsid w:val="05DE43BE"/>
    <w:rsid w:val="05ED6429"/>
    <w:rsid w:val="05EE5B60"/>
    <w:rsid w:val="05F45A09"/>
    <w:rsid w:val="05F6352F"/>
    <w:rsid w:val="05FE413F"/>
    <w:rsid w:val="06087B94"/>
    <w:rsid w:val="061019C4"/>
    <w:rsid w:val="063E0A32"/>
    <w:rsid w:val="063E5B61"/>
    <w:rsid w:val="06450013"/>
    <w:rsid w:val="06462DE7"/>
    <w:rsid w:val="06485CEF"/>
    <w:rsid w:val="064C314F"/>
    <w:rsid w:val="06606BFB"/>
    <w:rsid w:val="066074E3"/>
    <w:rsid w:val="06624721"/>
    <w:rsid w:val="06722B32"/>
    <w:rsid w:val="067E4831"/>
    <w:rsid w:val="06826167"/>
    <w:rsid w:val="06885C56"/>
    <w:rsid w:val="06893F59"/>
    <w:rsid w:val="068F7BED"/>
    <w:rsid w:val="06907A31"/>
    <w:rsid w:val="0698114A"/>
    <w:rsid w:val="069845E6"/>
    <w:rsid w:val="06A21AC2"/>
    <w:rsid w:val="06B23548"/>
    <w:rsid w:val="06B6582E"/>
    <w:rsid w:val="06C4362D"/>
    <w:rsid w:val="06C43C23"/>
    <w:rsid w:val="06CE24B9"/>
    <w:rsid w:val="06D27AF8"/>
    <w:rsid w:val="06DF5D71"/>
    <w:rsid w:val="06EB6E0C"/>
    <w:rsid w:val="06F04422"/>
    <w:rsid w:val="06FA245C"/>
    <w:rsid w:val="06FA2BAB"/>
    <w:rsid w:val="070E2E0A"/>
    <w:rsid w:val="07227821"/>
    <w:rsid w:val="07241122"/>
    <w:rsid w:val="0725106E"/>
    <w:rsid w:val="07252D2E"/>
    <w:rsid w:val="072C2A07"/>
    <w:rsid w:val="072D4D2F"/>
    <w:rsid w:val="07313928"/>
    <w:rsid w:val="07313A20"/>
    <w:rsid w:val="073C5C1B"/>
    <w:rsid w:val="073E71A5"/>
    <w:rsid w:val="07462294"/>
    <w:rsid w:val="07487DBA"/>
    <w:rsid w:val="074D3623"/>
    <w:rsid w:val="074D4107"/>
    <w:rsid w:val="074F1307"/>
    <w:rsid w:val="07630750"/>
    <w:rsid w:val="07754928"/>
    <w:rsid w:val="07762B7A"/>
    <w:rsid w:val="077F6D01"/>
    <w:rsid w:val="078644A0"/>
    <w:rsid w:val="078B5EF9"/>
    <w:rsid w:val="079D7CBE"/>
    <w:rsid w:val="079E5C2C"/>
    <w:rsid w:val="07BC4304"/>
    <w:rsid w:val="07C02047"/>
    <w:rsid w:val="07C207B2"/>
    <w:rsid w:val="07CE6B72"/>
    <w:rsid w:val="07D05526"/>
    <w:rsid w:val="07D23168"/>
    <w:rsid w:val="07D23B28"/>
    <w:rsid w:val="07D64BEA"/>
    <w:rsid w:val="07DB25F7"/>
    <w:rsid w:val="07E147B8"/>
    <w:rsid w:val="07EA70C4"/>
    <w:rsid w:val="07F07B95"/>
    <w:rsid w:val="07FC2953"/>
    <w:rsid w:val="08066F25"/>
    <w:rsid w:val="081622A9"/>
    <w:rsid w:val="081A2297"/>
    <w:rsid w:val="08311465"/>
    <w:rsid w:val="083420ED"/>
    <w:rsid w:val="083565CE"/>
    <w:rsid w:val="084A5547"/>
    <w:rsid w:val="084C0330"/>
    <w:rsid w:val="08515BAF"/>
    <w:rsid w:val="08573A0A"/>
    <w:rsid w:val="085B58CB"/>
    <w:rsid w:val="085E7DCE"/>
    <w:rsid w:val="08604E06"/>
    <w:rsid w:val="08607386"/>
    <w:rsid w:val="08663767"/>
    <w:rsid w:val="08674270"/>
    <w:rsid w:val="086A5B0F"/>
    <w:rsid w:val="08712537"/>
    <w:rsid w:val="08760957"/>
    <w:rsid w:val="08844E22"/>
    <w:rsid w:val="088625B5"/>
    <w:rsid w:val="08913BA7"/>
    <w:rsid w:val="089C1948"/>
    <w:rsid w:val="08A84D00"/>
    <w:rsid w:val="08BD20E2"/>
    <w:rsid w:val="08C6543B"/>
    <w:rsid w:val="08C9728E"/>
    <w:rsid w:val="08D85E5D"/>
    <w:rsid w:val="08E51639"/>
    <w:rsid w:val="08E6156B"/>
    <w:rsid w:val="08F53098"/>
    <w:rsid w:val="09012917"/>
    <w:rsid w:val="09075A53"/>
    <w:rsid w:val="091410F5"/>
    <w:rsid w:val="09187C60"/>
    <w:rsid w:val="092D0FC6"/>
    <w:rsid w:val="092D5890"/>
    <w:rsid w:val="09380446"/>
    <w:rsid w:val="094572E1"/>
    <w:rsid w:val="094E1FB7"/>
    <w:rsid w:val="095E1B17"/>
    <w:rsid w:val="096E7880"/>
    <w:rsid w:val="0973135D"/>
    <w:rsid w:val="098E4DDC"/>
    <w:rsid w:val="09A57A6F"/>
    <w:rsid w:val="09BC4A90"/>
    <w:rsid w:val="09BC683E"/>
    <w:rsid w:val="09BE25B6"/>
    <w:rsid w:val="09BF1E8A"/>
    <w:rsid w:val="09CB5008"/>
    <w:rsid w:val="09D25006"/>
    <w:rsid w:val="09F340E8"/>
    <w:rsid w:val="09FB55B8"/>
    <w:rsid w:val="0A091873"/>
    <w:rsid w:val="0A1002DB"/>
    <w:rsid w:val="0A1641A0"/>
    <w:rsid w:val="0A170A90"/>
    <w:rsid w:val="0A171CC6"/>
    <w:rsid w:val="0A1D343C"/>
    <w:rsid w:val="0A261468"/>
    <w:rsid w:val="0A424C0E"/>
    <w:rsid w:val="0A5D1DCF"/>
    <w:rsid w:val="0A5D4EC3"/>
    <w:rsid w:val="0A732D15"/>
    <w:rsid w:val="0A757553"/>
    <w:rsid w:val="0A78372D"/>
    <w:rsid w:val="0A8A06EA"/>
    <w:rsid w:val="0A9F669C"/>
    <w:rsid w:val="0AB14F96"/>
    <w:rsid w:val="0AB614DF"/>
    <w:rsid w:val="0AB76477"/>
    <w:rsid w:val="0AC06677"/>
    <w:rsid w:val="0AC97464"/>
    <w:rsid w:val="0ADA5A33"/>
    <w:rsid w:val="0ADD081A"/>
    <w:rsid w:val="0ADF0A36"/>
    <w:rsid w:val="0ADF454E"/>
    <w:rsid w:val="0AE53B72"/>
    <w:rsid w:val="0AEA7039"/>
    <w:rsid w:val="0B0D7BE8"/>
    <w:rsid w:val="0B0E625D"/>
    <w:rsid w:val="0B154457"/>
    <w:rsid w:val="0B1701D0"/>
    <w:rsid w:val="0B255C73"/>
    <w:rsid w:val="0B2B362C"/>
    <w:rsid w:val="0B2B3C7B"/>
    <w:rsid w:val="0B2D364C"/>
    <w:rsid w:val="0B316DB7"/>
    <w:rsid w:val="0B570D79"/>
    <w:rsid w:val="0B5F2931"/>
    <w:rsid w:val="0B5F56D3"/>
    <w:rsid w:val="0B68550A"/>
    <w:rsid w:val="0B696551"/>
    <w:rsid w:val="0B6E1DBA"/>
    <w:rsid w:val="0B811AED"/>
    <w:rsid w:val="0B8E48F8"/>
    <w:rsid w:val="0B930BFC"/>
    <w:rsid w:val="0B942010"/>
    <w:rsid w:val="0B9E6FCA"/>
    <w:rsid w:val="0BA23811"/>
    <w:rsid w:val="0BA578C2"/>
    <w:rsid w:val="0BB05F2E"/>
    <w:rsid w:val="0BBC4F88"/>
    <w:rsid w:val="0BD2506A"/>
    <w:rsid w:val="0BE34556"/>
    <w:rsid w:val="0BE77227"/>
    <w:rsid w:val="0BF95F2E"/>
    <w:rsid w:val="0C0369A6"/>
    <w:rsid w:val="0C083FBC"/>
    <w:rsid w:val="0C150E84"/>
    <w:rsid w:val="0C1741FF"/>
    <w:rsid w:val="0C1C1816"/>
    <w:rsid w:val="0C211D10"/>
    <w:rsid w:val="0C403756"/>
    <w:rsid w:val="0C430577"/>
    <w:rsid w:val="0C46348A"/>
    <w:rsid w:val="0C4D19CF"/>
    <w:rsid w:val="0C4E52FA"/>
    <w:rsid w:val="0C54727F"/>
    <w:rsid w:val="0C597B9D"/>
    <w:rsid w:val="0C7358DA"/>
    <w:rsid w:val="0C7C3D86"/>
    <w:rsid w:val="0C7D22B4"/>
    <w:rsid w:val="0C8E2713"/>
    <w:rsid w:val="0C940B85"/>
    <w:rsid w:val="0C943AA2"/>
    <w:rsid w:val="0C9910B8"/>
    <w:rsid w:val="0C9C64B3"/>
    <w:rsid w:val="0CB067C8"/>
    <w:rsid w:val="0CC2416B"/>
    <w:rsid w:val="0CC73E1B"/>
    <w:rsid w:val="0CD8573D"/>
    <w:rsid w:val="0CDC2945"/>
    <w:rsid w:val="0CE36AAF"/>
    <w:rsid w:val="0CEE6D0E"/>
    <w:rsid w:val="0CF57932"/>
    <w:rsid w:val="0CF83B56"/>
    <w:rsid w:val="0CFF716D"/>
    <w:rsid w:val="0D076FF8"/>
    <w:rsid w:val="0D125955"/>
    <w:rsid w:val="0D132C19"/>
    <w:rsid w:val="0D1C451A"/>
    <w:rsid w:val="0D1F511A"/>
    <w:rsid w:val="0D210709"/>
    <w:rsid w:val="0D2766C4"/>
    <w:rsid w:val="0D2B61B4"/>
    <w:rsid w:val="0D38442D"/>
    <w:rsid w:val="0D462D5E"/>
    <w:rsid w:val="0D497C33"/>
    <w:rsid w:val="0D501777"/>
    <w:rsid w:val="0D503630"/>
    <w:rsid w:val="0D553231"/>
    <w:rsid w:val="0D6B65B1"/>
    <w:rsid w:val="0D780A8E"/>
    <w:rsid w:val="0D802BA6"/>
    <w:rsid w:val="0D817CDD"/>
    <w:rsid w:val="0D8D29CB"/>
    <w:rsid w:val="0D95068A"/>
    <w:rsid w:val="0D990089"/>
    <w:rsid w:val="0DA05754"/>
    <w:rsid w:val="0DA66213"/>
    <w:rsid w:val="0DAF257F"/>
    <w:rsid w:val="0DBC7D7B"/>
    <w:rsid w:val="0DBE3797"/>
    <w:rsid w:val="0DC914B7"/>
    <w:rsid w:val="0DCB2EC9"/>
    <w:rsid w:val="0DDA3736"/>
    <w:rsid w:val="0DDB5519"/>
    <w:rsid w:val="0DDE28D1"/>
    <w:rsid w:val="0DE66725"/>
    <w:rsid w:val="0DF21350"/>
    <w:rsid w:val="0DF7762E"/>
    <w:rsid w:val="0E032C8D"/>
    <w:rsid w:val="0E17160C"/>
    <w:rsid w:val="0E2844A2"/>
    <w:rsid w:val="0E2B14C9"/>
    <w:rsid w:val="0E2C6A66"/>
    <w:rsid w:val="0E39045D"/>
    <w:rsid w:val="0E417A7A"/>
    <w:rsid w:val="0E4312DC"/>
    <w:rsid w:val="0E623591"/>
    <w:rsid w:val="0E886B40"/>
    <w:rsid w:val="0E9733D5"/>
    <w:rsid w:val="0EB61AAE"/>
    <w:rsid w:val="0EB94056"/>
    <w:rsid w:val="0EC05EB6"/>
    <w:rsid w:val="0EC51CF1"/>
    <w:rsid w:val="0ED62E74"/>
    <w:rsid w:val="0ED87CF8"/>
    <w:rsid w:val="0EE20AF5"/>
    <w:rsid w:val="0EF0008C"/>
    <w:rsid w:val="0EF34AB0"/>
    <w:rsid w:val="0EFE5203"/>
    <w:rsid w:val="0F072020"/>
    <w:rsid w:val="0F087E2F"/>
    <w:rsid w:val="0F0A0CF9"/>
    <w:rsid w:val="0F0E3FB8"/>
    <w:rsid w:val="0F17594F"/>
    <w:rsid w:val="0F2819B8"/>
    <w:rsid w:val="0F2C4DF7"/>
    <w:rsid w:val="0F3F5F47"/>
    <w:rsid w:val="0F3F7CF5"/>
    <w:rsid w:val="0F403A6D"/>
    <w:rsid w:val="0F451FFF"/>
    <w:rsid w:val="0F4C2412"/>
    <w:rsid w:val="0F6A6954"/>
    <w:rsid w:val="0F797C87"/>
    <w:rsid w:val="0F881AB1"/>
    <w:rsid w:val="0F8C5F99"/>
    <w:rsid w:val="0F9F0794"/>
    <w:rsid w:val="0FA44A5B"/>
    <w:rsid w:val="0FAE4E7B"/>
    <w:rsid w:val="0FB26719"/>
    <w:rsid w:val="0FB9435B"/>
    <w:rsid w:val="0FCD0EF4"/>
    <w:rsid w:val="0FD03043"/>
    <w:rsid w:val="0FD50BB8"/>
    <w:rsid w:val="0FD513AC"/>
    <w:rsid w:val="0FD7617F"/>
    <w:rsid w:val="0FDC3304"/>
    <w:rsid w:val="0FDD12BC"/>
    <w:rsid w:val="0FE530EB"/>
    <w:rsid w:val="0FE92B1E"/>
    <w:rsid w:val="0FF87EA4"/>
    <w:rsid w:val="0FFE0884"/>
    <w:rsid w:val="0FFF516E"/>
    <w:rsid w:val="100F4AD5"/>
    <w:rsid w:val="101271B8"/>
    <w:rsid w:val="1025065E"/>
    <w:rsid w:val="103D3324"/>
    <w:rsid w:val="104430E9"/>
    <w:rsid w:val="104906FF"/>
    <w:rsid w:val="1053405A"/>
    <w:rsid w:val="1057106E"/>
    <w:rsid w:val="10615A49"/>
    <w:rsid w:val="10635C65"/>
    <w:rsid w:val="10675755"/>
    <w:rsid w:val="106819E4"/>
    <w:rsid w:val="1068327B"/>
    <w:rsid w:val="10685076"/>
    <w:rsid w:val="10704177"/>
    <w:rsid w:val="107A4C82"/>
    <w:rsid w:val="107F7DE6"/>
    <w:rsid w:val="10993435"/>
    <w:rsid w:val="10AD3C70"/>
    <w:rsid w:val="10BC2458"/>
    <w:rsid w:val="10BE733F"/>
    <w:rsid w:val="10CD3604"/>
    <w:rsid w:val="10D80401"/>
    <w:rsid w:val="10D97CD5"/>
    <w:rsid w:val="10EE19D3"/>
    <w:rsid w:val="10EF574B"/>
    <w:rsid w:val="10F03312"/>
    <w:rsid w:val="10FC2F38"/>
    <w:rsid w:val="110342FF"/>
    <w:rsid w:val="110473C6"/>
    <w:rsid w:val="111E1B8C"/>
    <w:rsid w:val="112E6273"/>
    <w:rsid w:val="1131366D"/>
    <w:rsid w:val="113A1918"/>
    <w:rsid w:val="113C20C7"/>
    <w:rsid w:val="113F222E"/>
    <w:rsid w:val="117B0D8C"/>
    <w:rsid w:val="118877EE"/>
    <w:rsid w:val="118C4D48"/>
    <w:rsid w:val="11911FF2"/>
    <w:rsid w:val="119C0B35"/>
    <w:rsid w:val="11B83D8F"/>
    <w:rsid w:val="11C12C43"/>
    <w:rsid w:val="11CB1A5D"/>
    <w:rsid w:val="11CE6E9B"/>
    <w:rsid w:val="11D43BAA"/>
    <w:rsid w:val="11E61B4C"/>
    <w:rsid w:val="11F53F44"/>
    <w:rsid w:val="12170A79"/>
    <w:rsid w:val="1217292B"/>
    <w:rsid w:val="12192A7F"/>
    <w:rsid w:val="121D6EB6"/>
    <w:rsid w:val="121D7151"/>
    <w:rsid w:val="12413CE6"/>
    <w:rsid w:val="124155C1"/>
    <w:rsid w:val="12502219"/>
    <w:rsid w:val="12577104"/>
    <w:rsid w:val="12592C68"/>
    <w:rsid w:val="125C6E10"/>
    <w:rsid w:val="125C703A"/>
    <w:rsid w:val="125E4936"/>
    <w:rsid w:val="12675F93"/>
    <w:rsid w:val="127001C5"/>
    <w:rsid w:val="12704669"/>
    <w:rsid w:val="127D2F5A"/>
    <w:rsid w:val="12821D4A"/>
    <w:rsid w:val="12843C37"/>
    <w:rsid w:val="1287495B"/>
    <w:rsid w:val="128B3251"/>
    <w:rsid w:val="12940358"/>
    <w:rsid w:val="129640D0"/>
    <w:rsid w:val="12970375"/>
    <w:rsid w:val="12AE1C68"/>
    <w:rsid w:val="12BB3FC7"/>
    <w:rsid w:val="12C66037"/>
    <w:rsid w:val="12D93FBD"/>
    <w:rsid w:val="12D96AE3"/>
    <w:rsid w:val="12DA1AE3"/>
    <w:rsid w:val="12DA2A28"/>
    <w:rsid w:val="12DB5F87"/>
    <w:rsid w:val="12DF1B94"/>
    <w:rsid w:val="12E34E3B"/>
    <w:rsid w:val="12E455BA"/>
    <w:rsid w:val="12F178DD"/>
    <w:rsid w:val="12F63344"/>
    <w:rsid w:val="12F9640D"/>
    <w:rsid w:val="12FB4D64"/>
    <w:rsid w:val="12FC7CAB"/>
    <w:rsid w:val="131109C2"/>
    <w:rsid w:val="13133A40"/>
    <w:rsid w:val="131A3751"/>
    <w:rsid w:val="13336E3E"/>
    <w:rsid w:val="133728C5"/>
    <w:rsid w:val="13620456"/>
    <w:rsid w:val="1367785D"/>
    <w:rsid w:val="137151A0"/>
    <w:rsid w:val="138E2FF9"/>
    <w:rsid w:val="13914897"/>
    <w:rsid w:val="13A46031"/>
    <w:rsid w:val="13B62550"/>
    <w:rsid w:val="13BA3963"/>
    <w:rsid w:val="13BF1E64"/>
    <w:rsid w:val="13C01D6F"/>
    <w:rsid w:val="13C044E2"/>
    <w:rsid w:val="13C85944"/>
    <w:rsid w:val="13DB5B12"/>
    <w:rsid w:val="13DD188A"/>
    <w:rsid w:val="13E75FD4"/>
    <w:rsid w:val="13EB044B"/>
    <w:rsid w:val="13F15336"/>
    <w:rsid w:val="13FA7C99"/>
    <w:rsid w:val="140B40C3"/>
    <w:rsid w:val="141736F0"/>
    <w:rsid w:val="141F1494"/>
    <w:rsid w:val="14204270"/>
    <w:rsid w:val="14294AD0"/>
    <w:rsid w:val="142E658A"/>
    <w:rsid w:val="14310700"/>
    <w:rsid w:val="1432607A"/>
    <w:rsid w:val="144204BF"/>
    <w:rsid w:val="14457F96"/>
    <w:rsid w:val="145F4995"/>
    <w:rsid w:val="146D0E60"/>
    <w:rsid w:val="14766B2A"/>
    <w:rsid w:val="147B0A7E"/>
    <w:rsid w:val="149E54BE"/>
    <w:rsid w:val="14AD3953"/>
    <w:rsid w:val="14C02376"/>
    <w:rsid w:val="14C111AC"/>
    <w:rsid w:val="14C43CA3"/>
    <w:rsid w:val="14D07641"/>
    <w:rsid w:val="14D74019"/>
    <w:rsid w:val="14FB1357"/>
    <w:rsid w:val="150572EB"/>
    <w:rsid w:val="15196596"/>
    <w:rsid w:val="151A46E2"/>
    <w:rsid w:val="152534E9"/>
    <w:rsid w:val="152C2AC9"/>
    <w:rsid w:val="152F25BA"/>
    <w:rsid w:val="15316332"/>
    <w:rsid w:val="15324BFD"/>
    <w:rsid w:val="15406575"/>
    <w:rsid w:val="156A53A0"/>
    <w:rsid w:val="157A5DB7"/>
    <w:rsid w:val="157A756D"/>
    <w:rsid w:val="157E0E4B"/>
    <w:rsid w:val="15830DAE"/>
    <w:rsid w:val="15873EFA"/>
    <w:rsid w:val="15916D14"/>
    <w:rsid w:val="159E7F76"/>
    <w:rsid w:val="15AB7000"/>
    <w:rsid w:val="15B34F99"/>
    <w:rsid w:val="15B900D5"/>
    <w:rsid w:val="15C83AFF"/>
    <w:rsid w:val="15CD1DFC"/>
    <w:rsid w:val="15D46CBD"/>
    <w:rsid w:val="15D55DE5"/>
    <w:rsid w:val="15DE1373"/>
    <w:rsid w:val="15DF5D8E"/>
    <w:rsid w:val="15E4771A"/>
    <w:rsid w:val="15E74E37"/>
    <w:rsid w:val="16091125"/>
    <w:rsid w:val="160B7B63"/>
    <w:rsid w:val="161F409A"/>
    <w:rsid w:val="16261D23"/>
    <w:rsid w:val="163A2FC4"/>
    <w:rsid w:val="163C4F8E"/>
    <w:rsid w:val="165C6DCA"/>
    <w:rsid w:val="1662251B"/>
    <w:rsid w:val="1663076D"/>
    <w:rsid w:val="16726A36"/>
    <w:rsid w:val="167504A0"/>
    <w:rsid w:val="167B63FA"/>
    <w:rsid w:val="167E55A7"/>
    <w:rsid w:val="16840FA1"/>
    <w:rsid w:val="169C7961"/>
    <w:rsid w:val="16B23F8B"/>
    <w:rsid w:val="16BE28AD"/>
    <w:rsid w:val="16C17241"/>
    <w:rsid w:val="16C26591"/>
    <w:rsid w:val="16D94F7F"/>
    <w:rsid w:val="16DC4C7A"/>
    <w:rsid w:val="16DE6045"/>
    <w:rsid w:val="16E15B36"/>
    <w:rsid w:val="1710689D"/>
    <w:rsid w:val="171A4BA4"/>
    <w:rsid w:val="172762F6"/>
    <w:rsid w:val="173369A0"/>
    <w:rsid w:val="1759391E"/>
    <w:rsid w:val="17604CAC"/>
    <w:rsid w:val="177806C4"/>
    <w:rsid w:val="177B1AE6"/>
    <w:rsid w:val="177E44BC"/>
    <w:rsid w:val="178070FD"/>
    <w:rsid w:val="17820254"/>
    <w:rsid w:val="178230E4"/>
    <w:rsid w:val="17824C23"/>
    <w:rsid w:val="1796247C"/>
    <w:rsid w:val="17984446"/>
    <w:rsid w:val="17990E6B"/>
    <w:rsid w:val="179A648B"/>
    <w:rsid w:val="179E7583"/>
    <w:rsid w:val="17A964DA"/>
    <w:rsid w:val="17C50FB3"/>
    <w:rsid w:val="17C52D61"/>
    <w:rsid w:val="17CA07FE"/>
    <w:rsid w:val="17CB4A53"/>
    <w:rsid w:val="17CD7844"/>
    <w:rsid w:val="17D31922"/>
    <w:rsid w:val="17DB4333"/>
    <w:rsid w:val="17E21B65"/>
    <w:rsid w:val="17E817BD"/>
    <w:rsid w:val="17F65611"/>
    <w:rsid w:val="18090EA0"/>
    <w:rsid w:val="18131D1F"/>
    <w:rsid w:val="18142F29"/>
    <w:rsid w:val="181F78CD"/>
    <w:rsid w:val="18216B7B"/>
    <w:rsid w:val="1833416F"/>
    <w:rsid w:val="184620F4"/>
    <w:rsid w:val="18477D65"/>
    <w:rsid w:val="184E2D57"/>
    <w:rsid w:val="187D53EA"/>
    <w:rsid w:val="187F5606"/>
    <w:rsid w:val="18897A76"/>
    <w:rsid w:val="18915F7D"/>
    <w:rsid w:val="189C1D14"/>
    <w:rsid w:val="18A16130"/>
    <w:rsid w:val="18A9309D"/>
    <w:rsid w:val="18A94431"/>
    <w:rsid w:val="18B530E6"/>
    <w:rsid w:val="18D55226"/>
    <w:rsid w:val="18D92AB2"/>
    <w:rsid w:val="18DA0A8E"/>
    <w:rsid w:val="18EC2AF1"/>
    <w:rsid w:val="19031011"/>
    <w:rsid w:val="1906447F"/>
    <w:rsid w:val="19084C0F"/>
    <w:rsid w:val="190E24E6"/>
    <w:rsid w:val="192153E9"/>
    <w:rsid w:val="19266C21"/>
    <w:rsid w:val="193442BF"/>
    <w:rsid w:val="193556DA"/>
    <w:rsid w:val="193B777F"/>
    <w:rsid w:val="194523AC"/>
    <w:rsid w:val="19551779"/>
    <w:rsid w:val="19641994"/>
    <w:rsid w:val="196D36B1"/>
    <w:rsid w:val="198D3D53"/>
    <w:rsid w:val="199C2C76"/>
    <w:rsid w:val="19C06BAC"/>
    <w:rsid w:val="19C332D1"/>
    <w:rsid w:val="19D35C0A"/>
    <w:rsid w:val="19DD0836"/>
    <w:rsid w:val="19E33973"/>
    <w:rsid w:val="19E51499"/>
    <w:rsid w:val="1A08254F"/>
    <w:rsid w:val="1A0D51DE"/>
    <w:rsid w:val="1A1D0525"/>
    <w:rsid w:val="1A255D39"/>
    <w:rsid w:val="1A35494D"/>
    <w:rsid w:val="1A3B3043"/>
    <w:rsid w:val="1A512FD2"/>
    <w:rsid w:val="1A89276C"/>
    <w:rsid w:val="1A8A011D"/>
    <w:rsid w:val="1A9058A9"/>
    <w:rsid w:val="1A9D1D74"/>
    <w:rsid w:val="1AB07CF9"/>
    <w:rsid w:val="1ACB4F39"/>
    <w:rsid w:val="1AD11A1D"/>
    <w:rsid w:val="1AF7145A"/>
    <w:rsid w:val="1AF8344E"/>
    <w:rsid w:val="1B024B28"/>
    <w:rsid w:val="1B1D4C62"/>
    <w:rsid w:val="1B214753"/>
    <w:rsid w:val="1B222279"/>
    <w:rsid w:val="1B237BE2"/>
    <w:rsid w:val="1B2B711A"/>
    <w:rsid w:val="1B3202FC"/>
    <w:rsid w:val="1B352404"/>
    <w:rsid w:val="1B3A4F50"/>
    <w:rsid w:val="1B3E11C2"/>
    <w:rsid w:val="1B3F4F65"/>
    <w:rsid w:val="1B4C784B"/>
    <w:rsid w:val="1B506DE6"/>
    <w:rsid w:val="1B513751"/>
    <w:rsid w:val="1B583A4F"/>
    <w:rsid w:val="1B5C214D"/>
    <w:rsid w:val="1B5E59A7"/>
    <w:rsid w:val="1B7377D1"/>
    <w:rsid w:val="1B801CBC"/>
    <w:rsid w:val="1B866CAC"/>
    <w:rsid w:val="1B926382"/>
    <w:rsid w:val="1BC05D1A"/>
    <w:rsid w:val="1BC33BCD"/>
    <w:rsid w:val="1BC53330"/>
    <w:rsid w:val="1BE74802"/>
    <w:rsid w:val="1BEB53FC"/>
    <w:rsid w:val="1BEF4851"/>
    <w:rsid w:val="1BF10251"/>
    <w:rsid w:val="1C133046"/>
    <w:rsid w:val="1C153C9B"/>
    <w:rsid w:val="1C1549BE"/>
    <w:rsid w:val="1C2A3ADB"/>
    <w:rsid w:val="1C3031EB"/>
    <w:rsid w:val="1C381D54"/>
    <w:rsid w:val="1C3F3288"/>
    <w:rsid w:val="1C4C57FF"/>
    <w:rsid w:val="1C4E1577"/>
    <w:rsid w:val="1C4E69F6"/>
    <w:rsid w:val="1C5E26D8"/>
    <w:rsid w:val="1C623275"/>
    <w:rsid w:val="1C744D56"/>
    <w:rsid w:val="1C7B4336"/>
    <w:rsid w:val="1C80715D"/>
    <w:rsid w:val="1C822EA4"/>
    <w:rsid w:val="1C8651B5"/>
    <w:rsid w:val="1C9B5BDD"/>
    <w:rsid w:val="1C9C14D6"/>
    <w:rsid w:val="1CA10E81"/>
    <w:rsid w:val="1CBF7BEB"/>
    <w:rsid w:val="1CE65C54"/>
    <w:rsid w:val="1CEE4B08"/>
    <w:rsid w:val="1CF85987"/>
    <w:rsid w:val="1CFD2F9D"/>
    <w:rsid w:val="1D015152"/>
    <w:rsid w:val="1D061E52"/>
    <w:rsid w:val="1D0936F0"/>
    <w:rsid w:val="1D0D3CA0"/>
    <w:rsid w:val="1D115195"/>
    <w:rsid w:val="1D1E20AF"/>
    <w:rsid w:val="1D1E3640"/>
    <w:rsid w:val="1D3C38E1"/>
    <w:rsid w:val="1D3F35B6"/>
    <w:rsid w:val="1D4209B0"/>
    <w:rsid w:val="1D48246B"/>
    <w:rsid w:val="1D4A5240"/>
    <w:rsid w:val="1D4D5CD3"/>
    <w:rsid w:val="1D556F46"/>
    <w:rsid w:val="1D565ED3"/>
    <w:rsid w:val="1D5F5A06"/>
    <w:rsid w:val="1D61352C"/>
    <w:rsid w:val="1D651898"/>
    <w:rsid w:val="1D692489"/>
    <w:rsid w:val="1D725739"/>
    <w:rsid w:val="1D730DF9"/>
    <w:rsid w:val="1D797C9A"/>
    <w:rsid w:val="1D9B4896"/>
    <w:rsid w:val="1D9C4564"/>
    <w:rsid w:val="1DA03EEE"/>
    <w:rsid w:val="1DB3215E"/>
    <w:rsid w:val="1DD20680"/>
    <w:rsid w:val="1DDB508D"/>
    <w:rsid w:val="1DDC2BB3"/>
    <w:rsid w:val="1DE63A32"/>
    <w:rsid w:val="1DF63C75"/>
    <w:rsid w:val="1DFD3BAA"/>
    <w:rsid w:val="1E004AF3"/>
    <w:rsid w:val="1E122A78"/>
    <w:rsid w:val="1E234C86"/>
    <w:rsid w:val="1E2A6014"/>
    <w:rsid w:val="1E4075E6"/>
    <w:rsid w:val="1E4E4B14"/>
    <w:rsid w:val="1E566E09"/>
    <w:rsid w:val="1E665C43"/>
    <w:rsid w:val="1E6C3F37"/>
    <w:rsid w:val="1E7D6144"/>
    <w:rsid w:val="1E83448C"/>
    <w:rsid w:val="1E8D15F0"/>
    <w:rsid w:val="1E8E56B0"/>
    <w:rsid w:val="1E8E65A3"/>
    <w:rsid w:val="1E951A03"/>
    <w:rsid w:val="1E95629E"/>
    <w:rsid w:val="1E9B0CC0"/>
    <w:rsid w:val="1E9B2A6E"/>
    <w:rsid w:val="1EB4768C"/>
    <w:rsid w:val="1EBA7398"/>
    <w:rsid w:val="1EC75611"/>
    <w:rsid w:val="1ECE4BF1"/>
    <w:rsid w:val="1EDC730E"/>
    <w:rsid w:val="1EE461C3"/>
    <w:rsid w:val="1EE6018D"/>
    <w:rsid w:val="1EF90CB3"/>
    <w:rsid w:val="1EFD4B6C"/>
    <w:rsid w:val="1EFF339B"/>
    <w:rsid w:val="1F08738A"/>
    <w:rsid w:val="1F09121B"/>
    <w:rsid w:val="1F0C2E2F"/>
    <w:rsid w:val="1F0D396C"/>
    <w:rsid w:val="1F185E6D"/>
    <w:rsid w:val="1F321584"/>
    <w:rsid w:val="1F330C4D"/>
    <w:rsid w:val="1F470500"/>
    <w:rsid w:val="1F486949"/>
    <w:rsid w:val="1F552C1D"/>
    <w:rsid w:val="1F5C0367"/>
    <w:rsid w:val="1F72557D"/>
    <w:rsid w:val="1F7E03C6"/>
    <w:rsid w:val="1F7F3B83"/>
    <w:rsid w:val="1F841754"/>
    <w:rsid w:val="1F8831C3"/>
    <w:rsid w:val="1F8A07CF"/>
    <w:rsid w:val="1F931539"/>
    <w:rsid w:val="1F995ED6"/>
    <w:rsid w:val="1F9D122A"/>
    <w:rsid w:val="1FAC7CB2"/>
    <w:rsid w:val="1FC22CF2"/>
    <w:rsid w:val="1FC5765C"/>
    <w:rsid w:val="1FCD2DF6"/>
    <w:rsid w:val="1FDC50EC"/>
    <w:rsid w:val="1FFB6836"/>
    <w:rsid w:val="2014732D"/>
    <w:rsid w:val="20166850"/>
    <w:rsid w:val="20197022"/>
    <w:rsid w:val="201B3E66"/>
    <w:rsid w:val="20280331"/>
    <w:rsid w:val="203931EC"/>
    <w:rsid w:val="20451316"/>
    <w:rsid w:val="20723AC4"/>
    <w:rsid w:val="207B2B57"/>
    <w:rsid w:val="207F2AC4"/>
    <w:rsid w:val="20A8480D"/>
    <w:rsid w:val="20AE2116"/>
    <w:rsid w:val="20BA7699"/>
    <w:rsid w:val="20CC5A0D"/>
    <w:rsid w:val="20CD46BF"/>
    <w:rsid w:val="20CF1FDD"/>
    <w:rsid w:val="20DB1848"/>
    <w:rsid w:val="20DB35F6"/>
    <w:rsid w:val="20E70C92"/>
    <w:rsid w:val="20EF0E4F"/>
    <w:rsid w:val="21012879"/>
    <w:rsid w:val="210449CD"/>
    <w:rsid w:val="210F67FD"/>
    <w:rsid w:val="2136082C"/>
    <w:rsid w:val="2137435B"/>
    <w:rsid w:val="21380A48"/>
    <w:rsid w:val="215C4736"/>
    <w:rsid w:val="21601D12"/>
    <w:rsid w:val="216A79EF"/>
    <w:rsid w:val="216E6218"/>
    <w:rsid w:val="217A4BBD"/>
    <w:rsid w:val="217E28FF"/>
    <w:rsid w:val="21823A71"/>
    <w:rsid w:val="2197751D"/>
    <w:rsid w:val="21997739"/>
    <w:rsid w:val="219A7F6F"/>
    <w:rsid w:val="219D2E11"/>
    <w:rsid w:val="21A47E8B"/>
    <w:rsid w:val="21AD2863"/>
    <w:rsid w:val="21B46321"/>
    <w:rsid w:val="21C33DA6"/>
    <w:rsid w:val="21D342CD"/>
    <w:rsid w:val="21DE0DD2"/>
    <w:rsid w:val="21E85FCA"/>
    <w:rsid w:val="21ED538F"/>
    <w:rsid w:val="21FA7BC8"/>
    <w:rsid w:val="21FF77F1"/>
    <w:rsid w:val="22097CEF"/>
    <w:rsid w:val="221A409F"/>
    <w:rsid w:val="22266F2D"/>
    <w:rsid w:val="223236E9"/>
    <w:rsid w:val="223A2D60"/>
    <w:rsid w:val="224018EB"/>
    <w:rsid w:val="224D407F"/>
    <w:rsid w:val="224F4AB9"/>
    <w:rsid w:val="224F6049"/>
    <w:rsid w:val="22552F34"/>
    <w:rsid w:val="226460A0"/>
    <w:rsid w:val="226E2973"/>
    <w:rsid w:val="227930C6"/>
    <w:rsid w:val="22853819"/>
    <w:rsid w:val="22943A5C"/>
    <w:rsid w:val="229E2C22"/>
    <w:rsid w:val="22A00859"/>
    <w:rsid w:val="22A2261D"/>
    <w:rsid w:val="22A9688E"/>
    <w:rsid w:val="22AD4B1E"/>
    <w:rsid w:val="22B1460E"/>
    <w:rsid w:val="22C81958"/>
    <w:rsid w:val="22D07470"/>
    <w:rsid w:val="22DF561F"/>
    <w:rsid w:val="22E12559"/>
    <w:rsid w:val="22E738E1"/>
    <w:rsid w:val="22ED5F44"/>
    <w:rsid w:val="22F8223D"/>
    <w:rsid w:val="22F97D63"/>
    <w:rsid w:val="230D5EF9"/>
    <w:rsid w:val="230E1A60"/>
    <w:rsid w:val="231150AD"/>
    <w:rsid w:val="231F1167"/>
    <w:rsid w:val="231F5A1C"/>
    <w:rsid w:val="23217FE2"/>
    <w:rsid w:val="23250B58"/>
    <w:rsid w:val="232C031C"/>
    <w:rsid w:val="232E5C5F"/>
    <w:rsid w:val="232F19D7"/>
    <w:rsid w:val="233174FD"/>
    <w:rsid w:val="233C3B2A"/>
    <w:rsid w:val="23490CEA"/>
    <w:rsid w:val="234B5AC7"/>
    <w:rsid w:val="235859DB"/>
    <w:rsid w:val="235C2BD4"/>
    <w:rsid w:val="237351EB"/>
    <w:rsid w:val="23871813"/>
    <w:rsid w:val="238C02C6"/>
    <w:rsid w:val="23A128D5"/>
    <w:rsid w:val="23BA11D0"/>
    <w:rsid w:val="23C12F77"/>
    <w:rsid w:val="23C6058D"/>
    <w:rsid w:val="23C80946"/>
    <w:rsid w:val="23D42CAA"/>
    <w:rsid w:val="23D83E1C"/>
    <w:rsid w:val="23E62F95"/>
    <w:rsid w:val="23E6478B"/>
    <w:rsid w:val="23FF4341"/>
    <w:rsid w:val="24027869"/>
    <w:rsid w:val="240946C2"/>
    <w:rsid w:val="24165CAC"/>
    <w:rsid w:val="24212E47"/>
    <w:rsid w:val="2428002A"/>
    <w:rsid w:val="243C43AB"/>
    <w:rsid w:val="244A4D1A"/>
    <w:rsid w:val="244D0366"/>
    <w:rsid w:val="246738E6"/>
    <w:rsid w:val="24711D6E"/>
    <w:rsid w:val="247D3B09"/>
    <w:rsid w:val="248024EA"/>
    <w:rsid w:val="248754E8"/>
    <w:rsid w:val="249229AF"/>
    <w:rsid w:val="24C45F61"/>
    <w:rsid w:val="24C809DF"/>
    <w:rsid w:val="24DE36B4"/>
    <w:rsid w:val="24DE4BD8"/>
    <w:rsid w:val="24FD139F"/>
    <w:rsid w:val="25027166"/>
    <w:rsid w:val="25030EBC"/>
    <w:rsid w:val="25034EC9"/>
    <w:rsid w:val="251315B0"/>
    <w:rsid w:val="251470D6"/>
    <w:rsid w:val="25162E4E"/>
    <w:rsid w:val="25210659"/>
    <w:rsid w:val="252437BD"/>
    <w:rsid w:val="252747CB"/>
    <w:rsid w:val="25276E09"/>
    <w:rsid w:val="252A3007"/>
    <w:rsid w:val="252B0413"/>
    <w:rsid w:val="25342F93"/>
    <w:rsid w:val="25360BAA"/>
    <w:rsid w:val="25396B3D"/>
    <w:rsid w:val="254B70B5"/>
    <w:rsid w:val="25560A6D"/>
    <w:rsid w:val="25560F8D"/>
    <w:rsid w:val="257D6A6B"/>
    <w:rsid w:val="2581038F"/>
    <w:rsid w:val="25940ADF"/>
    <w:rsid w:val="259C72D7"/>
    <w:rsid w:val="25A34EE5"/>
    <w:rsid w:val="25B11518"/>
    <w:rsid w:val="25B86563"/>
    <w:rsid w:val="25C72F35"/>
    <w:rsid w:val="25D54AB7"/>
    <w:rsid w:val="25E82A3D"/>
    <w:rsid w:val="25EF488C"/>
    <w:rsid w:val="25F0369F"/>
    <w:rsid w:val="25F56F08"/>
    <w:rsid w:val="26063C58"/>
    <w:rsid w:val="26086C3B"/>
    <w:rsid w:val="260929B3"/>
    <w:rsid w:val="260D5FFF"/>
    <w:rsid w:val="26215F4F"/>
    <w:rsid w:val="263E440B"/>
    <w:rsid w:val="26491D12"/>
    <w:rsid w:val="26541E80"/>
    <w:rsid w:val="26571970"/>
    <w:rsid w:val="2662331B"/>
    <w:rsid w:val="2666570F"/>
    <w:rsid w:val="26865DB2"/>
    <w:rsid w:val="268B161A"/>
    <w:rsid w:val="26A5092E"/>
    <w:rsid w:val="26A5778B"/>
    <w:rsid w:val="26AA7E4F"/>
    <w:rsid w:val="26B10013"/>
    <w:rsid w:val="26B96AF1"/>
    <w:rsid w:val="26BB5A5B"/>
    <w:rsid w:val="26C16DEA"/>
    <w:rsid w:val="26C37006"/>
    <w:rsid w:val="26E20CC5"/>
    <w:rsid w:val="26E74AA2"/>
    <w:rsid w:val="26E80B9F"/>
    <w:rsid w:val="26F07063"/>
    <w:rsid w:val="271C3A87"/>
    <w:rsid w:val="271E423C"/>
    <w:rsid w:val="273E668C"/>
    <w:rsid w:val="275A34C6"/>
    <w:rsid w:val="275A5859"/>
    <w:rsid w:val="275C3BDB"/>
    <w:rsid w:val="27624129"/>
    <w:rsid w:val="27672D55"/>
    <w:rsid w:val="277327DA"/>
    <w:rsid w:val="27734588"/>
    <w:rsid w:val="27767BD4"/>
    <w:rsid w:val="278C20C3"/>
    <w:rsid w:val="27A44741"/>
    <w:rsid w:val="27BD3A55"/>
    <w:rsid w:val="27C42FC1"/>
    <w:rsid w:val="27C7269C"/>
    <w:rsid w:val="27CB43C4"/>
    <w:rsid w:val="27DC35BE"/>
    <w:rsid w:val="27DC618E"/>
    <w:rsid w:val="27EE00B2"/>
    <w:rsid w:val="27FA0805"/>
    <w:rsid w:val="27FC27CF"/>
    <w:rsid w:val="27FF7BCA"/>
    <w:rsid w:val="2800179A"/>
    <w:rsid w:val="280176DC"/>
    <w:rsid w:val="28036776"/>
    <w:rsid w:val="28291ED0"/>
    <w:rsid w:val="282A3538"/>
    <w:rsid w:val="282B6C11"/>
    <w:rsid w:val="28307859"/>
    <w:rsid w:val="284D3CAA"/>
    <w:rsid w:val="286978B9"/>
    <w:rsid w:val="28717D64"/>
    <w:rsid w:val="288B550D"/>
    <w:rsid w:val="28904CC6"/>
    <w:rsid w:val="289D6930"/>
    <w:rsid w:val="28A37110"/>
    <w:rsid w:val="28AA02DF"/>
    <w:rsid w:val="28F03549"/>
    <w:rsid w:val="28FC235B"/>
    <w:rsid w:val="290F02E0"/>
    <w:rsid w:val="292024ED"/>
    <w:rsid w:val="2923535B"/>
    <w:rsid w:val="2938027B"/>
    <w:rsid w:val="293B69C3"/>
    <w:rsid w:val="293C5D8D"/>
    <w:rsid w:val="29471828"/>
    <w:rsid w:val="296E3259"/>
    <w:rsid w:val="297D72D1"/>
    <w:rsid w:val="2989337E"/>
    <w:rsid w:val="298F4F7D"/>
    <w:rsid w:val="29A62ABE"/>
    <w:rsid w:val="29A7676B"/>
    <w:rsid w:val="29B175E9"/>
    <w:rsid w:val="29BB733F"/>
    <w:rsid w:val="29C76E0D"/>
    <w:rsid w:val="29CB590F"/>
    <w:rsid w:val="29D753DC"/>
    <w:rsid w:val="29DA4244"/>
    <w:rsid w:val="29E10AE3"/>
    <w:rsid w:val="29EA4219"/>
    <w:rsid w:val="29F10FDB"/>
    <w:rsid w:val="29F87018"/>
    <w:rsid w:val="29FA7714"/>
    <w:rsid w:val="2A0C4820"/>
    <w:rsid w:val="2A0C5CA9"/>
    <w:rsid w:val="2A0F732E"/>
    <w:rsid w:val="2A1B0723"/>
    <w:rsid w:val="2A25006E"/>
    <w:rsid w:val="2A29366C"/>
    <w:rsid w:val="2A495030"/>
    <w:rsid w:val="2A5D4A62"/>
    <w:rsid w:val="2A64465C"/>
    <w:rsid w:val="2A657557"/>
    <w:rsid w:val="2A676E5E"/>
    <w:rsid w:val="2A6913FC"/>
    <w:rsid w:val="2A6A0889"/>
    <w:rsid w:val="2A73489F"/>
    <w:rsid w:val="2A742C87"/>
    <w:rsid w:val="2A744FD7"/>
    <w:rsid w:val="2A7725E1"/>
    <w:rsid w:val="2A7D127A"/>
    <w:rsid w:val="2A846AAC"/>
    <w:rsid w:val="2A88034A"/>
    <w:rsid w:val="2A9F592C"/>
    <w:rsid w:val="2AA607D0"/>
    <w:rsid w:val="2AA7022C"/>
    <w:rsid w:val="2AA91BCB"/>
    <w:rsid w:val="2AB078A1"/>
    <w:rsid w:val="2ABC6246"/>
    <w:rsid w:val="2ACB0237"/>
    <w:rsid w:val="2ADD1BA3"/>
    <w:rsid w:val="2AEA31A7"/>
    <w:rsid w:val="2AEC7B2C"/>
    <w:rsid w:val="2AF03128"/>
    <w:rsid w:val="2AF23A16"/>
    <w:rsid w:val="2AF61758"/>
    <w:rsid w:val="2B073965"/>
    <w:rsid w:val="2B0D02CF"/>
    <w:rsid w:val="2B255B99"/>
    <w:rsid w:val="2B260191"/>
    <w:rsid w:val="2B2F6A18"/>
    <w:rsid w:val="2B312790"/>
    <w:rsid w:val="2B41031C"/>
    <w:rsid w:val="2B485D2C"/>
    <w:rsid w:val="2B4F0E68"/>
    <w:rsid w:val="2B505BE2"/>
    <w:rsid w:val="2B530D68"/>
    <w:rsid w:val="2B5676A8"/>
    <w:rsid w:val="2B604E23"/>
    <w:rsid w:val="2B680E5D"/>
    <w:rsid w:val="2B8D373E"/>
    <w:rsid w:val="2B997798"/>
    <w:rsid w:val="2B9E594C"/>
    <w:rsid w:val="2BA271EA"/>
    <w:rsid w:val="2BB37649"/>
    <w:rsid w:val="2BCF1FA9"/>
    <w:rsid w:val="2BDB094E"/>
    <w:rsid w:val="2BDF21EC"/>
    <w:rsid w:val="2BE664C3"/>
    <w:rsid w:val="2BEB75B2"/>
    <w:rsid w:val="2BF10171"/>
    <w:rsid w:val="2C0E2AD1"/>
    <w:rsid w:val="2C120027"/>
    <w:rsid w:val="2C1402C1"/>
    <w:rsid w:val="2C167E8F"/>
    <w:rsid w:val="2C2045B2"/>
    <w:rsid w:val="2C287B13"/>
    <w:rsid w:val="2C3A3ED8"/>
    <w:rsid w:val="2C4B603D"/>
    <w:rsid w:val="2C536736"/>
    <w:rsid w:val="2C77016A"/>
    <w:rsid w:val="2C8B56C2"/>
    <w:rsid w:val="2C981ABA"/>
    <w:rsid w:val="2C9A4365"/>
    <w:rsid w:val="2C9E6337"/>
    <w:rsid w:val="2CA31F00"/>
    <w:rsid w:val="2CAD22EA"/>
    <w:rsid w:val="2CB25B52"/>
    <w:rsid w:val="2CBC077F"/>
    <w:rsid w:val="2CBC42CC"/>
    <w:rsid w:val="2CCF7E1E"/>
    <w:rsid w:val="2CE55C82"/>
    <w:rsid w:val="2CF23619"/>
    <w:rsid w:val="2CF47464"/>
    <w:rsid w:val="2D010A6A"/>
    <w:rsid w:val="2D132788"/>
    <w:rsid w:val="2D146663"/>
    <w:rsid w:val="2D1C7470"/>
    <w:rsid w:val="2D202ABC"/>
    <w:rsid w:val="2D251D42"/>
    <w:rsid w:val="2D27681D"/>
    <w:rsid w:val="2D295C56"/>
    <w:rsid w:val="2D2B1461"/>
    <w:rsid w:val="2D305D1D"/>
    <w:rsid w:val="2D346658"/>
    <w:rsid w:val="2D416E2A"/>
    <w:rsid w:val="2D480265"/>
    <w:rsid w:val="2D4F7564"/>
    <w:rsid w:val="2D542766"/>
    <w:rsid w:val="2D5B3AF4"/>
    <w:rsid w:val="2D801837"/>
    <w:rsid w:val="2D856DC3"/>
    <w:rsid w:val="2D8800B2"/>
    <w:rsid w:val="2D8A262B"/>
    <w:rsid w:val="2DA278B2"/>
    <w:rsid w:val="2DBB27E5"/>
    <w:rsid w:val="2DC53663"/>
    <w:rsid w:val="2DCA2DA2"/>
    <w:rsid w:val="2DCE076A"/>
    <w:rsid w:val="2DEB6752"/>
    <w:rsid w:val="2DEC0BF0"/>
    <w:rsid w:val="2E026666"/>
    <w:rsid w:val="2E0E6DB8"/>
    <w:rsid w:val="2E183793"/>
    <w:rsid w:val="2E276819"/>
    <w:rsid w:val="2E352597"/>
    <w:rsid w:val="2E367050"/>
    <w:rsid w:val="2E497DF1"/>
    <w:rsid w:val="2E514EF7"/>
    <w:rsid w:val="2E533769"/>
    <w:rsid w:val="2E5642BC"/>
    <w:rsid w:val="2E5C5D76"/>
    <w:rsid w:val="2E67471B"/>
    <w:rsid w:val="2E840A65"/>
    <w:rsid w:val="2E9574DA"/>
    <w:rsid w:val="2E960B5C"/>
    <w:rsid w:val="2EA817DE"/>
    <w:rsid w:val="2EBE07DF"/>
    <w:rsid w:val="2ED06AAD"/>
    <w:rsid w:val="2ED7364E"/>
    <w:rsid w:val="2EE93382"/>
    <w:rsid w:val="2EEA72AB"/>
    <w:rsid w:val="2F1016CE"/>
    <w:rsid w:val="2F1403FE"/>
    <w:rsid w:val="2F162D76"/>
    <w:rsid w:val="2F195A15"/>
    <w:rsid w:val="2F1C3757"/>
    <w:rsid w:val="2F324D29"/>
    <w:rsid w:val="2F3A3BDD"/>
    <w:rsid w:val="2F4F58DB"/>
    <w:rsid w:val="2F666663"/>
    <w:rsid w:val="2F940EDD"/>
    <w:rsid w:val="2F985BB8"/>
    <w:rsid w:val="2FA71273"/>
    <w:rsid w:val="2FBB4416"/>
    <w:rsid w:val="2FC33BD3"/>
    <w:rsid w:val="2FD2000A"/>
    <w:rsid w:val="2FDB37C9"/>
    <w:rsid w:val="2FE0701E"/>
    <w:rsid w:val="2FE778C1"/>
    <w:rsid w:val="2FEC4ED7"/>
    <w:rsid w:val="2FEF2C1A"/>
    <w:rsid w:val="2FF51DD7"/>
    <w:rsid w:val="30004E27"/>
    <w:rsid w:val="300E30A0"/>
    <w:rsid w:val="30136908"/>
    <w:rsid w:val="303D5733"/>
    <w:rsid w:val="30420F9B"/>
    <w:rsid w:val="30585E66"/>
    <w:rsid w:val="30596CFC"/>
    <w:rsid w:val="306727B0"/>
    <w:rsid w:val="3081665F"/>
    <w:rsid w:val="30B22DCE"/>
    <w:rsid w:val="30B41D0E"/>
    <w:rsid w:val="30B877E0"/>
    <w:rsid w:val="30BE3DCE"/>
    <w:rsid w:val="30BF5892"/>
    <w:rsid w:val="30C05B1B"/>
    <w:rsid w:val="30C22B15"/>
    <w:rsid w:val="30C44045"/>
    <w:rsid w:val="30DD0CC4"/>
    <w:rsid w:val="30EB518F"/>
    <w:rsid w:val="30ED43AF"/>
    <w:rsid w:val="30EE4C7F"/>
    <w:rsid w:val="30EF7825"/>
    <w:rsid w:val="30F009F7"/>
    <w:rsid w:val="30F26942"/>
    <w:rsid w:val="30F71D86"/>
    <w:rsid w:val="310B6292"/>
    <w:rsid w:val="311346E6"/>
    <w:rsid w:val="311E658C"/>
    <w:rsid w:val="312223BA"/>
    <w:rsid w:val="31243C67"/>
    <w:rsid w:val="312B4876"/>
    <w:rsid w:val="314F5B9A"/>
    <w:rsid w:val="31822DF7"/>
    <w:rsid w:val="31917E3F"/>
    <w:rsid w:val="31973569"/>
    <w:rsid w:val="31975317"/>
    <w:rsid w:val="31A072B4"/>
    <w:rsid w:val="31A35D1B"/>
    <w:rsid w:val="31BC044B"/>
    <w:rsid w:val="31C51E84"/>
    <w:rsid w:val="31CA3068"/>
    <w:rsid w:val="31E83DC4"/>
    <w:rsid w:val="31EA3699"/>
    <w:rsid w:val="31EF5153"/>
    <w:rsid w:val="31F34CA2"/>
    <w:rsid w:val="32177F97"/>
    <w:rsid w:val="321B3B62"/>
    <w:rsid w:val="321D3A6E"/>
    <w:rsid w:val="321D550B"/>
    <w:rsid w:val="32231DA8"/>
    <w:rsid w:val="322866A3"/>
    <w:rsid w:val="323B1B64"/>
    <w:rsid w:val="323E39E4"/>
    <w:rsid w:val="3240775C"/>
    <w:rsid w:val="324609F9"/>
    <w:rsid w:val="324B1493"/>
    <w:rsid w:val="324E3C27"/>
    <w:rsid w:val="3254102D"/>
    <w:rsid w:val="326F322E"/>
    <w:rsid w:val="327C2C35"/>
    <w:rsid w:val="32911D66"/>
    <w:rsid w:val="3294515E"/>
    <w:rsid w:val="329A50BF"/>
    <w:rsid w:val="329D4BAF"/>
    <w:rsid w:val="32B4097E"/>
    <w:rsid w:val="32B85545"/>
    <w:rsid w:val="32C1089D"/>
    <w:rsid w:val="32C82816"/>
    <w:rsid w:val="32C959A4"/>
    <w:rsid w:val="32D17C89"/>
    <w:rsid w:val="32D96F92"/>
    <w:rsid w:val="32DA370D"/>
    <w:rsid w:val="32E225C2"/>
    <w:rsid w:val="32E7121D"/>
    <w:rsid w:val="32EB3B6C"/>
    <w:rsid w:val="32F1378E"/>
    <w:rsid w:val="32FB322A"/>
    <w:rsid w:val="33030EB6"/>
    <w:rsid w:val="3303442D"/>
    <w:rsid w:val="330E785B"/>
    <w:rsid w:val="331348F4"/>
    <w:rsid w:val="331470A0"/>
    <w:rsid w:val="331B1B0F"/>
    <w:rsid w:val="33214FC8"/>
    <w:rsid w:val="3333106F"/>
    <w:rsid w:val="33357489"/>
    <w:rsid w:val="335214F5"/>
    <w:rsid w:val="3354249B"/>
    <w:rsid w:val="336254B1"/>
    <w:rsid w:val="33745EFF"/>
    <w:rsid w:val="337C6731"/>
    <w:rsid w:val="338813BB"/>
    <w:rsid w:val="339064C2"/>
    <w:rsid w:val="33951CF7"/>
    <w:rsid w:val="33AD4398"/>
    <w:rsid w:val="33B01E73"/>
    <w:rsid w:val="33B1570B"/>
    <w:rsid w:val="33BE302F"/>
    <w:rsid w:val="33CC1042"/>
    <w:rsid w:val="33CE4497"/>
    <w:rsid w:val="33CF6FEA"/>
    <w:rsid w:val="341449FD"/>
    <w:rsid w:val="34192B39"/>
    <w:rsid w:val="341B3FDD"/>
    <w:rsid w:val="342235BE"/>
    <w:rsid w:val="342509B8"/>
    <w:rsid w:val="343624DE"/>
    <w:rsid w:val="343810A7"/>
    <w:rsid w:val="34423586"/>
    <w:rsid w:val="344319D6"/>
    <w:rsid w:val="34474DD2"/>
    <w:rsid w:val="34747D11"/>
    <w:rsid w:val="347E1257"/>
    <w:rsid w:val="3481490C"/>
    <w:rsid w:val="34865BA8"/>
    <w:rsid w:val="34943D90"/>
    <w:rsid w:val="349A75F8"/>
    <w:rsid w:val="34A9783B"/>
    <w:rsid w:val="34B5741E"/>
    <w:rsid w:val="34B61F58"/>
    <w:rsid w:val="34BD6E42"/>
    <w:rsid w:val="34C54C4A"/>
    <w:rsid w:val="34CC177B"/>
    <w:rsid w:val="34DC540E"/>
    <w:rsid w:val="34E23E61"/>
    <w:rsid w:val="350031D3"/>
    <w:rsid w:val="35044A71"/>
    <w:rsid w:val="350A3A72"/>
    <w:rsid w:val="35315E89"/>
    <w:rsid w:val="35384579"/>
    <w:rsid w:val="353A77E0"/>
    <w:rsid w:val="35575019"/>
    <w:rsid w:val="35584DBD"/>
    <w:rsid w:val="35586B6B"/>
    <w:rsid w:val="3566572C"/>
    <w:rsid w:val="356A4B17"/>
    <w:rsid w:val="356B77FB"/>
    <w:rsid w:val="35777988"/>
    <w:rsid w:val="35925FB3"/>
    <w:rsid w:val="35A94F7B"/>
    <w:rsid w:val="35A95619"/>
    <w:rsid w:val="35B446E9"/>
    <w:rsid w:val="35B44A6B"/>
    <w:rsid w:val="35B71A6F"/>
    <w:rsid w:val="35CB37E1"/>
    <w:rsid w:val="35CF24DD"/>
    <w:rsid w:val="35D24B6F"/>
    <w:rsid w:val="35D820FE"/>
    <w:rsid w:val="35F2731C"/>
    <w:rsid w:val="360016DD"/>
    <w:rsid w:val="36085CF8"/>
    <w:rsid w:val="360C199D"/>
    <w:rsid w:val="361645B9"/>
    <w:rsid w:val="36345EE6"/>
    <w:rsid w:val="363650FE"/>
    <w:rsid w:val="363B27EF"/>
    <w:rsid w:val="364517E5"/>
    <w:rsid w:val="36716300"/>
    <w:rsid w:val="36793F05"/>
    <w:rsid w:val="36806379"/>
    <w:rsid w:val="36811C57"/>
    <w:rsid w:val="368573F8"/>
    <w:rsid w:val="369B1D40"/>
    <w:rsid w:val="369D4494"/>
    <w:rsid w:val="36A0203F"/>
    <w:rsid w:val="36AA789A"/>
    <w:rsid w:val="36AF3103"/>
    <w:rsid w:val="36AF4EB1"/>
    <w:rsid w:val="36BD343E"/>
    <w:rsid w:val="36BE6EA2"/>
    <w:rsid w:val="36CD7EB7"/>
    <w:rsid w:val="36E876D2"/>
    <w:rsid w:val="36E94CFA"/>
    <w:rsid w:val="37164F30"/>
    <w:rsid w:val="37215DAE"/>
    <w:rsid w:val="3730072B"/>
    <w:rsid w:val="373D426B"/>
    <w:rsid w:val="37585548"/>
    <w:rsid w:val="375F0685"/>
    <w:rsid w:val="375F2433"/>
    <w:rsid w:val="37623CD1"/>
    <w:rsid w:val="37643220"/>
    <w:rsid w:val="376712E7"/>
    <w:rsid w:val="3772660A"/>
    <w:rsid w:val="37997C8F"/>
    <w:rsid w:val="379B33D8"/>
    <w:rsid w:val="379E73FF"/>
    <w:rsid w:val="37A83DDA"/>
    <w:rsid w:val="37B703F6"/>
    <w:rsid w:val="37BA3B0D"/>
    <w:rsid w:val="37BC1633"/>
    <w:rsid w:val="37BC2078"/>
    <w:rsid w:val="37CA01F4"/>
    <w:rsid w:val="37CE542D"/>
    <w:rsid w:val="37D050DF"/>
    <w:rsid w:val="37D5526E"/>
    <w:rsid w:val="37ED301A"/>
    <w:rsid w:val="37F82ABC"/>
    <w:rsid w:val="38044D88"/>
    <w:rsid w:val="380D38A8"/>
    <w:rsid w:val="380E2707"/>
    <w:rsid w:val="381274A5"/>
    <w:rsid w:val="38190339"/>
    <w:rsid w:val="382611A3"/>
    <w:rsid w:val="382C1EB7"/>
    <w:rsid w:val="384004B6"/>
    <w:rsid w:val="386C58FB"/>
    <w:rsid w:val="386D15ED"/>
    <w:rsid w:val="387412EC"/>
    <w:rsid w:val="38806B05"/>
    <w:rsid w:val="38885904"/>
    <w:rsid w:val="389F7463"/>
    <w:rsid w:val="38AB2CA1"/>
    <w:rsid w:val="38AD5420"/>
    <w:rsid w:val="38AE0E59"/>
    <w:rsid w:val="38C05153"/>
    <w:rsid w:val="38C20ECB"/>
    <w:rsid w:val="38C749F2"/>
    <w:rsid w:val="38D838CC"/>
    <w:rsid w:val="38E36885"/>
    <w:rsid w:val="38F52C0D"/>
    <w:rsid w:val="38FA1BB8"/>
    <w:rsid w:val="38FB262F"/>
    <w:rsid w:val="39053C2C"/>
    <w:rsid w:val="39194863"/>
    <w:rsid w:val="39203942"/>
    <w:rsid w:val="392A1B60"/>
    <w:rsid w:val="393A4F06"/>
    <w:rsid w:val="393D2C48"/>
    <w:rsid w:val="393E47BC"/>
    <w:rsid w:val="397A7457"/>
    <w:rsid w:val="397F500E"/>
    <w:rsid w:val="39805FEF"/>
    <w:rsid w:val="3983340D"/>
    <w:rsid w:val="399D44F4"/>
    <w:rsid w:val="39AC7D00"/>
    <w:rsid w:val="39CB039F"/>
    <w:rsid w:val="39D37108"/>
    <w:rsid w:val="39D52E80"/>
    <w:rsid w:val="39F86737"/>
    <w:rsid w:val="3A065683"/>
    <w:rsid w:val="3A0C28D7"/>
    <w:rsid w:val="3A213828"/>
    <w:rsid w:val="3A3A0F35"/>
    <w:rsid w:val="3A3C6994"/>
    <w:rsid w:val="3A401E6A"/>
    <w:rsid w:val="3A4728FD"/>
    <w:rsid w:val="3A6D4E67"/>
    <w:rsid w:val="3A804B9A"/>
    <w:rsid w:val="3A8F5F3B"/>
    <w:rsid w:val="3A916DA7"/>
    <w:rsid w:val="3A946897"/>
    <w:rsid w:val="3A992100"/>
    <w:rsid w:val="3AA9774C"/>
    <w:rsid w:val="3AAF36D1"/>
    <w:rsid w:val="3AB24F6F"/>
    <w:rsid w:val="3AB27E1F"/>
    <w:rsid w:val="3ABD5DEE"/>
    <w:rsid w:val="3ACD3B57"/>
    <w:rsid w:val="3AE046CB"/>
    <w:rsid w:val="3AE1176B"/>
    <w:rsid w:val="3AED34FB"/>
    <w:rsid w:val="3AEF1D20"/>
    <w:rsid w:val="3AF65007"/>
    <w:rsid w:val="3B0357CB"/>
    <w:rsid w:val="3B087EB7"/>
    <w:rsid w:val="3B131F41"/>
    <w:rsid w:val="3B2C4D22"/>
    <w:rsid w:val="3B2D4032"/>
    <w:rsid w:val="3B2D45F6"/>
    <w:rsid w:val="3B302C64"/>
    <w:rsid w:val="3B3360B0"/>
    <w:rsid w:val="3B3616FD"/>
    <w:rsid w:val="3B4958D4"/>
    <w:rsid w:val="3B5A188F"/>
    <w:rsid w:val="3B660234"/>
    <w:rsid w:val="3B6650C4"/>
    <w:rsid w:val="3B7364AD"/>
    <w:rsid w:val="3B8B1A48"/>
    <w:rsid w:val="3B9129D1"/>
    <w:rsid w:val="3B950B19"/>
    <w:rsid w:val="3BA0301A"/>
    <w:rsid w:val="3BA130DD"/>
    <w:rsid w:val="3BAA5C47"/>
    <w:rsid w:val="3BB32D4D"/>
    <w:rsid w:val="3BCA75DD"/>
    <w:rsid w:val="3BD66CA2"/>
    <w:rsid w:val="3BD87FAF"/>
    <w:rsid w:val="3BDA477E"/>
    <w:rsid w:val="3BDC6748"/>
    <w:rsid w:val="3BEE1FD7"/>
    <w:rsid w:val="3C0435A9"/>
    <w:rsid w:val="3C096E11"/>
    <w:rsid w:val="3C0F7235"/>
    <w:rsid w:val="3C1A7270"/>
    <w:rsid w:val="3C241E9D"/>
    <w:rsid w:val="3C247E8C"/>
    <w:rsid w:val="3C272CA2"/>
    <w:rsid w:val="3C3420E0"/>
    <w:rsid w:val="3C3A116E"/>
    <w:rsid w:val="3C406CD7"/>
    <w:rsid w:val="3C4C13B1"/>
    <w:rsid w:val="3C4D31A2"/>
    <w:rsid w:val="3C5938F5"/>
    <w:rsid w:val="3C7E15AD"/>
    <w:rsid w:val="3C8534B2"/>
    <w:rsid w:val="3C8A1D00"/>
    <w:rsid w:val="3CAF1DBE"/>
    <w:rsid w:val="3CB63022"/>
    <w:rsid w:val="3CBE7BFC"/>
    <w:rsid w:val="3CC656C0"/>
    <w:rsid w:val="3CC72F54"/>
    <w:rsid w:val="3CD42576"/>
    <w:rsid w:val="3CE4404F"/>
    <w:rsid w:val="3CEB3610"/>
    <w:rsid w:val="3D0C1C6D"/>
    <w:rsid w:val="3D1337B6"/>
    <w:rsid w:val="3D16341B"/>
    <w:rsid w:val="3D332398"/>
    <w:rsid w:val="3D346C8B"/>
    <w:rsid w:val="3D3954D4"/>
    <w:rsid w:val="3D4C3459"/>
    <w:rsid w:val="3D564CA7"/>
    <w:rsid w:val="3D69400B"/>
    <w:rsid w:val="3D734E8A"/>
    <w:rsid w:val="3D89645B"/>
    <w:rsid w:val="3D8B21D4"/>
    <w:rsid w:val="3D9077EA"/>
    <w:rsid w:val="3D960B78"/>
    <w:rsid w:val="3DA053D1"/>
    <w:rsid w:val="3DA45043"/>
    <w:rsid w:val="3DB3642A"/>
    <w:rsid w:val="3DB552D6"/>
    <w:rsid w:val="3DB5764A"/>
    <w:rsid w:val="3DBF44D4"/>
    <w:rsid w:val="3DCC00F6"/>
    <w:rsid w:val="3DCF768E"/>
    <w:rsid w:val="3DDB3D1C"/>
    <w:rsid w:val="3DDD0555"/>
    <w:rsid w:val="3DDE42DD"/>
    <w:rsid w:val="3DE02F74"/>
    <w:rsid w:val="3DF06B92"/>
    <w:rsid w:val="3DFF227A"/>
    <w:rsid w:val="3E0E4BB3"/>
    <w:rsid w:val="3E153CED"/>
    <w:rsid w:val="3E473894"/>
    <w:rsid w:val="3E481E73"/>
    <w:rsid w:val="3E546A69"/>
    <w:rsid w:val="3E6622F9"/>
    <w:rsid w:val="3E6B3DB3"/>
    <w:rsid w:val="3E815385"/>
    <w:rsid w:val="3E864749"/>
    <w:rsid w:val="3E8E35FE"/>
    <w:rsid w:val="3E974BA8"/>
    <w:rsid w:val="3E9C3F6D"/>
    <w:rsid w:val="3EA129AD"/>
    <w:rsid w:val="3EA177D5"/>
    <w:rsid w:val="3EA6303D"/>
    <w:rsid w:val="3EB12E0C"/>
    <w:rsid w:val="3EBE3EE3"/>
    <w:rsid w:val="3EC86B10"/>
    <w:rsid w:val="3ECE5FF9"/>
    <w:rsid w:val="3EDD16B6"/>
    <w:rsid w:val="3EE002FD"/>
    <w:rsid w:val="3EE071AB"/>
    <w:rsid w:val="3EE21B1C"/>
    <w:rsid w:val="3EEA3EE9"/>
    <w:rsid w:val="3EEC4EF4"/>
    <w:rsid w:val="3EFF2568"/>
    <w:rsid w:val="3F035D9A"/>
    <w:rsid w:val="3F0D77B8"/>
    <w:rsid w:val="3F19736B"/>
    <w:rsid w:val="3F280608"/>
    <w:rsid w:val="3F310B59"/>
    <w:rsid w:val="3F381EE7"/>
    <w:rsid w:val="3F3E7338"/>
    <w:rsid w:val="3F446ADE"/>
    <w:rsid w:val="3F507C4A"/>
    <w:rsid w:val="3F5274F8"/>
    <w:rsid w:val="3F5D6B08"/>
    <w:rsid w:val="3F762A0F"/>
    <w:rsid w:val="3F823E58"/>
    <w:rsid w:val="3F861CCA"/>
    <w:rsid w:val="3FA70E1B"/>
    <w:rsid w:val="3FA73C06"/>
    <w:rsid w:val="3FB52D71"/>
    <w:rsid w:val="3FCC5A47"/>
    <w:rsid w:val="3FCF2669"/>
    <w:rsid w:val="3FD17C46"/>
    <w:rsid w:val="3FDB5621"/>
    <w:rsid w:val="3FE12EA1"/>
    <w:rsid w:val="3FF1653A"/>
    <w:rsid w:val="3FFD2F82"/>
    <w:rsid w:val="401A55E8"/>
    <w:rsid w:val="402B37FA"/>
    <w:rsid w:val="403E28DD"/>
    <w:rsid w:val="404C1F5A"/>
    <w:rsid w:val="40582115"/>
    <w:rsid w:val="405A7C3B"/>
    <w:rsid w:val="406960D0"/>
    <w:rsid w:val="4076672F"/>
    <w:rsid w:val="408B24EB"/>
    <w:rsid w:val="40956EC5"/>
    <w:rsid w:val="409C0254"/>
    <w:rsid w:val="40A610D2"/>
    <w:rsid w:val="40AA0BC3"/>
    <w:rsid w:val="40AE5348"/>
    <w:rsid w:val="40B530C4"/>
    <w:rsid w:val="40B67411"/>
    <w:rsid w:val="40B97058"/>
    <w:rsid w:val="40C304AF"/>
    <w:rsid w:val="40C81049"/>
    <w:rsid w:val="40CF687B"/>
    <w:rsid w:val="40D567B8"/>
    <w:rsid w:val="40E42F74"/>
    <w:rsid w:val="40F005A0"/>
    <w:rsid w:val="40F26835"/>
    <w:rsid w:val="41021766"/>
    <w:rsid w:val="410B71F0"/>
    <w:rsid w:val="411150DB"/>
    <w:rsid w:val="4112722E"/>
    <w:rsid w:val="41166258"/>
    <w:rsid w:val="41212DF0"/>
    <w:rsid w:val="41230AAD"/>
    <w:rsid w:val="4123781C"/>
    <w:rsid w:val="41285F8B"/>
    <w:rsid w:val="413B7A6D"/>
    <w:rsid w:val="414616A0"/>
    <w:rsid w:val="414857DE"/>
    <w:rsid w:val="41571AA0"/>
    <w:rsid w:val="415820EB"/>
    <w:rsid w:val="41614FF9"/>
    <w:rsid w:val="41744D2D"/>
    <w:rsid w:val="417A38FB"/>
    <w:rsid w:val="41801923"/>
    <w:rsid w:val="418D5DEE"/>
    <w:rsid w:val="41941726"/>
    <w:rsid w:val="419453CF"/>
    <w:rsid w:val="41961147"/>
    <w:rsid w:val="41A22F39"/>
    <w:rsid w:val="41AE0767"/>
    <w:rsid w:val="41BD0482"/>
    <w:rsid w:val="41C538FC"/>
    <w:rsid w:val="41CA0DF1"/>
    <w:rsid w:val="41D028CD"/>
    <w:rsid w:val="41D116D9"/>
    <w:rsid w:val="41D41C6F"/>
    <w:rsid w:val="41D659E7"/>
    <w:rsid w:val="41DD28D2"/>
    <w:rsid w:val="41E77BF5"/>
    <w:rsid w:val="41FB55A4"/>
    <w:rsid w:val="423409DC"/>
    <w:rsid w:val="42413E25"/>
    <w:rsid w:val="424424ED"/>
    <w:rsid w:val="4250579A"/>
    <w:rsid w:val="425F356F"/>
    <w:rsid w:val="426E5C20"/>
    <w:rsid w:val="42B40EE3"/>
    <w:rsid w:val="42B71375"/>
    <w:rsid w:val="42C24FD0"/>
    <w:rsid w:val="42D35358"/>
    <w:rsid w:val="42DB7F22"/>
    <w:rsid w:val="42DF0FF4"/>
    <w:rsid w:val="42ED4D97"/>
    <w:rsid w:val="42F26B43"/>
    <w:rsid w:val="42F93A27"/>
    <w:rsid w:val="42FE0D10"/>
    <w:rsid w:val="431052E8"/>
    <w:rsid w:val="431C1981"/>
    <w:rsid w:val="432A1A6D"/>
    <w:rsid w:val="432D09BF"/>
    <w:rsid w:val="432D1637"/>
    <w:rsid w:val="43394A3E"/>
    <w:rsid w:val="43480064"/>
    <w:rsid w:val="435B576A"/>
    <w:rsid w:val="435C108A"/>
    <w:rsid w:val="43670FED"/>
    <w:rsid w:val="436B215F"/>
    <w:rsid w:val="436C2348"/>
    <w:rsid w:val="43721740"/>
    <w:rsid w:val="43722728"/>
    <w:rsid w:val="437F791C"/>
    <w:rsid w:val="438C0A54"/>
    <w:rsid w:val="43905402"/>
    <w:rsid w:val="4390743E"/>
    <w:rsid w:val="43A65B14"/>
    <w:rsid w:val="43BA6DBF"/>
    <w:rsid w:val="43D9356D"/>
    <w:rsid w:val="43E560C1"/>
    <w:rsid w:val="440E7DEC"/>
    <w:rsid w:val="441427F7"/>
    <w:rsid w:val="44260EB1"/>
    <w:rsid w:val="442E595A"/>
    <w:rsid w:val="44342F6C"/>
    <w:rsid w:val="445C443B"/>
    <w:rsid w:val="446E0159"/>
    <w:rsid w:val="447479BB"/>
    <w:rsid w:val="44757F63"/>
    <w:rsid w:val="44782D86"/>
    <w:rsid w:val="447A776D"/>
    <w:rsid w:val="44865108"/>
    <w:rsid w:val="44901E7E"/>
    <w:rsid w:val="44937E2F"/>
    <w:rsid w:val="44AA2327"/>
    <w:rsid w:val="44AC2A30"/>
    <w:rsid w:val="44B00E64"/>
    <w:rsid w:val="44B82C0B"/>
    <w:rsid w:val="44C4421D"/>
    <w:rsid w:val="44C45FCB"/>
    <w:rsid w:val="44C71617"/>
    <w:rsid w:val="44D77FA3"/>
    <w:rsid w:val="44D97CC8"/>
    <w:rsid w:val="44DF4BB3"/>
    <w:rsid w:val="44E64AD7"/>
    <w:rsid w:val="4528655A"/>
    <w:rsid w:val="452D591E"/>
    <w:rsid w:val="453E2BF0"/>
    <w:rsid w:val="454B12A7"/>
    <w:rsid w:val="455A6691"/>
    <w:rsid w:val="456258EF"/>
    <w:rsid w:val="456513F4"/>
    <w:rsid w:val="457C4AF8"/>
    <w:rsid w:val="45835E86"/>
    <w:rsid w:val="459F1AEF"/>
    <w:rsid w:val="45A04342"/>
    <w:rsid w:val="45A33A65"/>
    <w:rsid w:val="45A33E32"/>
    <w:rsid w:val="45A34DF4"/>
    <w:rsid w:val="45B91721"/>
    <w:rsid w:val="45C41F63"/>
    <w:rsid w:val="45D83A17"/>
    <w:rsid w:val="45ED15CB"/>
    <w:rsid w:val="45FC3543"/>
    <w:rsid w:val="460F771A"/>
    <w:rsid w:val="46187109"/>
    <w:rsid w:val="46192347"/>
    <w:rsid w:val="462F56C6"/>
    <w:rsid w:val="4646138E"/>
    <w:rsid w:val="464E3D9E"/>
    <w:rsid w:val="464E508C"/>
    <w:rsid w:val="464F7B16"/>
    <w:rsid w:val="46647A66"/>
    <w:rsid w:val="466967AA"/>
    <w:rsid w:val="466C295D"/>
    <w:rsid w:val="467032D9"/>
    <w:rsid w:val="467A681C"/>
    <w:rsid w:val="467F70E2"/>
    <w:rsid w:val="46805F22"/>
    <w:rsid w:val="468D2996"/>
    <w:rsid w:val="4698326B"/>
    <w:rsid w:val="46A50CD8"/>
    <w:rsid w:val="46AA6E1C"/>
    <w:rsid w:val="46B5206F"/>
    <w:rsid w:val="46C13781"/>
    <w:rsid w:val="46CE1383"/>
    <w:rsid w:val="46DA1AD6"/>
    <w:rsid w:val="46FC7C9E"/>
    <w:rsid w:val="46FF62F0"/>
    <w:rsid w:val="4703236F"/>
    <w:rsid w:val="47061C64"/>
    <w:rsid w:val="47091BE0"/>
    <w:rsid w:val="470B6133"/>
    <w:rsid w:val="47181607"/>
    <w:rsid w:val="471C20EE"/>
    <w:rsid w:val="473358EA"/>
    <w:rsid w:val="4749234C"/>
    <w:rsid w:val="475A2C17"/>
    <w:rsid w:val="475E38FA"/>
    <w:rsid w:val="47746789"/>
    <w:rsid w:val="47765AEB"/>
    <w:rsid w:val="47881532"/>
    <w:rsid w:val="478C01F2"/>
    <w:rsid w:val="479A7EA6"/>
    <w:rsid w:val="47A0602F"/>
    <w:rsid w:val="47A9612B"/>
    <w:rsid w:val="47B57E4D"/>
    <w:rsid w:val="47BB5A79"/>
    <w:rsid w:val="47BC3A52"/>
    <w:rsid w:val="47C307BC"/>
    <w:rsid w:val="47CC47C2"/>
    <w:rsid w:val="47CD5BEE"/>
    <w:rsid w:val="47D538D0"/>
    <w:rsid w:val="47D826A4"/>
    <w:rsid w:val="47DC6A31"/>
    <w:rsid w:val="47DE1152"/>
    <w:rsid w:val="47E81FD1"/>
    <w:rsid w:val="47F155E6"/>
    <w:rsid w:val="47F44E19"/>
    <w:rsid w:val="480212E4"/>
    <w:rsid w:val="48065F50"/>
    <w:rsid w:val="48082673"/>
    <w:rsid w:val="481E3C44"/>
    <w:rsid w:val="4822619B"/>
    <w:rsid w:val="4828425C"/>
    <w:rsid w:val="48284861"/>
    <w:rsid w:val="483B47F6"/>
    <w:rsid w:val="483C412F"/>
    <w:rsid w:val="48451FC5"/>
    <w:rsid w:val="485038C1"/>
    <w:rsid w:val="486642E5"/>
    <w:rsid w:val="48677399"/>
    <w:rsid w:val="486C2D65"/>
    <w:rsid w:val="48733CAB"/>
    <w:rsid w:val="48733F90"/>
    <w:rsid w:val="48843EF1"/>
    <w:rsid w:val="488B2616"/>
    <w:rsid w:val="48A3206E"/>
    <w:rsid w:val="48B3615A"/>
    <w:rsid w:val="48D32C81"/>
    <w:rsid w:val="48E1714C"/>
    <w:rsid w:val="48EE7AB3"/>
    <w:rsid w:val="48FB36C9"/>
    <w:rsid w:val="490077C3"/>
    <w:rsid w:val="490F1FF2"/>
    <w:rsid w:val="49120F38"/>
    <w:rsid w:val="49137521"/>
    <w:rsid w:val="492359B6"/>
    <w:rsid w:val="492719A6"/>
    <w:rsid w:val="49423962"/>
    <w:rsid w:val="494333CF"/>
    <w:rsid w:val="49501A46"/>
    <w:rsid w:val="4953791E"/>
    <w:rsid w:val="495A0CAC"/>
    <w:rsid w:val="496862E4"/>
    <w:rsid w:val="496E4757"/>
    <w:rsid w:val="49836050"/>
    <w:rsid w:val="49940662"/>
    <w:rsid w:val="499C7517"/>
    <w:rsid w:val="499D0BC9"/>
    <w:rsid w:val="49A47B48"/>
    <w:rsid w:val="49A81A17"/>
    <w:rsid w:val="49B06B1E"/>
    <w:rsid w:val="49B1219A"/>
    <w:rsid w:val="49B96301"/>
    <w:rsid w:val="49C64593"/>
    <w:rsid w:val="49D04DFF"/>
    <w:rsid w:val="49F84FFA"/>
    <w:rsid w:val="49FC7454"/>
    <w:rsid w:val="4A012E2B"/>
    <w:rsid w:val="4A0B73DF"/>
    <w:rsid w:val="4A123F6F"/>
    <w:rsid w:val="4A2319E6"/>
    <w:rsid w:val="4A276729"/>
    <w:rsid w:val="4A2D016F"/>
    <w:rsid w:val="4A340100"/>
    <w:rsid w:val="4A365275"/>
    <w:rsid w:val="4A5971B6"/>
    <w:rsid w:val="4A5A011A"/>
    <w:rsid w:val="4A630034"/>
    <w:rsid w:val="4A6D1FCD"/>
    <w:rsid w:val="4A6E1464"/>
    <w:rsid w:val="4A743FEF"/>
    <w:rsid w:val="4A74595B"/>
    <w:rsid w:val="4A783AE0"/>
    <w:rsid w:val="4A7E09CA"/>
    <w:rsid w:val="4A8F2BD7"/>
    <w:rsid w:val="4A8F6276"/>
    <w:rsid w:val="4A915202"/>
    <w:rsid w:val="4A946440"/>
    <w:rsid w:val="4A965D14"/>
    <w:rsid w:val="4A9670F8"/>
    <w:rsid w:val="4AA541A9"/>
    <w:rsid w:val="4AB63AC0"/>
    <w:rsid w:val="4AB663B6"/>
    <w:rsid w:val="4AB80380"/>
    <w:rsid w:val="4ABA1D88"/>
    <w:rsid w:val="4AC523CB"/>
    <w:rsid w:val="4ADD7DE7"/>
    <w:rsid w:val="4AE067DE"/>
    <w:rsid w:val="4AE44CD1"/>
    <w:rsid w:val="4AE61A16"/>
    <w:rsid w:val="4B054C48"/>
    <w:rsid w:val="4B0A30F7"/>
    <w:rsid w:val="4B0B1AEF"/>
    <w:rsid w:val="4B0B4954"/>
    <w:rsid w:val="4B166E55"/>
    <w:rsid w:val="4B2C25FD"/>
    <w:rsid w:val="4B323F49"/>
    <w:rsid w:val="4B333578"/>
    <w:rsid w:val="4B34391F"/>
    <w:rsid w:val="4B7A73E4"/>
    <w:rsid w:val="4B8274DB"/>
    <w:rsid w:val="4B893ACB"/>
    <w:rsid w:val="4B977F95"/>
    <w:rsid w:val="4BB3139E"/>
    <w:rsid w:val="4BB928CF"/>
    <w:rsid w:val="4BB943B0"/>
    <w:rsid w:val="4BCA036B"/>
    <w:rsid w:val="4BCD1C09"/>
    <w:rsid w:val="4BFE1DC3"/>
    <w:rsid w:val="4C067CE9"/>
    <w:rsid w:val="4C084FC2"/>
    <w:rsid w:val="4C115F9A"/>
    <w:rsid w:val="4C13248E"/>
    <w:rsid w:val="4C13529D"/>
    <w:rsid w:val="4C1519A0"/>
    <w:rsid w:val="4C343A36"/>
    <w:rsid w:val="4C3978F9"/>
    <w:rsid w:val="4C5E7947"/>
    <w:rsid w:val="4C6C1422"/>
    <w:rsid w:val="4C7858DD"/>
    <w:rsid w:val="4C9F5F71"/>
    <w:rsid w:val="4CAD390B"/>
    <w:rsid w:val="4CAF5F3C"/>
    <w:rsid w:val="4CB17CCE"/>
    <w:rsid w:val="4CB44DFE"/>
    <w:rsid w:val="4CB57D38"/>
    <w:rsid w:val="4CB6269D"/>
    <w:rsid w:val="4CBB2EF3"/>
    <w:rsid w:val="4CBC39CE"/>
    <w:rsid w:val="4CBD1C7E"/>
    <w:rsid w:val="4CBF6674"/>
    <w:rsid w:val="4CCE3D52"/>
    <w:rsid w:val="4CD843C2"/>
    <w:rsid w:val="4CEE0350"/>
    <w:rsid w:val="4CF60CEC"/>
    <w:rsid w:val="4D04233E"/>
    <w:rsid w:val="4D077A73"/>
    <w:rsid w:val="4D1A70D0"/>
    <w:rsid w:val="4D20220D"/>
    <w:rsid w:val="4D293E8A"/>
    <w:rsid w:val="4D2E2B7B"/>
    <w:rsid w:val="4D3637DE"/>
    <w:rsid w:val="4D36558C"/>
    <w:rsid w:val="4D4228E5"/>
    <w:rsid w:val="4D4E1B1D"/>
    <w:rsid w:val="4D540E5B"/>
    <w:rsid w:val="4D5A13F7"/>
    <w:rsid w:val="4D626381"/>
    <w:rsid w:val="4D7B7443"/>
    <w:rsid w:val="4D7F33D7"/>
    <w:rsid w:val="4D9628DA"/>
    <w:rsid w:val="4D963478"/>
    <w:rsid w:val="4D97427D"/>
    <w:rsid w:val="4D9D560B"/>
    <w:rsid w:val="4DAD14D8"/>
    <w:rsid w:val="4DBA1AEA"/>
    <w:rsid w:val="4DC4703C"/>
    <w:rsid w:val="4DCE3A17"/>
    <w:rsid w:val="4DD80AEC"/>
    <w:rsid w:val="4DDC4386"/>
    <w:rsid w:val="4DE4323A"/>
    <w:rsid w:val="4DE440AC"/>
    <w:rsid w:val="4DE628EA"/>
    <w:rsid w:val="4DEC6CD7"/>
    <w:rsid w:val="4DF06083"/>
    <w:rsid w:val="4DFC0584"/>
    <w:rsid w:val="4DFD4223"/>
    <w:rsid w:val="4E173610"/>
    <w:rsid w:val="4E17716C"/>
    <w:rsid w:val="4E1A03B6"/>
    <w:rsid w:val="4E233D83"/>
    <w:rsid w:val="4E2762C3"/>
    <w:rsid w:val="4E2A3343"/>
    <w:rsid w:val="4E3B5550"/>
    <w:rsid w:val="4E4C150B"/>
    <w:rsid w:val="4E515990"/>
    <w:rsid w:val="4E69321C"/>
    <w:rsid w:val="4E6A2964"/>
    <w:rsid w:val="4E77628C"/>
    <w:rsid w:val="4E7B77EC"/>
    <w:rsid w:val="4E7C78E6"/>
    <w:rsid w:val="4E7E368F"/>
    <w:rsid w:val="4E830CA5"/>
    <w:rsid w:val="4E8A5B90"/>
    <w:rsid w:val="4E8D5680"/>
    <w:rsid w:val="4E910DAD"/>
    <w:rsid w:val="4E984750"/>
    <w:rsid w:val="4E9E5E26"/>
    <w:rsid w:val="4EB4787F"/>
    <w:rsid w:val="4EB62E28"/>
    <w:rsid w:val="4ECF4659"/>
    <w:rsid w:val="4EDF1772"/>
    <w:rsid w:val="4EE3184E"/>
    <w:rsid w:val="4F0449F9"/>
    <w:rsid w:val="4F057230"/>
    <w:rsid w:val="4F067B60"/>
    <w:rsid w:val="4F135B85"/>
    <w:rsid w:val="4F440434"/>
    <w:rsid w:val="4F486660"/>
    <w:rsid w:val="4F506DD9"/>
    <w:rsid w:val="4F5166AD"/>
    <w:rsid w:val="4F5635EF"/>
    <w:rsid w:val="4F5F0DCA"/>
    <w:rsid w:val="4F63535B"/>
    <w:rsid w:val="4F721E8F"/>
    <w:rsid w:val="4F8847C5"/>
    <w:rsid w:val="4FA2364E"/>
    <w:rsid w:val="4FC1772D"/>
    <w:rsid w:val="4FC96B8B"/>
    <w:rsid w:val="4FD03711"/>
    <w:rsid w:val="4FD33A65"/>
    <w:rsid w:val="4FDB306A"/>
    <w:rsid w:val="4FDC6702"/>
    <w:rsid w:val="4FDD44A2"/>
    <w:rsid w:val="4FE45773"/>
    <w:rsid w:val="50041972"/>
    <w:rsid w:val="5006393C"/>
    <w:rsid w:val="50220694"/>
    <w:rsid w:val="5023629C"/>
    <w:rsid w:val="502F5160"/>
    <w:rsid w:val="50306C0B"/>
    <w:rsid w:val="50334005"/>
    <w:rsid w:val="506A6769"/>
    <w:rsid w:val="50A032F1"/>
    <w:rsid w:val="50A13E56"/>
    <w:rsid w:val="50AC5718"/>
    <w:rsid w:val="50C636F7"/>
    <w:rsid w:val="50C730CB"/>
    <w:rsid w:val="50D81ECE"/>
    <w:rsid w:val="50DC644B"/>
    <w:rsid w:val="50DD28EE"/>
    <w:rsid w:val="50E425E7"/>
    <w:rsid w:val="50F43794"/>
    <w:rsid w:val="51082263"/>
    <w:rsid w:val="511775AB"/>
    <w:rsid w:val="511F2F07"/>
    <w:rsid w:val="51532FAC"/>
    <w:rsid w:val="51690075"/>
    <w:rsid w:val="517B5119"/>
    <w:rsid w:val="517B525E"/>
    <w:rsid w:val="51864667"/>
    <w:rsid w:val="518C1C1F"/>
    <w:rsid w:val="51907961"/>
    <w:rsid w:val="5198572E"/>
    <w:rsid w:val="51AA02F7"/>
    <w:rsid w:val="51B353FD"/>
    <w:rsid w:val="51B47E96"/>
    <w:rsid w:val="51C34B1B"/>
    <w:rsid w:val="51CE5664"/>
    <w:rsid w:val="51E7240C"/>
    <w:rsid w:val="51F577C4"/>
    <w:rsid w:val="51FF6894"/>
    <w:rsid w:val="5208399B"/>
    <w:rsid w:val="5209326F"/>
    <w:rsid w:val="52383B54"/>
    <w:rsid w:val="523F4EE3"/>
    <w:rsid w:val="524A3FB4"/>
    <w:rsid w:val="524B1ADA"/>
    <w:rsid w:val="525A7F6F"/>
    <w:rsid w:val="527903F5"/>
    <w:rsid w:val="5285323E"/>
    <w:rsid w:val="528B1ED6"/>
    <w:rsid w:val="52B753C1"/>
    <w:rsid w:val="52E367B6"/>
    <w:rsid w:val="52E77B28"/>
    <w:rsid w:val="52F932E4"/>
    <w:rsid w:val="5302488E"/>
    <w:rsid w:val="53035F10"/>
    <w:rsid w:val="530F0D59"/>
    <w:rsid w:val="531E2D4A"/>
    <w:rsid w:val="532760A3"/>
    <w:rsid w:val="53347FB2"/>
    <w:rsid w:val="53511372"/>
    <w:rsid w:val="53574187"/>
    <w:rsid w:val="536101F6"/>
    <w:rsid w:val="537D0B66"/>
    <w:rsid w:val="537E2381"/>
    <w:rsid w:val="538A6632"/>
    <w:rsid w:val="53985AAA"/>
    <w:rsid w:val="53990623"/>
    <w:rsid w:val="53B06098"/>
    <w:rsid w:val="53B316E5"/>
    <w:rsid w:val="53B46E1C"/>
    <w:rsid w:val="53CD6A4F"/>
    <w:rsid w:val="53D0673A"/>
    <w:rsid w:val="53D53D51"/>
    <w:rsid w:val="53E421E6"/>
    <w:rsid w:val="53E43F94"/>
    <w:rsid w:val="53E52878"/>
    <w:rsid w:val="53F80A84"/>
    <w:rsid w:val="53F81F7D"/>
    <w:rsid w:val="54075EA4"/>
    <w:rsid w:val="54177EC5"/>
    <w:rsid w:val="541C2691"/>
    <w:rsid w:val="541C5A49"/>
    <w:rsid w:val="542E65C4"/>
    <w:rsid w:val="545804DE"/>
    <w:rsid w:val="545B4A99"/>
    <w:rsid w:val="545F186C"/>
    <w:rsid w:val="54612908"/>
    <w:rsid w:val="54651927"/>
    <w:rsid w:val="54770964"/>
    <w:rsid w:val="54A218D1"/>
    <w:rsid w:val="54AA14D4"/>
    <w:rsid w:val="54AD6A7C"/>
    <w:rsid w:val="54AF3253"/>
    <w:rsid w:val="54BC281B"/>
    <w:rsid w:val="54C65448"/>
    <w:rsid w:val="54C731B8"/>
    <w:rsid w:val="54D83F05"/>
    <w:rsid w:val="54F226E1"/>
    <w:rsid w:val="54F75F49"/>
    <w:rsid w:val="551268DF"/>
    <w:rsid w:val="55180990"/>
    <w:rsid w:val="55272E48"/>
    <w:rsid w:val="552C79A0"/>
    <w:rsid w:val="55307659"/>
    <w:rsid w:val="55383F64"/>
    <w:rsid w:val="55425416"/>
    <w:rsid w:val="554636FD"/>
    <w:rsid w:val="554A7E27"/>
    <w:rsid w:val="554D5B69"/>
    <w:rsid w:val="556531FF"/>
    <w:rsid w:val="557214D8"/>
    <w:rsid w:val="5572256C"/>
    <w:rsid w:val="557256C6"/>
    <w:rsid w:val="5575255E"/>
    <w:rsid w:val="5579070C"/>
    <w:rsid w:val="557C4502"/>
    <w:rsid w:val="558E065B"/>
    <w:rsid w:val="55983288"/>
    <w:rsid w:val="55A25EB5"/>
    <w:rsid w:val="55B160F8"/>
    <w:rsid w:val="55BC6160"/>
    <w:rsid w:val="55CE6CAA"/>
    <w:rsid w:val="55E0339D"/>
    <w:rsid w:val="55F14746"/>
    <w:rsid w:val="55F61036"/>
    <w:rsid w:val="563158B6"/>
    <w:rsid w:val="56386869"/>
    <w:rsid w:val="563D3E2F"/>
    <w:rsid w:val="563F1955"/>
    <w:rsid w:val="564167D6"/>
    <w:rsid w:val="56487BCA"/>
    <w:rsid w:val="565F3DA6"/>
    <w:rsid w:val="566351DA"/>
    <w:rsid w:val="567A73E5"/>
    <w:rsid w:val="56811F6E"/>
    <w:rsid w:val="569F1F43"/>
    <w:rsid w:val="56A577CB"/>
    <w:rsid w:val="56A9092D"/>
    <w:rsid w:val="56AD2D63"/>
    <w:rsid w:val="56AF6ADB"/>
    <w:rsid w:val="56BB34EF"/>
    <w:rsid w:val="56BC2FA6"/>
    <w:rsid w:val="56C37517"/>
    <w:rsid w:val="56CB4879"/>
    <w:rsid w:val="56CC6E55"/>
    <w:rsid w:val="56D20AB4"/>
    <w:rsid w:val="56E46059"/>
    <w:rsid w:val="57175350"/>
    <w:rsid w:val="571C53E0"/>
    <w:rsid w:val="5726041F"/>
    <w:rsid w:val="572F5526"/>
    <w:rsid w:val="5736260B"/>
    <w:rsid w:val="57395588"/>
    <w:rsid w:val="573C5E95"/>
    <w:rsid w:val="574C257C"/>
    <w:rsid w:val="576379FA"/>
    <w:rsid w:val="576A4530"/>
    <w:rsid w:val="57716C0C"/>
    <w:rsid w:val="57731EF2"/>
    <w:rsid w:val="577613A7"/>
    <w:rsid w:val="578F06BB"/>
    <w:rsid w:val="57985C27"/>
    <w:rsid w:val="57A44166"/>
    <w:rsid w:val="57AF48B9"/>
    <w:rsid w:val="57B2317D"/>
    <w:rsid w:val="57C24232"/>
    <w:rsid w:val="57CC3307"/>
    <w:rsid w:val="57E825BE"/>
    <w:rsid w:val="57E82F19"/>
    <w:rsid w:val="57F94F74"/>
    <w:rsid w:val="57FC0C53"/>
    <w:rsid w:val="58005114"/>
    <w:rsid w:val="580D48D7"/>
    <w:rsid w:val="58217BB6"/>
    <w:rsid w:val="582708F3"/>
    <w:rsid w:val="58296419"/>
    <w:rsid w:val="58331046"/>
    <w:rsid w:val="58381BAA"/>
    <w:rsid w:val="583A6878"/>
    <w:rsid w:val="58424AB5"/>
    <w:rsid w:val="58474AF1"/>
    <w:rsid w:val="585711A2"/>
    <w:rsid w:val="585C5BA2"/>
    <w:rsid w:val="585D4315"/>
    <w:rsid w:val="58737694"/>
    <w:rsid w:val="587D3F3F"/>
    <w:rsid w:val="588416E9"/>
    <w:rsid w:val="588B0E82"/>
    <w:rsid w:val="588E716F"/>
    <w:rsid w:val="589F0497"/>
    <w:rsid w:val="58B74FF2"/>
    <w:rsid w:val="58C1571E"/>
    <w:rsid w:val="58C41043"/>
    <w:rsid w:val="58C62BC1"/>
    <w:rsid w:val="58D05A14"/>
    <w:rsid w:val="58EF1411"/>
    <w:rsid w:val="58EF6847"/>
    <w:rsid w:val="58F93306"/>
    <w:rsid w:val="58FD40F2"/>
    <w:rsid w:val="591C1ADA"/>
    <w:rsid w:val="59320269"/>
    <w:rsid w:val="593D0978"/>
    <w:rsid w:val="594A4899"/>
    <w:rsid w:val="595455B5"/>
    <w:rsid w:val="59710B3F"/>
    <w:rsid w:val="5971642D"/>
    <w:rsid w:val="59747B68"/>
    <w:rsid w:val="59771E25"/>
    <w:rsid w:val="598B7205"/>
    <w:rsid w:val="59AE30F4"/>
    <w:rsid w:val="59B03041"/>
    <w:rsid w:val="59DD53DB"/>
    <w:rsid w:val="59E0602F"/>
    <w:rsid w:val="59E36A9C"/>
    <w:rsid w:val="59EC0167"/>
    <w:rsid w:val="59F22154"/>
    <w:rsid w:val="5A006D5B"/>
    <w:rsid w:val="5A074490"/>
    <w:rsid w:val="5A1629CD"/>
    <w:rsid w:val="5A2C3F9F"/>
    <w:rsid w:val="5A2E7D17"/>
    <w:rsid w:val="5A33532D"/>
    <w:rsid w:val="5A394AB7"/>
    <w:rsid w:val="5A3D09A9"/>
    <w:rsid w:val="5A4D7877"/>
    <w:rsid w:val="5A4E03B9"/>
    <w:rsid w:val="5A5A3958"/>
    <w:rsid w:val="5A5A6D5E"/>
    <w:rsid w:val="5A5E3F05"/>
    <w:rsid w:val="5A6A13F8"/>
    <w:rsid w:val="5A845B89"/>
    <w:rsid w:val="5A846C10"/>
    <w:rsid w:val="5A872E3D"/>
    <w:rsid w:val="5A92474A"/>
    <w:rsid w:val="5AA004E9"/>
    <w:rsid w:val="5AA51E90"/>
    <w:rsid w:val="5AA721BA"/>
    <w:rsid w:val="5AD12669"/>
    <w:rsid w:val="5ADC3952"/>
    <w:rsid w:val="5ADC7773"/>
    <w:rsid w:val="5AE43BAE"/>
    <w:rsid w:val="5AEC372E"/>
    <w:rsid w:val="5AF56A87"/>
    <w:rsid w:val="5B0E4FB1"/>
    <w:rsid w:val="5B101B12"/>
    <w:rsid w:val="5B123195"/>
    <w:rsid w:val="5B176804"/>
    <w:rsid w:val="5B212B7F"/>
    <w:rsid w:val="5B48305A"/>
    <w:rsid w:val="5B4A6DD2"/>
    <w:rsid w:val="5B587D24"/>
    <w:rsid w:val="5B5C08B4"/>
    <w:rsid w:val="5B5E7E0F"/>
    <w:rsid w:val="5B7B5154"/>
    <w:rsid w:val="5B9E2C7A"/>
    <w:rsid w:val="5B9F7BC4"/>
    <w:rsid w:val="5BA02E96"/>
    <w:rsid w:val="5BBB382C"/>
    <w:rsid w:val="5BC02519"/>
    <w:rsid w:val="5BCE3938"/>
    <w:rsid w:val="5BE508B2"/>
    <w:rsid w:val="5BE67071"/>
    <w:rsid w:val="5BE70AC5"/>
    <w:rsid w:val="5BE94B18"/>
    <w:rsid w:val="5BED1E04"/>
    <w:rsid w:val="5BF748DF"/>
    <w:rsid w:val="5C0207BC"/>
    <w:rsid w:val="5C0341EF"/>
    <w:rsid w:val="5C0A0310"/>
    <w:rsid w:val="5C0F5E9A"/>
    <w:rsid w:val="5C154B67"/>
    <w:rsid w:val="5C1855CD"/>
    <w:rsid w:val="5C1C7B80"/>
    <w:rsid w:val="5C312891"/>
    <w:rsid w:val="5C3D458D"/>
    <w:rsid w:val="5C407D90"/>
    <w:rsid w:val="5C4C05FB"/>
    <w:rsid w:val="5C5354B0"/>
    <w:rsid w:val="5C607528"/>
    <w:rsid w:val="5C6A5252"/>
    <w:rsid w:val="5C7165E1"/>
    <w:rsid w:val="5C871960"/>
    <w:rsid w:val="5CA82A5F"/>
    <w:rsid w:val="5CBA2C0B"/>
    <w:rsid w:val="5CBF734C"/>
    <w:rsid w:val="5CC0147B"/>
    <w:rsid w:val="5CCA2861"/>
    <w:rsid w:val="5CCB7A9F"/>
    <w:rsid w:val="5CCC3C42"/>
    <w:rsid w:val="5CDA268F"/>
    <w:rsid w:val="5CDC7EFE"/>
    <w:rsid w:val="5CEE6C52"/>
    <w:rsid w:val="5D373386"/>
    <w:rsid w:val="5D493D80"/>
    <w:rsid w:val="5D4B0BE0"/>
    <w:rsid w:val="5D6C0156"/>
    <w:rsid w:val="5D6D3972"/>
    <w:rsid w:val="5D883BE2"/>
    <w:rsid w:val="5D910F4B"/>
    <w:rsid w:val="5D9407D9"/>
    <w:rsid w:val="5D9E3405"/>
    <w:rsid w:val="5DA622BA"/>
    <w:rsid w:val="5DB01055"/>
    <w:rsid w:val="5DB1138B"/>
    <w:rsid w:val="5DB167FA"/>
    <w:rsid w:val="5DB669A1"/>
    <w:rsid w:val="5DC15346"/>
    <w:rsid w:val="5DC7435D"/>
    <w:rsid w:val="5DD21301"/>
    <w:rsid w:val="5DD37D2D"/>
    <w:rsid w:val="5DD86DD4"/>
    <w:rsid w:val="5DDB6408"/>
    <w:rsid w:val="5DDB7F90"/>
    <w:rsid w:val="5DDE3802"/>
    <w:rsid w:val="5DE15411"/>
    <w:rsid w:val="5DEA05A2"/>
    <w:rsid w:val="5DEC14F9"/>
    <w:rsid w:val="5DED613B"/>
    <w:rsid w:val="5DEF3C61"/>
    <w:rsid w:val="5DF14806"/>
    <w:rsid w:val="5DF85EF0"/>
    <w:rsid w:val="5DFB4772"/>
    <w:rsid w:val="5E084D23"/>
    <w:rsid w:val="5E0D26B4"/>
    <w:rsid w:val="5E0E5C68"/>
    <w:rsid w:val="5E102BD6"/>
    <w:rsid w:val="5E113BD7"/>
    <w:rsid w:val="5E2514DB"/>
    <w:rsid w:val="5E3B6EA6"/>
    <w:rsid w:val="5E493227"/>
    <w:rsid w:val="5E5E50AC"/>
    <w:rsid w:val="5E5F3325"/>
    <w:rsid w:val="5E781EA8"/>
    <w:rsid w:val="5E7D46AF"/>
    <w:rsid w:val="5E7E51EA"/>
    <w:rsid w:val="5E834211"/>
    <w:rsid w:val="5E8B1BDC"/>
    <w:rsid w:val="5E8F7A3A"/>
    <w:rsid w:val="5EA031AD"/>
    <w:rsid w:val="5EA52572"/>
    <w:rsid w:val="5EC85CE5"/>
    <w:rsid w:val="5ECC5D50"/>
    <w:rsid w:val="5ED34118"/>
    <w:rsid w:val="5EED7607"/>
    <w:rsid w:val="5EF20E7F"/>
    <w:rsid w:val="5EF332DD"/>
    <w:rsid w:val="5EF55105"/>
    <w:rsid w:val="5EFD2BB4"/>
    <w:rsid w:val="5F001950"/>
    <w:rsid w:val="5F0B4ACB"/>
    <w:rsid w:val="5F0E0117"/>
    <w:rsid w:val="5F0F6DE3"/>
    <w:rsid w:val="5F2A7A3E"/>
    <w:rsid w:val="5F337B7D"/>
    <w:rsid w:val="5F3E0E69"/>
    <w:rsid w:val="5F4E2C09"/>
    <w:rsid w:val="5F4F0E5B"/>
    <w:rsid w:val="5F553F98"/>
    <w:rsid w:val="5F5741F8"/>
    <w:rsid w:val="5F696506"/>
    <w:rsid w:val="5F6D731B"/>
    <w:rsid w:val="5F7570AC"/>
    <w:rsid w:val="5F773F0E"/>
    <w:rsid w:val="5F7E7368"/>
    <w:rsid w:val="5F8108E9"/>
    <w:rsid w:val="5F8959EF"/>
    <w:rsid w:val="5F8F74AA"/>
    <w:rsid w:val="5F906D7E"/>
    <w:rsid w:val="5F980E60"/>
    <w:rsid w:val="5F9B30F9"/>
    <w:rsid w:val="5F9C5723"/>
    <w:rsid w:val="5F9F32CB"/>
    <w:rsid w:val="5FA25B22"/>
    <w:rsid w:val="5FAD7930"/>
    <w:rsid w:val="5FB07420"/>
    <w:rsid w:val="5FC55B17"/>
    <w:rsid w:val="5FCD3B2E"/>
    <w:rsid w:val="5FEE1D8B"/>
    <w:rsid w:val="60062125"/>
    <w:rsid w:val="600A6B30"/>
    <w:rsid w:val="601312D0"/>
    <w:rsid w:val="601660E8"/>
    <w:rsid w:val="60182FDC"/>
    <w:rsid w:val="6037369D"/>
    <w:rsid w:val="60396686"/>
    <w:rsid w:val="603B48E8"/>
    <w:rsid w:val="604638E0"/>
    <w:rsid w:val="60487659"/>
    <w:rsid w:val="608508AD"/>
    <w:rsid w:val="60860C54"/>
    <w:rsid w:val="608F06A9"/>
    <w:rsid w:val="60A67742"/>
    <w:rsid w:val="60B028AD"/>
    <w:rsid w:val="60B84832"/>
    <w:rsid w:val="60B85E1E"/>
    <w:rsid w:val="60BB7E2A"/>
    <w:rsid w:val="60D55FD5"/>
    <w:rsid w:val="60E530F9"/>
    <w:rsid w:val="60E83231"/>
    <w:rsid w:val="60F33A68"/>
    <w:rsid w:val="60FB291D"/>
    <w:rsid w:val="61042335"/>
    <w:rsid w:val="61043C42"/>
    <w:rsid w:val="610A0A45"/>
    <w:rsid w:val="6110461A"/>
    <w:rsid w:val="612765DC"/>
    <w:rsid w:val="612872B3"/>
    <w:rsid w:val="612B1454"/>
    <w:rsid w:val="612E5B5B"/>
    <w:rsid w:val="61322CA9"/>
    <w:rsid w:val="61377DF9"/>
    <w:rsid w:val="613876CD"/>
    <w:rsid w:val="613C6411"/>
    <w:rsid w:val="614C3178"/>
    <w:rsid w:val="61610A54"/>
    <w:rsid w:val="61650207"/>
    <w:rsid w:val="616A33AF"/>
    <w:rsid w:val="616F796D"/>
    <w:rsid w:val="6171237D"/>
    <w:rsid w:val="61720E31"/>
    <w:rsid w:val="61730705"/>
    <w:rsid w:val="61785D1C"/>
    <w:rsid w:val="617C38F8"/>
    <w:rsid w:val="6186668A"/>
    <w:rsid w:val="61952D71"/>
    <w:rsid w:val="619764D6"/>
    <w:rsid w:val="619E2FEF"/>
    <w:rsid w:val="61A22D98"/>
    <w:rsid w:val="61A56F03"/>
    <w:rsid w:val="61B24A4F"/>
    <w:rsid w:val="61B74A96"/>
    <w:rsid w:val="61CA2A1B"/>
    <w:rsid w:val="61E55970"/>
    <w:rsid w:val="61EE49A3"/>
    <w:rsid w:val="61F07FA8"/>
    <w:rsid w:val="6206585F"/>
    <w:rsid w:val="62117212"/>
    <w:rsid w:val="62140822"/>
    <w:rsid w:val="62141EE8"/>
    <w:rsid w:val="624B51DE"/>
    <w:rsid w:val="62571DD5"/>
    <w:rsid w:val="62724E61"/>
    <w:rsid w:val="627B2F7D"/>
    <w:rsid w:val="628F156F"/>
    <w:rsid w:val="62904BFC"/>
    <w:rsid w:val="62A0552A"/>
    <w:rsid w:val="62AF7E63"/>
    <w:rsid w:val="62BD2F93"/>
    <w:rsid w:val="62CA25A7"/>
    <w:rsid w:val="62D022B3"/>
    <w:rsid w:val="62DB2A06"/>
    <w:rsid w:val="62E0001C"/>
    <w:rsid w:val="62E41B3B"/>
    <w:rsid w:val="62FA1097"/>
    <w:rsid w:val="630A5099"/>
    <w:rsid w:val="630F445E"/>
    <w:rsid w:val="63124102"/>
    <w:rsid w:val="631B1054"/>
    <w:rsid w:val="63255DE1"/>
    <w:rsid w:val="6353259C"/>
    <w:rsid w:val="635D166D"/>
    <w:rsid w:val="63775F3E"/>
    <w:rsid w:val="637C5F97"/>
    <w:rsid w:val="63863B93"/>
    <w:rsid w:val="63A43996"/>
    <w:rsid w:val="63AA4CA9"/>
    <w:rsid w:val="63AA69EF"/>
    <w:rsid w:val="63DE25DA"/>
    <w:rsid w:val="63E46F94"/>
    <w:rsid w:val="64065861"/>
    <w:rsid w:val="640C6C16"/>
    <w:rsid w:val="641720FF"/>
    <w:rsid w:val="641C32D6"/>
    <w:rsid w:val="641E704E"/>
    <w:rsid w:val="642D28F6"/>
    <w:rsid w:val="64306D81"/>
    <w:rsid w:val="64405857"/>
    <w:rsid w:val="64466571"/>
    <w:rsid w:val="644665A5"/>
    <w:rsid w:val="64520AA6"/>
    <w:rsid w:val="64575BF2"/>
    <w:rsid w:val="64692A7A"/>
    <w:rsid w:val="646B31C9"/>
    <w:rsid w:val="646C600B"/>
    <w:rsid w:val="64760C38"/>
    <w:rsid w:val="64790F33"/>
    <w:rsid w:val="647D05D7"/>
    <w:rsid w:val="64AB17E7"/>
    <w:rsid w:val="64AF414A"/>
    <w:rsid w:val="64B064FA"/>
    <w:rsid w:val="64B27796"/>
    <w:rsid w:val="64B90B25"/>
    <w:rsid w:val="64CE04C8"/>
    <w:rsid w:val="64D63485"/>
    <w:rsid w:val="64D7446B"/>
    <w:rsid w:val="64DF3E2A"/>
    <w:rsid w:val="65014E0D"/>
    <w:rsid w:val="6502427A"/>
    <w:rsid w:val="65051FBC"/>
    <w:rsid w:val="65075270"/>
    <w:rsid w:val="653B65B1"/>
    <w:rsid w:val="653E0CAA"/>
    <w:rsid w:val="654C1999"/>
    <w:rsid w:val="654D1A3E"/>
    <w:rsid w:val="65510D5D"/>
    <w:rsid w:val="655F347A"/>
    <w:rsid w:val="6569254B"/>
    <w:rsid w:val="656942F9"/>
    <w:rsid w:val="65736B92"/>
    <w:rsid w:val="657B6B84"/>
    <w:rsid w:val="659562E9"/>
    <w:rsid w:val="65A05841"/>
    <w:rsid w:val="65BC6B1F"/>
    <w:rsid w:val="65BF1287"/>
    <w:rsid w:val="65C47781"/>
    <w:rsid w:val="65CD2ADA"/>
    <w:rsid w:val="65E14D38"/>
    <w:rsid w:val="65E25712"/>
    <w:rsid w:val="65E904CC"/>
    <w:rsid w:val="6607361A"/>
    <w:rsid w:val="660C63EF"/>
    <w:rsid w:val="66123DD5"/>
    <w:rsid w:val="66183D16"/>
    <w:rsid w:val="662B4589"/>
    <w:rsid w:val="662E109F"/>
    <w:rsid w:val="663236CB"/>
    <w:rsid w:val="663A71E2"/>
    <w:rsid w:val="66412025"/>
    <w:rsid w:val="664773E2"/>
    <w:rsid w:val="664B175C"/>
    <w:rsid w:val="665925BF"/>
    <w:rsid w:val="66642D82"/>
    <w:rsid w:val="66664CDC"/>
    <w:rsid w:val="66681F85"/>
    <w:rsid w:val="666A79DC"/>
    <w:rsid w:val="66767EEE"/>
    <w:rsid w:val="668F7766"/>
    <w:rsid w:val="66945988"/>
    <w:rsid w:val="669C24AC"/>
    <w:rsid w:val="669D5738"/>
    <w:rsid w:val="669E6224"/>
    <w:rsid w:val="66AA160B"/>
    <w:rsid w:val="66AB64F3"/>
    <w:rsid w:val="66AC6B93"/>
    <w:rsid w:val="66AE57C5"/>
    <w:rsid w:val="66B33390"/>
    <w:rsid w:val="66CE2777"/>
    <w:rsid w:val="66DC0AFB"/>
    <w:rsid w:val="66DD4F9F"/>
    <w:rsid w:val="66E3632D"/>
    <w:rsid w:val="66F4120E"/>
    <w:rsid w:val="66F83B86"/>
    <w:rsid w:val="67077E34"/>
    <w:rsid w:val="670E7738"/>
    <w:rsid w:val="671B7875"/>
    <w:rsid w:val="6733523D"/>
    <w:rsid w:val="67416CA9"/>
    <w:rsid w:val="6747066A"/>
    <w:rsid w:val="6755062E"/>
    <w:rsid w:val="67582877"/>
    <w:rsid w:val="67591D5F"/>
    <w:rsid w:val="676E5BF7"/>
    <w:rsid w:val="677C7E20"/>
    <w:rsid w:val="67851192"/>
    <w:rsid w:val="67874F0A"/>
    <w:rsid w:val="678E12C7"/>
    <w:rsid w:val="6790611A"/>
    <w:rsid w:val="67945DC5"/>
    <w:rsid w:val="67A851E1"/>
    <w:rsid w:val="67AA29A7"/>
    <w:rsid w:val="67B35CFF"/>
    <w:rsid w:val="67B57CC9"/>
    <w:rsid w:val="67C717AB"/>
    <w:rsid w:val="67E265E5"/>
    <w:rsid w:val="67E45EB9"/>
    <w:rsid w:val="67ED7A99"/>
    <w:rsid w:val="67EE4F89"/>
    <w:rsid w:val="68064B15"/>
    <w:rsid w:val="68071203"/>
    <w:rsid w:val="68171A2C"/>
    <w:rsid w:val="681F490E"/>
    <w:rsid w:val="68437083"/>
    <w:rsid w:val="68611B4F"/>
    <w:rsid w:val="68727968"/>
    <w:rsid w:val="68815443"/>
    <w:rsid w:val="68886E4B"/>
    <w:rsid w:val="688D02FE"/>
    <w:rsid w:val="68923B67"/>
    <w:rsid w:val="68A815DC"/>
    <w:rsid w:val="68E31D87"/>
    <w:rsid w:val="68EC6095"/>
    <w:rsid w:val="68FD2461"/>
    <w:rsid w:val="69004F74"/>
    <w:rsid w:val="69025E3D"/>
    <w:rsid w:val="690A594E"/>
    <w:rsid w:val="69166546"/>
    <w:rsid w:val="691B1DAE"/>
    <w:rsid w:val="691E364C"/>
    <w:rsid w:val="692944BE"/>
    <w:rsid w:val="692B29D8"/>
    <w:rsid w:val="694F1A58"/>
    <w:rsid w:val="69754B58"/>
    <w:rsid w:val="697F058F"/>
    <w:rsid w:val="69881DBC"/>
    <w:rsid w:val="698856E3"/>
    <w:rsid w:val="698A4AEF"/>
    <w:rsid w:val="698D0EFC"/>
    <w:rsid w:val="698F0B64"/>
    <w:rsid w:val="69915C50"/>
    <w:rsid w:val="69A51678"/>
    <w:rsid w:val="69AF0748"/>
    <w:rsid w:val="69B55D5F"/>
    <w:rsid w:val="69B8584F"/>
    <w:rsid w:val="69D837FB"/>
    <w:rsid w:val="69DB2DF8"/>
    <w:rsid w:val="69DF102E"/>
    <w:rsid w:val="69EC5066"/>
    <w:rsid w:val="69F108B1"/>
    <w:rsid w:val="69F34AD9"/>
    <w:rsid w:val="69F36887"/>
    <w:rsid w:val="6A0C16F7"/>
    <w:rsid w:val="6A260A0B"/>
    <w:rsid w:val="6A4C6AFD"/>
    <w:rsid w:val="6A57027D"/>
    <w:rsid w:val="6A5A7101"/>
    <w:rsid w:val="6A5C18FD"/>
    <w:rsid w:val="6A6257BB"/>
    <w:rsid w:val="6A6B167A"/>
    <w:rsid w:val="6A776CCA"/>
    <w:rsid w:val="6A7A2B04"/>
    <w:rsid w:val="6A800F11"/>
    <w:rsid w:val="6A986D21"/>
    <w:rsid w:val="6AA162E3"/>
    <w:rsid w:val="6ACA7A19"/>
    <w:rsid w:val="6ACE4215"/>
    <w:rsid w:val="6AE508C6"/>
    <w:rsid w:val="6AF17E47"/>
    <w:rsid w:val="6AF21BFD"/>
    <w:rsid w:val="6AF9611F"/>
    <w:rsid w:val="6AFF300A"/>
    <w:rsid w:val="6B1116BB"/>
    <w:rsid w:val="6B1B42E7"/>
    <w:rsid w:val="6B2057D3"/>
    <w:rsid w:val="6B2F1B41"/>
    <w:rsid w:val="6B3C7DBA"/>
    <w:rsid w:val="6B3D425E"/>
    <w:rsid w:val="6B461A30"/>
    <w:rsid w:val="6B572E46"/>
    <w:rsid w:val="6B581098"/>
    <w:rsid w:val="6B6B19DF"/>
    <w:rsid w:val="6B7439F8"/>
    <w:rsid w:val="6B851878"/>
    <w:rsid w:val="6B8754D9"/>
    <w:rsid w:val="6B8B11DA"/>
    <w:rsid w:val="6B8D6867"/>
    <w:rsid w:val="6BAE1C75"/>
    <w:rsid w:val="6BB107A8"/>
    <w:rsid w:val="6BB67B6C"/>
    <w:rsid w:val="6BD02CCA"/>
    <w:rsid w:val="6BD476D0"/>
    <w:rsid w:val="6BED1D2F"/>
    <w:rsid w:val="6BF80185"/>
    <w:rsid w:val="6BFB5AB1"/>
    <w:rsid w:val="6C0A3CFD"/>
    <w:rsid w:val="6C0C3B8C"/>
    <w:rsid w:val="6C0C3C30"/>
    <w:rsid w:val="6C0E5BFA"/>
    <w:rsid w:val="6C152AE5"/>
    <w:rsid w:val="6C1560DD"/>
    <w:rsid w:val="6C2F085B"/>
    <w:rsid w:val="6C3E1F20"/>
    <w:rsid w:val="6C3F1104"/>
    <w:rsid w:val="6C4A4736"/>
    <w:rsid w:val="6C5A7C50"/>
    <w:rsid w:val="6C64734B"/>
    <w:rsid w:val="6C727F37"/>
    <w:rsid w:val="6C824B2D"/>
    <w:rsid w:val="6C830396"/>
    <w:rsid w:val="6C9134F4"/>
    <w:rsid w:val="6C957EAB"/>
    <w:rsid w:val="6CA81BAB"/>
    <w:rsid w:val="6CAD5413"/>
    <w:rsid w:val="6CC12C6C"/>
    <w:rsid w:val="6CCB7647"/>
    <w:rsid w:val="6CCE155D"/>
    <w:rsid w:val="6CD10E1D"/>
    <w:rsid w:val="6CDC3602"/>
    <w:rsid w:val="6CDE381E"/>
    <w:rsid w:val="6CDE3DB2"/>
    <w:rsid w:val="6CF75CE9"/>
    <w:rsid w:val="6CFA7F2C"/>
    <w:rsid w:val="6D0E435A"/>
    <w:rsid w:val="6D14652F"/>
    <w:rsid w:val="6D176D30"/>
    <w:rsid w:val="6D1A237D"/>
    <w:rsid w:val="6D1D1A5A"/>
    <w:rsid w:val="6D282CEC"/>
    <w:rsid w:val="6D303F6F"/>
    <w:rsid w:val="6D5238C5"/>
    <w:rsid w:val="6D6B6137"/>
    <w:rsid w:val="6D7C6B93"/>
    <w:rsid w:val="6D8D1345"/>
    <w:rsid w:val="6D8D1A6E"/>
    <w:rsid w:val="6D8E7684"/>
    <w:rsid w:val="6D934B67"/>
    <w:rsid w:val="6DD20BD0"/>
    <w:rsid w:val="6DF16C94"/>
    <w:rsid w:val="6DF35365"/>
    <w:rsid w:val="6E082156"/>
    <w:rsid w:val="6E117620"/>
    <w:rsid w:val="6E1D3ED3"/>
    <w:rsid w:val="6E272FA3"/>
    <w:rsid w:val="6E2B2468"/>
    <w:rsid w:val="6E3149F1"/>
    <w:rsid w:val="6E337B9A"/>
    <w:rsid w:val="6E3A0F28"/>
    <w:rsid w:val="6E3A7DB9"/>
    <w:rsid w:val="6E3B3296"/>
    <w:rsid w:val="6E5E7D1F"/>
    <w:rsid w:val="6E672362"/>
    <w:rsid w:val="6E677844"/>
    <w:rsid w:val="6E7B3BBC"/>
    <w:rsid w:val="6E95615F"/>
    <w:rsid w:val="6E9C573F"/>
    <w:rsid w:val="6EBC36EB"/>
    <w:rsid w:val="6EC51E52"/>
    <w:rsid w:val="6ED23CF7"/>
    <w:rsid w:val="6F082DD5"/>
    <w:rsid w:val="6F174DC6"/>
    <w:rsid w:val="6F1D78C7"/>
    <w:rsid w:val="6F2030BB"/>
    <w:rsid w:val="6F2B147E"/>
    <w:rsid w:val="6F35208D"/>
    <w:rsid w:val="6F3753FD"/>
    <w:rsid w:val="6F3829E8"/>
    <w:rsid w:val="6F3B720D"/>
    <w:rsid w:val="6F3C65DA"/>
    <w:rsid w:val="6F44427E"/>
    <w:rsid w:val="6F4A03E2"/>
    <w:rsid w:val="6F4A519B"/>
    <w:rsid w:val="6F581C28"/>
    <w:rsid w:val="6F641847"/>
    <w:rsid w:val="6F6F075E"/>
    <w:rsid w:val="6F7C63CD"/>
    <w:rsid w:val="6F881DFB"/>
    <w:rsid w:val="6F946B4A"/>
    <w:rsid w:val="6F96218E"/>
    <w:rsid w:val="6FAB2A73"/>
    <w:rsid w:val="6FB40867"/>
    <w:rsid w:val="6FBB2BF0"/>
    <w:rsid w:val="6FBB7E47"/>
    <w:rsid w:val="6FC11EA8"/>
    <w:rsid w:val="6FC85C67"/>
    <w:rsid w:val="6FCA0C27"/>
    <w:rsid w:val="6FE54EC4"/>
    <w:rsid w:val="6FF0498F"/>
    <w:rsid w:val="6FF54CB1"/>
    <w:rsid w:val="70131A31"/>
    <w:rsid w:val="704C4397"/>
    <w:rsid w:val="704F058F"/>
    <w:rsid w:val="70682B21"/>
    <w:rsid w:val="706A7177"/>
    <w:rsid w:val="706B2C34"/>
    <w:rsid w:val="70893D25"/>
    <w:rsid w:val="708F3534"/>
    <w:rsid w:val="7094582D"/>
    <w:rsid w:val="709C5C5F"/>
    <w:rsid w:val="70A0777D"/>
    <w:rsid w:val="70B0102E"/>
    <w:rsid w:val="70B0298D"/>
    <w:rsid w:val="70B92EA4"/>
    <w:rsid w:val="70BB3C90"/>
    <w:rsid w:val="70BD199D"/>
    <w:rsid w:val="70C20D61"/>
    <w:rsid w:val="70D030E3"/>
    <w:rsid w:val="711C29AB"/>
    <w:rsid w:val="711E59C9"/>
    <w:rsid w:val="712E4CD4"/>
    <w:rsid w:val="714A7F19"/>
    <w:rsid w:val="715C71CC"/>
    <w:rsid w:val="71702AAB"/>
    <w:rsid w:val="71706A0F"/>
    <w:rsid w:val="717E112C"/>
    <w:rsid w:val="71834994"/>
    <w:rsid w:val="71A60683"/>
    <w:rsid w:val="71B0505E"/>
    <w:rsid w:val="71B30B0D"/>
    <w:rsid w:val="71B41E13"/>
    <w:rsid w:val="71CD1C13"/>
    <w:rsid w:val="71DB20DB"/>
    <w:rsid w:val="71E60A7F"/>
    <w:rsid w:val="720F447A"/>
    <w:rsid w:val="721101F2"/>
    <w:rsid w:val="721671A2"/>
    <w:rsid w:val="721D696D"/>
    <w:rsid w:val="72312642"/>
    <w:rsid w:val="725325B9"/>
    <w:rsid w:val="725974A3"/>
    <w:rsid w:val="725D7291"/>
    <w:rsid w:val="72677E12"/>
    <w:rsid w:val="727442DD"/>
    <w:rsid w:val="727644F9"/>
    <w:rsid w:val="727B40A7"/>
    <w:rsid w:val="72800E44"/>
    <w:rsid w:val="728127DF"/>
    <w:rsid w:val="72955BA6"/>
    <w:rsid w:val="7296044F"/>
    <w:rsid w:val="729B0E1D"/>
    <w:rsid w:val="72A9418F"/>
    <w:rsid w:val="72B633A9"/>
    <w:rsid w:val="72BB015E"/>
    <w:rsid w:val="72BF37AA"/>
    <w:rsid w:val="72C12203"/>
    <w:rsid w:val="72D16C0C"/>
    <w:rsid w:val="72D75763"/>
    <w:rsid w:val="72E30ACB"/>
    <w:rsid w:val="72EA63FC"/>
    <w:rsid w:val="72EE7780"/>
    <w:rsid w:val="72F10E1E"/>
    <w:rsid w:val="731735E6"/>
    <w:rsid w:val="7318735E"/>
    <w:rsid w:val="731F693F"/>
    <w:rsid w:val="73267CCD"/>
    <w:rsid w:val="732B705A"/>
    <w:rsid w:val="73410C94"/>
    <w:rsid w:val="73415675"/>
    <w:rsid w:val="735008A6"/>
    <w:rsid w:val="7352657A"/>
    <w:rsid w:val="73532145"/>
    <w:rsid w:val="735C324C"/>
    <w:rsid w:val="73600BBE"/>
    <w:rsid w:val="736778EA"/>
    <w:rsid w:val="73726A6F"/>
    <w:rsid w:val="7376008C"/>
    <w:rsid w:val="73760EDD"/>
    <w:rsid w:val="73774085"/>
    <w:rsid w:val="737E3665"/>
    <w:rsid w:val="73944605"/>
    <w:rsid w:val="739B6B24"/>
    <w:rsid w:val="739F12CA"/>
    <w:rsid w:val="73AE37EF"/>
    <w:rsid w:val="73D15043"/>
    <w:rsid w:val="73FB2F08"/>
    <w:rsid w:val="740C0C71"/>
    <w:rsid w:val="7416564C"/>
    <w:rsid w:val="742B1FE0"/>
    <w:rsid w:val="742E1BC6"/>
    <w:rsid w:val="743E5276"/>
    <w:rsid w:val="74561EEC"/>
    <w:rsid w:val="745A5E80"/>
    <w:rsid w:val="745E6FF3"/>
    <w:rsid w:val="74602D6B"/>
    <w:rsid w:val="746B7C73"/>
    <w:rsid w:val="7476258E"/>
    <w:rsid w:val="7476433D"/>
    <w:rsid w:val="748051BB"/>
    <w:rsid w:val="749E5E83"/>
    <w:rsid w:val="74A27A9A"/>
    <w:rsid w:val="74AB5B4B"/>
    <w:rsid w:val="74DC73EF"/>
    <w:rsid w:val="74E219D2"/>
    <w:rsid w:val="74E4399C"/>
    <w:rsid w:val="74F064E7"/>
    <w:rsid w:val="74F636CF"/>
    <w:rsid w:val="75022074"/>
    <w:rsid w:val="75061B64"/>
    <w:rsid w:val="750744E5"/>
    <w:rsid w:val="7507768A"/>
    <w:rsid w:val="751678CE"/>
    <w:rsid w:val="75265D63"/>
    <w:rsid w:val="752E2E69"/>
    <w:rsid w:val="753161AE"/>
    <w:rsid w:val="75387719"/>
    <w:rsid w:val="753A4792"/>
    <w:rsid w:val="756A1714"/>
    <w:rsid w:val="75703946"/>
    <w:rsid w:val="75722D56"/>
    <w:rsid w:val="758111EB"/>
    <w:rsid w:val="75842A89"/>
    <w:rsid w:val="7589009F"/>
    <w:rsid w:val="75A1363B"/>
    <w:rsid w:val="75AA6994"/>
    <w:rsid w:val="75B93791"/>
    <w:rsid w:val="75BD1E5D"/>
    <w:rsid w:val="75BD7AFE"/>
    <w:rsid w:val="75D23A13"/>
    <w:rsid w:val="75DF1260"/>
    <w:rsid w:val="75EA5ECF"/>
    <w:rsid w:val="76045978"/>
    <w:rsid w:val="76217F91"/>
    <w:rsid w:val="76283D5C"/>
    <w:rsid w:val="763C5D0A"/>
    <w:rsid w:val="76464DE3"/>
    <w:rsid w:val="76486327"/>
    <w:rsid w:val="76510CF3"/>
    <w:rsid w:val="76680341"/>
    <w:rsid w:val="76817DFE"/>
    <w:rsid w:val="76864C36"/>
    <w:rsid w:val="76A67BED"/>
    <w:rsid w:val="76A719C7"/>
    <w:rsid w:val="76AD3154"/>
    <w:rsid w:val="76B63A51"/>
    <w:rsid w:val="76B71905"/>
    <w:rsid w:val="76BD26F7"/>
    <w:rsid w:val="76CF78C9"/>
    <w:rsid w:val="76D80CE3"/>
    <w:rsid w:val="76EC2FDC"/>
    <w:rsid w:val="76F02412"/>
    <w:rsid w:val="77001B80"/>
    <w:rsid w:val="7705172F"/>
    <w:rsid w:val="77106CCA"/>
    <w:rsid w:val="771F2A69"/>
    <w:rsid w:val="77205D48"/>
    <w:rsid w:val="7726029C"/>
    <w:rsid w:val="773C7ABF"/>
    <w:rsid w:val="773D0465"/>
    <w:rsid w:val="77444BC6"/>
    <w:rsid w:val="774626EC"/>
    <w:rsid w:val="775274E2"/>
    <w:rsid w:val="77561EA8"/>
    <w:rsid w:val="7769462C"/>
    <w:rsid w:val="776B0973"/>
    <w:rsid w:val="77731007"/>
    <w:rsid w:val="77756361"/>
    <w:rsid w:val="779A6594"/>
    <w:rsid w:val="77B42FF3"/>
    <w:rsid w:val="77B92EBE"/>
    <w:rsid w:val="77F3781A"/>
    <w:rsid w:val="77F43EF6"/>
    <w:rsid w:val="77FC7D56"/>
    <w:rsid w:val="781C169F"/>
    <w:rsid w:val="78204FD8"/>
    <w:rsid w:val="7822306E"/>
    <w:rsid w:val="783C589D"/>
    <w:rsid w:val="783F63F9"/>
    <w:rsid w:val="786B2585"/>
    <w:rsid w:val="78700BF1"/>
    <w:rsid w:val="78746DE5"/>
    <w:rsid w:val="78A71B48"/>
    <w:rsid w:val="78A84CE1"/>
    <w:rsid w:val="78AB1393"/>
    <w:rsid w:val="78BE1A60"/>
    <w:rsid w:val="78C22D01"/>
    <w:rsid w:val="78C7222C"/>
    <w:rsid w:val="78C957C6"/>
    <w:rsid w:val="78CA4C57"/>
    <w:rsid w:val="78D43D28"/>
    <w:rsid w:val="78DD2BDC"/>
    <w:rsid w:val="78EC72C3"/>
    <w:rsid w:val="78F2573D"/>
    <w:rsid w:val="78F649C2"/>
    <w:rsid w:val="78F846CC"/>
    <w:rsid w:val="790636ED"/>
    <w:rsid w:val="79117958"/>
    <w:rsid w:val="79124B36"/>
    <w:rsid w:val="791B3704"/>
    <w:rsid w:val="792702FB"/>
    <w:rsid w:val="79275C26"/>
    <w:rsid w:val="79312F28"/>
    <w:rsid w:val="79457EFE"/>
    <w:rsid w:val="7947274B"/>
    <w:rsid w:val="795B7FA5"/>
    <w:rsid w:val="79671759"/>
    <w:rsid w:val="796A6BED"/>
    <w:rsid w:val="797075DA"/>
    <w:rsid w:val="79733AC2"/>
    <w:rsid w:val="797B41A3"/>
    <w:rsid w:val="797C0647"/>
    <w:rsid w:val="79811A8C"/>
    <w:rsid w:val="79870D9A"/>
    <w:rsid w:val="79A53729"/>
    <w:rsid w:val="79B06543"/>
    <w:rsid w:val="79B25E17"/>
    <w:rsid w:val="79DA536E"/>
    <w:rsid w:val="79F20909"/>
    <w:rsid w:val="79F44681"/>
    <w:rsid w:val="79F71A7C"/>
    <w:rsid w:val="79FC52E4"/>
    <w:rsid w:val="7A1545F8"/>
    <w:rsid w:val="7A155BE9"/>
    <w:rsid w:val="7A1B3C8B"/>
    <w:rsid w:val="7A24437E"/>
    <w:rsid w:val="7A2C59DE"/>
    <w:rsid w:val="7A3A405E"/>
    <w:rsid w:val="7A3F39F0"/>
    <w:rsid w:val="7A4A24F3"/>
    <w:rsid w:val="7A600B8F"/>
    <w:rsid w:val="7A774475"/>
    <w:rsid w:val="7A796935"/>
    <w:rsid w:val="7A857216"/>
    <w:rsid w:val="7A8D2E7D"/>
    <w:rsid w:val="7A900C61"/>
    <w:rsid w:val="7A9E3255"/>
    <w:rsid w:val="7AA15E8B"/>
    <w:rsid w:val="7AB52FC8"/>
    <w:rsid w:val="7ABD4D97"/>
    <w:rsid w:val="7AC202DC"/>
    <w:rsid w:val="7AC93830"/>
    <w:rsid w:val="7AD462D1"/>
    <w:rsid w:val="7AD93877"/>
    <w:rsid w:val="7ADB75EF"/>
    <w:rsid w:val="7AE81D36"/>
    <w:rsid w:val="7AEB038D"/>
    <w:rsid w:val="7AED2E7F"/>
    <w:rsid w:val="7AFE1428"/>
    <w:rsid w:val="7B095F0A"/>
    <w:rsid w:val="7B157AC2"/>
    <w:rsid w:val="7B22521E"/>
    <w:rsid w:val="7B2C1BF9"/>
    <w:rsid w:val="7B2F25E9"/>
    <w:rsid w:val="7B424A3D"/>
    <w:rsid w:val="7B482744"/>
    <w:rsid w:val="7B4A207F"/>
    <w:rsid w:val="7B6167B8"/>
    <w:rsid w:val="7B643141"/>
    <w:rsid w:val="7B660001"/>
    <w:rsid w:val="7B6E77BB"/>
    <w:rsid w:val="7B786BEC"/>
    <w:rsid w:val="7B8E01BE"/>
    <w:rsid w:val="7B98103C"/>
    <w:rsid w:val="7B996743"/>
    <w:rsid w:val="7BA43E85"/>
    <w:rsid w:val="7BAE0860"/>
    <w:rsid w:val="7BB41C3D"/>
    <w:rsid w:val="7BB51BEE"/>
    <w:rsid w:val="7BC14808"/>
    <w:rsid w:val="7BCD6FCC"/>
    <w:rsid w:val="7BD071E8"/>
    <w:rsid w:val="7BDC50A2"/>
    <w:rsid w:val="7BE71974"/>
    <w:rsid w:val="7C003FD3"/>
    <w:rsid w:val="7C1424C5"/>
    <w:rsid w:val="7C1728A9"/>
    <w:rsid w:val="7C1C7EBF"/>
    <w:rsid w:val="7C1F175E"/>
    <w:rsid w:val="7C3B439E"/>
    <w:rsid w:val="7C54726E"/>
    <w:rsid w:val="7C5C4760"/>
    <w:rsid w:val="7C5E5C82"/>
    <w:rsid w:val="7C5F7DAC"/>
    <w:rsid w:val="7C656F85"/>
    <w:rsid w:val="7C673D3F"/>
    <w:rsid w:val="7C683105"/>
    <w:rsid w:val="7C7575D0"/>
    <w:rsid w:val="7C773348"/>
    <w:rsid w:val="7C835849"/>
    <w:rsid w:val="7C89527E"/>
    <w:rsid w:val="7C907F65"/>
    <w:rsid w:val="7C96250B"/>
    <w:rsid w:val="7C97356C"/>
    <w:rsid w:val="7C9F2BE6"/>
    <w:rsid w:val="7CA13F21"/>
    <w:rsid w:val="7CA57EB5"/>
    <w:rsid w:val="7CA962ED"/>
    <w:rsid w:val="7CB507D1"/>
    <w:rsid w:val="7CC145C3"/>
    <w:rsid w:val="7CC82D68"/>
    <w:rsid w:val="7CC93668"/>
    <w:rsid w:val="7CCD11BA"/>
    <w:rsid w:val="7CD24ED3"/>
    <w:rsid w:val="7CE60890"/>
    <w:rsid w:val="7CEC7892"/>
    <w:rsid w:val="7CF25509"/>
    <w:rsid w:val="7D0B0461"/>
    <w:rsid w:val="7D1943FF"/>
    <w:rsid w:val="7D1F7C67"/>
    <w:rsid w:val="7D282903"/>
    <w:rsid w:val="7D2C4132"/>
    <w:rsid w:val="7D37205E"/>
    <w:rsid w:val="7D3F0F77"/>
    <w:rsid w:val="7D401A7F"/>
    <w:rsid w:val="7D425704"/>
    <w:rsid w:val="7D480840"/>
    <w:rsid w:val="7D496A92"/>
    <w:rsid w:val="7D545945"/>
    <w:rsid w:val="7D680B54"/>
    <w:rsid w:val="7D7B29C4"/>
    <w:rsid w:val="7D833945"/>
    <w:rsid w:val="7D85337F"/>
    <w:rsid w:val="7D902913"/>
    <w:rsid w:val="7D917194"/>
    <w:rsid w:val="7D941579"/>
    <w:rsid w:val="7D965A4F"/>
    <w:rsid w:val="7DA0067C"/>
    <w:rsid w:val="7DBD4ED1"/>
    <w:rsid w:val="7DBF7824"/>
    <w:rsid w:val="7DD34FA3"/>
    <w:rsid w:val="7DD547CA"/>
    <w:rsid w:val="7DE30074"/>
    <w:rsid w:val="7DE91105"/>
    <w:rsid w:val="7DF23EEE"/>
    <w:rsid w:val="7DF32EA2"/>
    <w:rsid w:val="7DFA4230"/>
    <w:rsid w:val="7DFC4955"/>
    <w:rsid w:val="7E015867"/>
    <w:rsid w:val="7E0C67AF"/>
    <w:rsid w:val="7E172EDA"/>
    <w:rsid w:val="7E194440"/>
    <w:rsid w:val="7E1A21DD"/>
    <w:rsid w:val="7E202F54"/>
    <w:rsid w:val="7E3037AE"/>
    <w:rsid w:val="7E50452E"/>
    <w:rsid w:val="7E6278FC"/>
    <w:rsid w:val="7E645DC9"/>
    <w:rsid w:val="7E664BC2"/>
    <w:rsid w:val="7E6A63EF"/>
    <w:rsid w:val="7E6F1F87"/>
    <w:rsid w:val="7E7228E9"/>
    <w:rsid w:val="7E753116"/>
    <w:rsid w:val="7E8A55B4"/>
    <w:rsid w:val="7E8F2BCB"/>
    <w:rsid w:val="7EA209B1"/>
    <w:rsid w:val="7EBE6086"/>
    <w:rsid w:val="7EC02D84"/>
    <w:rsid w:val="7EC17895"/>
    <w:rsid w:val="7EC65BC2"/>
    <w:rsid w:val="7ED00AED"/>
    <w:rsid w:val="7EE32087"/>
    <w:rsid w:val="7EEB3B79"/>
    <w:rsid w:val="7EEC1DCB"/>
    <w:rsid w:val="7EF667A6"/>
    <w:rsid w:val="7F01514B"/>
    <w:rsid w:val="7F076C05"/>
    <w:rsid w:val="7F1C2AA1"/>
    <w:rsid w:val="7F1D1F8F"/>
    <w:rsid w:val="7F2257ED"/>
    <w:rsid w:val="7F356B46"/>
    <w:rsid w:val="7F3E1EFB"/>
    <w:rsid w:val="7F480FCB"/>
    <w:rsid w:val="7F604567"/>
    <w:rsid w:val="7F6E0A32"/>
    <w:rsid w:val="7F78365F"/>
    <w:rsid w:val="7F82256D"/>
    <w:rsid w:val="7F8E48CA"/>
    <w:rsid w:val="7F927DE0"/>
    <w:rsid w:val="7F9E2999"/>
    <w:rsid w:val="7FA02BB5"/>
    <w:rsid w:val="7FAB18EF"/>
    <w:rsid w:val="7FAF4BA7"/>
    <w:rsid w:val="7FB34697"/>
    <w:rsid w:val="7FBC591C"/>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5"/>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spacing w:before="280" w:after="290" w:line="376" w:lineRule="auto"/>
      <w:outlineLvl w:val="4"/>
    </w:pPr>
    <w:rPr>
      <w:b/>
      <w:bCs/>
      <w:sz w:val="28"/>
      <w:szCs w:val="28"/>
    </w:rPr>
  </w:style>
  <w:style w:type="paragraph" w:styleId="9">
    <w:name w:val="heading 6"/>
    <w:basedOn w:val="8"/>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7"/>
    <w:qFormat/>
    <w:uiPriority w:val="0"/>
    <w:pPr>
      <w:tabs>
        <w:tab w:val="left" w:pos="1800"/>
        <w:tab w:val="clear" w:pos="1440"/>
      </w:tabs>
      <w:ind w:left="1276" w:hanging="1276"/>
      <w:outlineLvl w:val="6"/>
    </w:pPr>
  </w:style>
  <w:style w:type="paragraph" w:styleId="11">
    <w:name w:val="heading 8"/>
    <w:basedOn w:val="10"/>
    <w:next w:val="1"/>
    <w:link w:val="58"/>
    <w:qFormat/>
    <w:uiPriority w:val="0"/>
    <w:pPr>
      <w:ind w:left="1418" w:hanging="1418"/>
      <w:outlineLvl w:val="7"/>
    </w:pPr>
  </w:style>
  <w:style w:type="paragraph" w:styleId="12">
    <w:name w:val="heading 9"/>
    <w:basedOn w:val="11"/>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3"/>
    <w:qFormat/>
    <w:uiPriority w:val="0"/>
    <w:rPr>
      <w:rFonts w:ascii="宋体" w:hAnsi="Courier New"/>
      <w:szCs w:val="21"/>
    </w:rPr>
  </w:style>
  <w:style w:type="paragraph" w:styleId="5">
    <w:name w:val="Normal Indent"/>
    <w:basedOn w:val="1"/>
    <w:link w:val="66"/>
    <w:unhideWhenUsed/>
    <w:qFormat/>
    <w:uiPriority w:val="0"/>
    <w:pPr>
      <w:ind w:firstLine="420" w:firstLineChars="200"/>
    </w:p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Cambria" w:hAnsi="Cambria" w:eastAsia="黑体"/>
      <w:kern w:val="0"/>
      <w:sz w:val="20"/>
      <w:szCs w:val="20"/>
    </w:rPr>
  </w:style>
  <w:style w:type="paragraph" w:styleId="15">
    <w:name w:val="Document Map"/>
    <w:basedOn w:val="1"/>
    <w:link w:val="71"/>
    <w:qFormat/>
    <w:uiPriority w:val="0"/>
    <w:rPr>
      <w:rFonts w:ascii="宋体"/>
      <w:sz w:val="18"/>
      <w:szCs w:val="18"/>
    </w:rPr>
  </w:style>
  <w:style w:type="paragraph" w:styleId="16">
    <w:name w:val="toa heading"/>
    <w:basedOn w:val="1"/>
    <w:next w:val="1"/>
    <w:qFormat/>
    <w:uiPriority w:val="0"/>
    <w:pPr>
      <w:spacing w:before="120" w:beforeLines="0" w:beforeAutospacing="0"/>
    </w:pPr>
    <w:rPr>
      <w:rFonts w:ascii="Arial" w:hAnsi="Arial"/>
      <w:sz w:val="24"/>
    </w:rPr>
  </w:style>
  <w:style w:type="paragraph" w:styleId="17">
    <w:name w:val="annotation text"/>
    <w:basedOn w:val="1"/>
    <w:link w:val="69"/>
    <w:qFormat/>
    <w:uiPriority w:val="0"/>
    <w:pPr>
      <w:jc w:val="left"/>
    </w:pPr>
  </w:style>
  <w:style w:type="paragraph" w:styleId="18">
    <w:name w:val="Body Text"/>
    <w:basedOn w:val="1"/>
    <w:next w:val="19"/>
    <w:semiHidden/>
    <w:unhideWhenUsed/>
    <w:qFormat/>
    <w:uiPriority w:val="0"/>
    <w:pPr>
      <w:spacing w:after="120"/>
    </w:pPr>
  </w:style>
  <w:style w:type="paragraph" w:styleId="19">
    <w:name w:val="Quote"/>
    <w:basedOn w:val="1"/>
    <w:next w:val="1"/>
    <w:qFormat/>
    <w:uiPriority w:val="0"/>
    <w:pPr>
      <w:wordWrap w:val="0"/>
      <w:spacing w:before="200" w:after="160"/>
      <w:ind w:left="864" w:right="864"/>
      <w:jc w:val="center"/>
    </w:pPr>
    <w:rPr>
      <w:rFonts w:ascii="Calibri" w:hAnsi="Calibri"/>
      <w:i/>
    </w:rPr>
  </w:style>
  <w:style w:type="paragraph" w:styleId="20">
    <w:name w:val="Body Text Indent"/>
    <w:basedOn w:val="1"/>
    <w:next w:val="21"/>
    <w:qFormat/>
    <w:uiPriority w:val="0"/>
    <w:pPr>
      <w:ind w:firstLine="830" w:firstLineChars="352"/>
    </w:pPr>
    <w:rPr>
      <w:rFonts w:ascii="仿宋_GB2312" w:eastAsia="仿宋_GB2312"/>
      <w:sz w:val="32"/>
      <w:szCs w:val="20"/>
    </w:rPr>
  </w:style>
  <w:style w:type="paragraph" w:styleId="21">
    <w:name w:val="Body Text Indent 2"/>
    <w:basedOn w:val="1"/>
    <w:qFormat/>
    <w:uiPriority w:val="0"/>
    <w:pPr>
      <w:spacing w:after="120" w:afterLines="0" w:line="480" w:lineRule="auto"/>
      <w:ind w:left="200" w:leftChars="200"/>
    </w:p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3">
    <w:name w:val="toc 3"/>
    <w:basedOn w:val="1"/>
    <w:next w:val="1"/>
    <w:unhideWhenUsed/>
    <w:qFormat/>
    <w:uiPriority w:val="39"/>
    <w:pPr>
      <w:ind w:left="840" w:leftChars="400"/>
    </w:p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4"/>
    <w:next w:val="1"/>
    <w:link w:val="50"/>
    <w:qFormat/>
    <w:uiPriority w:val="0"/>
    <w:pPr>
      <w:jc w:val="both"/>
    </w:pPr>
    <w:rPr>
      <w:rFonts w:ascii="宋体"/>
      <w:sz w:val="44"/>
    </w:rPr>
  </w:style>
  <w:style w:type="paragraph" w:styleId="35">
    <w:name w:val="annotation subject"/>
    <w:basedOn w:val="17"/>
    <w:next w:val="17"/>
    <w:link w:val="68"/>
    <w:qFormat/>
    <w:uiPriority w:val="99"/>
    <w:rPr>
      <w:rFonts w:ascii="Times New Roman" w:hAnsi="Times New Roman"/>
      <w:b/>
      <w:sz w:val="28"/>
      <w:szCs w:val="20"/>
    </w:rPr>
  </w:style>
  <w:style w:type="paragraph" w:styleId="36">
    <w:name w:val="Body Text First Indent 2"/>
    <w:basedOn w:val="20"/>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3"/>
    <w:qFormat/>
    <w:uiPriority w:val="9"/>
    <w:rPr>
      <w:rFonts w:ascii="Calibri" w:hAnsi="Calibri"/>
      <w:b/>
      <w:bCs/>
      <w:kern w:val="44"/>
      <w:sz w:val="44"/>
      <w:szCs w:val="44"/>
    </w:rPr>
  </w:style>
  <w:style w:type="character" w:customStyle="1" w:styleId="52">
    <w:name w:val="标题 3 Char"/>
    <w:link w:val="6"/>
    <w:qFormat/>
    <w:uiPriority w:val="0"/>
    <w:rPr>
      <w:rFonts w:ascii="仿宋_GB2312" w:hAnsi="宋体" w:eastAsiaTheme="minorEastAsia"/>
      <w:b/>
      <w:kern w:val="2"/>
      <w:sz w:val="32"/>
      <w:szCs w:val="32"/>
    </w:rPr>
  </w:style>
  <w:style w:type="character" w:customStyle="1" w:styleId="53">
    <w:name w:val="标题 5 Char"/>
    <w:link w:val="8"/>
    <w:qFormat/>
    <w:uiPriority w:val="0"/>
    <w:rPr>
      <w:rFonts w:ascii="Calibri" w:hAnsi="Calibri"/>
      <w:b/>
      <w:bCs/>
      <w:kern w:val="2"/>
      <w:sz w:val="28"/>
      <w:szCs w:val="28"/>
    </w:rPr>
  </w:style>
  <w:style w:type="character" w:customStyle="1" w:styleId="54">
    <w:name w:val="标题 2 Char"/>
    <w:link w:val="4"/>
    <w:qFormat/>
    <w:uiPriority w:val="0"/>
    <w:rPr>
      <w:rFonts w:asciiTheme="majorEastAsia" w:hAnsiTheme="majorEastAsia" w:eastAsiaTheme="majorEastAsia"/>
      <w:b/>
      <w:kern w:val="2"/>
      <w:sz w:val="32"/>
      <w:szCs w:val="28"/>
    </w:rPr>
  </w:style>
  <w:style w:type="character" w:customStyle="1" w:styleId="55">
    <w:name w:val="标题 4 Char"/>
    <w:link w:val="7"/>
    <w:qFormat/>
    <w:uiPriority w:val="0"/>
    <w:rPr>
      <w:rFonts w:ascii="Arial" w:hAnsi="Arial" w:eastAsia="黑体"/>
      <w:b/>
      <w:bCs/>
      <w:kern w:val="2"/>
      <w:sz w:val="28"/>
      <w:szCs w:val="28"/>
    </w:rPr>
  </w:style>
  <w:style w:type="character" w:customStyle="1" w:styleId="56">
    <w:name w:val="标题 6 Char"/>
    <w:link w:val="9"/>
    <w:qFormat/>
    <w:uiPriority w:val="0"/>
    <w:rPr>
      <w:b/>
      <w:bCs/>
      <w:kern w:val="2"/>
      <w:sz w:val="30"/>
      <w:szCs w:val="18"/>
    </w:rPr>
  </w:style>
  <w:style w:type="character" w:customStyle="1" w:styleId="57">
    <w:name w:val="标题 7 Char"/>
    <w:link w:val="10"/>
    <w:qFormat/>
    <w:uiPriority w:val="0"/>
    <w:rPr>
      <w:b/>
      <w:bCs/>
      <w:kern w:val="2"/>
      <w:sz w:val="30"/>
      <w:szCs w:val="18"/>
    </w:rPr>
  </w:style>
  <w:style w:type="character" w:customStyle="1" w:styleId="58">
    <w:name w:val="标题 8 Char"/>
    <w:link w:val="11"/>
    <w:qFormat/>
    <w:uiPriority w:val="0"/>
    <w:rPr>
      <w:b/>
      <w:bCs/>
      <w:kern w:val="2"/>
      <w:sz w:val="30"/>
      <w:szCs w:val="18"/>
    </w:rPr>
  </w:style>
  <w:style w:type="character" w:customStyle="1" w:styleId="59">
    <w:name w:val="标题 9 Char"/>
    <w:link w:val="12"/>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
    <w:qFormat/>
    <w:locked/>
    <w:uiPriority w:val="0"/>
    <w:rPr>
      <w:rFonts w:ascii="宋体" w:hAnsi="Courier New" w:eastAsia="宋体" w:cs="Courier New"/>
      <w:kern w:val="2"/>
      <w:sz w:val="21"/>
      <w:szCs w:val="21"/>
    </w:rPr>
  </w:style>
  <w:style w:type="paragraph" w:customStyle="1" w:styleId="64">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7"/>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5"/>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4"/>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26351</Words>
  <Characters>27912</Characters>
  <Lines>189</Lines>
  <Paragraphs>53</Paragraphs>
  <TotalTime>28</TotalTime>
  <ScaleCrop>false</ScaleCrop>
  <LinksUpToDate>false</LinksUpToDate>
  <CharactersWithSpaces>30652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李娜</cp:lastModifiedBy>
  <cp:lastPrinted>2022-04-22T10:12:00Z</cp:lastPrinted>
  <dcterms:modified xsi:type="dcterms:W3CDTF">2023-08-10T04:52:34Z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5EF245F1E71A46CAB50BFBEBDBBFE6C5_13</vt:lpwstr>
  </property>
</Properties>
</file>