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cs="宋体"/>
          <w:b/>
          <w:color w:val="000000" w:themeColor="text1"/>
          <w:kern w:val="44"/>
          <w:sz w:val="56"/>
          <w:szCs w:val="36"/>
          <w:highlight w:val="none"/>
          <w:lang w:eastAsia="zh-CN"/>
          <w14:textFill>
            <w14:solidFill>
              <w14:schemeClr w14:val="tx1"/>
            </w14:solidFill>
          </w14:textFill>
        </w:rPr>
      </w:pPr>
      <w:r>
        <w:rPr>
          <w:rFonts w:hint="eastAsia" w:ascii="宋体" w:hAnsi="宋体" w:cs="宋体"/>
          <w:b/>
          <w:color w:val="000000" w:themeColor="text1"/>
          <w:kern w:val="44"/>
          <w:sz w:val="56"/>
          <w:szCs w:val="36"/>
          <w:highlight w:val="none"/>
          <w:lang w:val="en-US" w:eastAsia="zh-CN"/>
          <w14:textFill>
            <w14:solidFill>
              <w14:schemeClr w14:val="tx1"/>
            </w14:solidFill>
          </w14:textFill>
        </w:rPr>
        <w:t>2023年喀什中医医院医疗设备采购项目</w:t>
      </w:r>
    </w:p>
    <w:p>
      <w:pPr>
        <w:pStyle w:val="5"/>
        <w:rPr>
          <w:rFonts w:hint="eastAsia" w:ascii="宋体" w:hAnsi="宋体" w:eastAsia="宋体" w:cs="宋体"/>
          <w:color w:val="000000" w:themeColor="text1"/>
          <w:highlight w:val="none"/>
          <w:lang w:eastAsia="zh-CN"/>
          <w14:textFill>
            <w14:solidFill>
              <w14:schemeClr w14:val="tx1"/>
            </w14:solidFill>
          </w14:textFill>
        </w:rPr>
      </w:pPr>
    </w:p>
    <w:p>
      <w:pPr>
        <w:pStyle w:val="6"/>
        <w:rPr>
          <w:rFonts w:hint="eastAsia"/>
          <w:color w:val="000000" w:themeColor="text1"/>
          <w:lang w:eastAsia="zh-CN"/>
          <w14:textFill>
            <w14:solidFill>
              <w14:schemeClr w14:val="tx1"/>
            </w14:solidFill>
          </w14:textFill>
        </w:rPr>
      </w:pPr>
    </w:p>
    <w:p>
      <w:pPr>
        <w:pStyle w:val="6"/>
        <w:rPr>
          <w:rFonts w:hint="eastAsia"/>
          <w:color w:val="000000" w:themeColor="text1"/>
          <w:highlight w:val="none"/>
          <w:lang w:eastAsia="zh-CN"/>
          <w14:textFill>
            <w14:solidFill>
              <w14:schemeClr w14:val="tx1"/>
            </w14:solidFill>
          </w14:textFill>
        </w:rPr>
      </w:pPr>
    </w:p>
    <w:p>
      <w:pPr>
        <w:rPr>
          <w:rFonts w:hint="eastAsia" w:ascii="宋体" w:hAnsi="宋体" w:eastAsia="宋体" w:cs="宋体"/>
          <w:color w:val="000000" w:themeColor="text1"/>
          <w:highlight w:val="none"/>
          <w:lang w:eastAsia="zh-CN"/>
          <w14:textFill>
            <w14:solidFill>
              <w14:schemeClr w14:val="tx1"/>
            </w14:solidFill>
          </w14:textFill>
        </w:rPr>
      </w:pPr>
    </w:p>
    <w:p>
      <w:pPr>
        <w:spacing w:line="240" w:lineRule="atLeast"/>
        <w:jc w:val="center"/>
        <w:rPr>
          <w:rFonts w:hint="eastAsia" w:ascii="宋体" w:hAnsi="宋体" w:eastAsia="宋体" w:cs="宋体"/>
          <w:b/>
          <w:bCs w:val="0"/>
          <w:color w:val="000000" w:themeColor="text1"/>
          <w:sz w:val="48"/>
          <w:szCs w:val="48"/>
          <w:highlight w:val="none"/>
          <w14:textFill>
            <w14:solidFill>
              <w14:schemeClr w14:val="tx1"/>
            </w14:solidFill>
          </w14:textFill>
        </w:rPr>
      </w:pPr>
      <w:r>
        <w:rPr>
          <w:rFonts w:hint="eastAsia" w:ascii="宋体" w:hAnsi="宋体" w:eastAsia="宋体" w:cs="宋体"/>
          <w:b/>
          <w:bCs w:val="0"/>
          <w:color w:val="000000" w:themeColor="text1"/>
          <w:sz w:val="48"/>
          <w:szCs w:val="48"/>
          <w:highlight w:val="none"/>
          <w14:textFill>
            <w14:solidFill>
              <w14:schemeClr w14:val="tx1"/>
            </w14:solidFill>
          </w14:textFill>
        </w:rPr>
        <w:t>招 标 文 件</w:t>
      </w:r>
    </w:p>
    <w:p>
      <w:pPr>
        <w:outlineLvl w:val="9"/>
        <w:rPr>
          <w:rFonts w:hint="eastAsia"/>
          <w:color w:val="000000" w:themeColor="text1"/>
          <w:highlight w:val="none"/>
          <w14:textFill>
            <w14:solidFill>
              <w14:schemeClr w14:val="tx1"/>
            </w14:solidFill>
          </w14:textFill>
        </w:rPr>
      </w:pPr>
    </w:p>
    <w:p>
      <w:pPr>
        <w:outlineLvl w:val="9"/>
        <w:rPr>
          <w:rFonts w:hint="eastAsia"/>
          <w:color w:val="000000" w:themeColor="text1"/>
          <w:highlight w:val="none"/>
          <w14:textFill>
            <w14:solidFill>
              <w14:schemeClr w14:val="tx1"/>
            </w14:solidFill>
          </w14:textFill>
        </w:rPr>
      </w:pPr>
    </w:p>
    <w:p>
      <w:pPr>
        <w:outlineLvl w:val="9"/>
        <w:rPr>
          <w:rFonts w:hint="eastAsia"/>
          <w:color w:val="000000" w:themeColor="text1"/>
          <w:highlight w:val="none"/>
          <w14:textFill>
            <w14:solidFill>
              <w14:schemeClr w14:val="tx1"/>
            </w14:solidFill>
          </w14:textFill>
        </w:rPr>
      </w:pPr>
    </w:p>
    <w:p>
      <w:pPr>
        <w:spacing w:line="360" w:lineRule="auto"/>
        <w:jc w:val="center"/>
        <w:rPr>
          <w:rFonts w:hint="default" w:ascii="宋体" w:hAnsi="宋体" w:eastAsia="宋体" w:cs="宋体"/>
          <w:b/>
          <w:color w:val="000000" w:themeColor="text1"/>
          <w:sz w:val="32"/>
          <w:highlight w:val="none"/>
          <w:lang w:val="en-US" w:eastAsia="zh-CN"/>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项目编号：</w:t>
      </w:r>
      <w:r>
        <w:rPr>
          <w:rFonts w:hint="eastAsia" w:ascii="宋体" w:hAnsi="宋体" w:cs="宋体"/>
          <w:b/>
          <w:color w:val="000000" w:themeColor="text1"/>
          <w:sz w:val="32"/>
          <w:highlight w:val="none"/>
          <w:lang w:eastAsia="zh-CN"/>
          <w14:textFill>
            <w14:solidFill>
              <w14:schemeClr w14:val="tx1"/>
            </w14:solidFill>
          </w14:textFill>
        </w:rPr>
        <w:t>XBZB(GK)-23003</w:t>
      </w:r>
      <w:r>
        <w:rPr>
          <w:rFonts w:hint="eastAsia" w:ascii="宋体" w:hAnsi="宋体" w:cs="宋体"/>
          <w:b/>
          <w:color w:val="000000" w:themeColor="text1"/>
          <w:sz w:val="32"/>
          <w:highlight w:val="none"/>
          <w:lang w:val="en-US" w:eastAsia="zh-CN"/>
          <w14:textFill>
            <w14:solidFill>
              <w14:schemeClr w14:val="tx1"/>
            </w14:solidFill>
          </w14:textFill>
        </w:rPr>
        <w:t>-1</w:t>
      </w:r>
    </w:p>
    <w:p>
      <w:pPr>
        <w:spacing w:line="240" w:lineRule="atLeast"/>
        <w:jc w:val="cente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 xml:space="preserve">  </w:t>
      </w:r>
    </w:p>
    <w:p>
      <w:pPr>
        <w:spacing w:line="240" w:lineRule="atLeast"/>
        <w:ind w:firstLine="1120" w:firstLineChars="4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采</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购</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人</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28"/>
          <w:szCs w:val="28"/>
          <w:highlight w:val="none"/>
          <w:u w:val="single"/>
          <w:lang w:val="en-US" w:eastAsia="zh-CN"/>
          <w14:textFill>
            <w14:solidFill>
              <w14:schemeClr w14:val="tx1"/>
            </w14:solidFill>
          </w14:textFill>
        </w:rPr>
        <w:t xml:space="preserve"> 喀什中医医院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 xml:space="preserve">   </w:t>
      </w:r>
    </w:p>
    <w:p>
      <w:pPr>
        <w:ind w:firstLine="1120" w:firstLineChars="400"/>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联</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系</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人：</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u w:val="single"/>
          <w:lang w:val="en-US" w:eastAsia="zh-CN"/>
          <w14:textFill>
            <w14:solidFill>
              <w14:schemeClr w14:val="tx1"/>
            </w14:solidFill>
          </w14:textFill>
        </w:rPr>
        <w:t>王涛</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 xml:space="preserve">      </w:t>
      </w:r>
    </w:p>
    <w:p>
      <w:pPr>
        <w:spacing w:line="360" w:lineRule="auto"/>
        <w:ind w:firstLine="1120" w:firstLineChars="4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联系电话：</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28"/>
          <w:szCs w:val="28"/>
          <w:highlight w:val="none"/>
          <w:u w:val="single"/>
          <w:lang w:val="en-US" w:eastAsia="zh-CN"/>
          <w14:textFill>
            <w14:solidFill>
              <w14:schemeClr w14:val="tx1"/>
            </w14:solidFill>
          </w14:textFill>
        </w:rPr>
        <w:t>15739955295</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p>
    <w:p>
      <w:pPr>
        <w:pStyle w:val="5"/>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5"/>
        <w:rPr>
          <w:rFonts w:hint="eastAsia" w:ascii="宋体" w:hAnsi="宋体" w:eastAsia="宋体" w:cs="宋体"/>
          <w:color w:val="000000" w:themeColor="text1"/>
          <w:highlight w:val="none"/>
          <w14:textFill>
            <w14:solidFill>
              <w14:schemeClr w14:val="tx1"/>
            </w14:solidFill>
          </w14:textFill>
        </w:rPr>
      </w:pPr>
    </w:p>
    <w:p>
      <w:pPr>
        <w:pStyle w:val="6"/>
        <w:rPr>
          <w:rFonts w:hint="eastAsia"/>
          <w:color w:val="000000" w:themeColor="text1"/>
          <w:highlight w:val="none"/>
          <w14:textFill>
            <w14:solidFill>
              <w14:schemeClr w14:val="tx1"/>
            </w14:solidFill>
          </w14:textFill>
        </w:rPr>
      </w:pPr>
    </w:p>
    <w:p>
      <w:pPr>
        <w:spacing w:line="240" w:lineRule="atLeast"/>
        <w:ind w:firstLine="1120" w:firstLineChars="400"/>
        <w:rPr>
          <w:rFonts w:hint="default" w:ascii="宋体" w:hAnsi="宋体" w:eastAsia="宋体" w:cs="宋体"/>
          <w:b/>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代理机构：</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28"/>
          <w:szCs w:val="28"/>
          <w:highlight w:val="none"/>
          <w:u w:val="single"/>
          <w:lang w:eastAsia="zh-CN"/>
          <w14:textFill>
            <w14:solidFill>
              <w14:schemeClr w14:val="tx1"/>
            </w14:solidFill>
          </w14:textFill>
        </w:rPr>
        <w:t>新疆西北招标有限公司</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p>
    <w:p>
      <w:pPr>
        <w:spacing w:line="240" w:lineRule="atLeast"/>
        <w:ind w:firstLine="1120" w:firstLineChars="4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联</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系</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人：</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u w:val="single"/>
          <w:lang w:val="en-US" w:eastAsia="zh-CN"/>
          <w14:textFill>
            <w14:solidFill>
              <w14:schemeClr w14:val="tx1"/>
            </w14:solidFill>
          </w14:textFill>
        </w:rPr>
        <w:t>张升礼</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 xml:space="preserve">       </w:t>
      </w:r>
    </w:p>
    <w:p>
      <w:pPr>
        <w:spacing w:line="240" w:lineRule="atLeast"/>
        <w:ind w:firstLine="1120" w:firstLineChars="400"/>
        <w:rPr>
          <w:rFonts w:hint="eastAsia" w:ascii="宋体" w:hAnsi="宋体" w:eastAsia="宋体" w:cs="宋体"/>
          <w:b/>
          <w:bCs/>
          <w:color w:val="000000" w:themeColor="text1"/>
          <w:sz w:val="32"/>
          <w:szCs w:val="40"/>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联系电话：</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u w:val="single"/>
          <w:lang w:eastAsia="zh-CN"/>
          <w14:textFill>
            <w14:solidFill>
              <w14:schemeClr w14:val="tx1"/>
            </w14:solidFill>
          </w14:textFill>
        </w:rPr>
        <w:t>18799505112</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 xml:space="preserve">   </w:t>
      </w:r>
    </w:p>
    <w:p>
      <w:pPr>
        <w:spacing w:line="240" w:lineRule="atLeast"/>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日期：20</w:t>
      </w:r>
      <w:r>
        <w:rPr>
          <w:rFonts w:hint="eastAsia" w:ascii="宋体" w:hAnsi="宋体" w:cs="宋体"/>
          <w:b/>
          <w:color w:val="000000" w:themeColor="text1"/>
          <w:sz w:val="28"/>
          <w:szCs w:val="28"/>
          <w:highlight w:val="none"/>
          <w:lang w:val="en-US" w:eastAsia="zh-CN"/>
          <w14:textFill>
            <w14:solidFill>
              <w14:schemeClr w14:val="tx1"/>
            </w14:solidFill>
          </w14:textFill>
        </w:rPr>
        <w:t>23</w:t>
      </w:r>
      <w:r>
        <w:rPr>
          <w:rFonts w:hint="eastAsia" w:ascii="宋体" w:hAnsi="宋体" w:eastAsia="宋体" w:cs="宋体"/>
          <w:b/>
          <w:color w:val="000000" w:themeColor="text1"/>
          <w:sz w:val="28"/>
          <w:szCs w:val="28"/>
          <w:highlight w:val="none"/>
          <w14:textFill>
            <w14:solidFill>
              <w14:schemeClr w14:val="tx1"/>
            </w14:solidFill>
          </w14:textFill>
        </w:rPr>
        <w:t>年</w:t>
      </w:r>
      <w:r>
        <w:rPr>
          <w:rFonts w:hint="eastAsia" w:ascii="宋体" w:hAnsi="宋体" w:cs="宋体"/>
          <w:b/>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月</w:t>
      </w:r>
    </w:p>
    <w:p>
      <w:pPr>
        <w:pStyle w:val="42"/>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pPr>
        <w:pStyle w:val="42"/>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pPr>
        <w:pStyle w:val="42"/>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pPr>
        <w:pStyle w:val="42"/>
        <w:ind w:left="0" w:leftChars="0" w:firstLine="0" w:firstLineChars="0"/>
        <w:rPr>
          <w:rFonts w:hint="eastAsia" w:ascii="宋体" w:hAnsi="宋体" w:eastAsia="宋体" w:cs="宋体"/>
          <w:b/>
          <w:color w:val="000000" w:themeColor="text1"/>
          <w:sz w:val="28"/>
          <w:szCs w:val="28"/>
          <w:highlight w:val="none"/>
          <w:lang w:val="en-US" w:eastAsia="zh-CN"/>
          <w14:textFill>
            <w14:solidFill>
              <w14:schemeClr w14:val="tx1"/>
            </w14:solidFill>
          </w14:textFill>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ind w:firstLine="3534" w:firstLineChars="1100"/>
        <w:jc w:val="both"/>
        <w:rPr>
          <w:rFonts w:hint="eastAsia" w:ascii="宋体" w:hAnsi="宋体" w:eastAsia="宋体" w:cs="宋体"/>
          <w:b/>
          <w:bCs/>
          <w:color w:val="000000" w:themeColor="text1"/>
          <w:sz w:val="32"/>
          <w:szCs w:val="40"/>
          <w:highlight w:val="none"/>
          <w14:textFill>
            <w14:solidFill>
              <w14:schemeClr w14:val="tx1"/>
            </w14:solidFill>
          </w14:textFill>
        </w:rPr>
      </w:pPr>
      <w:r>
        <w:rPr>
          <w:rFonts w:hint="eastAsia" w:ascii="宋体" w:hAnsi="宋体" w:eastAsia="宋体" w:cs="宋体"/>
          <w:b/>
          <w:bCs/>
          <w:color w:val="000000" w:themeColor="text1"/>
          <w:sz w:val="32"/>
          <w:szCs w:val="40"/>
          <w:highlight w:val="none"/>
          <w14:textFill>
            <w14:solidFill>
              <w14:schemeClr w14:val="tx1"/>
            </w14:solidFill>
          </w14:textFill>
        </w:rPr>
        <w:t>目   录</w:t>
      </w:r>
    </w:p>
    <w:p>
      <w:pPr>
        <w:pStyle w:val="25"/>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TOC \o "1-3" \h \u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_Toc2168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t>第1章</w:t>
      </w:r>
      <w:r>
        <w:rPr>
          <w:rFonts w:hint="eastAsia" w:hAnsi="宋体" w:cs="宋体"/>
          <w:bCs/>
          <w:color w:val="000000" w:themeColor="text1"/>
          <w:szCs w:val="3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Cs w:val="32"/>
          <w:highlight w:val="none"/>
          <w:lang w:eastAsia="zh-CN"/>
          <w14:textFill>
            <w14:solidFill>
              <w14:schemeClr w14:val="tx1"/>
            </w14:solidFill>
          </w14:textFill>
        </w:rPr>
        <w:t>供应商</w:t>
      </w:r>
      <w:r>
        <w:rPr>
          <w:rFonts w:hint="eastAsia" w:ascii="宋体" w:hAnsi="宋体" w:eastAsia="宋体" w:cs="宋体"/>
          <w:bCs/>
          <w:color w:val="000000" w:themeColor="text1"/>
          <w:szCs w:val="32"/>
          <w:highlight w:val="none"/>
          <w14:textFill>
            <w14:solidFill>
              <w14:schemeClr w14:val="tx1"/>
            </w14:solidFill>
          </w14:textFill>
        </w:rPr>
        <w:t>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_Toc15464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一   总 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_Toc2013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14:textFill>
            <w14:solidFill>
              <w14:schemeClr w14:val="tx1"/>
            </w14:solidFill>
          </w14:textFill>
        </w:rPr>
        <w:t xml:space="preserve">1. </w:t>
      </w:r>
      <w:r>
        <w:rPr>
          <w:rFonts w:hint="eastAsia" w:ascii="宋体" w:hAnsi="宋体" w:eastAsia="宋体" w:cs="宋体"/>
          <w:bCs/>
          <w:color w:val="000000" w:themeColor="text1"/>
          <w:szCs w:val="24"/>
          <w:highlight w:val="none"/>
          <w14:textFill>
            <w14:solidFill>
              <w14:schemeClr w14:val="tx1"/>
            </w14:solidFill>
          </w14:textFill>
        </w:rPr>
        <w:t>采购人、采购代理机构及</w:t>
      </w:r>
      <w:r>
        <w:rPr>
          <w:rFonts w:hint="eastAsia" w:ascii="宋体" w:hAnsi="宋体" w:eastAsia="宋体" w:cs="宋体"/>
          <w:bCs/>
          <w:color w:val="000000" w:themeColor="text1"/>
          <w:szCs w:val="24"/>
          <w:highlight w:val="none"/>
          <w:lang w:eastAsia="zh-CN"/>
          <w14:textFill>
            <w14:solidFill>
              <w14:schemeClr w14:val="tx1"/>
            </w14:solidFill>
          </w14:textFill>
        </w:rPr>
        <w:t>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_Toc12304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14:textFill>
            <w14:solidFill>
              <w14:schemeClr w14:val="tx1"/>
            </w14:solidFill>
          </w14:textFill>
        </w:rPr>
        <w:t xml:space="preserve">2. </w:t>
      </w:r>
      <w:r>
        <w:rPr>
          <w:rFonts w:hint="eastAsia" w:ascii="宋体" w:hAnsi="宋体" w:eastAsia="宋体" w:cs="宋体"/>
          <w:bCs/>
          <w:color w:val="000000" w:themeColor="text1"/>
          <w:szCs w:val="24"/>
          <w:highlight w:val="none"/>
          <w14:textFill>
            <w14:solidFill>
              <w14:schemeClr w14:val="tx1"/>
            </w14:solidFill>
          </w14:textFill>
        </w:rPr>
        <w:t>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_Toc12304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_Toc4323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14:textFill>
            <w14:solidFill>
              <w14:schemeClr w14:val="tx1"/>
            </w14:solidFill>
          </w14:textFill>
        </w:rPr>
        <w:t xml:space="preserve">3. </w:t>
      </w:r>
      <w:r>
        <w:rPr>
          <w:rFonts w:hint="eastAsia" w:ascii="宋体" w:hAnsi="宋体" w:eastAsia="宋体" w:cs="宋体"/>
          <w:bCs/>
          <w:color w:val="000000" w:themeColor="text1"/>
          <w:szCs w:val="24"/>
          <w:highlight w:val="none"/>
          <w14:textFill>
            <w14:solidFill>
              <w14:schemeClr w14:val="tx1"/>
            </w14:solidFill>
          </w14:textFill>
        </w:rPr>
        <w:t>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_Toc4323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_Toc26711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14:textFill>
            <w14:solidFill>
              <w14:schemeClr w14:val="tx1"/>
            </w14:solidFill>
          </w14:textFill>
        </w:rPr>
        <w:t xml:space="preserve">4. </w:t>
      </w:r>
      <w:r>
        <w:rPr>
          <w:rFonts w:hint="eastAsia" w:ascii="宋体" w:hAnsi="宋体" w:eastAsia="宋体" w:cs="宋体"/>
          <w:bCs/>
          <w:color w:val="000000" w:themeColor="text1"/>
          <w:szCs w:val="24"/>
          <w:highlight w:val="none"/>
          <w14:textFill>
            <w14:solidFill>
              <w14:schemeClr w14:val="tx1"/>
            </w14:solidFill>
          </w14:textFill>
        </w:rPr>
        <w:t>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_Toc26711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_Toc8614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二   招标文件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_Toc8614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_Toc28266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14:textFill>
            <w14:solidFill>
              <w14:schemeClr w14:val="tx1"/>
            </w14:solidFill>
          </w14:textFill>
        </w:rPr>
        <w:t xml:space="preserve">5. </w:t>
      </w:r>
      <w:r>
        <w:rPr>
          <w:rFonts w:hint="eastAsia" w:ascii="宋体" w:hAnsi="宋体" w:eastAsia="宋体" w:cs="宋体"/>
          <w:bCs/>
          <w:color w:val="000000" w:themeColor="text1"/>
          <w:szCs w:val="24"/>
          <w:highlight w:val="none"/>
          <w14:textFill>
            <w14:solidFill>
              <w14:schemeClr w14:val="tx1"/>
            </w14:solidFill>
          </w14:textFill>
        </w:rPr>
        <w:t>招标文件构成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_Toc28266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_Toc14073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14:textFill>
            <w14:solidFill>
              <w14:schemeClr w14:val="tx1"/>
            </w14:solidFill>
          </w14:textFill>
        </w:rPr>
        <w:t xml:space="preserve">6. </w:t>
      </w:r>
      <w:r>
        <w:rPr>
          <w:rFonts w:hint="eastAsia" w:ascii="宋体" w:hAnsi="宋体" w:eastAsia="宋体" w:cs="宋体"/>
          <w:bCs/>
          <w:color w:val="000000" w:themeColor="text1"/>
          <w:szCs w:val="24"/>
          <w:highlight w:val="none"/>
          <w14:textFill>
            <w14:solidFill>
              <w14:schemeClr w14:val="tx1"/>
            </w14:solidFill>
          </w14:textFill>
        </w:rPr>
        <w:t>招标文件的澄清与修改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_Toc17896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14:textFill>
            <w14:solidFill>
              <w14:schemeClr w14:val="tx1"/>
            </w14:solidFill>
          </w14:textFill>
        </w:rPr>
        <w:t xml:space="preserve">7. </w:t>
      </w:r>
      <w:r>
        <w:rPr>
          <w:rFonts w:hint="eastAsia" w:ascii="宋体" w:hAnsi="宋体" w:eastAsia="宋体" w:cs="宋体"/>
          <w:bCs/>
          <w:color w:val="000000" w:themeColor="text1"/>
          <w:szCs w:val="24"/>
          <w:highlight w:val="none"/>
          <w14:textFill>
            <w14:solidFill>
              <w14:schemeClr w14:val="tx1"/>
            </w14:solidFill>
          </w14:textFill>
        </w:rPr>
        <w:t>投标截止时间的顺延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_Toc16307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三   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_Toc16307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_Toc32059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14:textFill>
            <w14:solidFill>
              <w14:schemeClr w14:val="tx1"/>
            </w14:solidFill>
          </w14:textFill>
        </w:rPr>
        <w:t xml:space="preserve">8. </w:t>
      </w:r>
      <w:r>
        <w:rPr>
          <w:rFonts w:hint="eastAsia" w:ascii="宋体" w:hAnsi="宋体" w:eastAsia="宋体" w:cs="宋体"/>
          <w:bCs/>
          <w:color w:val="000000" w:themeColor="text1"/>
          <w:szCs w:val="24"/>
          <w:highlight w:val="none"/>
          <w14:textFill>
            <w14:solidFill>
              <w14:schemeClr w14:val="tx1"/>
            </w14:solidFill>
          </w14:textFill>
        </w:rPr>
        <w:t>投标范围及投标文件中标准和计量单位的使用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_Toc10202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14:textFill>
            <w14:solidFill>
              <w14:schemeClr w14:val="tx1"/>
            </w14:solidFill>
          </w14:textFill>
        </w:rPr>
        <w:t xml:space="preserve">9. </w:t>
      </w:r>
      <w:r>
        <w:rPr>
          <w:rFonts w:hint="eastAsia" w:ascii="宋体" w:hAnsi="宋体" w:eastAsia="宋体" w:cs="宋体"/>
          <w:bCs/>
          <w:color w:val="000000" w:themeColor="text1"/>
          <w:szCs w:val="24"/>
          <w:highlight w:val="none"/>
          <w14:textFill>
            <w14:solidFill>
              <w14:schemeClr w14:val="tx1"/>
            </w14:solidFill>
          </w14:textFill>
        </w:rPr>
        <w:t>投标文件构成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_Toc10202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_Toc4742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lang w:eastAsia="zh-CN"/>
          <w14:textFill>
            <w14:solidFill>
              <w14:schemeClr w14:val="tx1"/>
            </w14:solidFill>
          </w14:textFill>
        </w:rPr>
        <w:t xml:space="preserve">10. </w:t>
      </w:r>
      <w:r>
        <w:rPr>
          <w:rFonts w:hint="eastAsia" w:ascii="宋体" w:hAnsi="宋体" w:eastAsia="宋体" w:cs="宋体"/>
          <w:bCs/>
          <w:color w:val="000000" w:themeColor="text1"/>
          <w:szCs w:val="24"/>
          <w:highlight w:val="none"/>
          <w14:textFill>
            <w14:solidFill>
              <w14:schemeClr w14:val="tx1"/>
            </w14:solidFill>
          </w14:textFill>
        </w:rPr>
        <w:t>证明投标的的合格性和符合招标文件规定的技术文件</w:t>
      </w:r>
      <w:r>
        <w:rPr>
          <w:rFonts w:hint="eastAsia" w:ascii="宋体" w:hAnsi="宋体" w:eastAsia="宋体" w:cs="宋体"/>
          <w:bCs/>
          <w:color w:val="000000" w:themeColor="text1"/>
          <w:szCs w:val="24"/>
          <w:highlight w:val="none"/>
          <w:lang w:eastAsia="zh-CN"/>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_Toc4742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_Toc5717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14:textFill>
            <w14:solidFill>
              <w14:schemeClr w14:val="tx1"/>
            </w14:solidFill>
          </w14:textFill>
        </w:rPr>
        <w:t xml:space="preserve">11. </w:t>
      </w:r>
      <w:r>
        <w:rPr>
          <w:rFonts w:hint="eastAsia" w:ascii="宋体" w:hAnsi="宋体" w:eastAsia="宋体" w:cs="宋体"/>
          <w:bCs/>
          <w:color w:val="000000" w:themeColor="text1"/>
          <w:szCs w:val="24"/>
          <w:highlight w:val="none"/>
          <w14:textFill>
            <w14:solidFill>
              <w14:schemeClr w14:val="tx1"/>
            </w14:solidFill>
          </w14:textFill>
        </w:rPr>
        <w:t>投标报价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_Toc5717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_Toc29987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14:textFill>
            <w14:solidFill>
              <w14:schemeClr w14:val="tx1"/>
            </w14:solidFill>
          </w14:textFill>
        </w:rPr>
        <w:t xml:space="preserve">12. </w:t>
      </w:r>
      <w:r>
        <w:rPr>
          <w:rFonts w:hint="eastAsia" w:ascii="宋体" w:hAnsi="宋体" w:eastAsia="宋体" w:cs="宋体"/>
          <w:bCs/>
          <w:color w:val="000000" w:themeColor="text1"/>
          <w:szCs w:val="24"/>
          <w:highlight w:val="none"/>
          <w14:textFill>
            <w14:solidFill>
              <w14:schemeClr w14:val="tx1"/>
            </w14:solidFill>
          </w14:textFill>
        </w:rPr>
        <w:t>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_Toc29987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_Toc14584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14:textFill>
            <w14:solidFill>
              <w14:schemeClr w14:val="tx1"/>
            </w14:solidFill>
          </w14:textFill>
        </w:rPr>
        <w:t xml:space="preserve">13. </w:t>
      </w:r>
      <w:r>
        <w:rPr>
          <w:rFonts w:hint="eastAsia" w:ascii="宋体" w:hAnsi="宋体" w:eastAsia="宋体" w:cs="宋体"/>
          <w:bCs/>
          <w:color w:val="000000" w:themeColor="text1"/>
          <w:szCs w:val="24"/>
          <w:highlight w:val="none"/>
          <w14:textFill>
            <w14:solidFill>
              <w14:schemeClr w14:val="tx1"/>
            </w14:solidFill>
          </w14:textFill>
        </w:rPr>
        <w:t>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_Toc14584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_Toc12268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cs="宋体"/>
          <w:bCs/>
          <w:color w:val="000000" w:themeColor="text1"/>
          <w:szCs w:val="24"/>
          <w:highlight w:val="none"/>
          <w:lang w:val="en-US" w:eastAsia="zh-CN"/>
          <w14:textFill>
            <w14:solidFill>
              <w14:schemeClr w14:val="tx1"/>
            </w14:solidFill>
          </w14:textFill>
        </w:rPr>
        <w:t>14.</w:t>
      </w:r>
      <w:r>
        <w:rPr>
          <w:rFonts w:hint="eastAsia" w:ascii="宋体" w:hAnsi="宋体" w:eastAsia="宋体" w:cs="宋体"/>
          <w:bCs/>
          <w:color w:val="000000" w:themeColor="text1"/>
          <w:szCs w:val="24"/>
          <w:highlight w:val="none"/>
          <w14:textFill>
            <w14:solidFill>
              <w14:schemeClr w14:val="tx1"/>
            </w14:solidFill>
          </w14:textFill>
        </w:rPr>
        <w:t>投标文件的签署及规定</w:t>
      </w:r>
      <w:r>
        <w:rPr>
          <w:rFonts w:hint="eastAsia" w:ascii="宋体" w:hAnsi="宋体" w:eastAsia="宋体" w:cs="宋体"/>
          <w:i w:val="0"/>
          <w:caps w:val="0"/>
          <w:color w:val="000000" w:themeColor="text1"/>
          <w:spacing w:val="0"/>
          <w:w w:val="100"/>
          <w:highlight w:val="none"/>
          <w:lang w:val="en-US" w:eastAsia="zh-CN"/>
          <w14:textFill>
            <w14:solidFill>
              <w14:schemeClr w14:val="tx1"/>
            </w14:solidFill>
          </w14:textFill>
        </w:rPr>
        <w:t>（中标供应商在招标结束后三天内邮寄投标文件）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_Toc6695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四   投标文件的递交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_Toc6695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_Toc27360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15.</w:t>
      </w:r>
      <w:r>
        <w:rPr>
          <w:rFonts w:hint="eastAsia" w:ascii="宋体" w:hAnsi="宋体" w:eastAsia="宋体" w:cs="宋体"/>
          <w:bCs/>
          <w:color w:val="000000" w:themeColor="text1"/>
          <w:szCs w:val="24"/>
          <w:highlight w:val="none"/>
          <w:lang w:eastAsia="zh-CN"/>
          <w14:textFill>
            <w14:solidFill>
              <w14:schemeClr w14:val="tx1"/>
            </w14:solidFill>
          </w14:textFill>
        </w:rPr>
        <w:t>投标文件</w:t>
      </w:r>
      <w:r>
        <w:rPr>
          <w:rFonts w:hint="eastAsia" w:ascii="宋体" w:hAnsi="宋体" w:eastAsia="宋体" w:cs="宋体"/>
          <w:bCs/>
          <w:color w:val="000000" w:themeColor="text1"/>
          <w:szCs w:val="24"/>
          <w:highlight w:val="none"/>
          <w14:textFill>
            <w14:solidFill>
              <w14:schemeClr w14:val="tx1"/>
            </w14:solidFill>
          </w14:textFill>
        </w:rPr>
        <w:t>的密封和标记</w:t>
      </w:r>
      <w:r>
        <w:rPr>
          <w:rFonts w:hint="eastAsia" w:ascii="宋体" w:hAnsi="宋体" w:eastAsia="宋体" w:cs="宋体"/>
          <w:i w:val="0"/>
          <w:caps w:val="0"/>
          <w:color w:val="000000" w:themeColor="text1"/>
          <w:spacing w:val="0"/>
          <w:w w:val="100"/>
          <w:highlight w:val="none"/>
          <w:lang w:val="en-US" w:eastAsia="zh-CN"/>
          <w14:textFill>
            <w14:solidFill>
              <w14:schemeClr w14:val="tx1"/>
            </w14:solidFill>
          </w14:textFill>
        </w:rPr>
        <w:t>（中标供应商在招标结束后三天内邮寄投标文件）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_Toc27360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_Toc5224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16.</w:t>
      </w:r>
      <w:r>
        <w:rPr>
          <w:rFonts w:hint="eastAsia" w:ascii="宋体" w:hAnsi="宋体" w:eastAsia="宋体" w:cs="宋体"/>
          <w:bCs/>
          <w:color w:val="000000" w:themeColor="text1"/>
          <w:szCs w:val="24"/>
          <w:highlight w:val="none"/>
          <w:lang w:val="en-US" w:eastAsia="zh-CN"/>
          <w14:textFill>
            <w14:solidFill>
              <w14:schemeClr w14:val="tx1"/>
            </w14:solidFill>
          </w14:textFill>
        </w:rPr>
        <w:t>投标</w:t>
      </w:r>
      <w:r>
        <w:rPr>
          <w:rFonts w:hint="eastAsia" w:ascii="宋体" w:hAnsi="宋体" w:eastAsia="宋体" w:cs="宋体"/>
          <w:bCs/>
          <w:color w:val="000000" w:themeColor="text1"/>
          <w:szCs w:val="24"/>
          <w:highlight w:val="none"/>
          <w14:textFill>
            <w14:solidFill>
              <w14:schemeClr w14:val="tx1"/>
            </w14:solidFill>
          </w14:textFill>
        </w:rPr>
        <w:t>截止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_Toc9959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17.</w:t>
      </w:r>
      <w:r>
        <w:rPr>
          <w:rFonts w:hint="eastAsia" w:ascii="宋体" w:hAnsi="宋体" w:eastAsia="宋体" w:cs="宋体"/>
          <w:bCs/>
          <w:color w:val="000000" w:themeColor="text1"/>
          <w:szCs w:val="24"/>
          <w:highlight w:val="none"/>
          <w:lang w:eastAsia="zh-CN"/>
          <w14:textFill>
            <w14:solidFill>
              <w14:schemeClr w14:val="tx1"/>
            </w14:solidFill>
          </w14:textFill>
        </w:rPr>
        <w:t>投标文件</w:t>
      </w:r>
      <w:r>
        <w:rPr>
          <w:rFonts w:hint="eastAsia" w:ascii="宋体" w:hAnsi="宋体" w:eastAsia="宋体" w:cs="宋体"/>
          <w:bCs/>
          <w:color w:val="000000" w:themeColor="text1"/>
          <w:szCs w:val="24"/>
          <w:highlight w:val="none"/>
          <w14:textFill>
            <w14:solidFill>
              <w14:schemeClr w14:val="tx1"/>
            </w14:solidFill>
          </w14:textFill>
        </w:rPr>
        <w:t>的接收、修改与撤回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_Toc23444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五   开标及评标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_Toc27842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18.</w:t>
      </w:r>
      <w:r>
        <w:rPr>
          <w:rFonts w:hint="eastAsia" w:ascii="宋体" w:hAnsi="宋体" w:eastAsia="宋体" w:cs="宋体"/>
          <w:bCs/>
          <w:color w:val="000000" w:themeColor="text1"/>
          <w:szCs w:val="24"/>
          <w:highlight w:val="none"/>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_Toc27842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_Toc4235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19.</w:t>
      </w:r>
      <w:r>
        <w:rPr>
          <w:rFonts w:hint="eastAsia" w:ascii="宋体" w:hAnsi="宋体" w:eastAsia="宋体" w:cs="宋体"/>
          <w:bCs/>
          <w:color w:val="000000" w:themeColor="text1"/>
          <w:szCs w:val="24"/>
          <w:highlight w:val="none"/>
          <w:lang w:eastAsia="zh-CN"/>
          <w14:textFill>
            <w14:solidFill>
              <w14:schemeClr w14:val="tx1"/>
            </w14:solidFill>
          </w14:textFill>
        </w:rPr>
        <w:t>资格审查及组建评标委员会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_Toc4235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_Toc12391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20.</w:t>
      </w:r>
      <w:r>
        <w:rPr>
          <w:rFonts w:hint="eastAsia" w:ascii="宋体" w:hAnsi="宋体" w:eastAsia="宋体" w:cs="宋体"/>
          <w:bCs/>
          <w:color w:val="000000" w:themeColor="text1"/>
          <w:szCs w:val="24"/>
          <w:highlight w:val="none"/>
          <w14:textFill>
            <w14:solidFill>
              <w14:schemeClr w14:val="tx1"/>
            </w14:solidFill>
          </w14:textFill>
        </w:rPr>
        <w:t>投标文件符合性审查与澄清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_Toc12391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_Toc15257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21</w:t>
      </w:r>
      <w:r>
        <w:rPr>
          <w:rFonts w:hint="eastAsia" w:ascii="宋体" w:hAnsi="宋体" w:eastAsia="宋体" w:cs="宋体"/>
          <w:bCs/>
          <w:color w:val="000000" w:themeColor="text1"/>
          <w:szCs w:val="24"/>
          <w:highlight w:val="none"/>
          <w14:textFill>
            <w14:solidFill>
              <w14:schemeClr w14:val="tx1"/>
            </w14:solidFill>
          </w14:textFill>
        </w:rPr>
        <w:t>投标偏离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_Toc15257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_Toc10989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22.</w:t>
      </w:r>
      <w:r>
        <w:rPr>
          <w:rFonts w:hint="eastAsia" w:ascii="宋体" w:hAnsi="宋体" w:eastAsia="宋体" w:cs="宋体"/>
          <w:bCs/>
          <w:color w:val="000000" w:themeColor="text1"/>
          <w:szCs w:val="24"/>
          <w:highlight w:val="none"/>
          <w14:textFill>
            <w14:solidFill>
              <w14:schemeClr w14:val="tx1"/>
            </w14:solidFill>
          </w14:textFill>
        </w:rPr>
        <w:t>投标无效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_Toc21718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23.</w:t>
      </w:r>
      <w:r>
        <w:rPr>
          <w:rFonts w:hint="eastAsia" w:ascii="宋体" w:hAnsi="宋体" w:eastAsia="宋体" w:cs="宋体"/>
          <w:bCs/>
          <w:color w:val="000000" w:themeColor="text1"/>
          <w:szCs w:val="24"/>
          <w:highlight w:val="none"/>
          <w14:textFill>
            <w14:solidFill>
              <w14:schemeClr w14:val="tx1"/>
            </w14:solidFill>
          </w14:textFill>
        </w:rPr>
        <w:t>比较与评价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_Toc21718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_Toc24012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24.</w:t>
      </w:r>
      <w:r>
        <w:rPr>
          <w:rFonts w:hint="eastAsia" w:ascii="宋体" w:hAnsi="宋体" w:eastAsia="宋体" w:cs="宋体"/>
          <w:bCs/>
          <w:color w:val="000000" w:themeColor="text1"/>
          <w:szCs w:val="24"/>
          <w:highlight w:val="none"/>
          <w14:textFill>
            <w14:solidFill>
              <w14:schemeClr w14:val="tx1"/>
            </w14:solidFill>
          </w14:textFill>
        </w:rPr>
        <w:t>废标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_Toc24012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_Toc8327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25.</w:t>
      </w:r>
      <w:r>
        <w:rPr>
          <w:rFonts w:hint="eastAsia" w:ascii="宋体" w:hAnsi="宋体" w:eastAsia="宋体" w:cs="宋体"/>
          <w:bCs/>
          <w:color w:val="000000" w:themeColor="text1"/>
          <w:szCs w:val="24"/>
          <w:highlight w:val="none"/>
          <w14:textFill>
            <w14:solidFill>
              <w14:schemeClr w14:val="tx1"/>
            </w14:solidFill>
          </w14:textFill>
        </w:rPr>
        <w:t>保密原则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_Toc8327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_Toc10861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六   确定中标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_Toc5544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26.</w:t>
      </w:r>
      <w:r>
        <w:rPr>
          <w:rFonts w:hint="eastAsia" w:ascii="宋体" w:hAnsi="宋体" w:eastAsia="宋体" w:cs="宋体"/>
          <w:bCs/>
          <w:color w:val="000000" w:themeColor="text1"/>
          <w:szCs w:val="24"/>
          <w:highlight w:val="none"/>
          <w:lang w:val="en-US" w:eastAsia="zh-CN"/>
          <w14:textFill>
            <w14:solidFill>
              <w14:schemeClr w14:val="tx1"/>
            </w14:solidFill>
          </w14:textFill>
        </w:rPr>
        <w:t>中标候选人的确定原则及标准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_Toc5544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_Toc31646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27.</w:t>
      </w:r>
      <w:r>
        <w:rPr>
          <w:rFonts w:hint="eastAsia" w:ascii="宋体" w:hAnsi="宋体" w:eastAsia="宋体" w:cs="宋体"/>
          <w:bCs/>
          <w:color w:val="000000" w:themeColor="text1"/>
          <w:szCs w:val="24"/>
          <w:highlight w:val="none"/>
          <w14:textFill>
            <w14:solidFill>
              <w14:schemeClr w14:val="tx1"/>
            </w14:solidFill>
          </w14:textFill>
        </w:rPr>
        <w:t>确定</w:t>
      </w:r>
      <w:r>
        <w:rPr>
          <w:rFonts w:hint="eastAsia" w:ascii="宋体" w:hAnsi="宋体" w:eastAsia="宋体" w:cs="宋体"/>
          <w:bCs/>
          <w:color w:val="000000" w:themeColor="text1"/>
          <w:szCs w:val="24"/>
          <w:highlight w:val="none"/>
          <w:lang w:val="en-US" w:eastAsia="zh-CN"/>
          <w14:textFill>
            <w14:solidFill>
              <w14:schemeClr w14:val="tx1"/>
            </w14:solidFill>
          </w14:textFill>
        </w:rPr>
        <w:t>中标</w:t>
      </w:r>
      <w:r>
        <w:rPr>
          <w:rFonts w:hint="eastAsia" w:ascii="宋体" w:hAnsi="宋体" w:eastAsia="宋体" w:cs="宋体"/>
          <w:bCs/>
          <w:color w:val="000000" w:themeColor="text1"/>
          <w:szCs w:val="24"/>
          <w:highlight w:val="none"/>
          <w14:textFill>
            <w14:solidFill>
              <w14:schemeClr w14:val="tx1"/>
            </w14:solidFill>
          </w14:textFill>
        </w:rPr>
        <w:t>候选人和</w:t>
      </w:r>
      <w:r>
        <w:rPr>
          <w:rFonts w:hint="eastAsia" w:hAnsi="宋体" w:cs="宋体"/>
          <w:bCs/>
          <w:color w:val="000000" w:themeColor="text1"/>
          <w:szCs w:val="24"/>
          <w:highlight w:val="none"/>
          <w:lang w:val="en-US" w:eastAsia="zh-CN"/>
          <w14:textFill>
            <w14:solidFill>
              <w14:schemeClr w14:val="tx1"/>
            </w14:solidFill>
          </w14:textFill>
        </w:rPr>
        <w:t>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_Toc31646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_Toc19322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28.</w:t>
      </w:r>
      <w:r>
        <w:rPr>
          <w:rFonts w:hint="eastAsia" w:ascii="宋体" w:hAnsi="宋体" w:eastAsia="宋体" w:cs="宋体"/>
          <w:bCs/>
          <w:color w:val="000000" w:themeColor="text1"/>
          <w:szCs w:val="24"/>
          <w:highlight w:val="none"/>
          <w14:textFill>
            <w14:solidFill>
              <w14:schemeClr w14:val="tx1"/>
            </w14:solidFill>
          </w14:textFill>
        </w:rPr>
        <w:t>采购任务取消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_Toc19322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_Toc21812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29.</w:t>
      </w:r>
      <w:r>
        <w:rPr>
          <w:rFonts w:hint="eastAsia" w:ascii="宋体" w:hAnsi="宋体" w:eastAsia="宋体" w:cs="宋体"/>
          <w:bCs/>
          <w:color w:val="000000" w:themeColor="text1"/>
          <w:szCs w:val="24"/>
          <w:highlight w:val="none"/>
          <w14:textFill>
            <w14:solidFill>
              <w14:schemeClr w14:val="tx1"/>
            </w14:solidFill>
          </w14:textFill>
        </w:rPr>
        <w:t>中标通知书和中标公告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_Toc21812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_Toc31965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30.</w:t>
      </w:r>
      <w:r>
        <w:rPr>
          <w:rFonts w:hint="eastAsia" w:ascii="宋体" w:hAnsi="宋体" w:eastAsia="宋体" w:cs="宋体"/>
          <w:bCs/>
          <w:color w:val="000000" w:themeColor="text1"/>
          <w:szCs w:val="24"/>
          <w:highlight w:val="none"/>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_Toc31965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_Toc8814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31.</w:t>
      </w:r>
      <w:r>
        <w:rPr>
          <w:rFonts w:hint="eastAsia" w:ascii="宋体" w:hAnsi="宋体" w:eastAsia="宋体" w:cs="宋体"/>
          <w:bCs/>
          <w:color w:val="000000" w:themeColor="text1"/>
          <w:szCs w:val="24"/>
          <w:highlight w:val="none"/>
          <w14:textFill>
            <w14:solidFill>
              <w14:schemeClr w14:val="tx1"/>
            </w14:solidFill>
          </w14:textFill>
        </w:rPr>
        <w:t>履约保证金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_Toc8814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_Toc28866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32.</w:t>
      </w:r>
      <w:r>
        <w:rPr>
          <w:rFonts w:hint="eastAsia" w:ascii="宋体" w:hAnsi="宋体" w:eastAsia="宋体" w:cs="宋体"/>
          <w:bCs/>
          <w:color w:val="000000" w:themeColor="text1"/>
          <w:szCs w:val="24"/>
          <w:highlight w:val="none"/>
          <w14:textFill>
            <w14:solidFill>
              <w14:schemeClr w14:val="tx1"/>
            </w14:solidFill>
          </w14:textFill>
        </w:rPr>
        <w:t>中标服务费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_Toc31101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33.</w:t>
      </w:r>
      <w:r>
        <w:rPr>
          <w:rFonts w:hint="eastAsia" w:ascii="宋体" w:hAnsi="宋体" w:eastAsia="宋体" w:cs="宋体"/>
          <w:bCs/>
          <w:color w:val="000000" w:themeColor="text1"/>
          <w:szCs w:val="24"/>
          <w:highlight w:val="none"/>
          <w14:textFill>
            <w14:solidFill>
              <w14:schemeClr w14:val="tx1"/>
            </w14:solidFill>
          </w14:textFill>
        </w:rPr>
        <w:t>政府采购信用担保</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_Toc6875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34.</w:t>
      </w:r>
      <w:r>
        <w:rPr>
          <w:rFonts w:hint="eastAsia" w:ascii="宋体" w:hAnsi="宋体" w:eastAsia="宋体" w:cs="宋体"/>
          <w:bCs/>
          <w:color w:val="000000" w:themeColor="text1"/>
          <w:szCs w:val="24"/>
          <w:highlight w:val="none"/>
          <w14:textFill>
            <w14:solidFill>
              <w14:schemeClr w14:val="tx1"/>
            </w14:solidFill>
          </w14:textFill>
        </w:rPr>
        <w:t>廉洁自律规定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_Toc6875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_Toc6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35.</w:t>
      </w:r>
      <w:r>
        <w:rPr>
          <w:rFonts w:hint="eastAsia" w:ascii="宋体" w:hAnsi="宋体" w:eastAsia="宋体" w:cs="宋体"/>
          <w:bCs/>
          <w:color w:val="000000" w:themeColor="text1"/>
          <w:szCs w:val="24"/>
          <w:highlight w:val="none"/>
          <w14:textFill>
            <w14:solidFill>
              <w14:schemeClr w14:val="tx1"/>
            </w14:solidFill>
          </w14:textFill>
        </w:rPr>
        <w:t>人员回避</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_Toc16613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hAnsi="宋体" w:cs="宋体"/>
          <w:bCs/>
          <w:color w:val="000000" w:themeColor="text1"/>
          <w:szCs w:val="24"/>
          <w:highlight w:val="none"/>
          <w:lang w:val="en-US" w:eastAsia="zh-CN"/>
          <w14:textFill>
            <w14:solidFill>
              <w14:schemeClr w14:val="tx1"/>
            </w14:solidFill>
          </w14:textFill>
        </w:rPr>
        <w:t>36.</w:t>
      </w:r>
      <w:r>
        <w:rPr>
          <w:rFonts w:hint="eastAsia" w:ascii="宋体" w:hAnsi="宋体" w:eastAsia="宋体" w:cs="宋体"/>
          <w:bCs/>
          <w:color w:val="000000" w:themeColor="text1"/>
          <w:szCs w:val="24"/>
          <w:highlight w:val="none"/>
          <w14:textFill>
            <w14:solidFill>
              <w14:schemeClr w14:val="tx1"/>
            </w14:solidFill>
          </w14:textFill>
        </w:rPr>
        <w:t>质疑与接收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_Toc16613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_Toc2199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质疑函范本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5"/>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_Toc16449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lang w:val="en-US" w:eastAsia="zh-CN" w:bidi="ar-SA"/>
          <w14:textFill>
            <w14:solidFill>
              <w14:schemeClr w14:val="tx1"/>
            </w14:solidFill>
          </w14:textFill>
        </w:rPr>
        <w:t>第2章</w:t>
      </w:r>
      <w:r>
        <w:rPr>
          <w:rFonts w:hint="eastAsia" w:hAnsi="宋体" w:cs="宋体"/>
          <w:bCs/>
          <w:color w:val="000000" w:themeColor="text1"/>
          <w:kern w:val="0"/>
          <w:szCs w:val="32"/>
          <w:highlight w:val="none"/>
          <w:lang w:val="en-US" w:eastAsia="zh-CN" w:bidi="ar-SA"/>
          <w14:textFill>
            <w14:solidFill>
              <w14:schemeClr w14:val="tx1"/>
            </w14:solidFill>
          </w14:textFill>
        </w:rPr>
        <w:t xml:space="preserve">  </w:t>
      </w:r>
      <w:r>
        <w:rPr>
          <w:rFonts w:hint="eastAsia" w:ascii="宋体" w:hAnsi="宋体" w:eastAsia="宋体" w:cs="宋体"/>
          <w:bCs/>
          <w:color w:val="000000" w:themeColor="text1"/>
          <w:kern w:val="0"/>
          <w:szCs w:val="32"/>
          <w:highlight w:val="none"/>
          <w:lang w:val="en-US" w:eastAsia="zh-CN" w:bidi="ar-SA"/>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_Toc9201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第一部分 开标一览表及资格证明文件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_Toc9201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_Toc29707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1.开标一览表；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_Toc178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2.</w:t>
      </w:r>
      <w:r>
        <w:rPr>
          <w:rFonts w:hint="eastAsia" w:ascii="宋体" w:hAnsi="宋体" w:eastAsia="宋体" w:cs="宋体"/>
          <w:color w:val="000000" w:themeColor="text1"/>
          <w:szCs w:val="28"/>
          <w:highlight w:val="none"/>
          <w:lang w:eastAsia="zh-CN"/>
          <w14:textFill>
            <w14:solidFill>
              <w14:schemeClr w14:val="tx1"/>
            </w14:solidFill>
          </w14:textFill>
        </w:rPr>
        <w:t>具有有效的营业执照</w:t>
      </w:r>
      <w:r>
        <w:rPr>
          <w:rFonts w:hint="eastAsia" w:ascii="宋体" w:hAnsi="宋体" w:eastAsia="宋体" w:cs="宋体"/>
          <w:color w:val="000000" w:themeColor="text1"/>
          <w:szCs w:val="28"/>
          <w:highlight w:val="none"/>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_Toc22668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lang w:val="en-US" w:eastAsia="zh-CN"/>
          <w14:textFill>
            <w14:solidFill>
              <w14:schemeClr w14:val="tx1"/>
            </w14:solidFill>
          </w14:textFill>
        </w:rPr>
        <w:t xml:space="preserve">3. </w:t>
      </w:r>
      <w:r>
        <w:rPr>
          <w:rFonts w:hint="eastAsia" w:ascii="宋体" w:hAnsi="宋体" w:eastAsia="宋体" w:cs="宋体"/>
          <w:color w:val="000000" w:themeColor="text1"/>
          <w:szCs w:val="28"/>
          <w:highlight w:val="none"/>
          <w:lang w:val="en-US" w:eastAsia="zh-CN"/>
          <w14:textFill>
            <w14:solidFill>
              <w14:schemeClr w14:val="tx1"/>
            </w14:solidFill>
          </w14:textFill>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医疗器械经营许可证或其他医疗器械生产经营许可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_Toc22668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_Toc14719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lang w:val="en-US" w:eastAsia="zh-CN"/>
          <w14:textFill>
            <w14:solidFill>
              <w14:schemeClr w14:val="tx1"/>
            </w14:solidFill>
          </w14:textFill>
        </w:rPr>
        <w:t xml:space="preserve">4. </w:t>
      </w:r>
      <w:r>
        <w:rPr>
          <w:rFonts w:hint="eastAsia" w:ascii="宋体" w:hAnsi="宋体" w:eastAsia="宋体" w:cs="宋体"/>
          <w:color w:val="000000" w:themeColor="text1"/>
          <w:szCs w:val="28"/>
          <w:highlight w:val="none"/>
          <w:lang w:val="en-US" w:eastAsia="zh-CN"/>
          <w14:textFill>
            <w14:solidFill>
              <w14:schemeClr w14:val="tx1"/>
            </w14:solidFill>
          </w14:textFill>
        </w:rPr>
        <w:t>法定代表人资格证明及授权书、被授权人身份证(法定代表人投标需提供法定代表人身份证)；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_Toc30546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5.提供近两年内任意一年的财务审计报告（新成立未满一年的新公司可提供近三个月内任意一个月的银行资信证明）；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_Toc30546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_Toc3394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6.依法缴纳近六个月内任意一个月社会保险证明；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_Toc3394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_Toc18669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7.依法缴纳近六个月内任意一个月税收证明；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_Toc18669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_Toc6764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8.根据《财政部关于在政府采购活动中查询及使用信用记录有关问题的通知》（财库﹝2016﹞125号）的要求，凡拟参加本次招标项目的供应商，如在“信用中国”网站（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以采购代理机构或采购人查询为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_Toc6764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_Toc24989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9.参与政府采购活动前3年内未被列入失信、重大税收违法案件、财政部门禁止参加政府采购活动的承诺书；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_Toc24989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_Toc15726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10.提供针对本次项目的《反商业贿赂承诺书》；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_Toc15726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_Toc10365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11.缴纳投标保证金的有效凭证；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_Toc29629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12.银行开户许可证复印件或银行基本账户信息(包含：银行账号及开户行名称）；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_Toc29629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_Toc5352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13.供应商可提供有利于投标的其他资格证明材料。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_Toc28694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第二部分  商务及技术文件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_Toc28694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_Toc3118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1.投标书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_Toc12779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2.投标分项报价表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_Toc12779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_Toc2520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备品备件设备分项报价表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_Toc16661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3.货物说明一览表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_Toc16661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_Toc20225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4.技术规格偏离表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_Toc20225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_Toc30787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5.商务条款偏离表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_Toc30787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_Toc31126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6-1中小企业声明函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_Toc23491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6-2 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_Toc10874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7.供应商关联单位的说明（格式自拟）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_Toc10125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8.供应商可提供有利于投标的其他证明材料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_Toc10125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_Toc23006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9.投标文件格式范本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_Toc23006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5"/>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_Toc22206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lang w:val="en-US" w:eastAsia="zh-CN" w:bidi="ar-SA"/>
          <w14:textFill>
            <w14:solidFill>
              <w14:schemeClr w14:val="tx1"/>
            </w14:solidFill>
          </w14:textFill>
        </w:rPr>
        <w:t>第3章</w:t>
      </w:r>
      <w:r>
        <w:rPr>
          <w:rFonts w:hint="eastAsia" w:ascii="宋体" w:hAnsi="宋体" w:cs="宋体"/>
          <w:bCs/>
          <w:color w:val="000000" w:themeColor="text1"/>
          <w:kern w:val="0"/>
          <w:szCs w:val="32"/>
          <w:highlight w:val="none"/>
          <w:lang w:val="en-US" w:eastAsia="zh-CN" w:bidi="ar-SA"/>
          <w14:textFill>
            <w14:solidFill>
              <w14:schemeClr w14:val="tx1"/>
            </w14:solidFill>
          </w14:textFill>
        </w:rPr>
        <w:t xml:space="preserve">  </w:t>
      </w:r>
      <w:r>
        <w:rPr>
          <w:rFonts w:hint="eastAsia" w:ascii="宋体" w:hAnsi="宋体" w:eastAsia="宋体" w:cs="宋体"/>
          <w:bCs/>
          <w:color w:val="000000" w:themeColor="text1"/>
          <w:kern w:val="0"/>
          <w:szCs w:val="32"/>
          <w:highlight w:val="none"/>
          <w:lang w:val="en-US" w:eastAsia="zh-CN" w:bidi="ar-SA"/>
          <w14:textFill>
            <w14:solidFill>
              <w14:schemeClr w14:val="tx1"/>
            </w14:solidFill>
          </w14:textFill>
        </w:rPr>
        <w:t>投标邀请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_Toc22206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5"/>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_Toc14316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lang w:val="en-US" w:eastAsia="zh-CN" w:bidi="ar-SA"/>
          <w14:textFill>
            <w14:solidFill>
              <w14:schemeClr w14:val="tx1"/>
            </w14:solidFill>
          </w14:textFill>
        </w:rPr>
        <w:t>第4章</w:t>
      </w:r>
      <w:r>
        <w:rPr>
          <w:rFonts w:hint="eastAsia" w:hAnsi="宋体" w:cs="宋体"/>
          <w:bCs/>
          <w:color w:val="000000" w:themeColor="text1"/>
          <w:kern w:val="0"/>
          <w:szCs w:val="32"/>
          <w:highlight w:val="none"/>
          <w:lang w:val="en-US" w:eastAsia="zh-CN" w:bidi="ar-SA"/>
          <w14:textFill>
            <w14:solidFill>
              <w14:schemeClr w14:val="tx1"/>
            </w14:solidFill>
          </w14:textFill>
        </w:rPr>
        <w:t xml:space="preserve">  </w:t>
      </w:r>
      <w:r>
        <w:rPr>
          <w:rFonts w:hint="eastAsia" w:ascii="宋体" w:hAnsi="宋体" w:eastAsia="宋体" w:cs="宋体"/>
          <w:bCs/>
          <w:color w:val="000000" w:themeColor="text1"/>
          <w:kern w:val="0"/>
          <w:szCs w:val="32"/>
          <w:highlight w:val="none"/>
          <w:lang w:val="en-US" w:eastAsia="zh-CN" w:bidi="ar-SA"/>
          <w14:textFill>
            <w14:solidFill>
              <w14:schemeClr w14:val="tx1"/>
            </w14:solidFill>
          </w14:textFill>
        </w:rPr>
        <w:t>供应商须知资料表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_Toc14316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5"/>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_Toc24403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lang w:val="en-US" w:eastAsia="zh-CN" w:bidi="ar-SA"/>
          <w14:textFill>
            <w14:solidFill>
              <w14:schemeClr w14:val="tx1"/>
            </w14:solidFill>
          </w14:textFill>
        </w:rPr>
        <w:t>第5章  货物内容及项目要求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18"/>
        <w:tabs>
          <w:tab w:val="right" w:leader="dot" w:pos="8311"/>
        </w:tabs>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一、货物需求：</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54</w:t>
      </w:r>
    </w:p>
    <w:p>
      <w:pPr>
        <w:pStyle w:val="1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_Toc31528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lang w:val="en-US" w:eastAsia="zh-CN"/>
          <w14:textFill>
            <w14:solidFill>
              <w14:schemeClr w14:val="tx1"/>
            </w14:solidFill>
          </w14:textFill>
        </w:rPr>
        <w:t>二、</w:t>
      </w:r>
      <w:r>
        <w:rPr>
          <w:rFonts w:hint="eastAsia" w:ascii="宋体" w:hAnsi="宋体" w:eastAsia="宋体" w:cs="宋体"/>
          <w:bCs/>
          <w:i w:val="0"/>
          <w:caps w:val="0"/>
          <w:color w:val="000000" w:themeColor="text1"/>
          <w:spacing w:val="0"/>
          <w:w w:val="100"/>
          <w:kern w:val="0"/>
          <w:szCs w:val="28"/>
          <w:highlight w:val="none"/>
          <w:lang w:val="en-US" w:eastAsia="zh-CN" w:bidi="ar-SA"/>
          <w14:textFill>
            <w14:solidFill>
              <w14:schemeClr w14:val="tx1"/>
            </w14:solidFill>
          </w14:textFill>
        </w:rPr>
        <w:t>项目要求：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_Toc31528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5"/>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_Toc7176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lang w:val="en-US" w:eastAsia="zh-CN" w:bidi="ar-SA"/>
          <w14:textFill>
            <w14:solidFill>
              <w14:schemeClr w14:val="tx1"/>
            </w14:solidFill>
          </w14:textFill>
        </w:rPr>
        <w:t>第6章  评标方法和标准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_Toc714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初步评审—资格性审查表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116</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_Toc23310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初步评审—符合性审查表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_Toc23310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117</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28"/>
        <w:tabs>
          <w:tab w:val="right" w:leader="dot" w:pos="8311"/>
        </w:tabs>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_Toc12953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color w:val="000000" w:themeColor="text1"/>
          <w:kern w:val="0"/>
          <w:szCs w:val="20"/>
          <w:highlight w:val="none"/>
          <w:lang w:val="en-US" w:eastAsia="zh-CN" w:bidi="ar-SA"/>
          <w14:textFill>
            <w14:solidFill>
              <w14:schemeClr w14:val="tx1"/>
            </w14:solidFill>
          </w14:textFill>
        </w:rPr>
        <w:t>综合评分表（第</w:t>
      </w:r>
      <w:r>
        <w:rPr>
          <w:rFonts w:hint="eastAsia" w:ascii="宋体" w:hAnsi="宋体" w:cs="宋体"/>
          <w:color w:val="000000" w:themeColor="text1"/>
          <w:kern w:val="0"/>
          <w:szCs w:val="20"/>
          <w:highlight w:val="none"/>
          <w:lang w:val="en-US" w:eastAsia="zh-CN" w:bidi="ar-SA"/>
          <w14:textFill>
            <w14:solidFill>
              <w14:schemeClr w14:val="tx1"/>
            </w14:solidFill>
          </w14:textFill>
        </w:rPr>
        <w:t>九</w:t>
      </w:r>
      <w:r>
        <w:rPr>
          <w:rFonts w:hint="eastAsia" w:ascii="宋体" w:hAnsi="宋体" w:eastAsia="宋体" w:cs="宋体"/>
          <w:color w:val="000000" w:themeColor="text1"/>
          <w:kern w:val="0"/>
          <w:szCs w:val="20"/>
          <w:highlight w:val="none"/>
          <w:lang w:val="en-US" w:eastAsia="zh-CN" w:bidi="ar-SA"/>
          <w14:textFill>
            <w14:solidFill>
              <w14:schemeClr w14:val="tx1"/>
            </w14:solidFill>
          </w14:textFill>
        </w:rPr>
        <w:t>包</w:t>
      </w:r>
      <w:r>
        <w:rPr>
          <w:rFonts w:hint="eastAsia" w:ascii="宋体" w:hAnsi="宋体" w:cs="宋体"/>
          <w:color w:val="000000" w:themeColor="text1"/>
          <w:kern w:val="0"/>
          <w:szCs w:val="20"/>
          <w:highlight w:val="none"/>
          <w:lang w:val="en-US" w:eastAsia="zh-CN" w:bidi="ar-SA"/>
          <w14:textFill>
            <w14:solidFill>
              <w14:schemeClr w14:val="tx1"/>
            </w14:solidFill>
          </w14:textFill>
        </w:rPr>
        <w:t>、第十二包</w:t>
      </w:r>
      <w:r>
        <w:rPr>
          <w:rFonts w:hint="eastAsia" w:ascii="宋体" w:hAnsi="宋体" w:eastAsia="宋体" w:cs="宋体"/>
          <w:color w:val="000000" w:themeColor="text1"/>
          <w:kern w:val="0"/>
          <w:szCs w:val="20"/>
          <w:highlight w:val="none"/>
          <w:lang w:val="en-US" w:eastAsia="zh-CN" w:bidi="ar-SA"/>
          <w14:textFill>
            <w14:solidFill>
              <w14:schemeClr w14:val="tx1"/>
            </w14:solidFill>
          </w14:textFill>
        </w:rPr>
        <w:t>）</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w:t>
      </w:r>
      <w:r>
        <w:rPr>
          <w:rFonts w:hint="eastAsia" w:ascii="宋体" w:hAnsi="宋体" w:eastAsia="宋体" w:cs="宋体"/>
          <w:color w:val="000000" w:themeColor="text1"/>
          <w:kern w:val="2"/>
          <w:szCs w:val="21"/>
          <w:highlight w:val="none"/>
          <w14:textFill>
            <w14:solidFill>
              <w14:schemeClr w14:val="tx1"/>
            </w14:solidFill>
          </w14:textFill>
        </w:rPr>
        <w:fldChar w:fldCharType="end"/>
      </w:r>
      <w:r>
        <w:rPr>
          <w:rFonts w:hint="eastAsia" w:ascii="宋体" w:hAnsi="宋体" w:cs="宋体"/>
          <w:color w:val="000000" w:themeColor="text1"/>
          <w:kern w:val="2"/>
          <w:szCs w:val="21"/>
          <w:highlight w:val="none"/>
          <w:lang w:val="en-US" w:eastAsia="zh-CN"/>
          <w14:textFill>
            <w14:solidFill>
              <w14:schemeClr w14:val="tx1"/>
            </w14:solidFill>
          </w14:textFill>
        </w:rPr>
        <w:t>18</w:t>
      </w:r>
    </w:p>
    <w:p>
      <w:pPr>
        <w:pStyle w:val="25"/>
        <w:tabs>
          <w:tab w:val="right" w:leader="dot" w:pos="8311"/>
        </w:tabs>
        <w:rPr>
          <w:color w:val="000000" w:themeColor="text1"/>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begin"/>
      </w:r>
      <w:r>
        <w:rPr>
          <w:rFonts w:hint="eastAsia" w:ascii="宋体" w:hAnsi="宋体" w:eastAsia="宋体" w:cs="宋体"/>
          <w:color w:val="000000" w:themeColor="text1"/>
          <w:kern w:val="2"/>
          <w:szCs w:val="21"/>
          <w:highlight w:val="none"/>
          <w14:textFill>
            <w14:solidFill>
              <w14:schemeClr w14:val="tx1"/>
            </w14:solidFill>
          </w14:textFill>
        </w:rPr>
        <w:instrText xml:space="preserve"> HYPERLINK \l _Toc14631 </w:instrText>
      </w:r>
      <w:r>
        <w:rPr>
          <w:rFonts w:hint="eastAsia" w:ascii="宋体" w:hAnsi="宋体" w:eastAsia="宋体" w:cs="宋体"/>
          <w:color w:val="000000" w:themeColor="text1"/>
          <w:kern w:val="2"/>
          <w:szCs w:val="21"/>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lang w:val="en-US" w:eastAsia="zh-CN" w:bidi="ar-SA"/>
          <w14:textFill>
            <w14:solidFill>
              <w14:schemeClr w14:val="tx1"/>
            </w14:solidFill>
          </w14:textFill>
        </w:rPr>
        <w:t>第7章  政府采购合同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121</w:t>
      </w:r>
      <w:r>
        <w:rPr>
          <w:color w:val="000000" w:themeColor="text1"/>
          <w14:textFill>
            <w14:solidFill>
              <w14:schemeClr w14:val="tx1"/>
            </w14:solidFill>
          </w14:textFill>
        </w:rPr>
        <w:fldChar w:fldCharType="end"/>
      </w:r>
      <w:r>
        <w:rPr>
          <w:rFonts w:hint="eastAsia" w:ascii="宋体" w:hAnsi="宋体" w:eastAsia="宋体" w:cs="宋体"/>
          <w:color w:val="000000" w:themeColor="text1"/>
          <w:kern w:val="2"/>
          <w:szCs w:val="21"/>
          <w:highlight w:val="none"/>
          <w14:textFill>
            <w14:solidFill>
              <w14:schemeClr w14:val="tx1"/>
            </w14:solidFill>
          </w14:textFill>
        </w:rPr>
        <w:fldChar w:fldCharType="end"/>
      </w:r>
    </w:p>
    <w:p>
      <w:pPr>
        <w:pStyle w:val="5"/>
        <w:keepNext w:val="0"/>
        <w:keepLines w:val="0"/>
        <w:pageBreakBefore w:val="0"/>
        <w:widowControl w:val="0"/>
        <w:kinsoku/>
        <w:wordWrap/>
        <w:overflowPunct/>
        <w:topLinePunct w:val="0"/>
        <w:bidi w:val="0"/>
        <w:snapToGrid/>
        <w:spacing w:line="280" w:lineRule="exact"/>
        <w:ind w:firstLine="0"/>
        <w:jc w:val="center"/>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fldChar w:fldCharType="end"/>
      </w:r>
      <w:bookmarkStart w:id="0" w:name="_Toc216582804"/>
      <w:bookmarkStart w:id="1" w:name="_Toc17230"/>
      <w:bookmarkStart w:id="2" w:name="_Toc8627"/>
      <w:bookmarkStart w:id="3" w:name="_Toc22782"/>
      <w:bookmarkStart w:id="4" w:name="_Toc25253"/>
      <w:bookmarkStart w:id="5" w:name="_Toc1148"/>
      <w:bookmarkStart w:id="6" w:name="_Toc515647798"/>
      <w:bookmarkStart w:id="7" w:name="_Toc16548"/>
      <w:bookmarkStart w:id="8" w:name="_Toc11115"/>
      <w:r>
        <w:rPr>
          <w:rFonts w:hint="eastAsia" w:ascii="宋体" w:hAnsi="宋体" w:eastAsia="宋体" w:cs="宋体"/>
          <w:color w:val="000000" w:themeColor="text1"/>
          <w:highlight w:val="none"/>
          <w14:textFill>
            <w14:solidFill>
              <w14:schemeClr w14:val="tx1"/>
            </w14:solidFill>
          </w14:textFill>
        </w:rPr>
        <w:t xml:space="preserve">      </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spacing w:line="240" w:lineRule="atLeast"/>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240" w:lineRule="atLeast"/>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240" w:lineRule="atLeast"/>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240" w:lineRule="atLeast"/>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240" w:lineRule="atLeast"/>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240" w:lineRule="atLeast"/>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240" w:lineRule="atLeast"/>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240" w:lineRule="atLeast"/>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240" w:lineRule="atLeast"/>
        <w:jc w:val="center"/>
        <w:outlineLvl w:val="9"/>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r>
        <w:rPr>
          <w:rFonts w:hint="eastAsia" w:ascii="宋体" w:hAnsi="宋体" w:eastAsia="宋体" w:cs="宋体"/>
          <w:b/>
          <w:color w:val="000000" w:themeColor="text1"/>
          <w:sz w:val="44"/>
          <w:szCs w:val="44"/>
          <w:highlight w:val="none"/>
          <w14:textFill>
            <w14:solidFill>
              <w14:schemeClr w14:val="tx1"/>
            </w14:solidFill>
          </w14:textFill>
        </w:rPr>
        <w:t>招 标 文 件</w:t>
      </w:r>
    </w:p>
    <w:p>
      <w:pPr>
        <w:spacing w:line="360" w:lineRule="auto"/>
        <w:outlineLvl w:val="9"/>
        <w:rPr>
          <w:rFonts w:hint="eastAsia" w:ascii="宋体" w:hAnsi="宋体" w:eastAsia="宋体" w:cs="宋体"/>
          <w:b/>
          <w:color w:val="000000" w:themeColor="text1"/>
          <w:sz w:val="40"/>
          <w:szCs w:val="40"/>
          <w:highlight w:val="none"/>
          <w14:textFill>
            <w14:solidFill>
              <w14:schemeClr w14:val="tx1"/>
            </w14:solidFill>
          </w14:textFill>
        </w:rPr>
      </w:pPr>
    </w:p>
    <w:p>
      <w:pPr>
        <w:spacing w:line="360" w:lineRule="auto"/>
        <w:jc w:val="center"/>
        <w:outlineLvl w:val="9"/>
        <w:rPr>
          <w:rFonts w:hint="default" w:ascii="宋体" w:hAnsi="宋体" w:eastAsia="宋体" w:cs="宋体"/>
          <w:b/>
          <w:color w:val="000000" w:themeColor="text1"/>
          <w:sz w:val="40"/>
          <w:szCs w:val="40"/>
          <w:highlight w:val="none"/>
          <w:lang w:val="en-US" w:eastAsia="zh-CN"/>
          <w14:textFill>
            <w14:solidFill>
              <w14:schemeClr w14:val="tx1"/>
            </w14:solidFill>
          </w14:textFill>
        </w:rPr>
      </w:pPr>
      <w:r>
        <w:rPr>
          <w:rFonts w:hint="eastAsia" w:ascii="宋体" w:hAnsi="宋体" w:eastAsia="宋体" w:cs="宋体"/>
          <w:b/>
          <w:color w:val="000000" w:themeColor="text1"/>
          <w:sz w:val="40"/>
          <w:szCs w:val="40"/>
          <w:highlight w:val="none"/>
          <w14:textFill>
            <w14:solidFill>
              <w14:schemeClr w14:val="tx1"/>
            </w14:solidFill>
          </w14:textFill>
        </w:rPr>
        <w:t>项目编号：</w:t>
      </w:r>
      <w:r>
        <w:rPr>
          <w:rFonts w:hint="eastAsia" w:ascii="宋体" w:hAnsi="宋体" w:cs="宋体"/>
          <w:b/>
          <w:color w:val="000000" w:themeColor="text1"/>
          <w:sz w:val="40"/>
          <w:szCs w:val="40"/>
          <w:highlight w:val="none"/>
          <w:lang w:eastAsia="zh-CN"/>
          <w14:textFill>
            <w14:solidFill>
              <w14:schemeClr w14:val="tx1"/>
            </w14:solidFill>
          </w14:textFill>
        </w:rPr>
        <w:t>XBZB(GK)-23003</w:t>
      </w:r>
      <w:r>
        <w:rPr>
          <w:rFonts w:hint="eastAsia" w:ascii="宋体" w:hAnsi="宋体" w:cs="宋体"/>
          <w:b/>
          <w:color w:val="000000" w:themeColor="text1"/>
          <w:sz w:val="40"/>
          <w:szCs w:val="40"/>
          <w:highlight w:val="none"/>
          <w:lang w:val="en-US" w:eastAsia="zh-CN"/>
          <w14:textFill>
            <w14:solidFill>
              <w14:schemeClr w14:val="tx1"/>
            </w14:solidFill>
          </w14:textFill>
        </w:rPr>
        <w:t>-1</w:t>
      </w:r>
    </w:p>
    <w:p>
      <w:pPr>
        <w:spacing w:line="240" w:lineRule="atLeast"/>
        <w:jc w:val="center"/>
        <w:outlineLvl w:val="9"/>
        <w:rPr>
          <w:rFonts w:hint="eastAsia" w:ascii="宋体" w:hAnsi="宋体" w:eastAsia="宋体" w:cs="宋体"/>
          <w:b/>
          <w:color w:val="000000" w:themeColor="text1"/>
          <w:sz w:val="32"/>
          <w:highlight w:val="none"/>
          <w14:textFill>
            <w14:solidFill>
              <w14:schemeClr w14:val="tx1"/>
            </w14:solidFill>
          </w14:textFill>
        </w:rPr>
      </w:pPr>
    </w:p>
    <w:p>
      <w:pPr>
        <w:spacing w:line="240" w:lineRule="atLeast"/>
        <w:jc w:val="center"/>
        <w:outlineLvl w:val="9"/>
        <w:rPr>
          <w:rFonts w:hint="eastAsia" w:ascii="宋体" w:hAnsi="宋体" w:eastAsia="宋体" w:cs="宋体"/>
          <w:b/>
          <w:color w:val="000000" w:themeColor="text1"/>
          <w:sz w:val="32"/>
          <w:highlight w:val="none"/>
          <w14:textFill>
            <w14:solidFill>
              <w14:schemeClr w14:val="tx1"/>
            </w14:solidFill>
          </w14:textFill>
        </w:rPr>
      </w:pPr>
    </w:p>
    <w:p>
      <w:pPr>
        <w:pStyle w:val="5"/>
        <w:ind w:firstLine="0"/>
        <w:jc w:val="center"/>
        <w:outlineLvl w:val="9"/>
        <w:rPr>
          <w:rFonts w:hint="eastAsia" w:ascii="宋体" w:hAnsi="宋体" w:eastAsia="宋体" w:cs="宋体"/>
          <w:b/>
          <w:color w:val="000000" w:themeColor="text1"/>
          <w:sz w:val="44"/>
          <w:szCs w:val="36"/>
          <w:highlight w:val="none"/>
          <w14:textFill>
            <w14:solidFill>
              <w14:schemeClr w14:val="tx1"/>
            </w14:solidFill>
          </w14:textFill>
        </w:rPr>
      </w:pPr>
      <w:r>
        <w:rPr>
          <w:rFonts w:hint="eastAsia" w:ascii="宋体" w:hAnsi="宋体" w:eastAsia="宋体" w:cs="宋体"/>
          <w:b/>
          <w:color w:val="000000" w:themeColor="text1"/>
          <w:sz w:val="44"/>
          <w:szCs w:val="36"/>
          <w:highlight w:val="none"/>
          <w14:textFill>
            <w14:solidFill>
              <w14:schemeClr w14:val="tx1"/>
            </w14:solidFill>
          </w14:textFill>
        </w:rPr>
        <w:t xml:space="preserve">第 </w:t>
      </w:r>
      <w:r>
        <w:rPr>
          <w:rFonts w:hint="eastAsia" w:hAnsi="宋体" w:cs="宋体"/>
          <w:b/>
          <w:color w:val="000000" w:themeColor="text1"/>
          <w:sz w:val="44"/>
          <w:szCs w:val="36"/>
          <w:highlight w:val="none"/>
          <w:lang w:val="en-US" w:eastAsia="zh-CN"/>
          <w14:textFill>
            <w14:solidFill>
              <w14:schemeClr w14:val="tx1"/>
            </w14:solidFill>
          </w14:textFill>
        </w:rPr>
        <w:t>一</w:t>
      </w:r>
      <w:r>
        <w:rPr>
          <w:rFonts w:hint="eastAsia" w:ascii="宋体" w:hAnsi="宋体" w:eastAsia="宋体" w:cs="宋体"/>
          <w:b/>
          <w:color w:val="000000" w:themeColor="text1"/>
          <w:sz w:val="44"/>
          <w:szCs w:val="36"/>
          <w:highlight w:val="none"/>
          <w14:textFill>
            <w14:solidFill>
              <w14:schemeClr w14:val="tx1"/>
            </w14:solidFill>
          </w14:textFill>
        </w:rPr>
        <w:t xml:space="preserve"> 册</w:t>
      </w:r>
    </w:p>
    <w:p>
      <w:pPr>
        <w:outlineLvl w:val="9"/>
        <w:rPr>
          <w:rFonts w:hint="eastAsia" w:ascii="宋体" w:hAnsi="宋体" w:eastAsia="宋体" w:cs="宋体"/>
          <w:b/>
          <w:color w:val="000000" w:themeColor="text1"/>
          <w:sz w:val="44"/>
          <w:szCs w:val="36"/>
          <w:highlight w:val="none"/>
          <w14:textFill>
            <w14:solidFill>
              <w14:schemeClr w14:val="tx1"/>
            </w14:solidFill>
          </w14:textFill>
        </w:rPr>
      </w:pPr>
      <w:r>
        <w:rPr>
          <w:rFonts w:hint="eastAsia" w:ascii="宋体" w:hAnsi="宋体" w:eastAsia="宋体" w:cs="宋体"/>
          <w:b/>
          <w:color w:val="000000" w:themeColor="text1"/>
          <w:sz w:val="44"/>
          <w:szCs w:val="36"/>
          <w:highlight w:val="none"/>
          <w14:textFill>
            <w14:solidFill>
              <w14:schemeClr w14:val="tx1"/>
            </w14:solidFill>
          </w14:textFill>
        </w:rPr>
        <w:br w:type="page"/>
      </w:r>
    </w:p>
    <w:p>
      <w:pPr>
        <w:pStyle w:val="5"/>
        <w:ind w:firstLine="0"/>
        <w:jc w:val="center"/>
        <w:outlineLvl w:val="0"/>
        <w:rPr>
          <w:rFonts w:hint="eastAsia" w:ascii="宋体" w:hAnsi="宋体" w:eastAsia="宋体" w:cs="宋体"/>
          <w:color w:val="000000" w:themeColor="text1"/>
          <w:sz w:val="32"/>
          <w:szCs w:val="32"/>
          <w:highlight w:val="none"/>
          <w14:textFill>
            <w14:solidFill>
              <w14:schemeClr w14:val="tx1"/>
            </w14:solidFill>
          </w14:textFill>
        </w:rPr>
      </w:pPr>
      <w:bookmarkStart w:id="9" w:name="_Toc2168"/>
      <w:r>
        <w:rPr>
          <w:rFonts w:hint="eastAsia" w:ascii="宋体" w:hAnsi="宋体" w:eastAsia="宋体" w:cs="宋体"/>
          <w:b/>
          <w:bCs/>
          <w:color w:val="000000" w:themeColor="text1"/>
          <w:sz w:val="32"/>
          <w:szCs w:val="32"/>
          <w:highlight w:val="none"/>
          <w14:textFill>
            <w14:solidFill>
              <w14:schemeClr w14:val="tx1"/>
            </w14:solidFill>
          </w14:textFill>
        </w:rPr>
        <w:t>第1章</w:t>
      </w:r>
      <w:bookmarkStart w:id="10" w:name="_Toc515647756"/>
      <w:r>
        <w:rPr>
          <w:rFonts w:hint="eastAsia" w:hAnsi="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eastAsia="zh-CN"/>
          <w14:textFill>
            <w14:solidFill>
              <w14:schemeClr w14:val="tx1"/>
            </w14:solidFill>
          </w14:textFill>
        </w:rPr>
        <w:t>供应商</w:t>
      </w:r>
      <w:r>
        <w:rPr>
          <w:rFonts w:hint="eastAsia" w:ascii="宋体" w:hAnsi="宋体" w:eastAsia="宋体" w:cs="宋体"/>
          <w:b/>
          <w:bCs/>
          <w:color w:val="000000" w:themeColor="text1"/>
          <w:sz w:val="32"/>
          <w:szCs w:val="32"/>
          <w:highlight w:val="none"/>
          <w14:textFill>
            <w14:solidFill>
              <w14:schemeClr w14:val="tx1"/>
            </w14:solidFill>
          </w14:textFill>
        </w:rPr>
        <w:t>须知</w:t>
      </w:r>
      <w:bookmarkEnd w:id="0"/>
      <w:bookmarkEnd w:id="1"/>
      <w:bookmarkEnd w:id="2"/>
      <w:bookmarkEnd w:id="3"/>
      <w:bookmarkEnd w:id="9"/>
      <w:bookmarkEnd w:id="10"/>
    </w:p>
    <w:p>
      <w:pPr>
        <w:pStyle w:val="3"/>
        <w:pageBreakBefore w:val="0"/>
        <w:kinsoku/>
        <w:wordWrap/>
        <w:overflowPunct/>
        <w:topLinePunct w:val="0"/>
        <w:bidi w:val="0"/>
        <w:spacing w:before="0" w:line="36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11" w:name="_Toc520356143"/>
      <w:bookmarkStart w:id="12" w:name="_Toc216582805"/>
      <w:bookmarkStart w:id="13" w:name="_Toc515647757"/>
      <w:bookmarkStart w:id="14" w:name="_Toc11227"/>
      <w:bookmarkStart w:id="15" w:name="_Toc21215"/>
      <w:bookmarkStart w:id="16" w:name="_Toc21015"/>
      <w:bookmarkStart w:id="17" w:name="_Toc15464"/>
      <w:r>
        <w:rPr>
          <w:rFonts w:hint="eastAsia" w:ascii="宋体" w:hAnsi="宋体" w:eastAsia="宋体" w:cs="宋体"/>
          <w:color w:val="000000" w:themeColor="text1"/>
          <w:sz w:val="24"/>
          <w:szCs w:val="24"/>
          <w:highlight w:val="none"/>
          <w14:textFill>
            <w14:solidFill>
              <w14:schemeClr w14:val="tx1"/>
            </w14:solidFill>
          </w14:textFill>
        </w:rPr>
        <w:t xml:space="preserve">一   </w:t>
      </w:r>
      <w:bookmarkEnd w:id="11"/>
      <w:bookmarkEnd w:id="12"/>
      <w:bookmarkEnd w:id="13"/>
      <w:r>
        <w:rPr>
          <w:rFonts w:hint="eastAsia" w:ascii="宋体" w:hAnsi="宋体" w:eastAsia="宋体" w:cs="宋体"/>
          <w:color w:val="000000" w:themeColor="text1"/>
          <w:sz w:val="24"/>
          <w:szCs w:val="24"/>
          <w:highlight w:val="none"/>
          <w14:textFill>
            <w14:solidFill>
              <w14:schemeClr w14:val="tx1"/>
            </w14:solidFill>
          </w14:textFill>
        </w:rPr>
        <w:t>总 则</w:t>
      </w:r>
      <w:bookmarkEnd w:id="14"/>
      <w:bookmarkEnd w:id="15"/>
      <w:bookmarkEnd w:id="16"/>
      <w:bookmarkEnd w:id="17"/>
    </w:p>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18" w:name="_Toc520356144"/>
      <w:bookmarkStart w:id="19" w:name="_Toc11808"/>
      <w:bookmarkStart w:id="20" w:name="_Toc32189"/>
      <w:bookmarkStart w:id="21" w:name="_Toc515647758"/>
      <w:bookmarkStart w:id="22" w:name="_Toc12861"/>
      <w:bookmarkStart w:id="23" w:name="_Toc23985"/>
      <w:bookmarkStart w:id="24" w:name="_Toc333"/>
      <w:bookmarkStart w:id="25" w:name="_Toc32623"/>
      <w:bookmarkStart w:id="26" w:name="_Toc31685"/>
      <w:bookmarkStart w:id="27" w:name="_Toc29554"/>
      <w:bookmarkStart w:id="28" w:name="_Toc28967"/>
      <w:bookmarkStart w:id="29" w:name="_Toc4880"/>
      <w:bookmarkStart w:id="30" w:name="_Toc18135"/>
      <w:bookmarkStart w:id="31" w:name="_Toc16228"/>
      <w:bookmarkStart w:id="32" w:name="_Toc12038"/>
      <w:bookmarkStart w:id="33" w:name="_Toc32742"/>
      <w:bookmarkStart w:id="34" w:name="_Toc18221"/>
      <w:bookmarkStart w:id="35" w:name="_Toc9452"/>
      <w:bookmarkStart w:id="36" w:name="_Toc32697"/>
      <w:bookmarkStart w:id="37" w:name="_Toc30123"/>
      <w:bookmarkStart w:id="38" w:name="_Toc32173"/>
      <w:bookmarkStart w:id="39" w:name="_Toc8320"/>
      <w:bookmarkStart w:id="40" w:name="_Toc5164"/>
      <w:bookmarkStart w:id="41" w:name="_Toc25783"/>
      <w:bookmarkStart w:id="42" w:name="_Toc2013"/>
      <w:bookmarkStart w:id="43" w:name="_Toc15043"/>
      <w:bookmarkStart w:id="44" w:name="_Toc11632"/>
      <w:bookmarkStart w:id="45" w:name="_Toc25908"/>
      <w:bookmarkStart w:id="46" w:name="_Toc25749"/>
      <w:bookmarkStart w:id="47" w:name="_Toc32450"/>
      <w:r>
        <w:rPr>
          <w:rFonts w:hint="eastAsia" w:ascii="宋体" w:hAnsi="宋体" w:eastAsia="宋体" w:cs="宋体"/>
          <w:b/>
          <w:bCs/>
          <w:color w:val="000000" w:themeColor="text1"/>
          <w:sz w:val="24"/>
          <w:szCs w:val="24"/>
          <w:highlight w:val="none"/>
          <w:u w:val="none"/>
          <w14:textFill>
            <w14:solidFill>
              <w14:schemeClr w14:val="tx1"/>
            </w14:solidFill>
          </w14:textFill>
        </w:rPr>
        <w:t>采购人、采购代理机构及</w:t>
      </w:r>
      <w:bookmarkEnd w:id="18"/>
      <w:bookmarkEnd w:id="19"/>
      <w:bookmarkEnd w:id="20"/>
      <w:bookmarkEnd w:id="21"/>
      <w:bookmarkEnd w:id="22"/>
      <w:bookmarkEnd w:id="23"/>
      <w:bookmarkEnd w:id="24"/>
      <w:bookmarkEnd w:id="25"/>
      <w:bookmarkEnd w:id="26"/>
      <w:bookmarkEnd w:id="27"/>
      <w:bookmarkEnd w:id="28"/>
      <w:bookmarkEnd w:id="29"/>
      <w:r>
        <w:rPr>
          <w:rFonts w:hint="eastAsia" w:ascii="宋体" w:hAnsi="宋体" w:eastAsia="宋体" w:cs="宋体"/>
          <w:b/>
          <w:bCs/>
          <w:color w:val="000000" w:themeColor="text1"/>
          <w:sz w:val="24"/>
          <w:szCs w:val="24"/>
          <w:highlight w:val="none"/>
          <w:u w:val="none"/>
          <w:lang w:eastAsia="zh-CN"/>
          <w14:textFill>
            <w14:solidFill>
              <w14:schemeClr w14:val="tx1"/>
            </w14:solidFill>
          </w14:textFill>
        </w:rPr>
        <w:t>供应商</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pageBreakBefore w:val="0"/>
        <w:widowControl w:val="0"/>
        <w:numPr>
          <w:ilvl w:val="0"/>
          <w:numId w:val="0"/>
        </w:numPr>
        <w:tabs>
          <w:tab w:val="left" w:pos="0"/>
        </w:tabs>
        <w:kinsoku/>
        <w:wordWrap/>
        <w:overflowPunct/>
        <w:topLinePunct w:val="0"/>
        <w:bidi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 xml:space="preserve">   采购人：是指依法开展政府采购活动的国家机关、事业单位、团体组织。</w:t>
      </w:r>
    </w:p>
    <w:p>
      <w:pPr>
        <w:pageBreakBefore w:val="0"/>
        <w:widowControl w:val="0"/>
        <w:tabs>
          <w:tab w:val="left" w:pos="0"/>
        </w:tabs>
        <w:kinsoku/>
        <w:wordWrap/>
        <w:overflowPunct/>
        <w:topLinePunct w:val="0"/>
        <w:bidi w:val="0"/>
        <w:spacing w:line="36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本项目的采购人见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 xml:space="preserve">   采购代理机构：是指在集中采购机构或从事采购代理业务的社会中介机构。本项目的采购代理机构见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：是指向采购人提供货物、工程或者服务的法人、非法人组织或者自然人。本项目的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及其投标货物须满足以下条件：</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在中华人民共和国境内注册，能够独立承担民事责任，有生产或供应能力的本国供应商。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具备《中华人民共和国政府采购法》第二十二条关于供应商条件的规定，遵守本项目采购人本级和上级财政部门政府采购的有关规定。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以采购代理机构认可的方式获得了本项目的招标文件。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1.3.4   符合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中规定的其他要求。</w:t>
      </w:r>
    </w:p>
    <w:p>
      <w:pPr>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1.3.5   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中写明专门面向中小企业采购的，如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为非中小企业且所投产品为非中小企业产品，其投标将被认定为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    如</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中允许联合体投标，对联合体规定如下：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两个以上供应商可以组成一个投标联合体，以一个</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的身份投标。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联合体各方均应符合《中华人民共和国政府采购法》第二十二条规定的条件。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   采购人根据采购项目对</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的特殊要求，联合体中至少应当有一方符合相关规定。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   联合体各方应签订共同投标协议，明确约定联合体各方承担的工作和相应的责任，并将共同投标协议连同作为投标文件第一部分的内容提交。</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1.4.6  联合体中有同类资质的供应商按照联合体分工承担相同工作的，按照较低的资质等级确定联合体的资质等级。</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1.4.8   对联合体投标的其他资格要求见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单位负责人为同一人或者存在直接控股、管理关系的不同供应商，其相关投标将被认定为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1.6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在投标过程中不得向采购人提供、给予任何有价值的物品，影响其正常决策行为。一经发现，其将被认定为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48" w:name="_Toc19970"/>
      <w:bookmarkStart w:id="49" w:name="_Toc11949"/>
      <w:bookmarkStart w:id="50" w:name="_Toc4816"/>
      <w:bookmarkStart w:id="51" w:name="_Toc4311"/>
      <w:bookmarkStart w:id="52" w:name="_Toc12139"/>
      <w:bookmarkStart w:id="53" w:name="_Toc1403"/>
      <w:bookmarkStart w:id="54" w:name="_Toc21255"/>
      <w:bookmarkStart w:id="55" w:name="_Toc4016"/>
      <w:bookmarkStart w:id="56" w:name="_Toc16369"/>
      <w:bookmarkStart w:id="57" w:name="_Toc515647759"/>
      <w:bookmarkStart w:id="58" w:name="_Toc7800"/>
      <w:bookmarkStart w:id="59" w:name="_Toc21286"/>
      <w:bookmarkStart w:id="60" w:name="_Toc10189"/>
      <w:bookmarkStart w:id="61" w:name="_Toc13065"/>
      <w:bookmarkStart w:id="62" w:name="_Toc5286"/>
      <w:bookmarkStart w:id="63" w:name="_Toc28511"/>
      <w:bookmarkStart w:id="64" w:name="_Toc24559"/>
      <w:bookmarkStart w:id="65" w:name="_Toc11068"/>
      <w:bookmarkStart w:id="66" w:name="_Toc27814"/>
      <w:bookmarkStart w:id="67" w:name="_Toc30940"/>
      <w:bookmarkStart w:id="68" w:name="_Toc1973"/>
      <w:bookmarkStart w:id="69" w:name="_Toc28008"/>
      <w:bookmarkStart w:id="70" w:name="_Toc12304"/>
      <w:bookmarkStart w:id="71" w:name="_Toc1760"/>
      <w:bookmarkStart w:id="72" w:name="_Toc10699"/>
      <w:bookmarkStart w:id="73" w:name="_Toc18986"/>
      <w:bookmarkStart w:id="74" w:name="_Toc13272"/>
      <w:bookmarkStart w:id="75" w:name="_Toc15091"/>
      <w:bookmarkStart w:id="76" w:name="_Toc11354"/>
      <w:r>
        <w:rPr>
          <w:rFonts w:hint="eastAsia" w:ascii="宋体" w:hAnsi="宋体" w:eastAsia="宋体" w:cs="宋体"/>
          <w:b/>
          <w:bCs/>
          <w:color w:val="000000" w:themeColor="text1"/>
          <w:sz w:val="24"/>
          <w:szCs w:val="24"/>
          <w:highlight w:val="none"/>
          <w:u w:val="none"/>
          <w14:textFill>
            <w14:solidFill>
              <w14:schemeClr w14:val="tx1"/>
            </w14:solidFill>
          </w14:textFill>
        </w:rPr>
        <w:t>资金来源</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本项目的采购人已获得足以支付本次招标后所签订的合同项下的资金（包括财政性资金和本项目采购中无法与财政性资金分割的非财政性资金）。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项目预算金额和分项或分包最高限价</w:t>
      </w:r>
      <w:r>
        <w:rPr>
          <w:rFonts w:hint="eastAsia" w:ascii="宋体" w:hAnsi="宋体" w:eastAsia="宋体" w:cs="宋体"/>
          <w:color w:val="000000" w:themeColor="text1"/>
          <w:sz w:val="24"/>
          <w:szCs w:val="24"/>
          <w:highlight w:val="none"/>
          <w:u w:val="single"/>
          <w14:textFill>
            <w14:solidFill>
              <w14:schemeClr w14:val="tx1"/>
            </w14:solidFill>
          </w14:textFill>
        </w:rPr>
        <w:t>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2.3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报价超过招标文件规定的预算金额或者分项、分包最高限价的，其投标将被认定为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77" w:name="_Toc515647760"/>
      <w:bookmarkStart w:id="78" w:name="_Toc26559"/>
      <w:bookmarkStart w:id="79" w:name="_Toc29481"/>
      <w:bookmarkStart w:id="80" w:name="_Toc20044"/>
      <w:bookmarkStart w:id="81" w:name="_Toc4323"/>
      <w:bookmarkStart w:id="82" w:name="_Toc10223"/>
      <w:bookmarkStart w:id="83" w:name="_Toc15936"/>
      <w:bookmarkStart w:id="84" w:name="_Toc10963"/>
      <w:bookmarkStart w:id="85" w:name="_Toc30708"/>
      <w:bookmarkStart w:id="86" w:name="_Toc2127"/>
      <w:bookmarkStart w:id="87" w:name="_Toc14612"/>
      <w:bookmarkStart w:id="88" w:name="_Toc6415"/>
      <w:bookmarkStart w:id="89" w:name="_Toc20799"/>
      <w:bookmarkStart w:id="90" w:name="_Toc14340"/>
      <w:bookmarkStart w:id="91" w:name="_Toc19305"/>
      <w:bookmarkStart w:id="92" w:name="_Toc22731"/>
      <w:bookmarkStart w:id="93" w:name="_Toc144"/>
      <w:bookmarkStart w:id="94" w:name="_Toc29504"/>
      <w:bookmarkStart w:id="95" w:name="_Toc520356145"/>
      <w:bookmarkStart w:id="96" w:name="_Toc27044"/>
      <w:bookmarkStart w:id="97" w:name="_Toc29041"/>
      <w:bookmarkStart w:id="98" w:name="_Toc20526"/>
      <w:bookmarkStart w:id="99" w:name="_Toc5207"/>
      <w:bookmarkStart w:id="100" w:name="_Toc12188"/>
      <w:bookmarkStart w:id="101" w:name="_Toc15518"/>
      <w:bookmarkStart w:id="102" w:name="_Toc6389"/>
      <w:bookmarkStart w:id="103" w:name="_Toc5757"/>
      <w:bookmarkStart w:id="104" w:name="_Toc30650"/>
      <w:bookmarkStart w:id="105" w:name="_Toc903"/>
      <w:bookmarkStart w:id="106" w:name="_Toc27479"/>
      <w:r>
        <w:rPr>
          <w:rFonts w:hint="eastAsia" w:ascii="宋体" w:hAnsi="宋体" w:eastAsia="宋体" w:cs="宋体"/>
          <w:b/>
          <w:bCs/>
          <w:color w:val="000000" w:themeColor="text1"/>
          <w:sz w:val="24"/>
          <w:szCs w:val="24"/>
          <w:highlight w:val="none"/>
          <w:u w:val="none"/>
          <w14:textFill>
            <w14:solidFill>
              <w14:schemeClr w14:val="tx1"/>
            </w14:solidFill>
          </w14:textFill>
        </w:rPr>
        <w:t>投标费用</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不论投标的结果如何，</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应承担所有与准备和参加投标有关的费用。</w:t>
      </w:r>
    </w:p>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107" w:name="_Toc2839"/>
      <w:bookmarkStart w:id="108" w:name="_Toc16262"/>
      <w:bookmarkStart w:id="109" w:name="_Toc7511"/>
      <w:bookmarkStart w:id="110" w:name="_Toc1198"/>
      <w:bookmarkStart w:id="111" w:name="_Toc16751"/>
      <w:bookmarkStart w:id="112" w:name="_Toc2389"/>
      <w:bookmarkStart w:id="113" w:name="_Toc17308"/>
      <w:bookmarkStart w:id="114" w:name="_Toc5853"/>
      <w:bookmarkStart w:id="115" w:name="_Toc3836"/>
      <w:bookmarkStart w:id="116" w:name="_Toc24881"/>
      <w:bookmarkStart w:id="117" w:name="_Toc515647761"/>
      <w:bookmarkStart w:id="118" w:name="_Toc12920"/>
      <w:bookmarkStart w:id="119" w:name="_Toc26711"/>
      <w:bookmarkStart w:id="120" w:name="_Toc29011"/>
      <w:bookmarkStart w:id="121" w:name="_Toc25242"/>
      <w:bookmarkStart w:id="122" w:name="_Toc13524"/>
      <w:bookmarkStart w:id="123" w:name="_Toc15600"/>
      <w:bookmarkStart w:id="124" w:name="_Toc9642"/>
      <w:bookmarkStart w:id="125" w:name="_Toc6759"/>
      <w:bookmarkStart w:id="126" w:name="_Toc27687"/>
      <w:bookmarkStart w:id="127" w:name="_Toc16328"/>
      <w:bookmarkStart w:id="128" w:name="_Toc26349"/>
      <w:bookmarkStart w:id="129" w:name="_Toc21641"/>
      <w:bookmarkStart w:id="130" w:name="_Toc6116"/>
      <w:bookmarkStart w:id="131" w:name="_Toc32103"/>
      <w:bookmarkStart w:id="132" w:name="_Toc11505"/>
      <w:bookmarkStart w:id="133" w:name="_Toc11355"/>
      <w:bookmarkStart w:id="134" w:name="_Toc17649"/>
      <w:bookmarkStart w:id="135" w:name="_Toc4463"/>
      <w:r>
        <w:rPr>
          <w:rFonts w:hint="eastAsia" w:ascii="宋体" w:hAnsi="宋体" w:eastAsia="宋体" w:cs="宋体"/>
          <w:b/>
          <w:bCs/>
          <w:color w:val="000000" w:themeColor="text1"/>
          <w:sz w:val="24"/>
          <w:szCs w:val="24"/>
          <w:highlight w:val="none"/>
          <w:u w:val="none"/>
          <w14:textFill>
            <w14:solidFill>
              <w14:schemeClr w14:val="tx1"/>
            </w14:solidFill>
          </w14:textFill>
        </w:rPr>
        <w:t>适用法律</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本项目采购人、采购代理机构、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、评标委员会的相关行为均受《中华人民共和国政府采购法》、《中华人民共和国政府采购法实施条例》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中华人民共和国财政部令第87号--政府采购货物和货物招标投标管理办法</w:t>
      </w:r>
      <w:r>
        <w:rPr>
          <w:rFonts w:hint="eastAsia" w:ascii="宋体" w:hAnsi="宋体" w:eastAsia="宋体" w:cs="宋体"/>
          <w:color w:val="000000" w:themeColor="text1"/>
          <w:sz w:val="24"/>
          <w:szCs w:val="24"/>
          <w:highlight w:val="none"/>
          <w14:textFill>
            <w14:solidFill>
              <w14:schemeClr w14:val="tx1"/>
            </w14:solidFill>
          </w14:textFill>
        </w:rPr>
        <w:t>》及本项目本级和上级财政部门政府采购有关规定的约束，其权利受到上述法律法规的保护。</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pageBreakBefore w:val="0"/>
        <w:widowControl w:val="0"/>
        <w:kinsoku/>
        <w:wordWrap/>
        <w:overflowPunct/>
        <w:topLinePunct w:val="0"/>
        <w:bidi w:val="0"/>
        <w:spacing w:before="0"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36" w:name="_Toc520356146"/>
      <w:bookmarkStart w:id="137" w:name="_Toc6385"/>
      <w:bookmarkStart w:id="138" w:name="_Toc216582806"/>
      <w:bookmarkStart w:id="139" w:name="_Toc4365"/>
      <w:bookmarkStart w:id="140" w:name="_Toc8614"/>
      <w:bookmarkStart w:id="141" w:name="_Toc515647762"/>
      <w:bookmarkStart w:id="142" w:name="_Toc21566"/>
      <w:r>
        <w:rPr>
          <w:rFonts w:hint="eastAsia" w:ascii="宋体" w:hAnsi="宋体" w:eastAsia="宋体" w:cs="宋体"/>
          <w:color w:val="000000" w:themeColor="text1"/>
          <w:sz w:val="24"/>
          <w:szCs w:val="24"/>
          <w:highlight w:val="none"/>
          <w14:textFill>
            <w14:solidFill>
              <w14:schemeClr w14:val="tx1"/>
            </w14:solidFill>
          </w14:textFill>
        </w:rPr>
        <w:t>二   招标文件</w:t>
      </w:r>
      <w:bookmarkEnd w:id="136"/>
      <w:bookmarkEnd w:id="137"/>
      <w:bookmarkEnd w:id="138"/>
      <w:bookmarkEnd w:id="139"/>
      <w:bookmarkEnd w:id="140"/>
      <w:bookmarkEnd w:id="141"/>
      <w:bookmarkEnd w:id="142"/>
    </w:p>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143" w:name="_Toc3517"/>
      <w:bookmarkStart w:id="144" w:name="_Toc27288"/>
      <w:bookmarkStart w:id="145" w:name="_Toc17343"/>
      <w:bookmarkStart w:id="146" w:name="_Toc2383"/>
      <w:bookmarkStart w:id="147" w:name="_Toc24971"/>
      <w:bookmarkStart w:id="148" w:name="_Toc5875"/>
      <w:bookmarkStart w:id="149" w:name="_Toc520356147"/>
      <w:bookmarkStart w:id="150" w:name="_Toc14084"/>
      <w:bookmarkStart w:id="151" w:name="_Toc15203"/>
      <w:bookmarkStart w:id="152" w:name="_Toc2876"/>
      <w:bookmarkStart w:id="153" w:name="_Toc12831"/>
      <w:bookmarkStart w:id="154" w:name="_Toc5479"/>
      <w:bookmarkStart w:id="155" w:name="_Toc21275"/>
      <w:bookmarkStart w:id="156" w:name="_Toc29550"/>
      <w:bookmarkStart w:id="157" w:name="_Toc27237"/>
      <w:bookmarkStart w:id="158" w:name="_Toc31526"/>
      <w:bookmarkStart w:id="159" w:name="_Toc28266"/>
      <w:bookmarkStart w:id="160" w:name="_Toc515647763"/>
      <w:bookmarkStart w:id="161" w:name="_Toc23208"/>
      <w:bookmarkStart w:id="162" w:name="_Toc18213"/>
      <w:bookmarkStart w:id="163" w:name="_Toc31428"/>
      <w:bookmarkStart w:id="164" w:name="_Toc7177"/>
      <w:bookmarkStart w:id="165" w:name="_Toc25743"/>
      <w:bookmarkStart w:id="166" w:name="_Toc1044"/>
      <w:bookmarkStart w:id="167" w:name="_Toc18714"/>
      <w:bookmarkStart w:id="168" w:name="_Toc21734"/>
      <w:bookmarkStart w:id="169" w:name="_Toc30280"/>
      <w:bookmarkStart w:id="170" w:name="_Toc19588"/>
      <w:bookmarkStart w:id="171" w:name="_Toc27186"/>
      <w:r>
        <w:rPr>
          <w:rFonts w:hint="eastAsia" w:ascii="宋体" w:hAnsi="宋体" w:eastAsia="宋体" w:cs="宋体"/>
          <w:b/>
          <w:bCs/>
          <w:color w:val="000000" w:themeColor="text1"/>
          <w:sz w:val="24"/>
          <w:szCs w:val="24"/>
          <w:highlight w:val="none"/>
          <w:u w:val="none"/>
          <w14:textFill>
            <w14:solidFill>
              <w14:schemeClr w14:val="tx1"/>
            </w14:solidFill>
          </w14:textFill>
        </w:rPr>
        <w:t>招标文件构成</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招标文件分为三册共7章，内容如下：</w:t>
      </w:r>
    </w:p>
    <w:p>
      <w:pPr>
        <w:pageBreakBefore w:val="0"/>
        <w:widowControl w:val="0"/>
        <w:kinsoku/>
        <w:wordWrap/>
        <w:overflowPunct/>
        <w:topLinePunct w:val="0"/>
        <w:bidi w:val="0"/>
        <w:spacing w:line="360" w:lineRule="exact"/>
        <w:ind w:left="0" w:leftChars="0" w:firstLine="60" w:firstLineChars="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第一册</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2投标文件格式</w:t>
      </w:r>
    </w:p>
    <w:p>
      <w:pPr>
        <w:pageBreakBefore w:val="0"/>
        <w:widowControl w:val="0"/>
        <w:kinsoku/>
        <w:wordWrap/>
        <w:overflowPunct/>
        <w:topLinePunct w:val="0"/>
        <w:bidi w:val="0"/>
        <w:spacing w:line="360" w:lineRule="exact"/>
        <w:ind w:left="0" w:leftChars="0" w:firstLine="33" w:firstLineChars="14"/>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投标邀请</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须知资料表</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 </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 xml:space="preserve">内容及项目要求 </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评标方法和标准</w:t>
      </w:r>
    </w:p>
    <w:p>
      <w:pPr>
        <w:pageBreakBefore w:val="0"/>
        <w:widowControl w:val="0"/>
        <w:kinsoku/>
        <w:wordWrap/>
        <w:overflowPunct/>
        <w:topLinePunct w:val="0"/>
        <w:bidi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政府采购合同格式</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如本文件的前后内容不一致，以最后描述为准。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5.3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应认真阅读招标文件所有的事项、格式、条款和技术规范等。如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没有按照招标文件要求提交全部资料，或者投标文件没有对招标文件在各方面都做出实质性响应，可能导致其投标将被认定为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172" w:name="_Toc520356148"/>
      <w:bookmarkStart w:id="173" w:name="_Toc515904805"/>
      <w:bookmarkStart w:id="174" w:name="_Toc32213"/>
      <w:bookmarkStart w:id="175" w:name="_Toc27465"/>
      <w:bookmarkStart w:id="176" w:name="_Toc14073"/>
      <w:bookmarkStart w:id="177" w:name="_Toc10213"/>
      <w:bookmarkStart w:id="178" w:name="_Toc18410"/>
      <w:bookmarkStart w:id="179" w:name="_Toc1117"/>
      <w:bookmarkStart w:id="180" w:name="_Toc7764"/>
      <w:bookmarkStart w:id="181" w:name="_Toc20556"/>
      <w:bookmarkStart w:id="182" w:name="_Toc20995"/>
      <w:bookmarkStart w:id="183" w:name="_Toc20825"/>
      <w:bookmarkStart w:id="184" w:name="_Toc25866"/>
      <w:bookmarkStart w:id="185" w:name="_Toc21165"/>
      <w:bookmarkStart w:id="186" w:name="_Toc20604"/>
      <w:bookmarkStart w:id="187" w:name="_Toc28731"/>
      <w:bookmarkStart w:id="188" w:name="_Toc1464"/>
      <w:bookmarkStart w:id="189" w:name="_Toc12813"/>
      <w:bookmarkStart w:id="190" w:name="_Toc26044"/>
      <w:bookmarkStart w:id="191" w:name="_Toc13020"/>
      <w:bookmarkStart w:id="192" w:name="_Toc29804"/>
      <w:bookmarkStart w:id="193" w:name="_Toc10034"/>
      <w:bookmarkStart w:id="194" w:name="_Toc9232"/>
      <w:bookmarkStart w:id="195" w:name="_Toc299"/>
      <w:bookmarkStart w:id="196" w:name="_Toc19551"/>
      <w:bookmarkStart w:id="197" w:name="_Toc5991"/>
      <w:bookmarkStart w:id="198" w:name="_Toc21098"/>
      <w:bookmarkStart w:id="199" w:name="_Toc20202"/>
      <w:bookmarkStart w:id="200" w:name="_Toc19275"/>
      <w:r>
        <w:rPr>
          <w:rFonts w:hint="eastAsia" w:ascii="宋体" w:hAnsi="宋体" w:eastAsia="宋体" w:cs="宋体"/>
          <w:b/>
          <w:bCs/>
          <w:color w:val="000000" w:themeColor="text1"/>
          <w:sz w:val="24"/>
          <w:szCs w:val="24"/>
          <w:highlight w:val="none"/>
          <w:u w:val="none"/>
          <w14:textFill>
            <w14:solidFill>
              <w14:schemeClr w14:val="tx1"/>
            </w14:solidFill>
          </w14:textFill>
        </w:rPr>
        <w:t>招标文件的澄清</w:t>
      </w:r>
      <w:bookmarkEnd w:id="172"/>
      <w:bookmarkEnd w:id="173"/>
      <w:r>
        <w:rPr>
          <w:rFonts w:hint="eastAsia" w:ascii="宋体" w:hAnsi="宋体" w:eastAsia="宋体" w:cs="宋体"/>
          <w:b/>
          <w:bCs/>
          <w:color w:val="000000" w:themeColor="text1"/>
          <w:sz w:val="24"/>
          <w:szCs w:val="24"/>
          <w:highlight w:val="none"/>
          <w:u w:val="none"/>
          <w14:textFill>
            <w14:solidFill>
              <w14:schemeClr w14:val="tx1"/>
            </w14:solidFill>
          </w14:textFill>
        </w:rPr>
        <w:t>与修改</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pStyle w:val="5"/>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    为了保证对招标文件的澄清和修改满足法律的时限要求，任何要求对招标文件进行澄清的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，均应在投标截止期十五日前，以书面形式将澄清要求通知采购人或采购代理机构。</w:t>
      </w:r>
    </w:p>
    <w:p>
      <w:pPr>
        <w:pStyle w:val="5"/>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01" w:name="_Ref467378678"/>
      <w:bookmarkStart w:id="202" w:name="_Toc515904806"/>
      <w:bookmarkStart w:id="203" w:name="_Toc520356149"/>
      <w:r>
        <w:rPr>
          <w:rFonts w:hint="eastAsia" w:ascii="宋体" w:hAnsi="宋体" w:eastAsia="宋体" w:cs="宋体"/>
          <w:color w:val="000000" w:themeColor="text1"/>
          <w:sz w:val="24"/>
          <w:szCs w:val="24"/>
          <w:highlight w:val="none"/>
          <w14:textFill>
            <w14:solidFill>
              <w14:schemeClr w14:val="tx1"/>
            </w14:solidFill>
          </w14:textFill>
        </w:rPr>
        <w:t>6.2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采购人可主动地或在解答</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提出的澄清问题时对招标文件进行澄清或修改。采购代理机构将以发布澄清（更正）公告的方式，澄清或修改招标文件，澄清或修改内容作为招标文件的组成部分。</w:t>
      </w:r>
    </w:p>
    <w:p>
      <w:pPr>
        <w:pStyle w:val="5"/>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澄清或者修改的内容可能影响投标文件编制的，采购代理机构将以书面形式通知所有购买招标文件的潜在</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，并对其具有约束力。</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在收到上述通知后，应及时向采购代理机构回函确认。</w:t>
      </w:r>
    </w:p>
    <w:bookmarkEnd w:id="201"/>
    <w:bookmarkEnd w:id="202"/>
    <w:bookmarkEnd w:id="203"/>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204" w:name="_Toc28126"/>
      <w:bookmarkStart w:id="205" w:name="_Toc24028"/>
      <w:bookmarkStart w:id="206" w:name="_Toc6936"/>
      <w:bookmarkStart w:id="207" w:name="_Toc27811"/>
      <w:bookmarkStart w:id="208" w:name="_Toc9080"/>
      <w:bookmarkStart w:id="209" w:name="_Toc17896"/>
      <w:bookmarkStart w:id="210" w:name="_Toc6199"/>
      <w:bookmarkStart w:id="211" w:name="_Toc1073"/>
      <w:bookmarkStart w:id="212" w:name="_Toc7242"/>
      <w:bookmarkStart w:id="213" w:name="_Toc21129"/>
      <w:bookmarkStart w:id="214" w:name="_Toc32529"/>
      <w:bookmarkStart w:id="215" w:name="_Toc32714"/>
      <w:bookmarkStart w:id="216" w:name="_Toc72"/>
      <w:bookmarkStart w:id="217" w:name="_Toc32572"/>
      <w:bookmarkStart w:id="218" w:name="_Toc22107"/>
      <w:bookmarkStart w:id="219" w:name="_Toc517"/>
      <w:bookmarkStart w:id="220" w:name="_Toc10823"/>
      <w:bookmarkStart w:id="221" w:name="_Toc14569"/>
      <w:bookmarkStart w:id="222" w:name="_Toc30435"/>
      <w:bookmarkStart w:id="223" w:name="_Toc11082"/>
      <w:bookmarkStart w:id="224" w:name="_Toc21187"/>
      <w:bookmarkStart w:id="225" w:name="_Toc7919"/>
      <w:bookmarkStart w:id="226" w:name="_Toc14901"/>
      <w:bookmarkStart w:id="227" w:name="_Toc7468"/>
      <w:bookmarkStart w:id="228" w:name="_Toc978"/>
      <w:bookmarkStart w:id="229" w:name="_Toc25635"/>
      <w:bookmarkStart w:id="230" w:name="_Toc5103"/>
      <w:r>
        <w:rPr>
          <w:rFonts w:hint="eastAsia" w:ascii="宋体" w:hAnsi="宋体" w:eastAsia="宋体" w:cs="宋体"/>
          <w:b/>
          <w:bCs/>
          <w:color w:val="000000" w:themeColor="text1"/>
          <w:sz w:val="24"/>
          <w:szCs w:val="24"/>
          <w:highlight w:val="none"/>
          <w:u w:val="none"/>
          <w14:textFill>
            <w14:solidFill>
              <w14:schemeClr w14:val="tx1"/>
            </w14:solidFill>
          </w14:textFill>
        </w:rPr>
        <w:t>投标截止时间的顺延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为使</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准备投标时有足够的时间对招标文件的澄清或者修改部分进行研究，采购人将依法决定是否顺延投标截止时间。</w:t>
      </w:r>
      <w:bookmarkStart w:id="231" w:name="_Toc516367020"/>
      <w:bookmarkStart w:id="232" w:name="_Toc515647766"/>
      <w:bookmarkStart w:id="233" w:name="_Toc520356150"/>
      <w:bookmarkStart w:id="234" w:name="_Toc7636"/>
      <w:bookmarkStart w:id="235" w:name="_Toc216582807"/>
      <w:bookmarkStart w:id="236" w:name="_Toc30808"/>
    </w:p>
    <w:p>
      <w:pPr>
        <w:pageBreakBefore w:val="0"/>
        <w:widowControl w:val="0"/>
        <w:tabs>
          <w:tab w:val="left" w:pos="900"/>
        </w:tabs>
        <w:kinsoku/>
        <w:wordWrap/>
        <w:overflowPunct/>
        <w:topLinePunct w:val="0"/>
        <w:bidi w:val="0"/>
        <w:spacing w:line="360" w:lineRule="exact"/>
        <w:ind w:left="0" w:leftChars="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pageBreakBefore w:val="0"/>
        <w:widowControl w:val="0"/>
        <w:tabs>
          <w:tab w:val="left" w:pos="900"/>
        </w:tabs>
        <w:kinsoku/>
        <w:wordWrap/>
        <w:overflowPunct/>
        <w:topLinePunct w:val="0"/>
        <w:bidi w:val="0"/>
        <w:spacing w:before="0" w:line="360" w:lineRule="exact"/>
        <w:ind w:left="0" w:leftChars="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37" w:name="_Toc29522"/>
      <w:bookmarkStart w:id="238" w:name="_Toc16307"/>
      <w:r>
        <w:rPr>
          <w:rFonts w:hint="eastAsia" w:ascii="宋体" w:hAnsi="宋体" w:eastAsia="宋体" w:cs="宋体"/>
          <w:color w:val="000000" w:themeColor="text1"/>
          <w:sz w:val="24"/>
          <w:szCs w:val="24"/>
          <w:highlight w:val="none"/>
          <w14:textFill>
            <w14:solidFill>
              <w14:schemeClr w14:val="tx1"/>
            </w14:solidFill>
          </w14:textFill>
        </w:rPr>
        <w:t>三   投标文件</w:t>
      </w:r>
      <w:bookmarkEnd w:id="231"/>
      <w:r>
        <w:rPr>
          <w:rFonts w:hint="eastAsia" w:ascii="宋体" w:hAnsi="宋体" w:eastAsia="宋体" w:cs="宋体"/>
          <w:color w:val="000000" w:themeColor="text1"/>
          <w:sz w:val="24"/>
          <w:szCs w:val="24"/>
          <w:highlight w:val="none"/>
          <w14:textFill>
            <w14:solidFill>
              <w14:schemeClr w14:val="tx1"/>
            </w14:solidFill>
          </w14:textFill>
        </w:rPr>
        <w:t>的编制</w:t>
      </w:r>
      <w:bookmarkEnd w:id="232"/>
      <w:bookmarkEnd w:id="233"/>
      <w:bookmarkEnd w:id="234"/>
      <w:bookmarkEnd w:id="235"/>
      <w:bookmarkEnd w:id="236"/>
      <w:bookmarkEnd w:id="237"/>
      <w:bookmarkEnd w:id="238"/>
    </w:p>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239" w:name="_Toc2539"/>
      <w:bookmarkStart w:id="240" w:name="_Toc3593"/>
      <w:bookmarkStart w:id="241" w:name="_Toc7786"/>
      <w:bookmarkStart w:id="242" w:name="_Toc29965"/>
      <w:bookmarkStart w:id="243" w:name="_Toc515647767"/>
      <w:bookmarkStart w:id="244" w:name="_Toc9725"/>
      <w:bookmarkStart w:id="245" w:name="_Toc30652"/>
      <w:bookmarkStart w:id="246" w:name="_Toc17696"/>
      <w:bookmarkStart w:id="247" w:name="_Toc516367021"/>
      <w:bookmarkStart w:id="248" w:name="_Toc15642"/>
      <w:bookmarkStart w:id="249" w:name="_Toc32487"/>
      <w:bookmarkStart w:id="250" w:name="_Toc13375"/>
      <w:bookmarkStart w:id="251" w:name="_Toc14739"/>
      <w:bookmarkStart w:id="252" w:name="_Toc7224"/>
      <w:bookmarkStart w:id="253" w:name="_Toc14086"/>
      <w:bookmarkStart w:id="254" w:name="_Toc32059"/>
      <w:bookmarkStart w:id="255" w:name="_Toc10810"/>
      <w:bookmarkStart w:id="256" w:name="_Toc3553"/>
      <w:bookmarkStart w:id="257" w:name="_Toc16526"/>
      <w:bookmarkStart w:id="258" w:name="_Toc10748"/>
      <w:bookmarkStart w:id="259" w:name="_Toc20486"/>
      <w:bookmarkStart w:id="260" w:name="_Toc2420"/>
      <w:bookmarkStart w:id="261" w:name="_Toc5025"/>
      <w:bookmarkStart w:id="262" w:name="_Toc2129"/>
      <w:bookmarkStart w:id="263" w:name="_Toc28980"/>
      <w:bookmarkStart w:id="264" w:name="_Toc3925"/>
      <w:bookmarkStart w:id="265" w:name="_Toc520356151"/>
      <w:bookmarkStart w:id="266" w:name="_Toc1632"/>
      <w:bookmarkStart w:id="267" w:name="_Toc18295"/>
      <w:bookmarkStart w:id="268" w:name="_Toc7120"/>
      <w:r>
        <w:rPr>
          <w:rFonts w:hint="eastAsia" w:ascii="宋体" w:hAnsi="宋体" w:eastAsia="宋体" w:cs="宋体"/>
          <w:b/>
          <w:bCs/>
          <w:color w:val="000000" w:themeColor="text1"/>
          <w:sz w:val="24"/>
          <w:szCs w:val="24"/>
          <w:highlight w:val="none"/>
          <w:u w:val="none"/>
          <w14:textFill>
            <w14:solidFill>
              <w14:schemeClr w14:val="tx1"/>
            </w14:solidFill>
          </w14:textFill>
        </w:rPr>
        <w:t>投标范围及投标文件中标准和计量单位的使用</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项目有分包的，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可对招标文件其中某一个或几个分包服务进行投标，除非在</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中另有规定。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8.2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应当对所投分包招标文件中“</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内容及项目要求”所列的所有内容进行投标，如仅响应某一包中的部分内容，其该包投标将被认定为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     除招标文件中有特殊要求外，投标文件中所使用的计量单位，应采用中华人民共和国法定计量单位。</w:t>
      </w:r>
    </w:p>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269" w:name="_Ref467306676"/>
      <w:bookmarkStart w:id="270" w:name="_Toc516367022"/>
      <w:bookmarkStart w:id="271" w:name="_Ref467306195"/>
      <w:bookmarkStart w:id="272" w:name="_Toc10202"/>
      <w:bookmarkStart w:id="273" w:name="_Toc11888"/>
      <w:bookmarkStart w:id="274" w:name="_Toc23291"/>
      <w:bookmarkStart w:id="275" w:name="_Toc258"/>
      <w:bookmarkStart w:id="276" w:name="_Toc29634"/>
      <w:bookmarkStart w:id="277" w:name="_Toc18673"/>
      <w:bookmarkStart w:id="278" w:name="_Toc3144"/>
      <w:bookmarkStart w:id="279" w:name="_Toc22958"/>
      <w:bookmarkStart w:id="280" w:name="_Toc9418"/>
      <w:bookmarkStart w:id="281" w:name="_Toc2077"/>
      <w:bookmarkStart w:id="282" w:name="_Toc10364"/>
      <w:bookmarkStart w:id="283" w:name="_Toc3591"/>
      <w:bookmarkStart w:id="284" w:name="_Toc20101"/>
      <w:bookmarkStart w:id="285" w:name="_Toc28076"/>
      <w:bookmarkStart w:id="286" w:name="_Toc16016"/>
      <w:bookmarkStart w:id="287" w:name="_Toc10992"/>
      <w:bookmarkStart w:id="288" w:name="_Toc22897"/>
      <w:bookmarkStart w:id="289" w:name="_Toc15740"/>
      <w:bookmarkStart w:id="290" w:name="_Toc28307"/>
      <w:bookmarkStart w:id="291" w:name="_Toc12220"/>
      <w:bookmarkStart w:id="292" w:name="_Toc6152"/>
      <w:bookmarkStart w:id="293" w:name="_Toc520356152"/>
      <w:bookmarkStart w:id="294" w:name="_Toc12343"/>
      <w:bookmarkStart w:id="295" w:name="_Toc24338"/>
      <w:bookmarkStart w:id="296" w:name="_Toc22417"/>
      <w:bookmarkStart w:id="297" w:name="_Toc25596"/>
      <w:bookmarkStart w:id="298" w:name="_Toc13425"/>
      <w:bookmarkStart w:id="299" w:name="_Toc17716"/>
      <w:bookmarkStart w:id="300" w:name="_Toc515647768"/>
      <w:r>
        <w:rPr>
          <w:rFonts w:hint="eastAsia" w:ascii="宋体" w:hAnsi="宋体" w:eastAsia="宋体" w:cs="宋体"/>
          <w:b/>
          <w:bCs/>
          <w:color w:val="000000" w:themeColor="text1"/>
          <w:sz w:val="24"/>
          <w:szCs w:val="24"/>
          <w:highlight w:val="none"/>
          <w:u w:val="none"/>
          <w14:textFill>
            <w14:solidFill>
              <w14:schemeClr w14:val="tx1"/>
            </w14:solidFill>
          </w14:textFill>
        </w:rPr>
        <w:t>投标文件</w:t>
      </w:r>
      <w:bookmarkEnd w:id="269"/>
      <w:bookmarkEnd w:id="270"/>
      <w:bookmarkEnd w:id="271"/>
      <w:r>
        <w:rPr>
          <w:rFonts w:hint="eastAsia" w:ascii="宋体" w:hAnsi="宋体" w:eastAsia="宋体" w:cs="宋体"/>
          <w:b/>
          <w:bCs/>
          <w:color w:val="000000" w:themeColor="text1"/>
          <w:sz w:val="24"/>
          <w:szCs w:val="24"/>
          <w:highlight w:val="none"/>
          <w:u w:val="none"/>
          <w14:textFill>
            <w14:solidFill>
              <w14:schemeClr w14:val="tx1"/>
            </w14:solidFill>
          </w14:textFill>
        </w:rPr>
        <w:t>构成</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bookmarkStart w:id="301" w:name="_Ref467052588"/>
      <w:r>
        <w:rPr>
          <w:rFonts w:hint="eastAsia" w:ascii="宋体" w:hAnsi="宋体" w:eastAsia="宋体" w:cs="宋体"/>
          <w:color w:val="000000" w:themeColor="text1"/>
          <w:sz w:val="24"/>
          <w:szCs w:val="24"/>
          <w:highlight w:val="none"/>
          <w14:textFill>
            <w14:solidFill>
              <w14:schemeClr w14:val="tx1"/>
            </w14:solidFill>
          </w14:textFill>
        </w:rPr>
        <w:t xml:space="preserve">9.1    </w:t>
      </w:r>
      <w:r>
        <w:rPr>
          <w:rFonts w:hint="eastAsia" w:ascii="宋体" w:hAnsi="宋体" w:eastAsia="宋体" w:cs="宋体"/>
          <w:b/>
          <w:bCs/>
          <w:color w:val="000000" w:themeColor="text1"/>
          <w:sz w:val="24"/>
          <w:highlight w:val="none"/>
          <w:u w:val="single"/>
          <w:lang w:eastAsia="zh-CN"/>
          <w14:textFill>
            <w14:solidFill>
              <w14:schemeClr w14:val="tx1"/>
            </w14:solidFill>
          </w14:textFill>
        </w:rPr>
        <w:t>供应商应完整地按招标文件提供的投标文件格式及要求编写投标文件，根据平台关联点上传对应佐证资料，投标文件应包括“开标一览表及资格证明文件”和“商务及技术文件”两部分，两部分合并成完整一册上传至政采云平台。供应商应承担上传失误产生的任何后果。</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    上述文件应按照招标文件规定的格式填写、签署和盖章。</w:t>
      </w:r>
      <w:bookmarkEnd w:id="301"/>
    </w:p>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lang w:eastAsia="zh-CN"/>
          <w14:textFill>
            <w14:solidFill>
              <w14:schemeClr w14:val="tx1"/>
            </w14:solidFill>
          </w14:textFill>
        </w:rPr>
      </w:pPr>
      <w:bookmarkStart w:id="302" w:name="_Toc4601"/>
      <w:bookmarkStart w:id="303" w:name="_Toc14035"/>
      <w:bookmarkStart w:id="304" w:name="_Toc515647769"/>
      <w:bookmarkStart w:id="305" w:name="_Toc17150"/>
      <w:bookmarkStart w:id="306" w:name="_Toc12121"/>
      <w:bookmarkStart w:id="307" w:name="_Toc520356153"/>
      <w:bookmarkStart w:id="308" w:name="_Toc15151"/>
      <w:bookmarkStart w:id="309" w:name="_Toc22195"/>
      <w:bookmarkStart w:id="310" w:name="_Toc10379"/>
      <w:bookmarkStart w:id="311" w:name="_Toc12338"/>
      <w:bookmarkStart w:id="312" w:name="_Toc516367023"/>
      <w:bookmarkStart w:id="313" w:name="_Toc10584"/>
      <w:bookmarkStart w:id="314" w:name="_Toc2056"/>
      <w:bookmarkStart w:id="315" w:name="_Toc30354"/>
      <w:bookmarkStart w:id="316" w:name="_Toc6978"/>
      <w:bookmarkStart w:id="317" w:name="_Toc17715"/>
      <w:bookmarkStart w:id="318" w:name="_Toc1879"/>
      <w:bookmarkStart w:id="319" w:name="_Toc1845"/>
      <w:bookmarkStart w:id="320" w:name="_Toc25894"/>
      <w:bookmarkStart w:id="321" w:name="_Toc10487"/>
      <w:bookmarkStart w:id="322" w:name="_Toc26648"/>
      <w:bookmarkStart w:id="323" w:name="_Toc14959"/>
      <w:bookmarkStart w:id="324" w:name="_Toc23620"/>
      <w:bookmarkStart w:id="325" w:name="_Toc2503"/>
      <w:bookmarkStart w:id="326" w:name="_Toc1291"/>
      <w:bookmarkStart w:id="327" w:name="_Toc4742"/>
      <w:bookmarkStart w:id="328" w:name="_Toc23028"/>
      <w:bookmarkStart w:id="329" w:name="_Toc10531"/>
      <w:bookmarkStart w:id="330" w:name="_Toc18045"/>
      <w:bookmarkStart w:id="331" w:name="_Toc17390"/>
      <w:r>
        <w:rPr>
          <w:rFonts w:hint="eastAsia" w:ascii="宋体" w:hAnsi="宋体" w:eastAsia="宋体" w:cs="宋体"/>
          <w:b/>
          <w:bCs/>
          <w:color w:val="000000" w:themeColor="text1"/>
          <w:sz w:val="24"/>
          <w:szCs w:val="24"/>
          <w:highlight w:val="none"/>
          <w:u w:val="none"/>
          <w14:textFill>
            <w14:solidFill>
              <w14:schemeClr w14:val="tx1"/>
            </w14:solidFill>
          </w14:textFill>
        </w:rPr>
        <w:t>证明投标的的合格性和符合招标文件规定的技术文件</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rFonts w:hint="eastAsia" w:ascii="宋体" w:hAnsi="宋体" w:eastAsia="宋体" w:cs="宋体"/>
          <w:b/>
          <w:bCs/>
          <w:color w:val="000000" w:themeColor="text1"/>
          <w:sz w:val="24"/>
          <w:szCs w:val="24"/>
          <w:highlight w:val="none"/>
          <w:u w:val="none"/>
          <w:lang w:eastAsia="zh-CN"/>
          <w14:textFill>
            <w14:solidFill>
              <w14:schemeClr w14:val="tx1"/>
            </w14:solidFill>
          </w14:textFill>
        </w:rPr>
        <w:t>。</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应提交证明文件，证明其投标内容符合招标文件规定。该证明文件是投标文件的一部分。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32" w:name="_Ref467306244"/>
      <w:r>
        <w:rPr>
          <w:rFonts w:hint="eastAsia" w:ascii="宋体" w:hAnsi="宋体" w:eastAsia="宋体" w:cs="宋体"/>
          <w:color w:val="000000" w:themeColor="text1"/>
          <w:sz w:val="24"/>
          <w:szCs w:val="24"/>
          <w:highlight w:val="none"/>
          <w14:textFill>
            <w14:solidFill>
              <w14:schemeClr w14:val="tx1"/>
            </w14:solidFill>
          </w14:textFill>
        </w:rPr>
        <w:t>10.2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上款所述的证明文件，可以是文字资料、图纸和数据，</w:t>
      </w:r>
      <w:bookmarkEnd w:id="332"/>
      <w:r>
        <w:rPr>
          <w:rFonts w:hint="eastAsia" w:ascii="宋体" w:hAnsi="宋体" w:eastAsia="宋体" w:cs="宋体"/>
          <w:color w:val="000000" w:themeColor="text1"/>
          <w:sz w:val="24"/>
          <w:szCs w:val="24"/>
          <w:highlight w:val="none"/>
          <w14:textFill>
            <w14:solidFill>
              <w14:schemeClr w14:val="tx1"/>
            </w14:solidFill>
          </w14:textFill>
        </w:rPr>
        <w:t>它包括：</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设备主要技术指标的详细说明；</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货物从买方开始使用至</w:t>
      </w:r>
      <w:r>
        <w:rPr>
          <w:rFonts w:hint="eastAsia" w:ascii="宋体" w:hAnsi="宋体" w:eastAsia="宋体" w:cs="宋体"/>
          <w:color w:val="000000" w:themeColor="text1"/>
          <w:sz w:val="24"/>
          <w:szCs w:val="24"/>
          <w:highlight w:val="none"/>
          <w:lang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文件规定的保质期内正常、连续地使用所必须的备件和专用工具清单，包括备件和专用工具的货源及现行价格；</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对照招标文件技术规格，逐条说明所提供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及伴随的工程和</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已对招标文件的技术规格做出了实质性的响应，或申明与技术规格条文的偏差和例外。</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在投标中可以选用替代牌号或分类号，但这些替代要实质上相当于技术规格的要求。采购人、采购代理机构承诺不以上述参照品牌型号或分类号作为评标时判定其投标是否有效的标准。</w:t>
      </w:r>
    </w:p>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333" w:name="_Toc26942"/>
      <w:bookmarkStart w:id="334" w:name="_Toc12660"/>
      <w:bookmarkStart w:id="335" w:name="_Toc710"/>
      <w:bookmarkStart w:id="336" w:name="_Toc30467"/>
      <w:bookmarkStart w:id="337" w:name="_Toc10520"/>
      <w:bookmarkStart w:id="338" w:name="_Toc25641"/>
      <w:bookmarkStart w:id="339" w:name="_Toc2248"/>
      <w:bookmarkStart w:id="340" w:name="_Toc5930"/>
      <w:bookmarkStart w:id="341" w:name="_Toc11160"/>
      <w:bookmarkStart w:id="342" w:name="_Toc30792"/>
      <w:bookmarkStart w:id="343" w:name="_Toc520356155"/>
      <w:bookmarkStart w:id="344" w:name="_Toc24468"/>
      <w:bookmarkStart w:id="345" w:name="_Toc5144"/>
      <w:bookmarkStart w:id="346" w:name="_Toc515647770"/>
      <w:bookmarkStart w:id="347" w:name="_Toc28480"/>
      <w:bookmarkStart w:id="348" w:name="_Toc24261"/>
      <w:bookmarkStart w:id="349" w:name="_Toc5717"/>
      <w:bookmarkStart w:id="350" w:name="_Toc301"/>
      <w:bookmarkStart w:id="351" w:name="_Toc25685"/>
      <w:bookmarkStart w:id="352" w:name="_Toc21396"/>
      <w:bookmarkStart w:id="353" w:name="_Toc15670"/>
      <w:bookmarkStart w:id="354" w:name="_Toc26145"/>
      <w:bookmarkStart w:id="355" w:name="_Toc25118"/>
      <w:bookmarkStart w:id="356" w:name="_Toc29204"/>
      <w:bookmarkStart w:id="357" w:name="_Toc29220"/>
      <w:bookmarkStart w:id="358" w:name="_Toc23231"/>
      <w:bookmarkStart w:id="359" w:name="_Toc2311"/>
      <w:bookmarkStart w:id="360" w:name="_Toc3868"/>
      <w:bookmarkStart w:id="361" w:name="_Toc7731"/>
      <w:r>
        <w:rPr>
          <w:rFonts w:hint="eastAsia" w:ascii="宋体" w:hAnsi="宋体" w:eastAsia="宋体" w:cs="宋体"/>
          <w:b/>
          <w:bCs/>
          <w:color w:val="000000" w:themeColor="text1"/>
          <w:sz w:val="24"/>
          <w:szCs w:val="24"/>
          <w:highlight w:val="none"/>
          <w:u w:val="none"/>
          <w14:textFill>
            <w14:solidFill>
              <w14:schemeClr w14:val="tx1"/>
            </w14:solidFill>
          </w14:textFill>
        </w:rPr>
        <w:t>投标报价</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所有投标均以人民币报价。</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应在投标分项报价表上标明投标相关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的单价（如适用）和总价，并由法定代表人或其授权代表签署。</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投标分项报价表上的价格应按下列方式填写；</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每种</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只能有一个投标报价。采购人不接受具有附加条件的报价。</w:t>
      </w:r>
    </w:p>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362" w:name="_Toc515647771"/>
      <w:bookmarkStart w:id="363" w:name="_Toc21664"/>
      <w:bookmarkStart w:id="364" w:name="_Toc24283"/>
      <w:bookmarkStart w:id="365" w:name="_Toc12354"/>
      <w:bookmarkStart w:id="366" w:name="_Toc18556"/>
      <w:bookmarkStart w:id="367" w:name="_Toc5799"/>
      <w:bookmarkStart w:id="368" w:name="_Toc11514"/>
      <w:bookmarkStart w:id="369" w:name="_Toc30071"/>
      <w:bookmarkStart w:id="370" w:name="_Ref467306513"/>
      <w:bookmarkStart w:id="371" w:name="_Toc21776"/>
      <w:bookmarkStart w:id="372" w:name="_Toc14189"/>
      <w:bookmarkStart w:id="373" w:name="_Toc17788"/>
      <w:bookmarkStart w:id="374" w:name="_Toc21719"/>
      <w:bookmarkStart w:id="375" w:name="_Toc28149"/>
      <w:bookmarkStart w:id="376" w:name="_Toc25003"/>
      <w:bookmarkStart w:id="377" w:name="_Toc520356156"/>
      <w:bookmarkStart w:id="378" w:name="_Toc15349"/>
      <w:bookmarkStart w:id="379" w:name="_Toc28730"/>
      <w:bookmarkStart w:id="380" w:name="_Toc30780"/>
      <w:bookmarkStart w:id="381" w:name="_Toc30245"/>
      <w:bookmarkStart w:id="382" w:name="_Toc29987"/>
      <w:bookmarkStart w:id="383" w:name="_Toc23666"/>
      <w:bookmarkStart w:id="384" w:name="_Toc13010"/>
      <w:bookmarkStart w:id="385" w:name="_Toc23784"/>
      <w:bookmarkStart w:id="386" w:name="_Toc7732"/>
      <w:bookmarkStart w:id="387" w:name="_Toc10329"/>
      <w:bookmarkStart w:id="388" w:name="_Toc5648"/>
      <w:bookmarkStart w:id="389" w:name="_Toc1683"/>
      <w:bookmarkStart w:id="390" w:name="_Toc3670"/>
      <w:bookmarkStart w:id="391" w:name="_Toc22618"/>
      <w:r>
        <w:rPr>
          <w:rFonts w:hint="eastAsia" w:ascii="宋体" w:hAnsi="宋体" w:eastAsia="宋体" w:cs="宋体"/>
          <w:b/>
          <w:bCs/>
          <w:color w:val="000000" w:themeColor="text1"/>
          <w:sz w:val="24"/>
          <w:szCs w:val="24"/>
          <w:highlight w:val="none"/>
          <w:u w:val="none"/>
          <w14:textFill>
            <w14:solidFill>
              <w14:schemeClr w14:val="tx1"/>
            </w14:solidFill>
          </w14:textFill>
        </w:rPr>
        <w:t>投标保证金</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92" w:name="_Ref467306302"/>
      <w:r>
        <w:rPr>
          <w:rFonts w:hint="eastAsia" w:ascii="宋体" w:hAnsi="宋体" w:eastAsia="宋体" w:cs="宋体"/>
          <w:color w:val="000000" w:themeColor="text1"/>
          <w:sz w:val="24"/>
          <w:szCs w:val="24"/>
          <w:highlight w:val="none"/>
          <w14:textFill>
            <w14:solidFill>
              <w14:schemeClr w14:val="tx1"/>
            </w14:solidFill>
          </w14:textFill>
        </w:rPr>
        <w:t>12.1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应提交</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中规定的投标保证金</w:t>
      </w:r>
      <w:bookmarkEnd w:id="392"/>
      <w:r>
        <w:rPr>
          <w:rFonts w:hint="eastAsia" w:ascii="宋体" w:hAnsi="宋体" w:eastAsia="宋体" w:cs="宋体"/>
          <w:color w:val="000000" w:themeColor="text1"/>
          <w:sz w:val="24"/>
          <w:szCs w:val="24"/>
          <w:highlight w:val="none"/>
          <w14:textFill>
            <w14:solidFill>
              <w14:schemeClr w14:val="tx1"/>
            </w14:solidFill>
          </w14:textFill>
        </w:rPr>
        <w:t>，并作为其投标的一部分。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存在下列情形的，投标保证金不予退还：</w:t>
      </w:r>
    </w:p>
    <w:p>
      <w:pPr>
        <w:pStyle w:val="19"/>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（1）在投标有效期内，撤销投标的；</w:t>
      </w:r>
    </w:p>
    <w:p>
      <w:pPr>
        <w:pStyle w:val="19"/>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（2）中标后不按本须知第30条的规定与采购人签订合同的；</w:t>
      </w:r>
    </w:p>
    <w:p>
      <w:pPr>
        <w:pStyle w:val="19"/>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（3）中标后不按本须知第31条的规定提交履约保证金的；</w:t>
      </w:r>
    </w:p>
    <w:p>
      <w:pPr>
        <w:pStyle w:val="19"/>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（4）中标后不按本须知第32条的规定缴纳中标服务费的；</w:t>
      </w:r>
    </w:p>
    <w:p>
      <w:pPr>
        <w:pStyle w:val="19"/>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（5）存在其他违法违规行为的。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93" w:name="_Ref467306336"/>
      <w:r>
        <w:rPr>
          <w:rFonts w:hint="eastAsia" w:ascii="宋体" w:hAnsi="宋体" w:eastAsia="宋体" w:cs="宋体"/>
          <w:color w:val="000000" w:themeColor="text1"/>
          <w:sz w:val="24"/>
          <w:szCs w:val="24"/>
          <w:highlight w:val="none"/>
          <w14:textFill>
            <w14:solidFill>
              <w14:schemeClr w14:val="tx1"/>
            </w14:solidFill>
          </w14:textFill>
        </w:rPr>
        <w:t>12.3</w:t>
      </w:r>
      <w:r>
        <w:rPr>
          <w:rFonts w:hint="eastAsia" w:ascii="宋体" w:hAnsi="宋体" w:eastAsia="宋体" w:cs="宋体"/>
          <w:color w:val="000000" w:themeColor="text1"/>
          <w:sz w:val="24"/>
          <w:szCs w:val="24"/>
          <w:highlight w:val="none"/>
          <w14:textFill>
            <w14:solidFill>
              <w14:schemeClr w14:val="tx1"/>
            </w14:solidFill>
          </w14:textFill>
        </w:rPr>
        <w:tab/>
      </w:r>
      <w:bookmarkEnd w:id="393"/>
      <w:r>
        <w:rPr>
          <w:rFonts w:hint="eastAsia" w:ascii="宋体" w:hAnsi="宋体" w:eastAsia="宋体" w:cs="宋体"/>
          <w:color w:val="000000" w:themeColor="text1"/>
          <w:sz w:val="24"/>
          <w:szCs w:val="24"/>
          <w:highlight w:val="none"/>
          <w14:textFill>
            <w14:solidFill>
              <w14:schemeClr w14:val="tx1"/>
            </w14:solidFill>
          </w14:textFill>
        </w:rPr>
        <w:t>政府采购信用担保试点范围内的项目，接受符合财政部门规定的政府采购投标担</w:t>
      </w:r>
      <w:r>
        <w:rPr>
          <w:rFonts w:hint="eastAsia" w:ascii="宋体" w:hAnsi="宋体" w:cs="宋体"/>
          <w:color w:val="000000" w:themeColor="text1"/>
          <w:sz w:val="24"/>
          <w:szCs w:val="24"/>
          <w:highlight w:val="none"/>
          <w:lang w:eastAsia="zh-CN"/>
          <w14:textFill>
            <w14:solidFill>
              <w14:schemeClr w14:val="tx1"/>
            </w14:solidFill>
          </w14:textFill>
        </w:rPr>
        <w:t>保</w:t>
      </w:r>
      <w:r>
        <w:rPr>
          <w:rFonts w:hint="eastAsia" w:ascii="宋体" w:hAnsi="宋体" w:eastAsia="宋体" w:cs="宋体"/>
          <w:color w:val="000000" w:themeColor="text1"/>
          <w:sz w:val="24"/>
          <w:szCs w:val="24"/>
          <w:highlight w:val="none"/>
          <w:lang w:eastAsia="zh-CN"/>
          <w14:textFill>
            <w14:solidFill>
              <w14:schemeClr w14:val="tx1"/>
            </w14:solidFill>
          </w14:textFill>
        </w:rPr>
        <w:t>开户行银行保函</w:t>
      </w:r>
      <w:r>
        <w:rPr>
          <w:rFonts w:hint="eastAsia" w:ascii="宋体" w:hAnsi="宋体" w:eastAsia="宋体" w:cs="宋体"/>
          <w:color w:val="000000" w:themeColor="text1"/>
          <w:sz w:val="24"/>
          <w:szCs w:val="24"/>
          <w:highlight w:val="none"/>
          <w14:textFill>
            <w14:solidFill>
              <w14:schemeClr w14:val="tx1"/>
            </w14:solidFill>
          </w14:textFill>
        </w:rPr>
        <w:t>原件。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未按本须知第12.1和12.3条规定提交投标保证金的，其投标将被认定为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12.4.1  采用电汇形式的，一般可以实时入账。</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12.4.2  采用支票形式的，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未及时提交支票或支票不符合银行委托收款要求（如污损、折叠、胶装等），导致投标保证金不能按时进入指定账户的，将按照招标文件的第22.2条相关规定处理。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12.5   联合体投标的，可以由联合体中的一方或者共同提交投标保证金。以一方名义提交投标保证金的，对联合体各方均具有约束力。</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投标保证金的退还</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12.6.1  </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应在与采购人签订合同之日起5个工作日内，及时联系保证金收受机构办理投标保证金无息退还手续。</w:t>
      </w:r>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12.6.2  未中标</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的投标保证金将在中标通知书发出之日暨中标结果公告公布之日起5个工作日内无息退还。</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应及时联系保证金收受机构办理退还投标保证金手续。</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12.6.3  政府采购投标担</w:t>
      </w:r>
      <w:r>
        <w:rPr>
          <w:rFonts w:hint="eastAsia" w:ascii="宋体" w:hAnsi="宋体" w:eastAsia="宋体" w:cs="宋体"/>
          <w:color w:val="000000" w:themeColor="text1"/>
          <w:sz w:val="24"/>
          <w:szCs w:val="24"/>
          <w:highlight w:val="none"/>
          <w:lang w:eastAsia="zh-CN"/>
          <w14:textFill>
            <w14:solidFill>
              <w14:schemeClr w14:val="tx1"/>
            </w14:solidFill>
          </w14:textFill>
        </w:rPr>
        <w:t>开户行银行保函</w:t>
      </w:r>
      <w:r>
        <w:rPr>
          <w:rFonts w:hint="eastAsia" w:ascii="宋体" w:hAnsi="宋体" w:eastAsia="宋体" w:cs="宋体"/>
          <w:color w:val="000000" w:themeColor="text1"/>
          <w:sz w:val="24"/>
          <w:szCs w:val="24"/>
          <w:highlight w:val="none"/>
          <w14:textFill>
            <w14:solidFill>
              <w14:schemeClr w14:val="tx1"/>
            </w14:solidFill>
          </w14:textFill>
        </w:rPr>
        <w:t>不予退回。</w:t>
      </w:r>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12.7    因</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自身原因导致无法及时退还的，采购人或采购代理机构将不承担相应责任。</w:t>
      </w:r>
    </w:p>
    <w:p>
      <w:pPr>
        <w:pStyle w:val="4"/>
        <w:pageBreakBefore w:val="0"/>
        <w:widowControl w:val="0"/>
        <w:numPr>
          <w:ilvl w:val="0"/>
          <w:numId w:val="1"/>
        </w:numPr>
        <w:kinsoku/>
        <w:wordWrap/>
        <w:overflowPunct/>
        <w:topLinePunct w:val="0"/>
        <w:bidi w:val="0"/>
        <w:spacing w:before="0" w:after="0" w:line="360" w:lineRule="exact"/>
        <w:ind w:left="0" w:leftChars="0"/>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394" w:name="_Toc17927"/>
      <w:bookmarkStart w:id="395" w:name="_Toc1255"/>
      <w:bookmarkStart w:id="396" w:name="_Toc12947"/>
      <w:bookmarkStart w:id="397" w:name="_Toc17857"/>
      <w:bookmarkStart w:id="398" w:name="_Toc515647772"/>
      <w:bookmarkStart w:id="399" w:name="_Toc7349"/>
      <w:bookmarkStart w:id="400" w:name="_Toc1719"/>
      <w:bookmarkStart w:id="401" w:name="_Toc30519"/>
      <w:bookmarkStart w:id="402" w:name="_Toc4526"/>
      <w:bookmarkStart w:id="403" w:name="_Toc9333"/>
      <w:bookmarkStart w:id="404" w:name="_Toc25261"/>
      <w:bookmarkStart w:id="405" w:name="_Toc520356157"/>
      <w:bookmarkStart w:id="406" w:name="_Toc11132"/>
      <w:bookmarkStart w:id="407" w:name="_Toc10480"/>
      <w:bookmarkStart w:id="408" w:name="_Toc13507"/>
      <w:bookmarkStart w:id="409" w:name="_Toc32477"/>
      <w:bookmarkStart w:id="410" w:name="_Toc32569"/>
      <w:bookmarkStart w:id="411" w:name="_Toc31306"/>
      <w:bookmarkStart w:id="412" w:name="_Toc19152"/>
      <w:bookmarkStart w:id="413" w:name="_Toc3015"/>
      <w:bookmarkStart w:id="414" w:name="_Toc27999"/>
      <w:bookmarkStart w:id="415" w:name="_Toc12620"/>
      <w:bookmarkStart w:id="416" w:name="_Toc23590"/>
      <w:bookmarkStart w:id="417" w:name="_Toc28650"/>
      <w:bookmarkStart w:id="418" w:name="_Toc19931"/>
      <w:bookmarkStart w:id="419" w:name="_Toc5678"/>
      <w:bookmarkStart w:id="420" w:name="_Toc14584"/>
      <w:bookmarkStart w:id="421" w:name="_Toc27201"/>
      <w:bookmarkStart w:id="422" w:name="_Toc23657"/>
      <w:r>
        <w:rPr>
          <w:rFonts w:hint="eastAsia" w:ascii="宋体" w:hAnsi="宋体" w:eastAsia="宋体" w:cs="宋体"/>
          <w:b/>
          <w:bCs/>
          <w:color w:val="000000" w:themeColor="text1"/>
          <w:sz w:val="24"/>
          <w:szCs w:val="24"/>
          <w:highlight w:val="none"/>
          <w:u w:val="none"/>
          <w14:textFill>
            <w14:solidFill>
              <w14:schemeClr w14:val="tx1"/>
            </w14:solidFill>
          </w14:textFill>
        </w:rPr>
        <w:t>投标有效期</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投标应在</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中规定时间内保持有效。投标有效期不满足要求的投标，其投标将被认定为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为保证有充分时间签订合同，采购人或采购代理机构可根据实际情况，在原投标有效期截止之前，要求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延长投标文件的有效期。接受该要求的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将不会被要求和允许修正其投标，且本须知中有关投标保证金的要求须在延长的有效期内继续有效。</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可以拒绝延长投标有效期的要求，其投标保证金将及时无息退还。上述要求和答复都应以书面形式提交。</w:t>
      </w:r>
    </w:p>
    <w:p>
      <w:pPr>
        <w:numPr>
          <w:ilvl w:val="0"/>
          <w:numId w:val="0"/>
        </w:numPr>
        <w:shd w:val="clear"/>
        <w:spacing w:line="360" w:lineRule="exact"/>
        <w:outlineLvl w:val="2"/>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423" w:name="_Toc520356158"/>
      <w:bookmarkStart w:id="424" w:name="_Toc10391"/>
      <w:bookmarkStart w:id="425" w:name="_Toc3558"/>
      <w:bookmarkStart w:id="426" w:name="_Toc12276"/>
      <w:bookmarkStart w:id="427" w:name="_Toc17074"/>
      <w:bookmarkStart w:id="428" w:name="_Toc493"/>
      <w:bookmarkStart w:id="429" w:name="_Toc18546"/>
      <w:bookmarkStart w:id="430" w:name="_Toc5874"/>
      <w:bookmarkStart w:id="431" w:name="_Toc30127"/>
      <w:bookmarkStart w:id="432" w:name="_Toc6286"/>
      <w:bookmarkStart w:id="433" w:name="_Toc4425"/>
      <w:bookmarkStart w:id="434" w:name="_Toc9672"/>
      <w:bookmarkStart w:id="435" w:name="_Toc515647773"/>
      <w:bookmarkStart w:id="436" w:name="_Toc1080"/>
      <w:bookmarkStart w:id="437" w:name="_Toc31098"/>
      <w:bookmarkStart w:id="438" w:name="_Toc24787"/>
      <w:bookmarkStart w:id="439" w:name="_Toc21504"/>
      <w:bookmarkStart w:id="440" w:name="_Toc12203"/>
      <w:bookmarkStart w:id="441" w:name="_Toc29619"/>
      <w:bookmarkStart w:id="442" w:name="_Toc11669"/>
      <w:bookmarkStart w:id="443" w:name="_Toc16503"/>
      <w:bookmarkStart w:id="444" w:name="_Toc11769"/>
      <w:bookmarkStart w:id="445" w:name="_Toc17067"/>
      <w:bookmarkStart w:id="446" w:name="_Toc12268"/>
      <w:bookmarkStart w:id="447" w:name="_Toc30030"/>
      <w:r>
        <w:rPr>
          <w:rFonts w:hint="eastAsia" w:ascii="宋体" w:hAnsi="宋体" w:cs="宋体"/>
          <w:b/>
          <w:bCs/>
          <w:color w:val="000000" w:themeColor="text1"/>
          <w:sz w:val="24"/>
          <w:szCs w:val="24"/>
          <w:highlight w:val="none"/>
          <w:u w:val="none"/>
          <w:lang w:val="en-US" w:eastAsia="zh-CN"/>
          <w14:textFill>
            <w14:solidFill>
              <w14:schemeClr w14:val="tx1"/>
            </w14:solidFill>
          </w14:textFill>
        </w:rPr>
        <w:t>14.</w:t>
      </w:r>
      <w:r>
        <w:rPr>
          <w:rFonts w:hint="eastAsia" w:ascii="宋体" w:hAnsi="宋体" w:eastAsia="宋体" w:cs="宋体"/>
          <w:b/>
          <w:bCs/>
          <w:color w:val="000000" w:themeColor="text1"/>
          <w:sz w:val="24"/>
          <w:szCs w:val="24"/>
          <w:highlight w:val="none"/>
          <w:u w:val="none"/>
          <w14:textFill>
            <w14:solidFill>
              <w14:schemeClr w14:val="tx1"/>
            </w14:solidFill>
          </w14:textFill>
        </w:rPr>
        <w:t>投标文件的签署</w:t>
      </w:r>
      <w:bookmarkEnd w:id="423"/>
      <w:r>
        <w:rPr>
          <w:rFonts w:hint="eastAsia" w:ascii="宋体" w:hAnsi="宋体" w:eastAsia="宋体" w:cs="宋体"/>
          <w:b/>
          <w:bCs/>
          <w:color w:val="000000" w:themeColor="text1"/>
          <w:sz w:val="24"/>
          <w:szCs w:val="24"/>
          <w:highlight w:val="none"/>
          <w:u w:val="none"/>
          <w14:textFill>
            <w14:solidFill>
              <w14:schemeClr w14:val="tx1"/>
            </w14:solidFill>
          </w14:textFill>
        </w:rPr>
        <w:t>及规定</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hint="eastAsia" w:ascii="宋体" w:hAnsi="宋体" w:eastAsia="宋体" w:cs="宋体"/>
          <w:b/>
          <w:i w:val="0"/>
          <w:caps w:val="0"/>
          <w:color w:val="000000" w:themeColor="text1"/>
          <w:spacing w:val="0"/>
          <w:w w:val="100"/>
          <w:sz w:val="24"/>
          <w:highlight w:val="none"/>
          <w:u w:val="single" w:color="000000"/>
          <w:lang w:val="en-US" w:eastAsia="zh-CN"/>
          <w14:textFill>
            <w14:solidFill>
              <w14:schemeClr w14:val="tx1"/>
            </w14:solidFill>
          </w14:textFill>
        </w:rPr>
        <w:t>（中标供应商在招标结束后三天内邮寄投标文件）</w:t>
      </w:r>
      <w:bookmarkEnd w:id="444"/>
      <w:bookmarkEnd w:id="445"/>
      <w:bookmarkEnd w:id="446"/>
      <w:bookmarkEnd w:id="447"/>
    </w:p>
    <w:p>
      <w:pPr>
        <w:pageBreakBefore w:val="0"/>
        <w:shd w:val="clear"/>
        <w:kinsoku/>
        <w:wordWrap/>
        <w:overflowPunct/>
        <w:topLinePunct w:val="0"/>
        <w:bidi w:val="0"/>
        <w:spacing w:line="360" w:lineRule="exact"/>
        <w:ind w:left="900" w:hanging="900" w:hangingChars="3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供应商应按供应商须知资料表中的规定，准备和递交</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shd w:val="clear"/>
        <w:kinsoku/>
        <w:wordWrap/>
        <w:overflowPunct/>
        <w:topLinePunct w:val="0"/>
        <w:bidi w:val="0"/>
        <w:spacing w:line="360" w:lineRule="exact"/>
        <w:ind w:left="900" w:hanging="900" w:hangingChars="3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的正本需打印或用不褪色墨水书写，并由供应商的法定代表人或经其正式委托代理人按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规定在</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上签字或盖章并加盖单位</w:t>
      </w:r>
      <w:r>
        <w:rPr>
          <w:rFonts w:hint="eastAsia" w:ascii="宋体" w:hAnsi="宋体" w:cs="宋体"/>
          <w:color w:val="000000" w:themeColor="text1"/>
          <w:sz w:val="24"/>
          <w:szCs w:val="24"/>
          <w:highlight w:val="none"/>
          <w:lang w:val="en-US" w:eastAsia="zh-CN"/>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。委托代理人须持有书面的“法定代表人授权委托书”，并将其附在</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中。如对</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进行了修改，则应由供应商的法定代表人或其委托代理人在每一修改处签字。</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的副本可采用正本的复印件。</w:t>
      </w:r>
    </w:p>
    <w:p>
      <w:pPr>
        <w:keepNext w:val="0"/>
        <w:keepLines w:val="0"/>
        <w:pageBreakBefore w:val="0"/>
        <w:widowControl w:val="0"/>
        <w:shd w:val="clear"/>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14.3   </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因字迹潦草、表达不清或装订不当所引起的后果由供应商负责。</w:t>
      </w:r>
      <w:bookmarkStart w:id="448" w:name="_Toc216582808"/>
      <w:bookmarkStart w:id="449" w:name="_Toc16865"/>
      <w:bookmarkStart w:id="450" w:name="_Toc11179"/>
      <w:bookmarkStart w:id="451" w:name="_Toc520356159"/>
      <w:bookmarkStart w:id="452" w:name="_Toc515647774"/>
    </w:p>
    <w:p>
      <w:pPr>
        <w:pStyle w:val="26"/>
        <w:pageBreakBefore w:val="0"/>
        <w:kinsoku/>
        <w:wordWrap/>
        <w:overflowPunct/>
        <w:topLinePunct w:val="0"/>
        <w:bidi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pPr>
        <w:pStyle w:val="3"/>
        <w:pageBreakBefore w:val="0"/>
        <w:shd w:val="clear"/>
        <w:kinsoku/>
        <w:wordWrap/>
        <w:overflowPunct/>
        <w:topLinePunct w:val="0"/>
        <w:bidi w:val="0"/>
        <w:spacing w:before="0" w:line="360" w:lineRule="exact"/>
        <w:ind w:hanging="540"/>
        <w:rPr>
          <w:rFonts w:hint="eastAsia" w:ascii="宋体" w:hAnsi="宋体" w:eastAsia="宋体" w:cs="宋体"/>
          <w:color w:val="000000" w:themeColor="text1"/>
          <w:sz w:val="24"/>
          <w:szCs w:val="24"/>
          <w:highlight w:val="none"/>
          <w14:textFill>
            <w14:solidFill>
              <w14:schemeClr w14:val="tx1"/>
            </w14:solidFill>
          </w14:textFill>
        </w:rPr>
      </w:pPr>
      <w:bookmarkStart w:id="453" w:name="_Toc6695"/>
      <w:bookmarkStart w:id="454" w:name="_Toc25125"/>
      <w:bookmarkStart w:id="455" w:name="_Toc30935"/>
      <w:r>
        <w:rPr>
          <w:rFonts w:hint="eastAsia" w:ascii="宋体" w:hAnsi="宋体" w:eastAsia="宋体" w:cs="宋体"/>
          <w:color w:val="000000" w:themeColor="text1"/>
          <w:sz w:val="24"/>
          <w:szCs w:val="24"/>
          <w:highlight w:val="none"/>
          <w14:textFill>
            <w14:solidFill>
              <w14:schemeClr w14:val="tx1"/>
            </w14:solidFill>
          </w14:textFill>
        </w:rPr>
        <w:t>四   投标文件的递交</w:t>
      </w:r>
      <w:bookmarkEnd w:id="448"/>
      <w:bookmarkEnd w:id="449"/>
      <w:bookmarkEnd w:id="450"/>
      <w:bookmarkEnd w:id="451"/>
      <w:bookmarkEnd w:id="452"/>
      <w:bookmarkEnd w:id="453"/>
      <w:bookmarkEnd w:id="454"/>
      <w:bookmarkEnd w:id="455"/>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bookmarkStart w:id="456" w:name="_Toc14788"/>
      <w:bookmarkStart w:id="457" w:name="_Toc24289"/>
      <w:bookmarkStart w:id="458" w:name="_Toc19259"/>
      <w:bookmarkStart w:id="459" w:name="_Toc801"/>
      <w:bookmarkStart w:id="460" w:name="_Toc17407"/>
      <w:bookmarkStart w:id="461" w:name="_Toc17213"/>
      <w:bookmarkStart w:id="462" w:name="_Toc7981"/>
      <w:bookmarkStart w:id="463" w:name="_Toc9826"/>
      <w:bookmarkStart w:id="464" w:name="_Toc14741"/>
      <w:bookmarkStart w:id="465" w:name="_Toc27360"/>
      <w:bookmarkStart w:id="466" w:name="_Toc27614"/>
      <w:r>
        <w:rPr>
          <w:rFonts w:hint="eastAsia" w:hAnsi="宋体" w:cs="宋体"/>
          <w:b/>
          <w:bCs/>
          <w:color w:val="000000" w:themeColor="text1"/>
          <w:sz w:val="24"/>
          <w:szCs w:val="24"/>
          <w:highlight w:val="none"/>
          <w:u w:val="none"/>
          <w:lang w:val="en-US" w:eastAsia="zh-CN"/>
          <w14:textFill>
            <w14:solidFill>
              <w14:schemeClr w14:val="tx1"/>
            </w14:solidFill>
          </w14:textFill>
        </w:rPr>
        <w:t>15.</w:t>
      </w:r>
      <w:r>
        <w:rPr>
          <w:rFonts w:hint="eastAsia" w:ascii="宋体" w:hAnsi="宋体" w:eastAsia="宋体" w:cs="宋体"/>
          <w:b/>
          <w:bCs/>
          <w:color w:val="000000" w:themeColor="text1"/>
          <w:sz w:val="24"/>
          <w:szCs w:val="24"/>
          <w:highlight w:val="none"/>
          <w:u w:val="none"/>
          <w:lang w:eastAsia="zh-CN"/>
          <w14:textFill>
            <w14:solidFill>
              <w14:schemeClr w14:val="tx1"/>
            </w14:solidFill>
          </w14:textFill>
        </w:rPr>
        <w:t>投标文件</w:t>
      </w:r>
      <w:r>
        <w:rPr>
          <w:rFonts w:hint="eastAsia" w:ascii="宋体" w:hAnsi="宋体" w:eastAsia="宋体" w:cs="宋体"/>
          <w:b/>
          <w:bCs/>
          <w:color w:val="000000" w:themeColor="text1"/>
          <w:sz w:val="24"/>
          <w:szCs w:val="24"/>
          <w:highlight w:val="none"/>
          <w:u w:val="none"/>
          <w14:textFill>
            <w14:solidFill>
              <w14:schemeClr w14:val="tx1"/>
            </w14:solidFill>
          </w14:textFill>
        </w:rPr>
        <w:t>的密封和标记</w:t>
      </w:r>
      <w:bookmarkEnd w:id="456"/>
      <w:bookmarkEnd w:id="457"/>
      <w:bookmarkEnd w:id="458"/>
      <w:bookmarkEnd w:id="459"/>
      <w:bookmarkEnd w:id="460"/>
      <w:bookmarkEnd w:id="461"/>
      <w:bookmarkEnd w:id="462"/>
      <w:r>
        <w:rPr>
          <w:rFonts w:hint="eastAsia" w:ascii="宋体" w:hAnsi="宋体" w:eastAsia="宋体" w:cs="宋体"/>
          <w:b/>
          <w:i w:val="0"/>
          <w:caps w:val="0"/>
          <w:color w:val="000000" w:themeColor="text1"/>
          <w:spacing w:val="0"/>
          <w:w w:val="100"/>
          <w:sz w:val="24"/>
          <w:highlight w:val="none"/>
          <w:u w:val="single" w:color="000000"/>
          <w:lang w:val="en-US" w:eastAsia="zh-CN"/>
          <w14:textFill>
            <w14:solidFill>
              <w14:schemeClr w14:val="tx1"/>
            </w14:solidFill>
          </w14:textFill>
        </w:rPr>
        <w:t>（中标供应商在招标结束后三天内邮寄投标文件）</w:t>
      </w:r>
      <w:bookmarkEnd w:id="463"/>
      <w:bookmarkEnd w:id="464"/>
      <w:bookmarkEnd w:id="465"/>
      <w:bookmarkEnd w:id="466"/>
    </w:p>
    <w:p>
      <w:pPr>
        <w:pageBreakBefore w:val="0"/>
        <w:shd w:val="clear"/>
        <w:kinsoku/>
        <w:wordWrap/>
        <w:overflowPunct/>
        <w:topLinePunct w:val="0"/>
        <w:bidi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  为方便开启，供应商应将</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第一部分和第二部分的内容合并装订成一册，密封提交，并在封皮正面标明“</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”字样。</w:t>
      </w:r>
    </w:p>
    <w:p>
      <w:pPr>
        <w:pageBreakBefore w:val="0"/>
        <w:shd w:val="clear"/>
        <w:kinsoku/>
        <w:wordWrap/>
        <w:overflowPunct/>
        <w:topLinePunct w:val="0"/>
        <w:bidi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   如果供应商未按上述要求标记的，将承担相应的后果。</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467" w:name="_Toc28578"/>
      <w:bookmarkStart w:id="468" w:name="_Toc5284"/>
      <w:bookmarkStart w:id="469" w:name="_Toc20806"/>
      <w:bookmarkStart w:id="470" w:name="_Toc9344"/>
      <w:bookmarkStart w:id="471" w:name="_Toc6497"/>
      <w:bookmarkStart w:id="472" w:name="_Toc5224"/>
      <w:bookmarkStart w:id="473" w:name="_Toc31786"/>
      <w:bookmarkStart w:id="474" w:name="_Toc27812"/>
      <w:bookmarkStart w:id="475" w:name="_Toc15282"/>
      <w:bookmarkStart w:id="476" w:name="_Toc4805"/>
      <w:bookmarkStart w:id="477" w:name="_Toc30456"/>
      <w:r>
        <w:rPr>
          <w:rFonts w:hint="eastAsia" w:hAnsi="宋体" w:cs="宋体"/>
          <w:b/>
          <w:bCs/>
          <w:color w:val="000000" w:themeColor="text1"/>
          <w:sz w:val="24"/>
          <w:szCs w:val="24"/>
          <w:highlight w:val="none"/>
          <w:u w:val="none"/>
          <w:lang w:val="en-US" w:eastAsia="zh-CN"/>
          <w14:textFill>
            <w14:solidFill>
              <w14:schemeClr w14:val="tx1"/>
            </w14:solidFill>
          </w14:textFill>
        </w:rPr>
        <w:t>16.</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投标</w:t>
      </w:r>
      <w:r>
        <w:rPr>
          <w:rFonts w:hint="eastAsia" w:ascii="宋体" w:hAnsi="宋体" w:eastAsia="宋体" w:cs="宋体"/>
          <w:b/>
          <w:bCs/>
          <w:color w:val="000000" w:themeColor="text1"/>
          <w:sz w:val="24"/>
          <w:szCs w:val="24"/>
          <w:highlight w:val="none"/>
          <w:u w:val="none"/>
          <w14:textFill>
            <w14:solidFill>
              <w14:schemeClr w14:val="tx1"/>
            </w14:solidFill>
          </w14:textFill>
        </w:rPr>
        <w:t>截止</w:t>
      </w:r>
      <w:bookmarkEnd w:id="467"/>
      <w:bookmarkEnd w:id="468"/>
      <w:bookmarkEnd w:id="469"/>
      <w:bookmarkEnd w:id="470"/>
      <w:bookmarkEnd w:id="471"/>
      <w:bookmarkEnd w:id="472"/>
      <w:bookmarkEnd w:id="473"/>
      <w:bookmarkEnd w:id="474"/>
      <w:bookmarkEnd w:id="475"/>
      <w:bookmarkEnd w:id="476"/>
      <w:bookmarkEnd w:id="477"/>
    </w:p>
    <w:p>
      <w:pPr>
        <w:pageBreakBefore w:val="0"/>
        <w:shd w:val="clear"/>
        <w:kinsoku/>
        <w:wordWrap/>
        <w:overflowPunct/>
        <w:topLinePunct w:val="0"/>
        <w:bidi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供应商应在供应商须知资料表中规定的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截止时间前，将</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上传到</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14:textFill>
            <w14:solidFill>
              <w14:schemeClr w14:val="tx1"/>
            </w14:solidFill>
          </w14:textFill>
        </w:rPr>
        <w:t>公告中规定的地点。</w:t>
      </w:r>
    </w:p>
    <w:p>
      <w:pPr>
        <w:pageBreakBefore w:val="0"/>
        <w:shd w:val="clear"/>
        <w:kinsoku/>
        <w:wordWrap/>
        <w:overflowPunct/>
        <w:topLinePunct w:val="0"/>
        <w:bidi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采购人和采购代理机构有权按本须知的规定，延迟</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截止时间。在此情况下，采购人、采购代理机构和供应商受</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截止时间制约的所有权利和义务均应延长至新的截止时间。</w:t>
      </w:r>
    </w:p>
    <w:p>
      <w:pPr>
        <w:pageBreakBefore w:val="0"/>
        <w:shd w:val="clear"/>
        <w:kinsoku/>
        <w:wordWrap/>
        <w:overflowPunct/>
        <w:topLinePunct w:val="0"/>
        <w:bidi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采购人和采购代理机构将拒绝接收在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截止时间后上传的</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478" w:name="_Toc10568"/>
      <w:bookmarkStart w:id="479" w:name="_Toc27841"/>
      <w:bookmarkStart w:id="480" w:name="_Toc32019"/>
      <w:bookmarkStart w:id="481" w:name="_Toc3194"/>
      <w:bookmarkStart w:id="482" w:name="_Toc9959"/>
      <w:bookmarkStart w:id="483" w:name="_Toc4342"/>
      <w:bookmarkStart w:id="484" w:name="_Toc31990"/>
      <w:bookmarkStart w:id="485" w:name="_Toc29733"/>
      <w:bookmarkStart w:id="486" w:name="_Toc13257"/>
      <w:bookmarkStart w:id="487" w:name="_Toc23289"/>
      <w:bookmarkStart w:id="488" w:name="_Toc28046"/>
      <w:r>
        <w:rPr>
          <w:rFonts w:hint="eastAsia" w:hAnsi="宋体" w:cs="宋体"/>
          <w:b/>
          <w:bCs/>
          <w:color w:val="000000" w:themeColor="text1"/>
          <w:sz w:val="24"/>
          <w:szCs w:val="24"/>
          <w:highlight w:val="none"/>
          <w:u w:val="none"/>
          <w:lang w:val="en-US" w:eastAsia="zh-CN"/>
          <w14:textFill>
            <w14:solidFill>
              <w14:schemeClr w14:val="tx1"/>
            </w14:solidFill>
          </w14:textFill>
        </w:rPr>
        <w:t>17.</w:t>
      </w:r>
      <w:r>
        <w:rPr>
          <w:rFonts w:hint="eastAsia" w:ascii="宋体" w:hAnsi="宋体" w:eastAsia="宋体" w:cs="宋体"/>
          <w:b/>
          <w:bCs/>
          <w:color w:val="000000" w:themeColor="text1"/>
          <w:sz w:val="24"/>
          <w:szCs w:val="24"/>
          <w:highlight w:val="none"/>
          <w:u w:val="none"/>
          <w:lang w:eastAsia="zh-CN"/>
          <w14:textFill>
            <w14:solidFill>
              <w14:schemeClr w14:val="tx1"/>
            </w14:solidFill>
          </w14:textFill>
        </w:rPr>
        <w:t>投标文件</w:t>
      </w:r>
      <w:r>
        <w:rPr>
          <w:rFonts w:hint="eastAsia" w:ascii="宋体" w:hAnsi="宋体" w:eastAsia="宋体" w:cs="宋体"/>
          <w:b/>
          <w:bCs/>
          <w:color w:val="000000" w:themeColor="text1"/>
          <w:sz w:val="24"/>
          <w:szCs w:val="24"/>
          <w:highlight w:val="none"/>
          <w:u w:val="none"/>
          <w14:textFill>
            <w14:solidFill>
              <w14:schemeClr w14:val="tx1"/>
            </w14:solidFill>
          </w14:textFill>
        </w:rPr>
        <w:t>的接收、修改与撤回</w:t>
      </w:r>
      <w:bookmarkEnd w:id="478"/>
      <w:bookmarkEnd w:id="479"/>
      <w:bookmarkEnd w:id="480"/>
      <w:bookmarkEnd w:id="481"/>
      <w:bookmarkEnd w:id="482"/>
      <w:bookmarkEnd w:id="483"/>
      <w:bookmarkEnd w:id="484"/>
      <w:bookmarkEnd w:id="485"/>
      <w:bookmarkEnd w:id="486"/>
      <w:bookmarkEnd w:id="487"/>
      <w:bookmarkEnd w:id="488"/>
    </w:p>
    <w:p>
      <w:pPr>
        <w:pageBreakBefore w:val="0"/>
        <w:shd w:val="clear"/>
        <w:kinsoku/>
        <w:wordWrap/>
        <w:overflowPunct/>
        <w:topLinePunct w:val="0"/>
        <w:bidi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截止时间后上传的</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的，采购人和采购代理机构将拒绝接收。</w:t>
      </w:r>
    </w:p>
    <w:p>
      <w:pPr>
        <w:pageBreakBefore w:val="0"/>
        <w:shd w:val="clear"/>
        <w:kinsoku/>
        <w:wordWrap/>
        <w:overflowPunct/>
        <w:topLinePunct w:val="0"/>
        <w:bidi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上传</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以后，如果供应商要进行修改或撤回</w:t>
      </w:r>
      <w:r>
        <w:rPr>
          <w:rFonts w:hint="eastAsia" w:ascii="宋体" w:hAnsi="宋体" w:eastAsia="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，供应商对</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的修改或撤回通知应按本须知规定编制、标记。采购人和采购代理机构将予以接收，并视为</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的组成部分。</w:t>
      </w:r>
    </w:p>
    <w:p>
      <w:pPr>
        <w:pageBreakBefore w:val="0"/>
        <w:shd w:val="clear"/>
        <w:kinsoku/>
        <w:wordWrap/>
        <w:overflowPunct/>
        <w:topLinePunct w:val="0"/>
        <w:bidi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截止期之后，采购人和采购代理机构不接受供应商主动对其</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做任何修改。</w:t>
      </w:r>
    </w:p>
    <w:p>
      <w:pPr>
        <w:pageBreakBefore w:val="0"/>
        <w:shd w:val="clear"/>
        <w:kinsoku/>
        <w:wordWrap/>
        <w:overflowPunct/>
        <w:topLinePunct w:val="0"/>
        <w:bidi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采购人和采购代理机构对所接收</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概不退回。</w:t>
      </w:r>
    </w:p>
    <w:p>
      <w:pPr>
        <w:pageBreakBefore w:val="0"/>
        <w:widowControl w:val="0"/>
        <w:kinsoku/>
        <w:wordWrap/>
        <w:overflowPunct/>
        <w:topLinePunct w:val="0"/>
        <w:bidi w:val="0"/>
        <w:spacing w:before="0" w:line="360" w:lineRule="exact"/>
        <w:ind w:left="0" w:leftChars="0" w:hanging="54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bookmarkStart w:id="489" w:name="_Toc515647778"/>
      <w:bookmarkStart w:id="490" w:name="_Toc520356163"/>
      <w:bookmarkStart w:id="491" w:name="_Toc28398"/>
      <w:bookmarkStart w:id="492" w:name="_Toc7470"/>
      <w:bookmarkStart w:id="493" w:name="_Toc216582809"/>
      <w:bookmarkStart w:id="494" w:name="_Toc12436"/>
    </w:p>
    <w:p>
      <w:pPr>
        <w:pStyle w:val="3"/>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95" w:name="_Toc23444"/>
      <w:r>
        <w:rPr>
          <w:rFonts w:hint="eastAsia" w:ascii="宋体" w:hAnsi="宋体" w:eastAsia="宋体" w:cs="宋体"/>
          <w:color w:val="000000" w:themeColor="text1"/>
          <w:sz w:val="24"/>
          <w:szCs w:val="24"/>
          <w:highlight w:val="none"/>
          <w14:textFill>
            <w14:solidFill>
              <w14:schemeClr w14:val="tx1"/>
            </w14:solidFill>
          </w14:textFill>
        </w:rPr>
        <w:t>五   开标及评标</w:t>
      </w:r>
      <w:bookmarkEnd w:id="489"/>
      <w:bookmarkEnd w:id="490"/>
      <w:bookmarkEnd w:id="491"/>
      <w:bookmarkEnd w:id="492"/>
      <w:bookmarkEnd w:id="493"/>
      <w:bookmarkEnd w:id="494"/>
      <w:bookmarkEnd w:id="495"/>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496" w:name="_Toc32409"/>
      <w:bookmarkStart w:id="497" w:name="_Toc1738"/>
      <w:bookmarkStart w:id="498" w:name="_Toc7880"/>
      <w:bookmarkStart w:id="499" w:name="_Toc23987"/>
      <w:bookmarkStart w:id="500" w:name="_Toc9432"/>
      <w:bookmarkStart w:id="501" w:name="_Toc21418"/>
      <w:bookmarkStart w:id="502" w:name="_Toc23772"/>
      <w:bookmarkStart w:id="503" w:name="_Toc4378"/>
      <w:bookmarkStart w:id="504" w:name="_Toc28057"/>
      <w:bookmarkStart w:id="505" w:name="_Toc515647779"/>
      <w:bookmarkStart w:id="506" w:name="_Toc10643"/>
      <w:bookmarkStart w:id="507" w:name="_Toc2886"/>
      <w:bookmarkStart w:id="508" w:name="_Toc9474"/>
      <w:bookmarkStart w:id="509" w:name="_Toc11726"/>
      <w:bookmarkStart w:id="510" w:name="_Toc10415"/>
      <w:bookmarkStart w:id="511" w:name="_Toc17546"/>
      <w:bookmarkStart w:id="512" w:name="_Toc18405"/>
      <w:bookmarkStart w:id="513" w:name="_Toc4423"/>
      <w:bookmarkStart w:id="514" w:name="_Toc11144"/>
      <w:bookmarkStart w:id="515" w:name="_Toc520356164"/>
      <w:bookmarkStart w:id="516" w:name="_Toc25345"/>
      <w:bookmarkStart w:id="517" w:name="_Toc28596"/>
      <w:bookmarkStart w:id="518" w:name="_Toc7186"/>
      <w:bookmarkStart w:id="519" w:name="_Toc24922"/>
      <w:bookmarkStart w:id="520" w:name="_Toc27842"/>
      <w:bookmarkStart w:id="521" w:name="_Toc4385"/>
      <w:bookmarkStart w:id="522" w:name="_Toc63"/>
      <w:bookmarkStart w:id="523" w:name="_Toc4771"/>
      <w:bookmarkStart w:id="524" w:name="_Toc520356165"/>
      <w:bookmarkStart w:id="525" w:name="_Toc22792"/>
      <w:bookmarkStart w:id="526" w:name="_Toc4063"/>
      <w:bookmarkStart w:id="527" w:name="_Toc515647780"/>
      <w:bookmarkStart w:id="528" w:name="_Toc5052"/>
      <w:bookmarkStart w:id="529" w:name="_Toc10550"/>
      <w:bookmarkStart w:id="530" w:name="_Toc2316"/>
      <w:bookmarkStart w:id="531" w:name="_Toc22770"/>
      <w:bookmarkStart w:id="532" w:name="_Toc16864"/>
      <w:bookmarkStart w:id="533" w:name="_Toc18228"/>
      <w:bookmarkStart w:id="534" w:name="_Toc26266"/>
      <w:bookmarkStart w:id="535" w:name="_Toc21372"/>
      <w:bookmarkStart w:id="536" w:name="_Toc19296"/>
      <w:bookmarkStart w:id="537" w:name="_Toc10746"/>
      <w:bookmarkStart w:id="538" w:name="_Toc21667"/>
      <w:bookmarkStart w:id="539" w:name="_Toc18233"/>
      <w:bookmarkStart w:id="540" w:name="_Toc3080"/>
      <w:bookmarkStart w:id="541" w:name="_Toc28586"/>
      <w:r>
        <w:rPr>
          <w:rFonts w:hint="eastAsia" w:hAnsi="宋体" w:cs="宋体"/>
          <w:b/>
          <w:bCs/>
          <w:color w:val="000000" w:themeColor="text1"/>
          <w:sz w:val="24"/>
          <w:szCs w:val="24"/>
          <w:highlight w:val="none"/>
          <w:u w:val="none"/>
          <w:lang w:val="en-US" w:eastAsia="zh-CN"/>
          <w14:textFill>
            <w14:solidFill>
              <w14:schemeClr w14:val="tx1"/>
            </w14:solidFill>
          </w14:textFill>
        </w:rPr>
        <w:t>18.</w:t>
      </w:r>
      <w:r>
        <w:rPr>
          <w:rFonts w:hint="eastAsia" w:ascii="宋体" w:hAnsi="宋体" w:eastAsia="宋体" w:cs="宋体"/>
          <w:b/>
          <w:bCs/>
          <w:color w:val="000000" w:themeColor="text1"/>
          <w:sz w:val="24"/>
          <w:szCs w:val="24"/>
          <w:highlight w:val="none"/>
          <w:u w:val="none"/>
          <w14:textFill>
            <w14:solidFill>
              <w14:schemeClr w14:val="tx1"/>
            </w14:solidFill>
          </w14:textFill>
        </w:rPr>
        <w:t>开标</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bookmarkEnd w:id="524"/>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000000" w:themeColor="text1"/>
          <w:sz w:val="24"/>
          <w:highlight w:val="none"/>
          <w:lang w:eastAsia="zh-CN"/>
          <w14:textFill>
            <w14:solidFill>
              <w14:schemeClr w14:val="tx1"/>
            </w14:solidFill>
          </w14:textFill>
        </w:rPr>
      </w:pPr>
      <w:bookmarkStart w:id="542" w:name="_Toc13596"/>
      <w:bookmarkStart w:id="543" w:name="_Toc23873"/>
      <w:bookmarkStart w:id="544" w:name="_Toc11617"/>
      <w:bookmarkStart w:id="545" w:name="_Toc24046"/>
      <w:bookmarkStart w:id="546" w:name="_Toc24244"/>
      <w:bookmarkStart w:id="547" w:name="_Toc8996"/>
      <w:bookmarkStart w:id="548" w:name="_Toc1687"/>
      <w:r>
        <w:rPr>
          <w:rFonts w:hint="eastAsia" w:ascii="宋体" w:hAnsi="宋体" w:eastAsia="宋体" w:cs="宋体"/>
          <w:color w:val="000000" w:themeColor="text1"/>
          <w:sz w:val="24"/>
          <w:highlight w:val="none"/>
          <w:lang w:val="en-US" w:eastAsia="zh-CN"/>
          <w14:textFill>
            <w14:solidFill>
              <w14:schemeClr w14:val="tx1"/>
            </w14:solidFill>
          </w14:textFill>
        </w:rPr>
        <w:t>18.1</w:t>
      </w:r>
      <w:r>
        <w:rPr>
          <w:rFonts w:hint="eastAsia" w:ascii="宋体" w:hAnsi="宋体" w:eastAsia="宋体" w:cs="宋体"/>
          <w:color w:val="000000" w:themeColor="text1"/>
          <w:sz w:val="24"/>
          <w:highlight w:val="none"/>
          <w:lang w:eastAsia="zh-CN"/>
          <w14:textFill>
            <w14:solidFill>
              <w14:schemeClr w14:val="tx1"/>
            </w14:solidFill>
          </w14:textFill>
        </w:rPr>
        <w:t>供应商按照须知资料表中规定的开标时间和地点，在规定时间内上传投标文件。</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18.2</w:t>
      </w:r>
      <w:r>
        <w:rPr>
          <w:rFonts w:hint="eastAsia" w:ascii="宋体" w:hAnsi="宋体" w:eastAsia="宋体" w:cs="宋体"/>
          <w:color w:val="000000" w:themeColor="text1"/>
          <w:sz w:val="24"/>
          <w:highlight w:val="none"/>
          <w:lang w:eastAsia="zh-CN"/>
          <w14:textFill>
            <w14:solidFill>
              <w14:schemeClr w14:val="tx1"/>
            </w14:solidFill>
          </w14:textFill>
        </w:rPr>
        <w:t>到投标截止时间，对供应商上传的投标文件进行解密，解密时长为30分钟。供应商须在规定时间内使用CA锁在政采云平台解密，解密失败或未在规定时间内解密，将无法参加下一阶段的</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eastAsia="zh-CN"/>
          <w14:textFill>
            <w14:solidFill>
              <w14:schemeClr w14:val="tx1"/>
            </w14:solidFill>
          </w14:textFill>
        </w:rPr>
        <w:t xml:space="preserve">，将被认定为无效投标。请供应商提前调试好CA锁，确定在操作时能正常使用。  </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18.3</w:t>
      </w:r>
      <w:r>
        <w:rPr>
          <w:rFonts w:hint="eastAsia" w:ascii="宋体" w:hAnsi="宋体" w:eastAsia="宋体" w:cs="宋体"/>
          <w:color w:val="000000" w:themeColor="text1"/>
          <w:sz w:val="24"/>
          <w:highlight w:val="none"/>
          <w:lang w:eastAsia="zh-CN"/>
          <w14:textFill>
            <w14:solidFill>
              <w14:schemeClr w14:val="tx1"/>
            </w14:solidFill>
          </w14:textFill>
        </w:rPr>
        <w:t>在开标记录时，代理机构开启签字时段，须供应商使用CA锁在政采云平台进行签字确认报价。</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18.4</w:t>
      </w:r>
      <w:r>
        <w:rPr>
          <w:rFonts w:hint="eastAsia" w:ascii="宋体" w:hAnsi="宋体" w:eastAsia="宋体" w:cs="宋体"/>
          <w:color w:val="000000" w:themeColor="text1"/>
          <w:sz w:val="24"/>
          <w:highlight w:val="none"/>
          <w:lang w:eastAsia="zh-CN"/>
          <w14:textFill>
            <w14:solidFill>
              <w14:schemeClr w14:val="tx1"/>
            </w14:solidFill>
          </w14:textFill>
        </w:rPr>
        <w:t>采购人登录政采云平台对供应商的资格证明材料进行审查。</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lang w:eastAsia="zh-CN"/>
          <w14:textFill>
            <w14:solidFill>
              <w14:schemeClr w14:val="tx1"/>
            </w14:solidFill>
          </w14:textFill>
        </w:rPr>
      </w:pPr>
      <w:bookmarkStart w:id="549" w:name="_Toc4235"/>
      <w:bookmarkStart w:id="550" w:name="_Toc8611"/>
      <w:bookmarkStart w:id="551" w:name="_Toc6392"/>
      <w:bookmarkStart w:id="552" w:name="_Toc3417"/>
      <w:r>
        <w:rPr>
          <w:rFonts w:hint="eastAsia" w:hAnsi="宋体" w:cs="宋体"/>
          <w:b/>
          <w:bCs/>
          <w:color w:val="000000" w:themeColor="text1"/>
          <w:sz w:val="24"/>
          <w:szCs w:val="24"/>
          <w:highlight w:val="none"/>
          <w:u w:val="none"/>
          <w:lang w:val="en-US" w:eastAsia="zh-CN"/>
          <w14:textFill>
            <w14:solidFill>
              <w14:schemeClr w14:val="tx1"/>
            </w14:solidFill>
          </w14:textFill>
        </w:rPr>
        <w:t>19.</w:t>
      </w:r>
      <w:r>
        <w:rPr>
          <w:rFonts w:hint="eastAsia" w:ascii="宋体" w:hAnsi="宋体" w:eastAsia="宋体" w:cs="宋体"/>
          <w:b/>
          <w:bCs/>
          <w:color w:val="000000" w:themeColor="text1"/>
          <w:sz w:val="24"/>
          <w:szCs w:val="24"/>
          <w:highlight w:val="none"/>
          <w:u w:val="none"/>
          <w:lang w:eastAsia="zh-CN"/>
          <w14:textFill>
            <w14:solidFill>
              <w14:schemeClr w14:val="tx1"/>
            </w14:solidFill>
          </w14:textFill>
        </w:rPr>
        <w:t>资格审查及组建评标委员会</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19.1</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采购人或采购代理机构依据法律法规和招标文件中规定的内容，对供应商及其服务的资格进行审查，本项目审查内容如下：</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18" w:leftChars="342" w:firstLine="0" w:firstLineChars="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14:textFill>
            <w14:solidFill>
              <w14:schemeClr w14:val="tx1"/>
            </w14:solidFill>
          </w14:textFill>
        </w:rPr>
        <w:t>本项目</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资格审查资料须附在投标文件中</w:t>
      </w:r>
      <w:r>
        <w:rPr>
          <w:rFonts w:hint="eastAsia" w:ascii="宋体" w:hAnsi="宋体" w:eastAsia="宋体" w:cs="宋体"/>
          <w:b/>
          <w:bCs/>
          <w:i w:val="0"/>
          <w:caps w:val="0"/>
          <w:color w:val="000000" w:themeColor="text1"/>
          <w:spacing w:val="0"/>
          <w:w w:val="100"/>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（1）</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具有有效的营业执照</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default" w:ascii="宋体" w:hAnsi="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（2）</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医疗器械经营许可证或其他医疗器械生产经营许可证明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（3）</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法定代表人资格证明及授权书、被授权人身份证(法定代表人投标需提供法定代表人身份证)；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4</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提供近两年内任意一年的财务审计报告（新成立未满一年的新公司可提供近三个月内任意一个月的银行资信证明）</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5</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）依法缴纳近六个月内任意一个月</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社会保险证明</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6</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依法缴纳近六个月内任意一个月税收证明</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7</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列入严重违法失信名单（黑名单）信息；将拒绝其参加本次招标活动</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以采购代理机构或采购人查询为准</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8</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9</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）提供针对本次项目的《反商业贿赂承诺书》</w:t>
      </w:r>
      <w:r>
        <w:rPr>
          <w:rFonts w:hint="eastAsia" w:ascii="宋体" w:hAnsi="宋体" w:eastAsia="宋体" w:cs="宋体"/>
          <w:b/>
          <w:bCs/>
          <w:i w:val="0"/>
          <w:caps w:val="0"/>
          <w:color w:val="000000" w:themeColor="text1"/>
          <w:spacing w:val="0"/>
          <w:w w:val="100"/>
          <w:sz w:val="24"/>
          <w:szCs w:val="24"/>
          <w:highlight w:val="none"/>
          <w:lang w:eastAsia="zh-CN"/>
          <w14:textFill>
            <w14:solidFill>
              <w14:schemeClr w14:val="tx1"/>
            </w14:solidFill>
          </w14:textFill>
        </w:rPr>
        <w:t>；</w:t>
      </w:r>
    </w:p>
    <w:p>
      <w:pPr>
        <w:pStyle w:val="26"/>
        <w:pageBreakBefore w:val="0"/>
        <w:kinsoku/>
        <w:wordWrap/>
        <w:overflowPunct/>
        <w:topLinePunct w:val="0"/>
        <w:bidi w:val="0"/>
        <w:spacing w:line="360" w:lineRule="exact"/>
        <w:rPr>
          <w:rFonts w:hint="eastAsia" w:ascii="宋体" w:hAnsi="宋体" w:eastAsia="宋体" w:cs="宋体"/>
          <w:b/>
          <w:bCs/>
          <w:i w:val="0"/>
          <w:caps w:val="0"/>
          <w:color w:val="000000" w:themeColor="text1"/>
          <w:spacing w:val="0"/>
          <w:w w:val="100"/>
          <w:kern w:val="2"/>
          <w:sz w:val="24"/>
          <w:szCs w:val="24"/>
          <w:highlight w:val="none"/>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10</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eastAsia="宋体" w:cs="宋体"/>
          <w:b/>
          <w:bCs/>
          <w:i w:val="0"/>
          <w:caps w:val="0"/>
          <w:color w:val="000000" w:themeColor="text1"/>
          <w:spacing w:val="0"/>
          <w:w w:val="100"/>
          <w:kern w:val="2"/>
          <w:sz w:val="24"/>
          <w:szCs w:val="24"/>
          <w:highlight w:val="none"/>
          <w:lang w:val="en-US" w:eastAsia="zh-CN" w:bidi="ar-SA"/>
          <w14:textFill>
            <w14:solidFill>
              <w14:schemeClr w14:val="tx1"/>
            </w14:solidFill>
          </w14:textFill>
        </w:rPr>
        <w:t>缴纳投标保证金的有效凭证。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14:textFill>
            <w14:solidFill>
              <w14:schemeClr w14:val="tx1"/>
            </w14:solidFill>
          </w14:textFill>
        </w:rPr>
        <w:t>各供应商应注意以下事项：①本项目要求各投标供应商提供“</w:t>
      </w:r>
      <w:r>
        <w:rPr>
          <w:rFonts w:hint="eastAsia" w:ascii="宋体" w:hAnsi="宋体" w:cs="宋体"/>
          <w:b/>
          <w:bCs/>
          <w:i w:val="0"/>
          <w:caps w:val="0"/>
          <w:color w:val="000000" w:themeColor="text1"/>
          <w:spacing w:val="0"/>
          <w:w w:val="100"/>
          <w:sz w:val="24"/>
          <w:szCs w:val="24"/>
          <w:highlight w:val="none"/>
          <w:lang w:eastAsia="zh-CN"/>
          <w14:textFill>
            <w14:solidFill>
              <w14:schemeClr w14:val="tx1"/>
            </w14:solidFill>
          </w14:textFill>
        </w:rPr>
        <w:t>依法缴纳近六个月内任意一个月税收证明</w:t>
      </w:r>
      <w:r>
        <w:rPr>
          <w:rFonts w:hint="eastAsia" w:ascii="宋体" w:hAnsi="宋体" w:eastAsia="宋体" w:cs="宋体"/>
          <w:b/>
          <w:bCs/>
          <w:i w:val="0"/>
          <w:caps w:val="0"/>
          <w:color w:val="000000" w:themeColor="text1"/>
          <w:spacing w:val="0"/>
          <w:w w:val="100"/>
          <w:sz w:val="24"/>
          <w:szCs w:val="24"/>
          <w:highlight w:val="none"/>
          <w14:textFill>
            <w14:solidFill>
              <w14:schemeClr w14:val="tx1"/>
            </w14:solidFill>
          </w14:textFill>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r>
        <w:rPr>
          <w:rFonts w:hint="eastAsia" w:ascii="宋体" w:hAnsi="宋体" w:eastAsia="宋体" w:cs="宋体"/>
          <w:b/>
          <w:bCs/>
          <w:i w:val="0"/>
          <w:caps w:val="0"/>
          <w:color w:val="000000" w:themeColor="text1"/>
          <w:spacing w:val="0"/>
          <w:w w:val="100"/>
          <w:sz w:val="24"/>
          <w:szCs w:val="24"/>
          <w:highlight w:val="none"/>
          <w:lang w:eastAsia="zh-CN"/>
          <w14:textFill>
            <w14:solidFill>
              <w14:schemeClr w14:val="tx1"/>
            </w14:solidFill>
          </w14:textFill>
        </w:rPr>
        <w:t>。</w:t>
      </w:r>
    </w:p>
    <w:p>
      <w:pPr>
        <w:pageBreakBefore w:val="0"/>
        <w:widowControl w:val="0"/>
        <w:kinsoku/>
        <w:wordWrap/>
        <w:overflowPunct/>
        <w:topLinePunct w:val="0"/>
        <w:bidi w:val="0"/>
        <w:spacing w:line="3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14:textFill>
            <w14:solidFill>
              <w14:schemeClr w14:val="tx1"/>
            </w14:solidFill>
          </w14:textFill>
        </w:rPr>
        <w:t>未通过资格审查的供应商不进入评标；通过资格审查的供应商少于不足三家的，不得评标。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19.2   采购人或采购代理机构将在开标前1个工作日至投标截止后1小时的期间内查询</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的信用记录。</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存在不良信用记录的，其投标将被认定为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19.2.1 不良信用记录指：供应商在“信用中国”网站（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w:t>
      </w:r>
    </w:p>
    <w:p>
      <w:pPr>
        <w:pageBreakBefore w:val="0"/>
        <w:widowControl w:val="0"/>
        <w:kinsoku/>
        <w:wordWrap/>
        <w:overflowPunct/>
        <w:topLinePunct w:val="0"/>
        <w:bidi w:val="0"/>
        <w:spacing w:line="360" w:lineRule="exact"/>
        <w:ind w:left="958" w:leftChars="456" w:firstLine="60" w:firstLineChars="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以联合体形式参加投标的，联合体任何成员存在以上不良信用记录的，联合体投标将被认定为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Style w:val="5"/>
        <w:pageBreakBefore w:val="0"/>
        <w:widowControl w:val="0"/>
        <w:kinsoku/>
        <w:wordWrap/>
        <w:overflowPunct/>
        <w:topLinePunct w:val="0"/>
        <w:bidi w:val="0"/>
        <w:spacing w:line="360" w:lineRule="exact"/>
        <w:ind w:left="849" w:leftChars="0" w:hanging="849" w:hangingChars="354"/>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19.2.2 查询及记录方式：采购人或采购代理机构经办人将查询网页打印、签字并存档备查。</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不良信用记录以采购人或采购代理机构查询结果为准。</w:t>
      </w:r>
    </w:p>
    <w:p>
      <w:pPr>
        <w:pStyle w:val="5"/>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在本招标文件规定的查询时间之后，网站信息发生的任何变更均不再作为评标依据。</w:t>
      </w:r>
    </w:p>
    <w:p>
      <w:pPr>
        <w:pStyle w:val="5"/>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19.3   按照《中华人民共和国政府采购法》、《中华人民共和国政府采购法实施条例》</w:t>
      </w:r>
      <w:r>
        <w:rPr>
          <w:rFonts w:hint="eastAsia" w:ascii="宋体" w:hAnsi="宋体" w:eastAsia="宋体" w:cs="宋体"/>
          <w:color w:val="000000" w:themeColor="text1"/>
          <w:sz w:val="24"/>
          <w:szCs w:val="24"/>
          <w:highlight w:val="none"/>
          <w:lang w:eastAsia="zh-CN"/>
          <w14:textFill>
            <w14:solidFill>
              <w14:schemeClr w14:val="tx1"/>
            </w14:solidFill>
          </w14:textFill>
        </w:rPr>
        <w:t>、《政府采购货物和服务招标投标管理办法》财政部令第87号</w:t>
      </w:r>
      <w:r>
        <w:rPr>
          <w:rFonts w:hint="eastAsia" w:ascii="宋体" w:hAnsi="宋体" w:eastAsia="宋体" w:cs="宋体"/>
          <w:color w:val="000000" w:themeColor="text1"/>
          <w:sz w:val="24"/>
          <w:szCs w:val="24"/>
          <w:highlight w:val="none"/>
          <w14:textFill>
            <w14:solidFill>
              <w14:schemeClr w14:val="tx1"/>
            </w14:solidFill>
          </w14:textFill>
        </w:rPr>
        <w:t>及本项目本级和上级财政部门的有关规定依法</w:t>
      </w:r>
      <w:bookmarkStart w:id="553" w:name="_Toc520356166"/>
      <w:r>
        <w:rPr>
          <w:rFonts w:hint="eastAsia" w:ascii="宋体" w:hAnsi="宋体" w:eastAsia="宋体" w:cs="宋体"/>
          <w:color w:val="000000" w:themeColor="text1"/>
          <w:sz w:val="24"/>
          <w:szCs w:val="24"/>
          <w:highlight w:val="none"/>
          <w:lang w:eastAsia="zh-CN"/>
          <w14:textFill>
            <w14:solidFill>
              <w14:schemeClr w14:val="tx1"/>
            </w14:solidFill>
          </w14:textFill>
        </w:rPr>
        <w:t>在</w:t>
      </w:r>
      <w:r>
        <w:rPr>
          <w:rFonts w:hint="eastAsia" w:ascii="宋体" w:hAnsi="宋体" w:eastAsia="宋体" w:cs="宋体"/>
          <w:b/>
          <w:bCs/>
          <w:color w:val="000000" w:themeColor="text1"/>
          <w:sz w:val="24"/>
          <w:szCs w:val="24"/>
          <w:highlight w:val="none"/>
          <w:lang w:eastAsia="zh-CN"/>
          <w14:textFill>
            <w14:solidFill>
              <w14:schemeClr w14:val="tx1"/>
            </w14:solidFill>
          </w14:textFill>
        </w:rPr>
        <w:t>政采云平台上随机抽取</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名</w:t>
      </w:r>
      <w:r>
        <w:rPr>
          <w:rFonts w:hint="eastAsia" w:ascii="宋体" w:hAnsi="宋体" w:eastAsia="宋体" w:cs="宋体"/>
          <w:b/>
          <w:bCs/>
          <w:color w:val="000000" w:themeColor="text1"/>
          <w:sz w:val="24"/>
          <w:szCs w:val="24"/>
          <w:highlight w:val="none"/>
          <w:lang w:eastAsia="zh-CN"/>
          <w14:textFill>
            <w14:solidFill>
              <w14:schemeClr w14:val="tx1"/>
            </w14:solidFill>
          </w14:textFill>
        </w:rPr>
        <w:t>专家</w:t>
      </w:r>
      <w:r>
        <w:rPr>
          <w:rFonts w:hint="eastAsia" w:ascii="宋体" w:hAnsi="宋体" w:eastAsia="宋体" w:cs="宋体"/>
          <w:color w:val="000000" w:themeColor="text1"/>
          <w:sz w:val="24"/>
          <w:szCs w:val="24"/>
          <w:highlight w:val="none"/>
          <w14:textFill>
            <w14:solidFill>
              <w14:schemeClr w14:val="tx1"/>
            </w14:solidFill>
          </w14:textFill>
        </w:rPr>
        <w:t>负责评标工作。</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554" w:name="_Toc8432"/>
      <w:bookmarkStart w:id="555" w:name="_Toc32378"/>
      <w:bookmarkStart w:id="556" w:name="_Toc6771"/>
      <w:bookmarkStart w:id="557" w:name="_Toc27593"/>
      <w:bookmarkStart w:id="558" w:name="_Toc3936"/>
      <w:bookmarkStart w:id="559" w:name="_Toc14377"/>
      <w:bookmarkStart w:id="560" w:name="_Toc22736"/>
      <w:bookmarkStart w:id="561" w:name="_Toc22021"/>
      <w:bookmarkStart w:id="562" w:name="_Toc2834"/>
      <w:bookmarkStart w:id="563" w:name="_Toc7962"/>
      <w:bookmarkStart w:id="564" w:name="_Toc19094"/>
      <w:bookmarkStart w:id="565" w:name="_Toc22009"/>
      <w:bookmarkStart w:id="566" w:name="_Toc22105"/>
      <w:bookmarkStart w:id="567" w:name="_Toc21876"/>
      <w:bookmarkStart w:id="568" w:name="_Toc14028"/>
      <w:bookmarkStart w:id="569" w:name="_Toc4663"/>
      <w:bookmarkStart w:id="570" w:name="_Toc13448"/>
      <w:bookmarkStart w:id="571" w:name="_Toc4062"/>
      <w:bookmarkStart w:id="572" w:name="_Toc28655"/>
      <w:bookmarkStart w:id="573" w:name="_Toc12391"/>
      <w:bookmarkStart w:id="574" w:name="_Toc19949"/>
      <w:bookmarkStart w:id="575" w:name="_Toc616"/>
      <w:bookmarkStart w:id="576" w:name="_Toc12543"/>
      <w:bookmarkStart w:id="577" w:name="_Toc31534"/>
      <w:bookmarkStart w:id="578" w:name="_Toc515647781"/>
      <w:bookmarkStart w:id="579" w:name="_Toc13892"/>
      <w:bookmarkStart w:id="580" w:name="_Toc28479"/>
      <w:bookmarkStart w:id="581" w:name="_Toc827"/>
      <w:r>
        <w:rPr>
          <w:rFonts w:hint="eastAsia" w:hAnsi="宋体" w:cs="宋体"/>
          <w:b/>
          <w:bCs/>
          <w:color w:val="000000" w:themeColor="text1"/>
          <w:sz w:val="24"/>
          <w:szCs w:val="24"/>
          <w:highlight w:val="none"/>
          <w:u w:val="non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u w:val="none"/>
          <w14:textFill>
            <w14:solidFill>
              <w14:schemeClr w14:val="tx1"/>
            </w14:solidFill>
          </w14:textFill>
        </w:rPr>
        <w:t>投标文件</w:t>
      </w:r>
      <w:bookmarkEnd w:id="553"/>
      <w:r>
        <w:rPr>
          <w:rFonts w:hint="eastAsia" w:ascii="宋体" w:hAnsi="宋体" w:eastAsia="宋体" w:cs="宋体"/>
          <w:b/>
          <w:bCs/>
          <w:color w:val="000000" w:themeColor="text1"/>
          <w:sz w:val="24"/>
          <w:szCs w:val="24"/>
          <w:highlight w:val="none"/>
          <w:u w:val="none"/>
          <w14:textFill>
            <w14:solidFill>
              <w14:schemeClr w14:val="tx1"/>
            </w14:solidFill>
          </w14:textFill>
        </w:rPr>
        <w:t>符合性审查与澄清</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20.1   符合性审查是指依据招标文件的规定，从投标文件的有效性和完整性对招标文件的响应程度进行审查，以确定是否对招标文件的实质性要求做出响应。</w:t>
      </w:r>
      <w:bookmarkStart w:id="582" w:name="_Hlt522424701"/>
      <w:bookmarkEnd w:id="582"/>
      <w:bookmarkStart w:id="583" w:name="_Toc52035616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投标文件的澄清</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20.2.1  在评标期间，评标委员会将以书面方式要求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对其投标文件中含义不明确、对同类问题表述不一致或者有明显文字和计算错误的内容，以及评标委员会认为</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的报价明显低于其他通过符合性检查</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的报价，有可能影响履约的情况作必要的澄清、说明或补正。</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的澄清、说明或补正应在评标委员会规定的时间内以书面方式进行，并不得超出投标文件范围或者改变投标文件的实质性内容。</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20.2.2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的的澄清、说明或补正将作为投标文件的一部分。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20.3  投标文件报价出现前后不一致的，按照下列规定修正：</w:t>
      </w:r>
    </w:p>
    <w:p>
      <w:pPr>
        <w:pageBreakBefore w:val="0"/>
        <w:widowControl w:val="0"/>
        <w:kinsoku/>
        <w:wordWrap/>
        <w:overflowPunct/>
        <w:topLinePunct w:val="0"/>
        <w:bidi w:val="0"/>
        <w:spacing w:line="360" w:lineRule="exact"/>
        <w:ind w:left="1020" w:leftChars="0" w:hanging="1020" w:hangingChars="4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（一）投标文件中开标一览表（报价表）内容与投标文件中相应内容不一致的，以开标一览表（报价表）为准；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（二）大写金额和小写金额</w:t>
      </w:r>
      <w:r>
        <w:rPr>
          <w:rFonts w:hint="eastAsia" w:ascii="宋体" w:hAnsi="宋体" w:eastAsia="宋体" w:cs="宋体"/>
          <w:b w:val="0"/>
          <w:bCs w:val="0"/>
          <w:color w:val="000000" w:themeColor="text1"/>
          <w:sz w:val="24"/>
          <w:szCs w:val="24"/>
          <w:highlight w:val="none"/>
          <w14:textFill>
            <w14:solidFill>
              <w14:schemeClr w14:val="tx1"/>
            </w14:solidFill>
          </w14:textFill>
        </w:rPr>
        <w:t>不一致的，以大写金额为准；</w:t>
      </w:r>
    </w:p>
    <w:p>
      <w:pPr>
        <w:pageBreakBefore w:val="0"/>
        <w:widowControl w:val="0"/>
        <w:kinsoku/>
        <w:wordWrap/>
        <w:overflowPunct/>
        <w:topLinePunct w:val="0"/>
        <w:bidi w:val="0"/>
        <w:spacing w:line="360" w:lineRule="exact"/>
        <w:ind w:left="1020" w:leftChars="0" w:hanging="1020" w:hangingChars="425"/>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（三）单价金额小数点或者百分比有明显错位的，以开标一览表的总价为准，并修改单价；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（四）总价金额与按单价汇总金额不一致的，以单价金额计算结果为准。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同时出现两种以上不一致的，按照前款规定的顺序修正。修正后的报价按照第20.2条的规定经</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确认后产生约束力，</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不确认的，其投标将被认定为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0" w:leftChars="0" w:firstLine="120" w:firstLineChars="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对不同文字文本投标文件的解释发生异议的，以中文文本为准。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20.4   如一个分包内只有一种产品，不同</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所投产品为同一品牌的，按如下方式处理：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20.4.1  如本项目使用最低评标价法，提供相同品牌产品的不同</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；未规定的采取随机抽取方式确定，其他投标将被认定为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20.4.2  如本项目使用综合评分法，提供相同品牌产品且通过资格审查、符合性审查的不同</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，按一家</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计算，评审后得分最高的同品牌</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获得</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推荐资格；评审得分相同的，由采购人或者采购人委托评标委员会按照招标文件中评标办法规定的方式确定一个</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获得</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推荐资格；未规定的采取随机抽取方式确定，其他同品牌</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不作为中标候选人。</w:t>
      </w:r>
    </w:p>
    <w:p>
      <w:pPr>
        <w:pageBreakBefore w:val="0"/>
        <w:widowControl w:val="0"/>
        <w:kinsoku/>
        <w:wordWrap/>
        <w:overflowPunct/>
        <w:topLinePunct w:val="0"/>
        <w:bidi w:val="0"/>
        <w:spacing w:line="360" w:lineRule="exact"/>
        <w:ind w:left="900" w:leftChars="0" w:hanging="900" w:hangingChars="375"/>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20.4.3  本项目潜在投标人提供相同品牌产品投标的处理方法参照综合评分法。</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20.5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所投产品如被列入财政部与国家主管部门颁发的节能产品目录或环境标志产品目录或无线局域网产品目录，应提供相关证明，在评标时予以优先采购，具体优先采购办法见第六章评标方法和标准。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如采购人所采购产品为政府强制采购的节能产品，</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所投产品的品牌及型号必须为清单中有效期内产品并提供证明文件，否则其投标将被认定为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584" w:name="_Toc22"/>
      <w:bookmarkStart w:id="585" w:name="_Toc5106"/>
      <w:bookmarkStart w:id="586" w:name="_Toc16606"/>
      <w:bookmarkStart w:id="587" w:name="_Toc16070"/>
      <w:bookmarkStart w:id="588" w:name="_Toc11608"/>
      <w:bookmarkStart w:id="589" w:name="_Toc10143"/>
      <w:bookmarkStart w:id="590" w:name="_Toc12161"/>
      <w:bookmarkStart w:id="591" w:name="_Toc24419"/>
      <w:bookmarkStart w:id="592" w:name="_Toc29292"/>
      <w:bookmarkStart w:id="593" w:name="_Toc24344"/>
      <w:bookmarkStart w:id="594" w:name="_Toc14196"/>
      <w:bookmarkStart w:id="595" w:name="_Toc21658"/>
      <w:bookmarkStart w:id="596" w:name="_Toc21482"/>
      <w:bookmarkStart w:id="597" w:name="_Toc14269"/>
      <w:bookmarkStart w:id="598" w:name="_Toc630"/>
      <w:bookmarkStart w:id="599" w:name="_Toc9469"/>
      <w:bookmarkStart w:id="600" w:name="_Toc21138"/>
      <w:bookmarkStart w:id="601" w:name="_Toc27571"/>
      <w:bookmarkStart w:id="602" w:name="_Toc6364"/>
      <w:bookmarkStart w:id="603" w:name="_Toc1671"/>
      <w:bookmarkStart w:id="604" w:name="_Toc1633"/>
      <w:bookmarkStart w:id="605" w:name="_Toc21796"/>
      <w:bookmarkStart w:id="606" w:name="_Toc18062"/>
      <w:bookmarkStart w:id="607" w:name="_Toc515647782"/>
      <w:bookmarkStart w:id="608" w:name="_Toc6538"/>
      <w:bookmarkStart w:id="609" w:name="_Toc7973"/>
      <w:bookmarkStart w:id="610" w:name="_Toc15257"/>
      <w:bookmarkStart w:id="611" w:name="_Toc19042"/>
      <w:r>
        <w:rPr>
          <w:rFonts w:hint="eastAsia" w:hAnsi="宋体" w:cs="宋体"/>
          <w:b/>
          <w:bCs/>
          <w:color w:val="000000" w:themeColor="text1"/>
          <w:sz w:val="24"/>
          <w:szCs w:val="24"/>
          <w:highlight w:val="none"/>
          <w:u w:val="none"/>
          <w:lang w:val="en-US" w:eastAsia="zh-CN"/>
          <w14:textFill>
            <w14:solidFill>
              <w14:schemeClr w14:val="tx1"/>
            </w14:solidFill>
          </w14:textFill>
        </w:rPr>
        <w:t>21</w:t>
      </w:r>
      <w:r>
        <w:rPr>
          <w:rFonts w:hint="eastAsia" w:ascii="宋体" w:hAnsi="宋体" w:eastAsia="宋体" w:cs="宋体"/>
          <w:b/>
          <w:bCs/>
          <w:color w:val="000000" w:themeColor="text1"/>
          <w:sz w:val="24"/>
          <w:szCs w:val="24"/>
          <w:highlight w:val="none"/>
          <w:u w:val="none"/>
          <w14:textFill>
            <w14:solidFill>
              <w14:schemeClr w14:val="tx1"/>
            </w14:solidFill>
          </w14:textFill>
        </w:rPr>
        <w:t>投标偏离</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pageBreakBefore w:val="0"/>
        <w:widowControl w:val="0"/>
        <w:kinsoku/>
        <w:wordWrap/>
        <w:overflowPunct/>
        <w:topLinePunct w:val="0"/>
        <w:bidi w:val="0"/>
        <w:spacing w:line="360" w:lineRule="exact"/>
        <w:ind w:left="640" w:leftChars="0" w:hanging="640" w:hangingChars="267"/>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评标委员会可以接受投标文件中不构成实质性偏离的不正规或不一致。</w:t>
      </w:r>
      <w:bookmarkStart w:id="612" w:name="_Toc515647783"/>
      <w:bookmarkStart w:id="613" w:name="_Toc4950"/>
      <w:bookmarkStart w:id="614" w:name="_Toc6092"/>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615" w:name="_Toc31472"/>
      <w:bookmarkStart w:id="616" w:name="_Toc8973"/>
      <w:bookmarkStart w:id="617" w:name="_Toc26299"/>
      <w:bookmarkStart w:id="618" w:name="_Toc8254"/>
      <w:bookmarkStart w:id="619" w:name="_Toc20972"/>
      <w:bookmarkStart w:id="620" w:name="_Toc29922"/>
      <w:bookmarkStart w:id="621" w:name="_Toc23335"/>
      <w:bookmarkStart w:id="622" w:name="_Toc10989"/>
      <w:bookmarkStart w:id="623" w:name="_Toc7356"/>
      <w:bookmarkStart w:id="624" w:name="_Toc23010"/>
      <w:bookmarkStart w:id="625" w:name="_Toc1257"/>
      <w:bookmarkStart w:id="626" w:name="_Toc11798"/>
      <w:bookmarkStart w:id="627" w:name="_Toc18096"/>
      <w:bookmarkStart w:id="628" w:name="_Toc550"/>
      <w:bookmarkStart w:id="629" w:name="_Toc6553"/>
      <w:bookmarkStart w:id="630" w:name="_Toc13696"/>
      <w:bookmarkStart w:id="631" w:name="_Toc1222"/>
      <w:bookmarkStart w:id="632" w:name="_Toc12294"/>
      <w:bookmarkStart w:id="633" w:name="_Toc1168"/>
      <w:bookmarkStart w:id="634" w:name="_Toc9594"/>
      <w:bookmarkStart w:id="635" w:name="_Toc8051"/>
      <w:bookmarkStart w:id="636" w:name="_Toc665"/>
      <w:bookmarkStart w:id="637" w:name="_Toc4727"/>
      <w:bookmarkStart w:id="638" w:name="_Toc28742"/>
      <w:bookmarkStart w:id="639" w:name="_Toc3291"/>
      <w:r>
        <w:rPr>
          <w:rFonts w:hint="eastAsia" w:hAnsi="宋体" w:cs="宋体"/>
          <w:b/>
          <w:bCs/>
          <w:color w:val="000000" w:themeColor="text1"/>
          <w:sz w:val="24"/>
          <w:szCs w:val="24"/>
          <w:highlight w:val="none"/>
          <w:u w:val="none"/>
          <w:lang w:val="en-US" w:eastAsia="zh-CN"/>
          <w14:textFill>
            <w14:solidFill>
              <w14:schemeClr w14:val="tx1"/>
            </w14:solidFill>
          </w14:textFill>
        </w:rPr>
        <w:t>22.</w:t>
      </w:r>
      <w:r>
        <w:rPr>
          <w:rFonts w:hint="eastAsia" w:ascii="宋体" w:hAnsi="宋体" w:eastAsia="宋体" w:cs="宋体"/>
          <w:b/>
          <w:bCs/>
          <w:color w:val="000000" w:themeColor="text1"/>
          <w:sz w:val="24"/>
          <w:szCs w:val="24"/>
          <w:highlight w:val="none"/>
          <w:u w:val="none"/>
          <w14:textFill>
            <w14:solidFill>
              <w14:schemeClr w14:val="tx1"/>
            </w14:solidFill>
          </w14:textFill>
        </w:rPr>
        <w:t>投标</w:t>
      </w:r>
      <w:bookmarkEnd w:id="612"/>
      <w:r>
        <w:rPr>
          <w:rFonts w:hint="eastAsia" w:ascii="宋体" w:hAnsi="宋体" w:eastAsia="宋体" w:cs="宋体"/>
          <w:b/>
          <w:bCs/>
          <w:color w:val="000000" w:themeColor="text1"/>
          <w:sz w:val="24"/>
          <w:szCs w:val="24"/>
          <w:highlight w:val="none"/>
          <w:u w:val="none"/>
          <w14:textFill>
            <w14:solidFill>
              <w14:schemeClr w14:val="tx1"/>
            </w14:solidFill>
          </w14:textFill>
        </w:rPr>
        <w:t>无效</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不得通过修正或撤销不符合要求的偏离，从而使其投标成为实质上响应的投标。</w:t>
      </w:r>
    </w:p>
    <w:p>
      <w:pPr>
        <w:pageBreakBefore w:val="0"/>
        <w:widowControl w:val="0"/>
        <w:kinsoku/>
        <w:wordWrap/>
        <w:overflowPunct/>
        <w:topLinePunct w:val="0"/>
        <w:bidi w:val="0"/>
        <w:spacing w:line="360" w:lineRule="exact"/>
        <w:ind w:left="718" w:leftChars="342"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评标委员会决定投标的响应性只根据招标文件要求、投标文件内容及财政主管部门指定相关信息发布媒体。</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b/>
          <w:bCs/>
          <w:color w:val="000000" w:themeColor="text1"/>
          <w:sz w:val="24"/>
          <w:szCs w:val="24"/>
          <w:highlight w:val="none"/>
          <w14:textFill>
            <w14:solidFill>
              <w14:schemeClr w14:val="tx1"/>
            </w14:solidFill>
          </w14:textFill>
        </w:rPr>
        <w:t>如发现下列情况之一的，其投标将被认定为投标无效</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未按招标文件规定的形式和金额提交投标保证金的；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未按照招标文件规定要求签署、盖章的；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未满足招标文件中技术条款的实质性要求；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与其他</w:t>
      </w:r>
      <w:r>
        <w:rPr>
          <w:rFonts w:hint="eastAsia" w:ascii="宋体" w:hAnsi="宋体" w:eastAsia="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串通投标，或者与</w:t>
      </w:r>
      <w:r>
        <w:rPr>
          <w:rFonts w:hint="eastAsia" w:ascii="宋体" w:hAnsi="宋体" w:eastAsia="宋体" w:cs="宋体"/>
          <w:b/>
          <w:bCs/>
          <w:color w:val="000000" w:themeColor="text1"/>
          <w:sz w:val="24"/>
          <w:szCs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szCs w:val="24"/>
          <w:highlight w:val="none"/>
          <w14:textFill>
            <w14:solidFill>
              <w14:schemeClr w14:val="tx1"/>
            </w14:solidFill>
          </w14:textFill>
        </w:rPr>
        <w:t>串通投标；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属于招标文件规定的其他投标无效情形；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评标委员会认为</w:t>
      </w:r>
      <w:r>
        <w:rPr>
          <w:rFonts w:hint="eastAsia" w:ascii="宋体" w:hAnsi="宋体" w:eastAsia="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的报价明显低于其他通过符合性检查</w:t>
      </w:r>
      <w:r>
        <w:rPr>
          <w:rFonts w:hint="eastAsia" w:ascii="宋体" w:hAnsi="宋体" w:eastAsia="宋体" w:cs="宋体"/>
          <w:b/>
          <w:bCs/>
          <w:color w:val="000000" w:themeColor="text1"/>
          <w:sz w:val="24"/>
          <w:szCs w:val="24"/>
          <w:highlight w:val="none"/>
          <w:lang w:eastAsia="zh-CN"/>
          <w14:textFill>
            <w14:solidFill>
              <w14:schemeClr w14:val="tx1"/>
            </w14:solidFill>
          </w14:textFill>
        </w:rPr>
        <w:t>供应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商</w:t>
      </w:r>
      <w:r>
        <w:rPr>
          <w:rFonts w:hint="eastAsia" w:ascii="宋体" w:hAnsi="宋体" w:eastAsia="宋体" w:cs="宋体"/>
          <w:b/>
          <w:bCs/>
          <w:color w:val="000000" w:themeColor="text1"/>
          <w:sz w:val="24"/>
          <w:szCs w:val="24"/>
          <w:highlight w:val="none"/>
          <w14:textFill>
            <w14:solidFill>
              <w14:schemeClr w14:val="tx1"/>
            </w14:solidFill>
          </w14:textFill>
        </w:rPr>
        <w:t>的报价，有可能影响履约的，且</w:t>
      </w:r>
      <w:r>
        <w:rPr>
          <w:rFonts w:hint="eastAsia" w:ascii="宋体" w:hAnsi="宋体" w:eastAsia="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未按照规定证明其报价合理性的；</w:t>
      </w:r>
    </w:p>
    <w:p>
      <w:pPr>
        <w:pageBreakBefore w:val="0"/>
        <w:widowControl w:val="0"/>
        <w:numPr>
          <w:ilvl w:val="0"/>
          <w:numId w:val="0"/>
        </w:numPr>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投标文件含有采购人不能接受的附加条件的；</w:t>
      </w:r>
    </w:p>
    <w:p>
      <w:pPr>
        <w:pageBreakBefore w:val="0"/>
        <w:widowControl w:val="0"/>
        <w:numPr>
          <w:ilvl w:val="0"/>
          <w:numId w:val="0"/>
        </w:numPr>
        <w:tabs>
          <w:tab w:val="left" w:pos="0"/>
        </w:tabs>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不符合法规和招标文件中规定的其他实质性要求的。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（1）供应商直接或者间接从采购人或者采购代理机构处获得其他供应商的相关情况并修改其投标文件或者投标文件；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（2）供应商按照采购人或者采购代理机构的授意撤换、修改投标文件或者投标文件；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（3）供应商之间协商报价、技术方案等投标文件或者投标文件的实质性内容；</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（4）属于同一集团、协会、商会等组织成员的供应商按照该组织要求协同参加政府采购活动；</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（5）供应商之间事先约定由某一特定供应商中标、成交；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（6）供应商之间商定部分供应商放弃参加政府采购活动或者放弃中标、成交；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（7）供应商与采购人或者采购代理机构之间、供应商相互之间，为谋求特定供应商中标、成交或者排斥其他供应商的其他串通行为。</w:t>
      </w:r>
    </w:p>
    <w:bookmarkEnd w:id="583"/>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640" w:name="_Toc2833"/>
      <w:bookmarkStart w:id="641" w:name="_Toc13922"/>
      <w:bookmarkStart w:id="642" w:name="_Toc24349"/>
      <w:bookmarkStart w:id="643" w:name="_Toc3031"/>
      <w:bookmarkStart w:id="644" w:name="_Toc15400"/>
      <w:bookmarkStart w:id="645" w:name="_Toc19116"/>
      <w:bookmarkStart w:id="646" w:name="_Toc13566"/>
      <w:bookmarkStart w:id="647" w:name="_Toc32146"/>
      <w:bookmarkStart w:id="648" w:name="_Toc22267"/>
      <w:bookmarkStart w:id="649" w:name="_Toc25837"/>
      <w:bookmarkStart w:id="650" w:name="_Toc4328"/>
      <w:bookmarkStart w:id="651" w:name="_Toc21718"/>
      <w:bookmarkStart w:id="652" w:name="_Toc3877"/>
      <w:bookmarkStart w:id="653" w:name="_Toc20498"/>
      <w:bookmarkStart w:id="654" w:name="_Toc515647784"/>
      <w:bookmarkStart w:id="655" w:name="_Toc9523"/>
      <w:bookmarkStart w:id="656" w:name="_Toc2853"/>
      <w:bookmarkStart w:id="657" w:name="_Toc22981"/>
      <w:bookmarkStart w:id="658" w:name="_Toc22941"/>
      <w:bookmarkStart w:id="659" w:name="_Toc13750"/>
      <w:bookmarkStart w:id="660" w:name="_Toc20639"/>
      <w:bookmarkStart w:id="661" w:name="_Toc20568"/>
      <w:bookmarkStart w:id="662" w:name="_Toc16915"/>
      <w:bookmarkStart w:id="663" w:name="_Toc29015"/>
      <w:bookmarkStart w:id="664" w:name="_Toc13652"/>
      <w:r>
        <w:rPr>
          <w:rFonts w:hint="eastAsia" w:hAnsi="宋体" w:cs="宋体"/>
          <w:b/>
          <w:bCs/>
          <w:color w:val="000000" w:themeColor="text1"/>
          <w:sz w:val="24"/>
          <w:szCs w:val="24"/>
          <w:highlight w:val="none"/>
          <w:u w:val="none"/>
          <w:lang w:val="en-US" w:eastAsia="zh-CN"/>
          <w14:textFill>
            <w14:solidFill>
              <w14:schemeClr w14:val="tx1"/>
            </w14:solidFill>
          </w14:textFill>
        </w:rPr>
        <w:t>23.</w:t>
      </w:r>
      <w:r>
        <w:rPr>
          <w:rFonts w:hint="eastAsia" w:ascii="宋体" w:hAnsi="宋体" w:eastAsia="宋体" w:cs="宋体"/>
          <w:b/>
          <w:bCs/>
          <w:color w:val="000000" w:themeColor="text1"/>
          <w:sz w:val="24"/>
          <w:szCs w:val="24"/>
          <w:highlight w:val="none"/>
          <w:u w:val="none"/>
          <w14:textFill>
            <w14:solidFill>
              <w14:schemeClr w14:val="tx1"/>
            </w14:solidFill>
          </w14:textFill>
        </w:rPr>
        <w:t>比较与评价</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经符合性审查合格的投标文件，评标委员会将根据招标文件确定的评标方法和标准，对其技术部分和商务部分作进一步的比较和评价。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23.2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评标严格按照招标文件的要求和条件进行。根据实际情况，在</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中规定采用下列一种评标方法，详细评标标准见招标文件第六章：</w:t>
      </w:r>
    </w:p>
    <w:p>
      <w:pPr>
        <w:pStyle w:val="19"/>
        <w:pageBreakBefore w:val="0"/>
        <w:widowControl w:val="0"/>
        <w:kinsoku/>
        <w:wordWrap/>
        <w:overflowPunct/>
        <w:topLinePunct w:val="0"/>
        <w:bidi w:val="0"/>
        <w:spacing w:line="360" w:lineRule="exact"/>
        <w:ind w:left="239" w:leftChars="114" w:firstLine="31" w:firstLineChars="13"/>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（1）最低评标价法，是指投标文件满足招标文件全部实质性要求，且投标报价最低的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为中标候选人的评标方法。</w:t>
      </w:r>
    </w:p>
    <w:p>
      <w:pPr>
        <w:pStyle w:val="19"/>
        <w:pageBreakBefore w:val="0"/>
        <w:widowControl w:val="0"/>
        <w:kinsoku/>
        <w:wordWrap/>
        <w:overflowPunct/>
        <w:topLinePunct w:val="0"/>
        <w:bidi w:val="0"/>
        <w:spacing w:line="360" w:lineRule="exact"/>
        <w:ind w:left="239" w:leftChars="114" w:firstLine="33" w:firstLineChars="14"/>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（2）综合评分法，是指投标文件满足招标文件全部实质性要求，且按照评审因素的量化指标评审得分最高的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为中标候选人的评标方法。</w:t>
      </w:r>
    </w:p>
    <w:p>
      <w:pPr>
        <w:pStyle w:val="26"/>
        <w:keepNext w:val="0"/>
        <w:keepLines w:val="0"/>
        <w:pageBreakBefore w:val="0"/>
        <w:kinsoku/>
        <w:wordWrap/>
        <w:overflowPunct/>
        <w:topLinePunct w:val="0"/>
        <w:autoSpaceDE/>
        <w:autoSpaceDN/>
        <w:bidi w:val="0"/>
        <w:adjustRightInd/>
        <w:spacing w:line="360" w:lineRule="exact"/>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第九包、第十二包：</w:t>
      </w:r>
      <w:r>
        <w:rPr>
          <w:rFonts w:hint="eastAsia" w:ascii="宋体" w:hAnsi="宋体" w:eastAsia="宋体" w:cs="宋体"/>
          <w:b/>
          <w:bCs/>
          <w:color w:val="000000" w:themeColor="text1"/>
          <w:sz w:val="24"/>
          <w:szCs w:val="24"/>
          <w:highlight w:val="none"/>
          <w14:textFill>
            <w14:solidFill>
              <w14:schemeClr w14:val="tx1"/>
            </w14:solidFill>
          </w14:textFill>
        </w:rPr>
        <w:t>采用综合评分法</w:t>
      </w:r>
      <w:r>
        <w:rPr>
          <w:rFonts w:hint="eastAsia" w:ascii="宋体" w:hAnsi="宋体" w:eastAsia="宋体" w:cs="宋体"/>
          <w:b/>
          <w:bCs/>
          <w:color w:val="000000" w:themeColor="text1"/>
          <w:sz w:val="24"/>
          <w:szCs w:val="24"/>
          <w:highlight w:val="none"/>
          <w:lang w:eastAsia="zh-CN"/>
          <w14:textFill>
            <w14:solidFill>
              <w14:schemeClr w14:val="tx1"/>
            </w14:solidFill>
          </w14:textFill>
        </w:rPr>
        <w:t>：价格占30%，商务占</w:t>
      </w:r>
      <w:r>
        <w:rPr>
          <w:rFonts w:hint="eastAsia" w:ascii="宋体" w:hAnsi="宋体" w:cs="宋体"/>
          <w:b/>
          <w:bCs/>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bCs/>
          <w:color w:val="000000" w:themeColor="text1"/>
          <w:sz w:val="24"/>
          <w:szCs w:val="24"/>
          <w:highlight w:val="none"/>
          <w:lang w:eastAsia="zh-CN"/>
          <w14:textFill>
            <w14:solidFill>
              <w14:schemeClr w14:val="tx1"/>
            </w14:solidFill>
          </w14:textFill>
        </w:rPr>
        <w:t>%，技术占</w:t>
      </w:r>
      <w:r>
        <w:rPr>
          <w:rFonts w:hint="eastAsia" w:ascii="宋体" w:hAnsi="宋体" w:cs="宋体"/>
          <w:b/>
          <w:bCs/>
          <w:color w:val="000000" w:themeColor="text1"/>
          <w:sz w:val="24"/>
          <w:szCs w:val="24"/>
          <w:highlight w:val="none"/>
          <w:lang w:val="en-US" w:eastAsia="zh-CN"/>
          <w14:textFill>
            <w14:solidFill>
              <w14:schemeClr w14:val="tx1"/>
            </w14:solidFill>
          </w14:textFill>
        </w:rPr>
        <w:t>56</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80" w:lineRule="exact"/>
        <w:jc w:val="left"/>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23.3   </w:t>
      </w:r>
      <w:r>
        <w:rPr>
          <w:rFonts w:hint="default" w:ascii="宋体" w:hAnsi="宋体" w:eastAsia="宋体" w:cs="宋体"/>
          <w:b/>
          <w:bCs/>
          <w:color w:val="000000" w:themeColor="text1"/>
          <w:sz w:val="24"/>
          <w:szCs w:val="24"/>
          <w:highlight w:val="none"/>
          <w14:textFill>
            <w14:solidFill>
              <w14:schemeClr w14:val="tx1"/>
            </w14:solidFill>
          </w14:textFill>
        </w:rPr>
        <w:t>本项目为非专门面向中小企业（含中型、小型、微型企业）采购项目，根据《政府采购促进中小企业发展管理办法》（财库[2020]46号）的规定，评标时将给予此类企业进行价格</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10</w:t>
      </w:r>
      <w:r>
        <w:rPr>
          <w:rFonts w:hint="default" w:ascii="宋体" w:hAnsi="宋体" w:eastAsia="宋体" w:cs="宋体"/>
          <w:b/>
          <w:bCs/>
          <w:color w:val="000000" w:themeColor="text1"/>
          <w:sz w:val="24"/>
          <w:szCs w:val="24"/>
          <w:highlight w:val="none"/>
          <w:u w:val="single"/>
          <w14:textFill>
            <w14:solidFill>
              <w14:schemeClr w14:val="tx1"/>
            </w14:solidFill>
          </w14:textFill>
        </w:rPr>
        <w:t>%</w:t>
      </w:r>
      <w:r>
        <w:rPr>
          <w:rFonts w:hint="default" w:ascii="宋体" w:hAnsi="宋体" w:eastAsia="宋体" w:cs="宋体"/>
          <w:b/>
          <w:bCs/>
          <w:color w:val="000000" w:themeColor="text1"/>
          <w:sz w:val="24"/>
          <w:szCs w:val="24"/>
          <w:highlight w:val="none"/>
          <w14:textFill>
            <w14:solidFill>
              <w14:schemeClr w14:val="tx1"/>
            </w14:solidFill>
          </w14:textFill>
        </w:rPr>
        <w:t>的优惠，用优惠后的价格参与评审</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665" w:name="_Toc26540"/>
      <w:bookmarkStart w:id="666" w:name="_Toc20227"/>
      <w:bookmarkStart w:id="667" w:name="_Toc28136"/>
      <w:bookmarkStart w:id="668" w:name="_Toc30615"/>
      <w:bookmarkStart w:id="669" w:name="_Toc1505"/>
      <w:bookmarkStart w:id="670" w:name="_Toc515647785"/>
      <w:bookmarkStart w:id="671" w:name="_Toc29851"/>
      <w:bookmarkStart w:id="672" w:name="_Toc30532"/>
      <w:bookmarkStart w:id="673" w:name="_Toc14346"/>
      <w:bookmarkStart w:id="674" w:name="_Toc16371"/>
      <w:bookmarkStart w:id="675" w:name="_Toc24012"/>
      <w:bookmarkStart w:id="676" w:name="_Toc29970"/>
      <w:bookmarkStart w:id="677" w:name="_Toc19218"/>
      <w:bookmarkStart w:id="678" w:name="_Toc12956"/>
      <w:bookmarkStart w:id="679" w:name="_Toc31084"/>
      <w:bookmarkStart w:id="680" w:name="_Toc12703"/>
      <w:bookmarkStart w:id="681" w:name="_Toc20064"/>
      <w:bookmarkStart w:id="682" w:name="_Toc23302"/>
      <w:bookmarkStart w:id="683" w:name="_Toc6053"/>
      <w:bookmarkStart w:id="684" w:name="_Toc7858"/>
      <w:bookmarkStart w:id="685" w:name="_Toc28349"/>
      <w:bookmarkStart w:id="686" w:name="_Toc30004"/>
      <w:bookmarkStart w:id="687" w:name="_Toc6001"/>
      <w:bookmarkStart w:id="688" w:name="_Toc7770"/>
      <w:bookmarkStart w:id="689" w:name="_Toc9378"/>
      <w:bookmarkStart w:id="690" w:name="_Toc14038"/>
      <w:bookmarkStart w:id="691" w:name="_Toc16770"/>
      <w:bookmarkStart w:id="692" w:name="_Toc27067"/>
      <w:r>
        <w:rPr>
          <w:rFonts w:hint="eastAsia" w:hAnsi="宋体" w:cs="宋体"/>
          <w:b/>
          <w:bCs/>
          <w:color w:val="000000" w:themeColor="text1"/>
          <w:sz w:val="24"/>
          <w:szCs w:val="24"/>
          <w:highlight w:val="none"/>
          <w:u w:val="none"/>
          <w:lang w:val="en-US" w:eastAsia="zh-CN"/>
          <w14:textFill>
            <w14:solidFill>
              <w14:schemeClr w14:val="tx1"/>
            </w14:solidFill>
          </w14:textFill>
        </w:rPr>
        <w:t>24.</w:t>
      </w:r>
      <w:r>
        <w:rPr>
          <w:rFonts w:hint="eastAsia" w:ascii="宋体" w:hAnsi="宋体" w:eastAsia="宋体" w:cs="宋体"/>
          <w:b/>
          <w:bCs/>
          <w:color w:val="000000" w:themeColor="text1"/>
          <w:sz w:val="24"/>
          <w:szCs w:val="24"/>
          <w:highlight w:val="none"/>
          <w:u w:val="none"/>
          <w14:textFill>
            <w14:solidFill>
              <w14:schemeClr w14:val="tx1"/>
            </w14:solidFill>
          </w14:textFill>
        </w:rPr>
        <w:t>废标</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pPr>
        <w:pageBreakBefore w:val="0"/>
        <w:widowControl w:val="0"/>
        <w:kinsoku/>
        <w:wordWrap/>
        <w:overflowPunct/>
        <w:topLinePunct w:val="0"/>
        <w:bidi w:val="0"/>
        <w:spacing w:line="360" w:lineRule="exact"/>
        <w:ind w:left="60" w:leftChars="0" w:hanging="60" w:hangingChars="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24.1</w:t>
      </w:r>
      <w:r>
        <w:rPr>
          <w:rFonts w:hint="eastAsia" w:ascii="宋体" w:hAnsi="宋体" w:eastAsia="宋体" w:cs="宋体"/>
          <w:b/>
          <w:bCs/>
          <w:color w:val="000000" w:themeColor="text1"/>
          <w:sz w:val="24"/>
          <w:szCs w:val="24"/>
          <w:highlight w:val="none"/>
          <w14:textFill>
            <w14:solidFill>
              <w14:schemeClr w14:val="tx1"/>
            </w14:solidFill>
          </w14:textFill>
        </w:rPr>
        <w:t>出现下列情形之一，将导致项目废标：</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b/>
          <w:bCs/>
          <w:color w:val="000000" w:themeColor="text1"/>
          <w:sz w:val="24"/>
          <w:szCs w:val="24"/>
          <w:highlight w:val="none"/>
          <w14:textFill>
            <w14:solidFill>
              <w14:schemeClr w14:val="tx1"/>
            </w14:solidFill>
          </w14:textFill>
        </w:rPr>
        <w:t>（1）符合专业条件的供应商或者对招标文件做实质性响应的供应商不足三家；</w:t>
      </w:r>
    </w:p>
    <w:p>
      <w:pPr>
        <w:pageBreakBefore w:val="0"/>
        <w:widowControl w:val="0"/>
        <w:kinsoku/>
        <w:wordWrap/>
        <w:overflowPunct/>
        <w:topLinePunct w:val="0"/>
        <w:bidi w:val="0"/>
        <w:spacing w:line="360" w:lineRule="exact"/>
        <w:ind w:left="904" w:leftChars="0" w:hanging="904" w:hangingChars="375"/>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ab/>
      </w:r>
      <w:r>
        <w:rPr>
          <w:rFonts w:hint="eastAsia" w:ascii="宋体" w:hAnsi="宋体" w:eastAsia="宋体" w:cs="宋体"/>
          <w:b/>
          <w:bCs/>
          <w:color w:val="000000" w:themeColor="text1"/>
          <w:sz w:val="24"/>
          <w:szCs w:val="24"/>
          <w:highlight w:val="none"/>
          <w14:textFill>
            <w14:solidFill>
              <w14:schemeClr w14:val="tx1"/>
            </w14:solidFill>
          </w14:textFill>
        </w:rPr>
        <w:t>（2）出现影响采购公正的违法、违规行为的；</w:t>
      </w:r>
    </w:p>
    <w:p>
      <w:pPr>
        <w:pageBreakBefore w:val="0"/>
        <w:widowControl w:val="0"/>
        <w:kinsoku/>
        <w:wordWrap/>
        <w:overflowPunct/>
        <w:topLinePunct w:val="0"/>
        <w:bidi w:val="0"/>
        <w:spacing w:line="360" w:lineRule="exact"/>
        <w:ind w:left="0" w:leftChars="0" w:firstLine="843" w:firstLineChars="35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的报价均超过了采购预算，采购人不能支付的；</w:t>
      </w:r>
    </w:p>
    <w:p>
      <w:pPr>
        <w:pageBreakBefore w:val="0"/>
        <w:widowControl w:val="0"/>
        <w:kinsoku/>
        <w:wordWrap/>
        <w:overflowPunct/>
        <w:topLinePunct w:val="0"/>
        <w:bidi w:val="0"/>
        <w:spacing w:line="360" w:lineRule="exact"/>
        <w:ind w:left="0" w:leftChars="0" w:firstLine="843" w:firstLineChars="3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（4）因重大变故，采购任务取消的。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693" w:name="_Toc10657"/>
      <w:bookmarkStart w:id="694" w:name="_Toc13885"/>
      <w:bookmarkStart w:id="695" w:name="_Toc3431"/>
      <w:bookmarkStart w:id="696" w:name="_Toc5674"/>
      <w:bookmarkStart w:id="697" w:name="_Toc8327"/>
      <w:bookmarkStart w:id="698" w:name="_Toc25775"/>
      <w:bookmarkStart w:id="699" w:name="_Toc7638"/>
      <w:bookmarkStart w:id="700" w:name="_Toc24972"/>
      <w:bookmarkStart w:id="701" w:name="_Toc11422"/>
      <w:bookmarkStart w:id="702" w:name="_Toc8455"/>
      <w:bookmarkStart w:id="703" w:name="_Toc5223"/>
      <w:bookmarkStart w:id="704" w:name="_Toc25957"/>
      <w:bookmarkStart w:id="705" w:name="_Toc5328"/>
      <w:bookmarkStart w:id="706" w:name="_Toc11460"/>
      <w:bookmarkStart w:id="707" w:name="_Toc29646"/>
      <w:bookmarkStart w:id="708" w:name="_Toc10983"/>
      <w:bookmarkStart w:id="709" w:name="_Toc9864"/>
      <w:bookmarkStart w:id="710" w:name="_Toc31289"/>
      <w:bookmarkStart w:id="711" w:name="_Toc29790"/>
      <w:bookmarkStart w:id="712" w:name="_Toc23725"/>
      <w:bookmarkStart w:id="713" w:name="_Toc27604"/>
      <w:bookmarkStart w:id="714" w:name="_Toc515647786"/>
      <w:bookmarkStart w:id="715" w:name="_Toc30848"/>
      <w:bookmarkStart w:id="716" w:name="_Toc3793"/>
      <w:bookmarkStart w:id="717" w:name="_Toc21380"/>
      <w:bookmarkStart w:id="718" w:name="_Toc21697"/>
      <w:bookmarkStart w:id="719" w:name="_Toc17702"/>
      <w:bookmarkStart w:id="720" w:name="_Toc24172"/>
      <w:bookmarkStart w:id="721" w:name="_Toc520356169"/>
      <w:r>
        <w:rPr>
          <w:rFonts w:hint="eastAsia" w:hAnsi="宋体" w:cs="宋体"/>
          <w:b/>
          <w:bCs/>
          <w:color w:val="000000" w:themeColor="text1"/>
          <w:sz w:val="24"/>
          <w:szCs w:val="24"/>
          <w:highlight w:val="none"/>
          <w:u w:val="non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u w:val="none"/>
          <w14:textFill>
            <w14:solidFill>
              <w14:schemeClr w14:val="tx1"/>
            </w14:solidFill>
          </w14:textFill>
        </w:rPr>
        <w:t>保密原则</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评标将在严格保密的情况下进行。</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政府采购评审专家应当遵守评审工作纪律，不得泄露评审文件、评审情况和评审中获悉的商业秘密。</w:t>
      </w:r>
    </w:p>
    <w:p>
      <w:pPr>
        <w:pageBreakBefore w:val="0"/>
        <w:widowControl w:val="0"/>
        <w:kinsoku/>
        <w:wordWrap/>
        <w:overflowPunct/>
        <w:topLinePunct w:val="0"/>
        <w:bidi w:val="0"/>
        <w:spacing w:line="360" w:lineRule="exact"/>
        <w:ind w:left="0" w:leftChars="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22" w:name="_Toc12143"/>
      <w:bookmarkStart w:id="723" w:name="_Toc23904"/>
      <w:bookmarkStart w:id="724" w:name="_Toc216582810"/>
      <w:bookmarkStart w:id="725" w:name="_Toc515647787"/>
      <w:bookmarkStart w:id="726" w:name="_Toc10861"/>
      <w:bookmarkStart w:id="727" w:name="_Toc31410"/>
      <w:r>
        <w:rPr>
          <w:rFonts w:hint="eastAsia" w:ascii="宋体" w:hAnsi="宋体" w:eastAsia="宋体" w:cs="宋体"/>
          <w:color w:val="000000" w:themeColor="text1"/>
          <w:sz w:val="24"/>
          <w:szCs w:val="24"/>
          <w:highlight w:val="none"/>
          <w14:textFill>
            <w14:solidFill>
              <w14:schemeClr w14:val="tx1"/>
            </w14:solidFill>
          </w14:textFill>
        </w:rPr>
        <w:t xml:space="preserve">六   </w:t>
      </w:r>
      <w:bookmarkEnd w:id="721"/>
      <w:r>
        <w:rPr>
          <w:rFonts w:hint="eastAsia" w:ascii="宋体" w:hAnsi="宋体" w:eastAsia="宋体" w:cs="宋体"/>
          <w:color w:val="000000" w:themeColor="text1"/>
          <w:sz w:val="24"/>
          <w:szCs w:val="24"/>
          <w:highlight w:val="none"/>
          <w14:textFill>
            <w14:solidFill>
              <w14:schemeClr w14:val="tx1"/>
            </w14:solidFill>
          </w14:textFill>
        </w:rPr>
        <w:t>确定中标</w:t>
      </w:r>
      <w:bookmarkEnd w:id="722"/>
      <w:bookmarkEnd w:id="723"/>
      <w:bookmarkEnd w:id="724"/>
      <w:bookmarkEnd w:id="725"/>
      <w:bookmarkEnd w:id="726"/>
      <w:bookmarkEnd w:id="727"/>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bookmarkStart w:id="728" w:name="_Toc29156"/>
      <w:bookmarkStart w:id="729" w:name="_Toc27501"/>
      <w:bookmarkStart w:id="730" w:name="_Toc20762"/>
      <w:bookmarkStart w:id="731" w:name="_Toc1555"/>
      <w:bookmarkStart w:id="732" w:name="_Toc31710"/>
      <w:bookmarkStart w:id="733" w:name="_Toc24563"/>
      <w:bookmarkStart w:id="734" w:name="_Toc23762"/>
      <w:bookmarkStart w:id="735" w:name="_Toc520356170"/>
      <w:bookmarkStart w:id="736" w:name="_Toc22054"/>
      <w:bookmarkStart w:id="737" w:name="_Toc30510"/>
      <w:bookmarkStart w:id="738" w:name="_Toc26456"/>
      <w:bookmarkStart w:id="739" w:name="_Toc22284"/>
      <w:bookmarkStart w:id="740" w:name="_Toc24833"/>
      <w:bookmarkStart w:id="741" w:name="_Toc6381"/>
      <w:bookmarkStart w:id="742" w:name="_Toc23617"/>
      <w:bookmarkStart w:id="743" w:name="_Toc24864"/>
      <w:bookmarkStart w:id="744" w:name="_Toc3604"/>
      <w:bookmarkStart w:id="745" w:name="_Toc21902"/>
      <w:bookmarkStart w:id="746" w:name="_Toc20567"/>
      <w:bookmarkStart w:id="747" w:name="_Toc154"/>
      <w:bookmarkStart w:id="748" w:name="_Toc5544"/>
      <w:bookmarkStart w:id="749" w:name="_Toc12168"/>
      <w:bookmarkStart w:id="750" w:name="_Toc14800"/>
      <w:bookmarkStart w:id="751" w:name="_Toc20061"/>
      <w:bookmarkStart w:id="752" w:name="_Toc13936"/>
      <w:bookmarkStart w:id="753" w:name="_Toc28179"/>
      <w:bookmarkStart w:id="754" w:name="_Toc515647788"/>
      <w:bookmarkStart w:id="755" w:name="_Toc21834"/>
      <w:bookmarkStart w:id="756" w:name="_Ref467307010"/>
      <w:r>
        <w:rPr>
          <w:rFonts w:hint="eastAsia" w:hAnsi="宋体" w:cs="宋体"/>
          <w:b/>
          <w:bCs/>
          <w:color w:val="000000" w:themeColor="text1"/>
          <w:sz w:val="24"/>
          <w:szCs w:val="24"/>
          <w:highlight w:val="none"/>
          <w:u w:val="none"/>
          <w:lang w:val="en-US" w:eastAsia="zh-CN"/>
          <w14:textFill>
            <w14:solidFill>
              <w14:schemeClr w14:val="tx1"/>
            </w14:solidFill>
          </w14:textFill>
        </w:rPr>
        <w:t>26.</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中标候选人的确定原则及标准</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对实质上响应招标文件的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按下列方法进行排序，确定投标候选人：</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57" w:name="_Toc520356171"/>
      <w:bookmarkStart w:id="758" w:name="_Toc515647789"/>
      <w:r>
        <w:rPr>
          <w:rFonts w:hint="eastAsia" w:ascii="宋体" w:hAnsi="宋体" w:eastAsia="宋体" w:cs="宋体"/>
          <w:color w:val="000000" w:themeColor="text1"/>
          <w:sz w:val="24"/>
          <w:szCs w:val="24"/>
          <w:highlight w:val="none"/>
          <w14:textFill>
            <w14:solidFill>
              <w14:schemeClr w14:val="tx1"/>
            </w14:solidFill>
          </w14:textFill>
        </w:rPr>
        <w:t>（1）采用最低评标价法的，除了算术修正和落实政府采购政策需进行的价格扣除外，不对</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的投标价格进行任何调整。评标结果按修正和扣除后的投标报价由低到高顺序排列。报价相同的处理方式详见招标文件第6章。</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（2）采用综合评分法的，评标结果按评审后得分由高到低顺序排列。得分相同的，按修正和扣除后的投标报价由低到高顺序排列。得分与投标报价均相同的处理方式详见招标文件第6章。</w:t>
      </w:r>
    </w:p>
    <w:p>
      <w:pPr>
        <w:pStyle w:val="26"/>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bookmarkStart w:id="759" w:name="_Toc17200"/>
      <w:bookmarkStart w:id="760" w:name="_Toc15364"/>
      <w:bookmarkStart w:id="761" w:name="_Toc2108"/>
      <w:bookmarkStart w:id="762" w:name="_Toc976"/>
      <w:bookmarkStart w:id="763" w:name="_Toc14558"/>
      <w:bookmarkStart w:id="764" w:name="_Toc28294"/>
      <w:bookmarkStart w:id="765" w:name="_Toc3720"/>
      <w:bookmarkStart w:id="766" w:name="_Toc11969"/>
      <w:bookmarkStart w:id="767" w:name="_Toc11247"/>
      <w:bookmarkStart w:id="768" w:name="_Toc25274"/>
      <w:bookmarkStart w:id="769" w:name="_Toc30756"/>
      <w:bookmarkStart w:id="770" w:name="_Toc21306"/>
      <w:bookmarkStart w:id="771" w:name="_Toc27172"/>
      <w:bookmarkStart w:id="772" w:name="_Toc721"/>
      <w:bookmarkStart w:id="773" w:name="_Toc1644"/>
      <w:bookmarkStart w:id="774" w:name="_Toc16846"/>
      <w:bookmarkStart w:id="775" w:name="_Toc2803"/>
      <w:bookmarkStart w:id="776" w:name="_Toc17164"/>
      <w:bookmarkStart w:id="777" w:name="_Toc29803"/>
      <w:bookmarkStart w:id="778" w:name="_Toc17933"/>
      <w:bookmarkStart w:id="779" w:name="_Toc15604"/>
      <w:bookmarkStart w:id="780" w:name="_Toc21913"/>
      <w:bookmarkStart w:id="781" w:name="_Toc24948"/>
      <w:bookmarkStart w:id="782" w:name="_Toc12678"/>
      <w:r>
        <w:rPr>
          <w:rFonts w:hint="eastAsia" w:ascii="宋体" w:hAnsi="宋体" w:cs="宋体"/>
          <w:b/>
          <w:bCs/>
          <w:color w:val="000000" w:themeColor="text1"/>
          <w:sz w:val="24"/>
          <w:szCs w:val="24"/>
          <w:highlight w:val="none"/>
          <w:lang w:val="en-US" w:eastAsia="zh-CN"/>
          <w14:textFill>
            <w14:solidFill>
              <w14:schemeClr w14:val="tx1"/>
            </w14:solidFill>
          </w14:textFill>
        </w:rPr>
        <w:t>第九包、第十二包：</w:t>
      </w:r>
      <w:r>
        <w:rPr>
          <w:rFonts w:hint="eastAsia" w:ascii="宋体" w:hAnsi="宋体" w:eastAsia="宋体" w:cs="宋体"/>
          <w:b/>
          <w:bCs/>
          <w:color w:val="000000" w:themeColor="text1"/>
          <w:sz w:val="24"/>
          <w:szCs w:val="24"/>
          <w:highlight w:val="none"/>
          <w14:textFill>
            <w14:solidFill>
              <w14:schemeClr w14:val="tx1"/>
            </w14:solidFill>
          </w14:textFill>
        </w:rPr>
        <w:t>采用综合评分法</w:t>
      </w:r>
      <w:r>
        <w:rPr>
          <w:rFonts w:hint="eastAsia" w:ascii="宋体" w:hAnsi="宋体" w:eastAsia="宋体" w:cs="宋体"/>
          <w:b/>
          <w:bCs/>
          <w:color w:val="000000" w:themeColor="text1"/>
          <w:sz w:val="24"/>
          <w:szCs w:val="24"/>
          <w:highlight w:val="none"/>
          <w:lang w:eastAsia="zh-CN"/>
          <w14:textFill>
            <w14:solidFill>
              <w14:schemeClr w14:val="tx1"/>
            </w14:solidFill>
          </w14:textFill>
        </w:rPr>
        <w:t>：价格占30%，商务占</w:t>
      </w:r>
      <w:r>
        <w:rPr>
          <w:rFonts w:hint="eastAsia" w:ascii="宋体" w:hAnsi="宋体" w:cs="宋体"/>
          <w:b/>
          <w:bCs/>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bCs/>
          <w:color w:val="000000" w:themeColor="text1"/>
          <w:sz w:val="24"/>
          <w:szCs w:val="24"/>
          <w:highlight w:val="none"/>
          <w:lang w:eastAsia="zh-CN"/>
          <w14:textFill>
            <w14:solidFill>
              <w14:schemeClr w14:val="tx1"/>
            </w14:solidFill>
          </w14:textFill>
        </w:rPr>
        <w:t>%，技术占</w:t>
      </w:r>
      <w:r>
        <w:rPr>
          <w:rFonts w:hint="eastAsia" w:ascii="宋体" w:hAnsi="宋体" w:cs="宋体"/>
          <w:b/>
          <w:bCs/>
          <w:color w:val="000000" w:themeColor="text1"/>
          <w:sz w:val="24"/>
          <w:szCs w:val="24"/>
          <w:highlight w:val="none"/>
          <w:lang w:val="en-US" w:eastAsia="zh-CN"/>
          <w14:textFill>
            <w14:solidFill>
              <w14:schemeClr w14:val="tx1"/>
            </w14:solidFill>
          </w14:textFill>
        </w:rPr>
        <w:t>56</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783" w:name="_Toc30680"/>
      <w:bookmarkStart w:id="784" w:name="_Toc12685"/>
      <w:bookmarkStart w:id="785" w:name="_Toc28098"/>
      <w:bookmarkStart w:id="786" w:name="_Toc31646"/>
      <w:r>
        <w:rPr>
          <w:rFonts w:hint="eastAsia" w:hAnsi="宋体" w:cs="宋体"/>
          <w:b/>
          <w:bCs/>
          <w:color w:val="000000" w:themeColor="text1"/>
          <w:sz w:val="24"/>
          <w:szCs w:val="24"/>
          <w:highlight w:val="none"/>
          <w:u w:val="none"/>
          <w:lang w:val="en-US" w:eastAsia="zh-CN"/>
          <w14:textFill>
            <w14:solidFill>
              <w14:schemeClr w14:val="tx1"/>
            </w14:solidFill>
          </w14:textFill>
        </w:rPr>
        <w:t>27.</w:t>
      </w:r>
      <w:r>
        <w:rPr>
          <w:rFonts w:hint="eastAsia" w:ascii="宋体" w:hAnsi="宋体" w:eastAsia="宋体" w:cs="宋体"/>
          <w:b/>
          <w:bCs/>
          <w:color w:val="000000" w:themeColor="text1"/>
          <w:sz w:val="24"/>
          <w:szCs w:val="24"/>
          <w:highlight w:val="none"/>
          <w:u w:val="none"/>
          <w14:textFill>
            <w14:solidFill>
              <w14:schemeClr w14:val="tx1"/>
            </w14:solidFill>
          </w14:textFill>
        </w:rPr>
        <w:t>确定</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中标</w:t>
      </w:r>
      <w:r>
        <w:rPr>
          <w:rFonts w:hint="eastAsia" w:ascii="宋体" w:hAnsi="宋体" w:eastAsia="宋体" w:cs="宋体"/>
          <w:b/>
          <w:bCs/>
          <w:color w:val="000000" w:themeColor="text1"/>
          <w:sz w:val="24"/>
          <w:szCs w:val="24"/>
          <w:highlight w:val="none"/>
          <w:u w:val="none"/>
          <w14:textFill>
            <w14:solidFill>
              <w14:schemeClr w14:val="tx1"/>
            </w14:solidFill>
          </w14:textFill>
        </w:rPr>
        <w:t>候选人和</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Pr>
          <w:rFonts w:hint="eastAsia" w:hAnsi="宋体" w:cs="宋体"/>
          <w:b/>
          <w:bCs/>
          <w:color w:val="000000" w:themeColor="text1"/>
          <w:sz w:val="24"/>
          <w:szCs w:val="24"/>
          <w:highlight w:val="none"/>
          <w:u w:val="none"/>
          <w:lang w:val="en-US" w:eastAsia="zh-CN"/>
          <w14:textFill>
            <w14:solidFill>
              <w14:schemeClr w14:val="tx1"/>
            </w14:solidFill>
          </w14:textFill>
        </w:rPr>
        <w:t>供应商</w:t>
      </w:r>
      <w:bookmarkEnd w:id="785"/>
      <w:bookmarkEnd w:id="786"/>
    </w:p>
    <w:bookmarkEnd w:id="757"/>
    <w:bookmarkEnd w:id="758"/>
    <w:p>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评标委员会将根据评标标准，按</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须知资料表中</w:t>
      </w:r>
      <w:r>
        <w:rPr>
          <w:rFonts w:hint="eastAsia" w:ascii="宋体" w:hAnsi="宋体" w:eastAsia="宋体" w:cs="宋体"/>
          <w:color w:val="000000" w:themeColor="text1"/>
          <w:sz w:val="24"/>
          <w:szCs w:val="24"/>
          <w:highlight w:val="none"/>
          <w14:textFill>
            <w14:solidFill>
              <w14:schemeClr w14:val="tx1"/>
            </w14:solidFill>
          </w14:textFill>
        </w:rPr>
        <w:t>规定数量推荐中标候</w:t>
      </w:r>
    </w:p>
    <w:p>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选人；或根据采购人的委托，直接确定</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787" w:name="_Toc21889"/>
      <w:bookmarkStart w:id="788" w:name="_Toc19322"/>
      <w:bookmarkStart w:id="789" w:name="_Toc3328"/>
      <w:bookmarkStart w:id="790" w:name="_Toc9701"/>
      <w:bookmarkStart w:id="791" w:name="_Toc45"/>
      <w:bookmarkStart w:id="792" w:name="_Toc12320"/>
      <w:bookmarkStart w:id="793" w:name="_Toc515647790"/>
      <w:bookmarkStart w:id="794" w:name="_Toc21208"/>
      <w:bookmarkStart w:id="795" w:name="_Toc5507"/>
      <w:bookmarkStart w:id="796" w:name="_Toc7156"/>
      <w:bookmarkStart w:id="797" w:name="_Toc24959"/>
      <w:bookmarkStart w:id="798" w:name="_Toc1269"/>
      <w:bookmarkStart w:id="799" w:name="_Toc31043"/>
      <w:bookmarkStart w:id="800" w:name="_Toc9640"/>
      <w:bookmarkStart w:id="801" w:name="_Toc17591"/>
      <w:bookmarkStart w:id="802" w:name="_Toc30786"/>
      <w:bookmarkStart w:id="803" w:name="_Toc18821"/>
      <w:bookmarkStart w:id="804" w:name="_Toc6340"/>
      <w:bookmarkStart w:id="805" w:name="_Toc19007"/>
      <w:bookmarkStart w:id="806" w:name="_Toc20705"/>
      <w:bookmarkStart w:id="807" w:name="_Toc2533"/>
      <w:bookmarkStart w:id="808" w:name="_Toc20880"/>
      <w:bookmarkStart w:id="809" w:name="_Toc28562"/>
      <w:bookmarkStart w:id="810" w:name="_Toc20001"/>
      <w:bookmarkStart w:id="811" w:name="_Toc18980"/>
      <w:bookmarkStart w:id="812" w:name="_Toc21618"/>
      <w:bookmarkStart w:id="813" w:name="_Toc32455"/>
      <w:bookmarkStart w:id="814" w:name="_Toc8389"/>
      <w:r>
        <w:rPr>
          <w:rFonts w:hint="eastAsia" w:hAnsi="宋体" w:cs="宋体"/>
          <w:b/>
          <w:bCs/>
          <w:color w:val="000000" w:themeColor="text1"/>
          <w:sz w:val="24"/>
          <w:szCs w:val="24"/>
          <w:highlight w:val="none"/>
          <w:u w:val="none"/>
          <w:lang w:val="en-US" w:eastAsia="zh-CN"/>
          <w14:textFill>
            <w14:solidFill>
              <w14:schemeClr w14:val="tx1"/>
            </w14:solidFill>
          </w14:textFill>
        </w:rPr>
        <w:t>28.</w:t>
      </w:r>
      <w:r>
        <w:rPr>
          <w:rFonts w:hint="eastAsia" w:ascii="宋体" w:hAnsi="宋体" w:eastAsia="宋体" w:cs="宋体"/>
          <w:b/>
          <w:bCs/>
          <w:color w:val="000000" w:themeColor="text1"/>
          <w:sz w:val="24"/>
          <w:szCs w:val="24"/>
          <w:highlight w:val="none"/>
          <w:u w:val="none"/>
          <w14:textFill>
            <w14:solidFill>
              <w14:schemeClr w14:val="tx1"/>
            </w14:solidFill>
          </w14:textFill>
        </w:rPr>
        <w:t>采购任务取消</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因重大变故采购任务取消时，采购人有权拒绝任何</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中标，且对受影响的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不承担任何责任。</w:t>
      </w:r>
      <w:bookmarkStart w:id="815" w:name="_Toc520356174"/>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816" w:name="_Toc27996"/>
      <w:bookmarkStart w:id="817" w:name="_Toc137"/>
      <w:bookmarkStart w:id="818" w:name="_Toc30149"/>
      <w:bookmarkStart w:id="819" w:name="_Toc515"/>
      <w:bookmarkStart w:id="820" w:name="_Toc17202"/>
      <w:bookmarkStart w:id="821" w:name="_Toc13576"/>
      <w:bookmarkStart w:id="822" w:name="_Toc31879"/>
      <w:bookmarkStart w:id="823" w:name="_Toc14221"/>
      <w:bookmarkStart w:id="824" w:name="_Toc21583"/>
      <w:bookmarkStart w:id="825" w:name="_Toc12348"/>
      <w:bookmarkStart w:id="826" w:name="_Toc1676"/>
      <w:bookmarkStart w:id="827" w:name="_Toc1178"/>
      <w:bookmarkStart w:id="828" w:name="_Toc30170"/>
      <w:bookmarkStart w:id="829" w:name="_Toc25281"/>
      <w:bookmarkStart w:id="830" w:name="_Toc8834"/>
      <w:bookmarkStart w:id="831" w:name="_Toc515647791"/>
      <w:bookmarkStart w:id="832" w:name="_Toc20363"/>
      <w:bookmarkStart w:id="833" w:name="_Toc4099"/>
      <w:bookmarkStart w:id="834" w:name="_Toc9289"/>
      <w:bookmarkStart w:id="835" w:name="_Toc31099"/>
      <w:bookmarkStart w:id="836" w:name="_Toc30931"/>
      <w:bookmarkStart w:id="837" w:name="_Toc8140"/>
      <w:bookmarkStart w:id="838" w:name="_Toc15667"/>
      <w:bookmarkStart w:id="839" w:name="_Toc5820"/>
      <w:bookmarkStart w:id="840" w:name="_Toc9886"/>
      <w:bookmarkStart w:id="841" w:name="_Toc11990"/>
      <w:bookmarkStart w:id="842" w:name="_Toc1818"/>
      <w:bookmarkStart w:id="843" w:name="_Toc21812"/>
      <w:r>
        <w:rPr>
          <w:rFonts w:hint="eastAsia" w:hAnsi="宋体" w:cs="宋体"/>
          <w:b/>
          <w:bCs/>
          <w:color w:val="000000" w:themeColor="text1"/>
          <w:sz w:val="24"/>
          <w:szCs w:val="24"/>
          <w:highlight w:val="none"/>
          <w:u w:val="none"/>
          <w:lang w:val="en-US" w:eastAsia="zh-CN"/>
          <w14:textFill>
            <w14:solidFill>
              <w14:schemeClr w14:val="tx1"/>
            </w14:solidFill>
          </w14:textFill>
        </w:rPr>
        <w:t>29.</w:t>
      </w:r>
      <w:r>
        <w:rPr>
          <w:rFonts w:hint="eastAsia" w:ascii="宋体" w:hAnsi="宋体" w:eastAsia="宋体" w:cs="宋体"/>
          <w:b/>
          <w:bCs/>
          <w:color w:val="000000" w:themeColor="text1"/>
          <w:sz w:val="24"/>
          <w:szCs w:val="24"/>
          <w:highlight w:val="none"/>
          <w:u w:val="none"/>
          <w14:textFill>
            <w14:solidFill>
              <w14:schemeClr w14:val="tx1"/>
            </w14:solidFill>
          </w14:textFill>
        </w:rPr>
        <w:t>中标通知书</w:t>
      </w:r>
      <w:bookmarkEnd w:id="815"/>
      <w:r>
        <w:rPr>
          <w:rFonts w:hint="eastAsia" w:ascii="宋体" w:hAnsi="宋体" w:eastAsia="宋体" w:cs="宋体"/>
          <w:b/>
          <w:bCs/>
          <w:color w:val="000000" w:themeColor="text1"/>
          <w:sz w:val="24"/>
          <w:szCs w:val="24"/>
          <w:highlight w:val="none"/>
          <w:u w:val="none"/>
          <w14:textFill>
            <w14:solidFill>
              <w14:schemeClr w14:val="tx1"/>
            </w14:solidFill>
          </w14:textFill>
        </w:rPr>
        <w:t>和</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Pr>
          <w:rFonts w:hint="eastAsia" w:ascii="宋体" w:hAnsi="宋体" w:eastAsia="宋体" w:cs="宋体"/>
          <w:b/>
          <w:bCs/>
          <w:color w:val="000000" w:themeColor="text1"/>
          <w:sz w:val="24"/>
          <w:szCs w:val="24"/>
          <w:highlight w:val="none"/>
          <w:u w:val="none"/>
          <w14:textFill>
            <w14:solidFill>
              <w14:schemeClr w14:val="tx1"/>
            </w14:solidFill>
          </w14:textFill>
        </w:rPr>
        <w:t>中标公告</w:t>
      </w:r>
      <w:bookmarkEnd w:id="843"/>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在投标有效期内，</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确定后，采购人或者采购代理机构发布中标公告，同时以书面形式向</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发出中标通知书。</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中标通知书是合同的组成部分。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29.3    </w:t>
      </w:r>
      <w:r>
        <w:rPr>
          <w:rFonts w:hint="eastAsia" w:ascii="宋体" w:hAnsi="宋体" w:cs="宋体"/>
          <w:color w:val="000000" w:themeColor="text1"/>
          <w:sz w:val="24"/>
          <w:szCs w:val="24"/>
          <w:highlight w:val="none"/>
          <w:lang w:val="en-US" w:eastAsia="zh-CN"/>
          <w14:textFill>
            <w14:solidFill>
              <w14:schemeClr w14:val="tx1"/>
            </w14:solidFill>
          </w14:textFill>
        </w:rPr>
        <w:t>中标公告</w:t>
      </w:r>
      <w:r>
        <w:rPr>
          <w:rFonts w:hint="eastAsia" w:ascii="宋体" w:hAnsi="宋体" w:eastAsia="宋体" w:cs="宋体"/>
          <w:color w:val="000000" w:themeColor="text1"/>
          <w:sz w:val="24"/>
          <w:szCs w:val="24"/>
          <w:highlight w:val="none"/>
          <w14:textFill>
            <w14:solidFill>
              <w14:schemeClr w14:val="tx1"/>
            </w14:solidFill>
          </w14:textFill>
        </w:rPr>
        <w:t>和中标通知书同时发出。采用综合评分法评审的，还将告知未</w:t>
      </w:r>
      <w:r>
        <w:rPr>
          <w:rFonts w:hint="eastAsia" w:ascii="宋体" w:hAnsi="宋体" w:cs="宋体"/>
          <w:color w:val="000000" w:themeColor="text1"/>
          <w:sz w:val="24"/>
          <w:szCs w:val="24"/>
          <w:highlight w:val="none"/>
          <w:lang w:eastAsia="zh-CN"/>
          <w14:textFill>
            <w14:solidFill>
              <w14:schemeClr w14:val="tx1"/>
            </w14:solidFill>
          </w14:textFill>
        </w:rPr>
        <w:t>中标供应商</w:t>
      </w: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的评审得分和排序。</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844" w:name="_Toc6885"/>
      <w:bookmarkStart w:id="845" w:name="_Toc520356175"/>
      <w:bookmarkStart w:id="846" w:name="_Toc30819"/>
      <w:bookmarkStart w:id="847" w:name="_Toc13210"/>
      <w:bookmarkStart w:id="848" w:name="_Toc30068"/>
      <w:bookmarkStart w:id="849" w:name="_Toc515647792"/>
      <w:bookmarkStart w:id="850" w:name="_Toc4466"/>
      <w:bookmarkStart w:id="851" w:name="_Toc19580"/>
      <w:bookmarkStart w:id="852" w:name="_Toc15018"/>
      <w:bookmarkStart w:id="853" w:name="_Toc11340"/>
      <w:bookmarkStart w:id="854" w:name="_Toc14106"/>
      <w:bookmarkStart w:id="855" w:name="_Toc24666"/>
      <w:bookmarkStart w:id="856" w:name="_Toc26465"/>
      <w:bookmarkStart w:id="857" w:name="_Toc1386"/>
      <w:bookmarkStart w:id="858" w:name="_Toc29255"/>
      <w:bookmarkStart w:id="859" w:name="_Ref467307062"/>
      <w:bookmarkStart w:id="860" w:name="_Toc3557"/>
      <w:bookmarkStart w:id="861" w:name="_Toc790"/>
      <w:bookmarkStart w:id="862" w:name="_Toc14551"/>
      <w:bookmarkStart w:id="863" w:name="_Toc7584"/>
      <w:bookmarkStart w:id="864" w:name="_Ref467306377"/>
      <w:bookmarkStart w:id="865" w:name="_Toc7779"/>
      <w:bookmarkStart w:id="866" w:name="_Ref467307204"/>
      <w:bookmarkStart w:id="867" w:name="_Toc14896"/>
      <w:bookmarkStart w:id="868" w:name="_Toc4901"/>
      <w:bookmarkStart w:id="869" w:name="_Toc9417"/>
      <w:bookmarkStart w:id="870" w:name="_Toc830"/>
      <w:bookmarkStart w:id="871" w:name="_Ref467306978"/>
      <w:bookmarkStart w:id="872" w:name="_Toc13873"/>
      <w:bookmarkStart w:id="873" w:name="_Toc26598"/>
      <w:bookmarkStart w:id="874" w:name="_Toc19730"/>
      <w:bookmarkStart w:id="875" w:name="_Toc29299"/>
      <w:bookmarkStart w:id="876" w:name="_Toc31965"/>
      <w:r>
        <w:rPr>
          <w:rFonts w:hint="eastAsia" w:hAnsi="宋体" w:cs="宋体"/>
          <w:b/>
          <w:bCs/>
          <w:color w:val="000000" w:themeColor="text1"/>
          <w:sz w:val="24"/>
          <w:szCs w:val="24"/>
          <w:highlight w:val="none"/>
          <w:u w:val="none"/>
          <w:lang w:val="en-US" w:eastAsia="zh-CN"/>
          <w14:textFill>
            <w14:solidFill>
              <w14:schemeClr w14:val="tx1"/>
            </w14:solidFill>
          </w14:textFill>
        </w:rPr>
        <w:t>30.</w:t>
      </w:r>
      <w:r>
        <w:rPr>
          <w:rFonts w:hint="eastAsia" w:ascii="宋体" w:hAnsi="宋体" w:eastAsia="宋体" w:cs="宋体"/>
          <w:b/>
          <w:bCs/>
          <w:color w:val="000000" w:themeColor="text1"/>
          <w:sz w:val="24"/>
          <w:szCs w:val="24"/>
          <w:highlight w:val="none"/>
          <w:u w:val="none"/>
          <w14:textFill>
            <w14:solidFill>
              <w14:schemeClr w14:val="tx1"/>
            </w14:solidFill>
          </w14:textFill>
        </w:rPr>
        <w:t>签订合同</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应当自发出中标通知书之日起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日内，与采购人签订合同。</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30.2</w:t>
      </w:r>
      <w:r>
        <w:rPr>
          <w:rFonts w:hint="eastAsia" w:ascii="宋体" w:hAnsi="宋体" w:eastAsia="宋体" w:cs="宋体"/>
          <w:color w:val="000000" w:themeColor="text1"/>
          <w:sz w:val="24"/>
          <w:szCs w:val="24"/>
          <w:highlight w:val="none"/>
          <w14:textFill>
            <w14:solidFill>
              <w14:schemeClr w14:val="tx1"/>
            </w14:solidFill>
          </w14:textFill>
        </w:rPr>
        <w:tab/>
      </w:r>
      <w:bookmarkStart w:id="877" w:name="_Ref467306425"/>
      <w:bookmarkStart w:id="878" w:name="_Toc520356176"/>
      <w:bookmarkStart w:id="879" w:name="_Ref467307090"/>
      <w:r>
        <w:rPr>
          <w:rFonts w:hint="eastAsia" w:ascii="宋体" w:hAnsi="宋体" w:eastAsia="宋体" w:cs="宋体"/>
          <w:color w:val="000000" w:themeColor="text1"/>
          <w:sz w:val="24"/>
          <w:szCs w:val="24"/>
          <w:highlight w:val="none"/>
          <w14:textFill>
            <w14:solidFill>
              <w14:schemeClr w14:val="tx1"/>
            </w14:solidFill>
          </w14:textFill>
        </w:rPr>
        <w:t>招标文件、</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的投标文件及其澄清文件等，均为签订合同的依据。</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30.3   </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拒绝与采购人签订合同的，采购人可以按照评审报告推荐的中标候选人名单排序，确定下一中标候选人为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，也可以重新开展政府采购活动。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30.4   当出现法规规定的</w:t>
      </w:r>
      <w:r>
        <w:rPr>
          <w:rFonts w:hint="eastAsia" w:ascii="宋体" w:hAnsi="宋体" w:eastAsia="宋体" w:cs="宋体"/>
          <w:b/>
          <w:color w:val="000000" w:themeColor="text1"/>
          <w:sz w:val="24"/>
          <w:szCs w:val="24"/>
          <w:highlight w:val="none"/>
          <w14:textFill>
            <w14:solidFill>
              <w14:schemeClr w14:val="tx1"/>
            </w14:solidFill>
          </w14:textFill>
        </w:rPr>
        <w:t>中标无效或中标结果无效</w:t>
      </w:r>
      <w:r>
        <w:rPr>
          <w:rFonts w:hint="eastAsia" w:ascii="宋体" w:hAnsi="宋体" w:eastAsia="宋体" w:cs="宋体"/>
          <w:color w:val="000000" w:themeColor="text1"/>
          <w:sz w:val="24"/>
          <w:szCs w:val="24"/>
          <w:highlight w:val="none"/>
          <w14:textFill>
            <w14:solidFill>
              <w14:schemeClr w14:val="tx1"/>
            </w14:solidFill>
          </w14:textFill>
        </w:rPr>
        <w:t>情形时，采购人可与排名下一位的中标候选人另行签订合同，或依法重新开展采购活动。</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880" w:name="_Toc32131"/>
      <w:bookmarkStart w:id="881" w:name="_Toc8801"/>
      <w:bookmarkStart w:id="882" w:name="_Toc9468"/>
      <w:bookmarkStart w:id="883" w:name="_Toc8189"/>
      <w:bookmarkStart w:id="884" w:name="_Toc15755"/>
      <w:bookmarkStart w:id="885" w:name="_Toc16092"/>
      <w:bookmarkStart w:id="886" w:name="_Toc11471"/>
      <w:bookmarkStart w:id="887" w:name="_Toc10991"/>
      <w:bookmarkStart w:id="888" w:name="_Toc28788"/>
      <w:bookmarkStart w:id="889" w:name="_Toc32530"/>
      <w:bookmarkStart w:id="890" w:name="_Toc31991"/>
      <w:bookmarkStart w:id="891" w:name="_Toc14080"/>
      <w:bookmarkStart w:id="892" w:name="_Toc22555"/>
      <w:bookmarkStart w:id="893" w:name="_Toc515647793"/>
      <w:bookmarkStart w:id="894" w:name="_Toc15498"/>
      <w:bookmarkStart w:id="895" w:name="_Toc21692"/>
      <w:bookmarkStart w:id="896" w:name="_Toc4958"/>
      <w:bookmarkStart w:id="897" w:name="_Toc4460"/>
      <w:bookmarkStart w:id="898" w:name="_Toc11467"/>
      <w:bookmarkStart w:id="899" w:name="_Toc17960"/>
      <w:bookmarkStart w:id="900" w:name="_Toc11387"/>
      <w:bookmarkStart w:id="901" w:name="_Toc30026"/>
      <w:bookmarkStart w:id="902" w:name="_Toc13252"/>
      <w:bookmarkStart w:id="903" w:name="_Toc26902"/>
      <w:bookmarkStart w:id="904" w:name="_Toc4849"/>
      <w:bookmarkStart w:id="905" w:name="_Toc23943"/>
      <w:bookmarkStart w:id="906" w:name="_Toc8814"/>
      <w:bookmarkStart w:id="907" w:name="_Toc28487"/>
      <w:r>
        <w:rPr>
          <w:rFonts w:hint="eastAsia" w:hAnsi="宋体" w:cs="宋体"/>
          <w:b/>
          <w:bCs/>
          <w:color w:val="000000" w:themeColor="text1"/>
          <w:sz w:val="24"/>
          <w:szCs w:val="24"/>
          <w:highlight w:val="none"/>
          <w:u w:val="none"/>
          <w:lang w:val="en-US" w:eastAsia="zh-CN"/>
          <w14:textFill>
            <w14:solidFill>
              <w14:schemeClr w14:val="tx1"/>
            </w14:solidFill>
          </w14:textFill>
        </w:rPr>
        <w:t>31.</w:t>
      </w:r>
      <w:r>
        <w:rPr>
          <w:rFonts w:hint="eastAsia" w:ascii="宋体" w:hAnsi="宋体" w:eastAsia="宋体" w:cs="宋体"/>
          <w:b/>
          <w:bCs/>
          <w:color w:val="000000" w:themeColor="text1"/>
          <w:sz w:val="24"/>
          <w:szCs w:val="24"/>
          <w:highlight w:val="none"/>
          <w:u w:val="none"/>
          <w14:textFill>
            <w14:solidFill>
              <w14:schemeClr w14:val="tx1"/>
            </w14:solidFill>
          </w14:textFill>
        </w:rPr>
        <w:t>履约保证金</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应按照</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规定向采购人缴纳履约保证金。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政府采购利用担保试点范围内的项目，除31.1规定的情形外，</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也可以按照财政部门的规定，向采购人提供合格的履约担</w:t>
      </w:r>
      <w:r>
        <w:rPr>
          <w:rFonts w:hint="eastAsia" w:ascii="宋体" w:hAnsi="宋体" w:eastAsia="宋体" w:cs="宋体"/>
          <w:color w:val="000000" w:themeColor="text1"/>
          <w:sz w:val="24"/>
          <w:szCs w:val="24"/>
          <w:highlight w:val="none"/>
          <w:lang w:eastAsia="zh-CN"/>
          <w14:textFill>
            <w14:solidFill>
              <w14:schemeClr w14:val="tx1"/>
            </w14:solidFill>
          </w14:textFill>
        </w:rPr>
        <w:t>开户行银行保函。</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908" w:name="_Toc1705"/>
      <w:bookmarkStart w:id="909" w:name="_Toc12816"/>
      <w:bookmarkStart w:id="910" w:name="_Toc25385"/>
      <w:bookmarkStart w:id="911" w:name="_Toc13048"/>
      <w:bookmarkStart w:id="912" w:name="_Toc24979"/>
      <w:bookmarkStart w:id="913" w:name="_Toc26497"/>
      <w:bookmarkStart w:id="914" w:name="_Toc14539"/>
      <w:bookmarkStart w:id="915" w:name="_Toc17827"/>
      <w:bookmarkStart w:id="916" w:name="_Toc9967"/>
      <w:bookmarkStart w:id="917" w:name="_Toc16406"/>
      <w:bookmarkStart w:id="918" w:name="_Toc17462"/>
      <w:bookmarkStart w:id="919" w:name="_Toc20540"/>
      <w:bookmarkStart w:id="920" w:name="_Toc21835"/>
      <w:bookmarkStart w:id="921" w:name="_Toc1894"/>
      <w:bookmarkStart w:id="922" w:name="_Toc21246"/>
      <w:bookmarkStart w:id="923" w:name="_Toc1144"/>
      <w:bookmarkStart w:id="924" w:name="_Toc17256"/>
      <w:bookmarkStart w:id="925" w:name="_Toc15384"/>
      <w:bookmarkStart w:id="926" w:name="_Toc15314"/>
      <w:bookmarkStart w:id="927" w:name="_Toc9993"/>
      <w:bookmarkStart w:id="928" w:name="_Toc29408"/>
      <w:bookmarkStart w:id="929" w:name="_Toc31793"/>
      <w:bookmarkStart w:id="930" w:name="_Toc13043"/>
      <w:bookmarkStart w:id="931" w:name="_Toc14040"/>
      <w:bookmarkStart w:id="932" w:name="_Toc28866"/>
      <w:bookmarkStart w:id="933" w:name="_Toc515647794"/>
      <w:bookmarkStart w:id="934" w:name="_Toc3090"/>
      <w:bookmarkStart w:id="935" w:name="_Toc8906"/>
      <w:r>
        <w:rPr>
          <w:rFonts w:hint="eastAsia" w:hAnsi="宋体" w:cs="宋体"/>
          <w:b/>
          <w:bCs/>
          <w:color w:val="000000" w:themeColor="text1"/>
          <w:sz w:val="24"/>
          <w:szCs w:val="24"/>
          <w:highlight w:val="none"/>
          <w:u w:val="none"/>
          <w:lang w:val="en-US" w:eastAsia="zh-CN"/>
          <w14:textFill>
            <w14:solidFill>
              <w14:schemeClr w14:val="tx1"/>
            </w14:solidFill>
          </w14:textFill>
        </w:rPr>
        <w:t>32.</w:t>
      </w:r>
      <w:r>
        <w:rPr>
          <w:rFonts w:hint="eastAsia" w:ascii="宋体" w:hAnsi="宋体" w:eastAsia="宋体" w:cs="宋体"/>
          <w:b/>
          <w:bCs/>
          <w:color w:val="000000" w:themeColor="text1"/>
          <w:sz w:val="24"/>
          <w:szCs w:val="24"/>
          <w:highlight w:val="none"/>
          <w:u w:val="none"/>
          <w14:textFill>
            <w14:solidFill>
              <w14:schemeClr w14:val="tx1"/>
            </w14:solidFill>
          </w14:textFill>
        </w:rPr>
        <w:t>中标服务费</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pPr>
        <w:pageBreakBefore w:val="0"/>
        <w:widowControl w:val="0"/>
        <w:kinsoku/>
        <w:wordWrap/>
        <w:overflowPunct/>
        <w:topLinePunct w:val="0"/>
        <w:bidi w:val="0"/>
        <w:spacing w:line="360" w:lineRule="exact"/>
        <w:ind w:left="420" w:leftChars="0" w:hanging="420" w:hangingChars="1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须按照</w:t>
      </w:r>
      <w:r>
        <w:rPr>
          <w:rFonts w:hint="eastAsia" w:ascii="宋体" w:hAnsi="宋体" w:eastAsia="宋体" w:cs="宋体"/>
          <w:color w:val="000000" w:themeColor="text1"/>
          <w:sz w:val="24"/>
          <w:szCs w:val="24"/>
          <w:highlight w:val="none"/>
          <w:u w:val="single"/>
          <w14:textFill>
            <w14:solidFill>
              <w14:schemeClr w14:val="tx1"/>
            </w14:solidFill>
          </w14:textFill>
        </w:rPr>
        <w:t>投标须知资料表</w:t>
      </w:r>
      <w:r>
        <w:rPr>
          <w:rFonts w:hint="eastAsia" w:ascii="宋体" w:hAnsi="宋体" w:eastAsia="宋体" w:cs="宋体"/>
          <w:color w:val="000000" w:themeColor="text1"/>
          <w:sz w:val="24"/>
          <w:szCs w:val="24"/>
          <w:highlight w:val="none"/>
          <w14:textFill>
            <w14:solidFill>
              <w14:schemeClr w14:val="tx1"/>
            </w14:solidFill>
          </w14:textFill>
        </w:rPr>
        <w:t>规定，向采购代理机构支付中标服务费。</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936" w:name="_Toc16900"/>
      <w:bookmarkStart w:id="937" w:name="_Toc3584"/>
      <w:bookmarkStart w:id="938" w:name="_Toc25076"/>
      <w:bookmarkStart w:id="939" w:name="_Toc28372"/>
      <w:bookmarkStart w:id="940" w:name="_Toc23477"/>
      <w:bookmarkStart w:id="941" w:name="_Toc4947"/>
      <w:bookmarkStart w:id="942" w:name="_Toc26840"/>
      <w:bookmarkStart w:id="943" w:name="_Toc7049"/>
      <w:bookmarkStart w:id="944" w:name="_Toc6923"/>
      <w:bookmarkStart w:id="945" w:name="_Toc365"/>
      <w:bookmarkStart w:id="946" w:name="_Toc2419"/>
      <w:bookmarkStart w:id="947" w:name="_Toc8477"/>
      <w:bookmarkStart w:id="948" w:name="_Toc31379"/>
      <w:bookmarkStart w:id="949" w:name="_Toc7158"/>
      <w:bookmarkStart w:id="950" w:name="_Toc10747"/>
      <w:bookmarkStart w:id="951" w:name="_Toc14969"/>
      <w:bookmarkStart w:id="952" w:name="_Toc515647795"/>
      <w:bookmarkStart w:id="953" w:name="_Toc23330"/>
      <w:bookmarkStart w:id="954" w:name="_Toc7265"/>
      <w:bookmarkStart w:id="955" w:name="_Toc24525"/>
      <w:bookmarkStart w:id="956" w:name="_Toc31101"/>
      <w:bookmarkStart w:id="957" w:name="_Toc3053"/>
      <w:bookmarkStart w:id="958" w:name="_Toc10756"/>
      <w:bookmarkStart w:id="959" w:name="_Toc20843"/>
      <w:bookmarkStart w:id="960" w:name="_Toc4733"/>
      <w:bookmarkStart w:id="961" w:name="_Toc29584"/>
      <w:bookmarkStart w:id="962" w:name="_Toc8807"/>
      <w:bookmarkStart w:id="963" w:name="_Toc9078"/>
      <w:r>
        <w:rPr>
          <w:rFonts w:hint="eastAsia" w:hAnsi="宋体" w:cs="宋体"/>
          <w:b/>
          <w:bCs/>
          <w:color w:val="000000" w:themeColor="text1"/>
          <w:sz w:val="24"/>
          <w:szCs w:val="24"/>
          <w:highlight w:val="none"/>
          <w:u w:val="none"/>
          <w:lang w:val="en-US" w:eastAsia="zh-CN"/>
          <w14:textFill>
            <w14:solidFill>
              <w14:schemeClr w14:val="tx1"/>
            </w14:solidFill>
          </w14:textFill>
        </w:rPr>
        <w:t>33.</w:t>
      </w:r>
      <w:r>
        <w:rPr>
          <w:rFonts w:hint="eastAsia" w:ascii="宋体" w:hAnsi="宋体" w:eastAsia="宋体" w:cs="宋体"/>
          <w:b/>
          <w:bCs/>
          <w:color w:val="000000" w:themeColor="text1"/>
          <w:sz w:val="24"/>
          <w:szCs w:val="24"/>
          <w:highlight w:val="none"/>
          <w:u w:val="none"/>
          <w14:textFill>
            <w14:solidFill>
              <w14:schemeClr w14:val="tx1"/>
            </w14:solidFill>
          </w14:textFill>
        </w:rPr>
        <w:t>政府采购信用担保</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33.1   本项目是否属于信用担保试点范围见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33.2   如属于政府采购信用担保试点范围内，中小型企业</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可以自由按照财政部门的规定，采用投标担保、履约担保和融资担保。</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33.2.1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递交的投标担</w:t>
      </w:r>
      <w:r>
        <w:rPr>
          <w:rFonts w:hint="eastAsia" w:ascii="宋体" w:hAnsi="宋体" w:eastAsia="宋体" w:cs="宋体"/>
          <w:color w:val="000000" w:themeColor="text1"/>
          <w:sz w:val="24"/>
          <w:szCs w:val="24"/>
          <w:highlight w:val="none"/>
          <w:lang w:eastAsia="zh-CN"/>
          <w14:textFill>
            <w14:solidFill>
              <w14:schemeClr w14:val="tx1"/>
            </w14:solidFill>
          </w14:textFill>
        </w:rPr>
        <w:t>开户行银行保函</w:t>
      </w:r>
      <w:r>
        <w:rPr>
          <w:rFonts w:hint="eastAsia" w:ascii="宋体" w:hAnsi="宋体" w:eastAsia="宋体" w:cs="宋体"/>
          <w:color w:val="000000" w:themeColor="text1"/>
          <w:sz w:val="24"/>
          <w:szCs w:val="24"/>
          <w:highlight w:val="none"/>
          <w14:textFill>
            <w14:solidFill>
              <w14:schemeClr w14:val="tx1"/>
            </w14:solidFill>
          </w14:textFill>
        </w:rPr>
        <w:t>和履约担</w:t>
      </w:r>
      <w:r>
        <w:rPr>
          <w:rFonts w:hint="eastAsia" w:ascii="宋体" w:hAnsi="宋体" w:eastAsia="宋体" w:cs="宋体"/>
          <w:color w:val="000000" w:themeColor="text1"/>
          <w:sz w:val="24"/>
          <w:szCs w:val="24"/>
          <w:highlight w:val="none"/>
          <w:lang w:eastAsia="zh-CN"/>
          <w14:textFill>
            <w14:solidFill>
              <w14:schemeClr w14:val="tx1"/>
            </w14:solidFill>
          </w14:textFill>
        </w:rPr>
        <w:t>开户行银行保函</w:t>
      </w:r>
      <w:r>
        <w:rPr>
          <w:rFonts w:hint="eastAsia" w:ascii="宋体" w:hAnsi="宋体" w:eastAsia="宋体" w:cs="宋体"/>
          <w:color w:val="000000" w:themeColor="text1"/>
          <w:sz w:val="24"/>
          <w:szCs w:val="24"/>
          <w:highlight w:val="none"/>
          <w14:textFill>
            <w14:solidFill>
              <w14:schemeClr w14:val="tx1"/>
            </w14:solidFill>
          </w14:textFill>
        </w:rPr>
        <w:t>应符合本招标文件的规定。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33.2.2 </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可以采取融资担保的形式为政府采购项目履约进行融资。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33.2.3 合格的政府采购专业信用担保机构名单见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964" w:name="_Toc29108"/>
      <w:bookmarkStart w:id="965" w:name="_Toc25791"/>
      <w:bookmarkStart w:id="966" w:name="_Toc18954"/>
      <w:bookmarkStart w:id="967" w:name="_Toc31425"/>
      <w:bookmarkStart w:id="968" w:name="_Toc1453"/>
      <w:bookmarkStart w:id="969" w:name="_Toc22315"/>
      <w:bookmarkStart w:id="970" w:name="_Toc12158"/>
      <w:bookmarkStart w:id="971" w:name="_Toc23999"/>
      <w:bookmarkStart w:id="972" w:name="_Toc7459"/>
      <w:bookmarkStart w:id="973" w:name="_Toc27009"/>
      <w:bookmarkStart w:id="974" w:name="_Toc32379"/>
      <w:bookmarkStart w:id="975" w:name="_Toc515647796"/>
      <w:bookmarkStart w:id="976" w:name="_Toc6875"/>
      <w:bookmarkStart w:id="977" w:name="_Toc5262"/>
      <w:bookmarkStart w:id="978" w:name="_Toc3656"/>
      <w:bookmarkStart w:id="979" w:name="_Toc5770"/>
      <w:bookmarkStart w:id="980" w:name="_Toc3713"/>
      <w:bookmarkStart w:id="981" w:name="_Toc22695"/>
      <w:bookmarkStart w:id="982" w:name="_Toc11013"/>
      <w:bookmarkStart w:id="983" w:name="_Toc5750"/>
      <w:bookmarkStart w:id="984" w:name="_Toc11552"/>
      <w:bookmarkStart w:id="985" w:name="_Toc3616"/>
      <w:bookmarkStart w:id="986" w:name="_Toc11707"/>
      <w:bookmarkStart w:id="987" w:name="_Toc11380"/>
      <w:bookmarkStart w:id="988" w:name="_Toc22886"/>
      <w:bookmarkStart w:id="989" w:name="_Toc2133"/>
      <w:bookmarkStart w:id="990" w:name="_Toc23161"/>
      <w:bookmarkStart w:id="991" w:name="_Toc31178"/>
      <w:r>
        <w:rPr>
          <w:rFonts w:hint="eastAsia" w:hAnsi="宋体" w:cs="宋体"/>
          <w:b/>
          <w:bCs/>
          <w:color w:val="000000" w:themeColor="text1"/>
          <w:sz w:val="24"/>
          <w:szCs w:val="24"/>
          <w:highlight w:val="none"/>
          <w:u w:val="none"/>
          <w:lang w:val="en-US" w:eastAsia="zh-CN"/>
          <w14:textFill>
            <w14:solidFill>
              <w14:schemeClr w14:val="tx1"/>
            </w14:solidFill>
          </w14:textFill>
        </w:rPr>
        <w:t>34.</w:t>
      </w:r>
      <w:r>
        <w:rPr>
          <w:rFonts w:hint="eastAsia" w:ascii="宋体" w:hAnsi="宋体" w:eastAsia="宋体" w:cs="宋体"/>
          <w:b/>
          <w:bCs/>
          <w:color w:val="000000" w:themeColor="text1"/>
          <w:sz w:val="24"/>
          <w:szCs w:val="24"/>
          <w:highlight w:val="none"/>
          <w:u w:val="none"/>
          <w14:textFill>
            <w14:solidFill>
              <w14:schemeClr w14:val="tx1"/>
            </w14:solidFill>
          </w14:textFill>
        </w:rPr>
        <w:t>廉洁自律规定</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34.1   采购代理机构工作人员不得以不正当手段获取政府采购代理业务，不得与采购人、供应商恶意串通操纵政府采购活动。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34.2   采购代理机构工作人员不得接受采购人或者供应商组织的宴请、旅游、娱乐，不得收受礼品、现金、有价证券等，不得向采购人或者供应商报销应当由个人承担的费用。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34.3   为强化采购代理机构内部监督机制，供应商可按</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须知资料表中的</w:t>
      </w:r>
      <w:r>
        <w:rPr>
          <w:rFonts w:hint="eastAsia" w:ascii="宋体" w:hAnsi="宋体" w:eastAsia="宋体" w:cs="宋体"/>
          <w:color w:val="000000" w:themeColor="text1"/>
          <w:sz w:val="24"/>
          <w:szCs w:val="24"/>
          <w:highlight w:val="none"/>
          <w14:textFill>
            <w14:solidFill>
              <w14:schemeClr w14:val="tx1"/>
            </w14:solidFill>
          </w14:textFill>
        </w:rPr>
        <w:t>监督电话和邮箱，反映采购代理机构的廉洁自律等问题。</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992" w:name="_Toc23126"/>
      <w:bookmarkStart w:id="993" w:name="_Toc27794"/>
      <w:bookmarkStart w:id="994" w:name="_Toc15644"/>
      <w:bookmarkStart w:id="995" w:name="_Toc5069"/>
      <w:bookmarkStart w:id="996" w:name="_Toc5448"/>
      <w:bookmarkStart w:id="997" w:name="_Toc17682"/>
      <w:bookmarkStart w:id="998" w:name="_Toc30009"/>
      <w:bookmarkStart w:id="999" w:name="_Toc27260"/>
      <w:bookmarkStart w:id="1000" w:name="_Toc1741"/>
      <w:bookmarkStart w:id="1001" w:name="_Toc31630"/>
      <w:bookmarkStart w:id="1002" w:name="_Toc12422"/>
      <w:bookmarkStart w:id="1003" w:name="_Toc8006"/>
      <w:bookmarkStart w:id="1004" w:name="_Toc17079"/>
      <w:bookmarkStart w:id="1005" w:name="_Toc3319"/>
      <w:bookmarkStart w:id="1006" w:name="_Toc29018"/>
      <w:bookmarkStart w:id="1007" w:name="_Toc31558"/>
      <w:bookmarkStart w:id="1008" w:name="_Toc515647797"/>
      <w:bookmarkStart w:id="1009" w:name="_Toc11586"/>
      <w:bookmarkStart w:id="1010" w:name="_Toc6587"/>
      <w:bookmarkStart w:id="1011" w:name="_Toc29594"/>
      <w:bookmarkStart w:id="1012" w:name="_Toc4826"/>
      <w:bookmarkStart w:id="1013" w:name="_Toc4757"/>
      <w:bookmarkStart w:id="1014" w:name="_Toc6"/>
      <w:bookmarkStart w:id="1015" w:name="_Toc25480"/>
      <w:bookmarkStart w:id="1016" w:name="_Toc19338"/>
      <w:bookmarkStart w:id="1017" w:name="_Toc20945"/>
      <w:bookmarkStart w:id="1018" w:name="_Toc30045"/>
      <w:bookmarkStart w:id="1019" w:name="_Toc23695"/>
      <w:r>
        <w:rPr>
          <w:rFonts w:hint="eastAsia" w:hAnsi="宋体" w:cs="宋体"/>
          <w:b/>
          <w:bCs/>
          <w:color w:val="000000" w:themeColor="text1"/>
          <w:sz w:val="24"/>
          <w:szCs w:val="24"/>
          <w:highlight w:val="none"/>
          <w:u w:val="none"/>
          <w:lang w:val="en-US" w:eastAsia="zh-CN"/>
          <w14:textFill>
            <w14:solidFill>
              <w14:schemeClr w14:val="tx1"/>
            </w14:solidFill>
          </w14:textFill>
        </w:rPr>
        <w:t>35.</w:t>
      </w:r>
      <w:r>
        <w:rPr>
          <w:rFonts w:hint="eastAsia" w:ascii="宋体" w:hAnsi="宋体" w:eastAsia="宋体" w:cs="宋体"/>
          <w:b/>
          <w:bCs/>
          <w:color w:val="000000" w:themeColor="text1"/>
          <w:sz w:val="24"/>
          <w:szCs w:val="24"/>
          <w:highlight w:val="none"/>
          <w:u w:val="none"/>
          <w14:textFill>
            <w14:solidFill>
              <w14:schemeClr w14:val="tx1"/>
            </w14:solidFill>
          </w14:textFill>
        </w:rPr>
        <w:t>人员回避</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认为采购人员及其相关人员有法律法规所列与其他供应商有利害关系的，可以向采购人或采购代理机构书面提出回避申请，并说明理由。</w:t>
      </w:r>
    </w:p>
    <w:p>
      <w:pPr>
        <w:pStyle w:val="4"/>
        <w:pageBreakBefore w:val="0"/>
        <w:widowControl w:val="0"/>
        <w:numPr>
          <w:ilvl w:val="0"/>
          <w:numId w:val="0"/>
        </w:numPr>
        <w:kinsoku/>
        <w:wordWrap/>
        <w:overflowPunct/>
        <w:topLinePunct w:val="0"/>
        <w:bidi w:val="0"/>
        <w:spacing w:before="0" w:after="0" w:line="360" w:lineRule="exact"/>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bookmarkStart w:id="1020" w:name="_Toc21912"/>
      <w:bookmarkStart w:id="1021" w:name="_Toc30943"/>
      <w:bookmarkStart w:id="1022" w:name="_Toc1948"/>
      <w:bookmarkStart w:id="1023" w:name="_Toc16613"/>
      <w:bookmarkStart w:id="1024" w:name="_Toc12727"/>
      <w:bookmarkStart w:id="1025" w:name="_Toc12470"/>
      <w:bookmarkStart w:id="1026" w:name="_Toc8352"/>
      <w:bookmarkStart w:id="1027" w:name="_Toc27328"/>
      <w:bookmarkStart w:id="1028" w:name="_Toc27421"/>
      <w:bookmarkStart w:id="1029" w:name="_Toc2078"/>
      <w:bookmarkStart w:id="1030" w:name="_Toc1162"/>
      <w:bookmarkStart w:id="1031" w:name="_Toc1324"/>
      <w:bookmarkStart w:id="1032" w:name="_Toc22831"/>
      <w:bookmarkStart w:id="1033" w:name="_Toc13870"/>
      <w:bookmarkStart w:id="1034" w:name="_Toc6387"/>
      <w:bookmarkStart w:id="1035" w:name="_Toc7870"/>
      <w:bookmarkStart w:id="1036" w:name="_Toc25174"/>
      <w:bookmarkStart w:id="1037" w:name="_Toc14457"/>
      <w:bookmarkStart w:id="1038" w:name="_Toc6634"/>
      <w:bookmarkStart w:id="1039" w:name="_Toc15630"/>
      <w:bookmarkStart w:id="1040" w:name="_Toc11513"/>
      <w:bookmarkStart w:id="1041" w:name="_Toc427"/>
      <w:bookmarkStart w:id="1042" w:name="_Toc9357"/>
      <w:bookmarkStart w:id="1043" w:name="_Toc12880"/>
      <w:r>
        <w:rPr>
          <w:rFonts w:hint="eastAsia" w:hAnsi="宋体" w:cs="宋体"/>
          <w:b/>
          <w:bCs/>
          <w:color w:val="000000" w:themeColor="text1"/>
          <w:sz w:val="24"/>
          <w:szCs w:val="24"/>
          <w:highlight w:val="none"/>
          <w:u w:val="none"/>
          <w:lang w:val="en-US" w:eastAsia="zh-CN"/>
          <w14:textFill>
            <w14:solidFill>
              <w14:schemeClr w14:val="tx1"/>
            </w14:solidFill>
          </w14:textFill>
        </w:rPr>
        <w:t>36.</w:t>
      </w:r>
      <w:r>
        <w:rPr>
          <w:rFonts w:hint="eastAsia" w:ascii="宋体" w:hAnsi="宋体" w:eastAsia="宋体" w:cs="宋体"/>
          <w:b/>
          <w:bCs/>
          <w:color w:val="000000" w:themeColor="text1"/>
          <w:sz w:val="24"/>
          <w:szCs w:val="24"/>
          <w:highlight w:val="none"/>
          <w:u w:val="none"/>
          <w14:textFill>
            <w14:solidFill>
              <w14:schemeClr w14:val="tx1"/>
            </w14:solidFill>
          </w14:textFill>
        </w:rPr>
        <w:t>质疑与接收</w:t>
      </w:r>
      <w:bookmarkEnd w:id="4"/>
      <w:bookmarkEnd w:id="5"/>
      <w:bookmarkEnd w:id="6"/>
      <w:bookmarkEnd w:id="7"/>
      <w:bookmarkEnd w:id="8"/>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43"/>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43"/>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36.5  采购代理机构质疑函接收部门、联系电话和通讯地址, 见</w:t>
      </w:r>
      <w:r>
        <w:rPr>
          <w:rFonts w:hint="eastAsia" w:ascii="宋体" w:hAnsi="宋体" w:eastAsia="宋体" w:cs="宋体"/>
          <w:color w:val="000000" w:themeColor="text1"/>
          <w:sz w:val="24"/>
          <w:szCs w:val="24"/>
          <w:highlight w:val="none"/>
          <w:u w:val="single"/>
          <w14:textFill>
            <w14:solidFill>
              <w14:schemeClr w14:val="tx1"/>
            </w14:solidFill>
          </w14:textFill>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36.7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36.8   </w:t>
      </w:r>
      <w:r>
        <w:rPr>
          <w:rFonts w:hint="eastAsia" w:ascii="宋体" w:hAnsi="宋体" w:eastAsia="宋体" w:cs="宋体"/>
          <w:b w:val="0"/>
          <w:bCs w:val="0"/>
          <w:color w:val="000000" w:themeColor="text1"/>
          <w:sz w:val="24"/>
          <w:szCs w:val="24"/>
          <w:highlight w:val="none"/>
          <w14:textFill>
            <w14:solidFill>
              <w14:schemeClr w14:val="tx1"/>
            </w14:solidFill>
          </w14:textFill>
        </w:rPr>
        <w:t>对可以质</w:t>
      </w:r>
      <w:r>
        <w:rPr>
          <w:rFonts w:hint="eastAsia" w:ascii="宋体" w:hAnsi="宋体" w:eastAsia="宋体" w:cs="宋体"/>
          <w:color w:val="000000" w:themeColor="text1"/>
          <w:sz w:val="24"/>
          <w:szCs w:val="24"/>
          <w:highlight w:val="none"/>
          <w14:textFill>
            <w14:solidFill>
              <w14:schemeClr w14:val="tx1"/>
            </w14:solidFill>
          </w14:textFill>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（一）质疑主体应当符合有关规定；</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（二）在质疑法定期限内提出；</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w:t>
      </w: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（二）质疑项目的名称、编号；</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（四）事实依据和证明材料；</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（五）法律依据；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w:t>
      </w: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（二）质疑主体不符合有关规定的，告知质疑人不予受理；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（三）超过质疑法定期限提出质疑的，告知质疑人不予受理；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（四）对不属于可以提出质疑的政府采购事项提出质疑的，告知质疑人不予受理；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w:t>
      </w: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14:textFill>
            <w14:solidFill>
              <w14:schemeClr w14:val="tx1"/>
            </w14:solidFill>
          </w14:textFill>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 xml:space="preserve">  采购方将在正式受理质疑后7个工作日内作出答复。</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pStyle w:val="43"/>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质疑答复应当包括下列内容：</w:t>
      </w:r>
    </w:p>
    <w:p>
      <w:pPr>
        <w:pStyle w:val="43"/>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（一）质疑人的姓名或者名称；</w:t>
      </w:r>
    </w:p>
    <w:p>
      <w:pPr>
        <w:pStyle w:val="43"/>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（二）收到质疑函的日期、质疑项目名称及编号；</w:t>
      </w:r>
    </w:p>
    <w:p>
      <w:pPr>
        <w:pStyle w:val="43"/>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（三）质疑事项、质疑答复的具体内容、事实依据和法律依据；</w:t>
      </w:r>
    </w:p>
    <w:p>
      <w:pPr>
        <w:pStyle w:val="43"/>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（四）告知质疑供应商依法投诉的权利；</w:t>
      </w:r>
    </w:p>
    <w:p>
      <w:pPr>
        <w:pStyle w:val="43"/>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（五）质疑答复人名称；</w:t>
      </w:r>
    </w:p>
    <w:p>
      <w:pPr>
        <w:pStyle w:val="43"/>
        <w:pageBreakBefore w:val="0"/>
        <w:widowControl w:val="0"/>
        <w:kinsoku/>
        <w:wordWrap/>
        <w:overflowPunct/>
        <w:topLinePunct w:val="0"/>
        <w:bidi w:val="0"/>
        <w:spacing w:line="360" w:lineRule="exact"/>
        <w:ind w:left="0" w:leftChars="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（六）答复质疑的日期。</w:t>
      </w:r>
    </w:p>
    <w:p>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000000" w:themeColor="text1"/>
          <w:sz w:val="24"/>
          <w:szCs w:val="24"/>
          <w:highlight w:val="none"/>
          <w14:textFill>
            <w14:solidFill>
              <w14:schemeClr w14:val="tx1"/>
            </w14:solidFill>
          </w14:textFill>
        </w:rPr>
      </w:pPr>
      <w:bookmarkStart w:id="1044" w:name="_Toc1819"/>
      <w:bookmarkStart w:id="1045" w:name="_Toc9437"/>
      <w:bookmarkStart w:id="1046" w:name="_Toc30512"/>
      <w:bookmarkStart w:id="1047" w:name="_Toc22908"/>
      <w:bookmarkStart w:id="1048" w:name="_Toc30665"/>
      <w:bookmarkStart w:id="1049" w:name="_Toc8353"/>
      <w:bookmarkStart w:id="1050" w:name="_Toc27601"/>
      <w:bookmarkStart w:id="1051" w:name="_Toc30093"/>
      <w:bookmarkStart w:id="1052" w:name="_Toc24946"/>
      <w:bookmarkStart w:id="1053" w:name="_Toc2799"/>
      <w:bookmarkStart w:id="1054" w:name="_Toc2199"/>
      <w:bookmarkStart w:id="1055" w:name="_Toc1369"/>
      <w:bookmarkStart w:id="1056" w:name="_Toc11297"/>
      <w:bookmarkStart w:id="1057" w:name="_Toc12088"/>
      <w:bookmarkStart w:id="1058" w:name="_Toc6493"/>
      <w:bookmarkStart w:id="1059" w:name="_Toc11973"/>
      <w:bookmarkStart w:id="1060" w:name="_Toc16553"/>
      <w:bookmarkStart w:id="1061" w:name="_Toc2500"/>
      <w:bookmarkStart w:id="1062" w:name="_Toc27096"/>
      <w:bookmarkStart w:id="1063" w:name="_Toc3696"/>
      <w:bookmarkStart w:id="1064" w:name="_Toc18518"/>
      <w:bookmarkStart w:id="1065" w:name="_Toc13021"/>
      <w:bookmarkStart w:id="1066" w:name="_Toc27146"/>
      <w:bookmarkStart w:id="1067" w:name="_Toc20199"/>
      <w:bookmarkStart w:id="1068" w:name="_Toc6408"/>
      <w:bookmarkStart w:id="1069" w:name="_Toc30855"/>
      <w:bookmarkStart w:id="1070" w:name="_Toc2072"/>
      <w:bookmarkStart w:id="1071" w:name="_Toc23411"/>
      <w:bookmarkStart w:id="1072" w:name="_Toc25636"/>
      <w:r>
        <w:rPr>
          <w:rFonts w:hint="eastAsia" w:ascii="宋体" w:hAnsi="宋体" w:eastAsia="宋体" w:cs="宋体"/>
          <w:b/>
          <w:bCs/>
          <w:color w:val="000000" w:themeColor="text1"/>
          <w:sz w:val="24"/>
          <w:szCs w:val="24"/>
          <w:highlight w:val="none"/>
          <w14:textFill>
            <w14:solidFill>
              <w14:schemeClr w14:val="tx1"/>
            </w14:solidFill>
          </w14:textFill>
        </w:rPr>
        <w:t>质疑函范本</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一、质疑供应商基本信息</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采购文件获取日期：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ageBreakBefore w:val="0"/>
        <w:kinsoku/>
        <w:wordWrap/>
        <w:overflowPunct/>
        <w:topLinePunct w:val="0"/>
        <w:bidi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签字(签章)：                   公章：                      </w:t>
      </w:r>
    </w:p>
    <w:p>
      <w:pPr>
        <w:pageBreakBefore w:val="0"/>
        <w:kinsoku/>
        <w:wordWrap/>
        <w:overflowPunct/>
        <w:topLinePunct w:val="0"/>
        <w:bidi w:val="0"/>
        <w:spacing w:line="36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p>
    <w:p>
      <w:pPr>
        <w:pageBreakBefore w:val="0"/>
        <w:kinsoku/>
        <w:wordWrap/>
        <w:overflowPunct/>
        <w:topLinePunct w:val="0"/>
        <w:bidi w:val="0"/>
        <w:spacing w:line="360" w:lineRule="exact"/>
        <w:ind w:left="0" w:leftChars="0"/>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pageBreakBefore w:val="0"/>
        <w:kinsoku/>
        <w:wordWrap/>
        <w:overflowPunct/>
        <w:topLinePunct w:val="0"/>
        <w:bidi w:val="0"/>
        <w:spacing w:line="360" w:lineRule="exact"/>
        <w:ind w:left="0" w:leftChars="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4"/>
          <w:szCs w:val="24"/>
          <w:highlight w:val="none"/>
          <w14:textFill>
            <w14:solidFill>
              <w14:schemeClr w14:val="tx1"/>
            </w14:solidFill>
          </w14:textFill>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pStyle w:val="5"/>
        <w:spacing w:line="400" w:lineRule="exact"/>
        <w:ind w:firstLine="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br w:type="page"/>
      </w:r>
    </w:p>
    <w:p>
      <w:pPr>
        <w:pStyle w:val="2"/>
        <w:keepNext/>
        <w:keepLines/>
        <w:pageBreakBefore w:val="0"/>
        <w:widowControl w:val="0"/>
        <w:kinsoku/>
        <w:wordWrap/>
        <w:overflowPunct/>
        <w:topLinePunct w:val="0"/>
        <w:autoSpaceDE w:val="0"/>
        <w:autoSpaceDN w:val="0"/>
        <w:bidi w:val="0"/>
        <w:adjustRightInd w:val="0"/>
        <w:snapToGrid/>
        <w:spacing w:before="0" w:after="0" w:line="240" w:lineRule="atLeast"/>
        <w:ind w:left="0"/>
        <w:jc w:val="center"/>
        <w:textAlignment w:val="auto"/>
        <w:rPr>
          <w:rFonts w:hint="eastAsia" w:ascii="宋体" w:hAnsi="宋体" w:eastAsia="宋体" w:cs="宋体"/>
          <w:b/>
          <w:bCs/>
          <w:color w:val="000000" w:themeColor="text1"/>
          <w:sz w:val="32"/>
          <w:szCs w:val="32"/>
          <w:highlight w:val="none"/>
          <w14:textFill>
            <w14:solidFill>
              <w14:schemeClr w14:val="tx1"/>
            </w14:solidFill>
          </w14:textFill>
        </w:rPr>
      </w:pPr>
      <w:bookmarkStart w:id="1073" w:name="_Toc16449"/>
      <w:bookmarkStart w:id="1074" w:name="_Toc515647802"/>
      <w:bookmarkStart w:id="1075" w:name="_Toc728"/>
      <w:bookmarkStart w:id="1076" w:name="_Toc29770"/>
      <w:bookmarkStart w:id="1077" w:name="_Toc3574"/>
      <w:bookmarkStart w:id="1078" w:name="_Toc216582812"/>
      <w:bookmarkStart w:id="1079" w:name="_Toc702"/>
      <w:r>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t>第2章</w:t>
      </w:r>
      <w:r>
        <w:rPr>
          <w:rFonts w:hint="eastAsia" w:hAnsi="宋体" w:cs="宋体"/>
          <w:b/>
          <w:bCs/>
          <w:color w:val="000000" w:themeColor="text1"/>
          <w:kern w:val="0"/>
          <w:sz w:val="32"/>
          <w:szCs w:val="32"/>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t>投标文件格式</w:t>
      </w:r>
      <w:bookmarkEnd w:id="1073"/>
      <w:bookmarkEnd w:id="1074"/>
      <w:bookmarkEnd w:id="1075"/>
      <w:bookmarkEnd w:id="1076"/>
      <w:bookmarkEnd w:id="1077"/>
      <w:bookmarkEnd w:id="1078"/>
      <w:bookmarkEnd w:id="1079"/>
    </w:p>
    <w:p>
      <w:pPr>
        <w:pStyle w:val="3"/>
        <w:pageBreakBefore w:val="0"/>
        <w:kinsoku/>
        <w:wordWrap/>
        <w:overflowPunct/>
        <w:topLinePunct w:val="0"/>
        <w:bidi w:val="0"/>
        <w:spacing w:before="0" w:line="36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1080" w:name="_Toc32123"/>
      <w:bookmarkStart w:id="1081" w:name="_Toc32079"/>
      <w:bookmarkStart w:id="1082" w:name="_Toc515647803"/>
      <w:bookmarkStart w:id="1083" w:name="_Toc22572"/>
      <w:bookmarkStart w:id="1084" w:name="_Toc9201"/>
      <w:bookmarkStart w:id="1085" w:name="_Toc18974"/>
      <w:bookmarkStart w:id="1086" w:name="_Toc18694"/>
      <w:bookmarkStart w:id="1087" w:name="_Toc14118"/>
      <w:bookmarkStart w:id="1088" w:name="_Toc515647804"/>
      <w:bookmarkStart w:id="1089" w:name="_Toc3620"/>
      <w:bookmarkStart w:id="1090" w:name="_Toc16750"/>
      <w:bookmarkStart w:id="1091" w:name="_Toc11138"/>
      <w:bookmarkStart w:id="1092" w:name="_Toc21614"/>
      <w:bookmarkStart w:id="1093" w:name="_Toc29091"/>
      <w:bookmarkStart w:id="1094" w:name="_Toc16568"/>
      <w:bookmarkStart w:id="1095" w:name="_Toc13595"/>
      <w:bookmarkStart w:id="1096" w:name="_Toc522"/>
      <w:bookmarkStart w:id="1097" w:name="_Toc30524"/>
      <w:bookmarkStart w:id="1098" w:name="_Toc30630"/>
      <w:r>
        <w:rPr>
          <w:rFonts w:hint="eastAsia" w:ascii="宋体" w:hAnsi="宋体" w:eastAsia="宋体" w:cs="宋体"/>
          <w:color w:val="000000" w:themeColor="text1"/>
          <w:sz w:val="24"/>
          <w:szCs w:val="24"/>
          <w:highlight w:val="none"/>
          <w14:textFill>
            <w14:solidFill>
              <w14:schemeClr w14:val="tx1"/>
            </w14:solidFill>
          </w14:textFill>
        </w:rPr>
        <w:t>第一部分 开标一览表及资格证明文件</w:t>
      </w:r>
      <w:bookmarkEnd w:id="1080"/>
      <w:bookmarkEnd w:id="1081"/>
      <w:bookmarkEnd w:id="1082"/>
      <w:bookmarkEnd w:id="1083"/>
      <w:bookmarkEnd w:id="1084"/>
      <w:bookmarkEnd w:id="1085"/>
      <w:bookmarkEnd w:id="1086"/>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开标一览表</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具有有效的营业执照</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医疗器械经营许可证或其他医疗器械生产经营许可证明文件）；；</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法定代表人资格证明及授权书、被授权人身份证(法定代表人投标需提供法定代表人身份证)；</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提供近两年内任意一年的财务审计报告（新成立未满一年的新公司可提供近三个月内任意一个月的银行资信证明）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依法缴纳近六个月内任意一个月</w:t>
      </w:r>
      <w:r>
        <w:rPr>
          <w:rFonts w:hint="eastAsia" w:ascii="宋体" w:hAnsi="宋体" w:cs="宋体"/>
          <w:color w:val="000000" w:themeColor="text1"/>
          <w:sz w:val="24"/>
          <w:szCs w:val="24"/>
          <w:highlight w:val="none"/>
          <w:lang w:eastAsia="zh-CN"/>
          <w14:textFill>
            <w14:solidFill>
              <w14:schemeClr w14:val="tx1"/>
            </w14:solidFill>
          </w14:textFill>
        </w:rPr>
        <w:t>社会保险证明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lang w:eastAsia="zh-CN"/>
          <w14:textFill>
            <w14:solidFill>
              <w14:schemeClr w14:val="tx1"/>
            </w14:solidFill>
          </w14:textFill>
        </w:rPr>
        <w:t>依法缴纳近六个月内任意一个月税收证明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以采购代理机构或采购人查询为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提供针对本次项目的《反商业贿赂承诺书》；</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eastAsia="zh-CN"/>
          <w14:textFill>
            <w14:solidFill>
              <w14:schemeClr w14:val="tx1"/>
            </w14:solidFill>
          </w14:textFill>
        </w:rPr>
        <w:t>缴纳投标保证金的有效凭证</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各供应商应注意以下事项：①本项目要求各投标供应商提供“</w:t>
      </w:r>
      <w:r>
        <w:rPr>
          <w:rFonts w:hint="eastAsia" w:ascii="宋体" w:hAnsi="宋体" w:cs="宋体"/>
          <w:b/>
          <w:bCs/>
          <w:color w:val="000000" w:themeColor="text1"/>
          <w:sz w:val="21"/>
          <w:szCs w:val="21"/>
          <w:highlight w:val="none"/>
          <w:lang w:eastAsia="zh-CN"/>
          <w14:textFill>
            <w14:solidFill>
              <w14:schemeClr w14:val="tx1"/>
            </w14:solidFill>
          </w14:textFill>
        </w:rPr>
        <w:t>依法缴纳近六个月内任意一个月税收证明</w:t>
      </w:r>
      <w:r>
        <w:rPr>
          <w:rFonts w:hint="eastAsia" w:ascii="宋体" w:hAnsi="宋体" w:eastAsia="宋体" w:cs="宋体"/>
          <w:b/>
          <w:bCs/>
          <w:color w:val="000000" w:themeColor="text1"/>
          <w:sz w:val="21"/>
          <w:szCs w:val="21"/>
          <w:highlight w:val="none"/>
          <w14:textFill>
            <w14:solidFill>
              <w14:schemeClr w14:val="tx1"/>
            </w14:solidFill>
          </w14:textFill>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bookmarkEnd w:id="1087"/>
    <w:bookmarkEnd w:id="1088"/>
    <w:bookmarkEnd w:id="1089"/>
    <w:bookmarkEnd w:id="1090"/>
    <w:bookmarkEnd w:id="1091"/>
    <w:bookmarkEnd w:id="1092"/>
    <w:bookmarkEnd w:id="1093"/>
    <w:bookmarkEnd w:id="1094"/>
    <w:bookmarkEnd w:id="1095"/>
    <w:bookmarkEnd w:id="1096"/>
    <w:bookmarkEnd w:id="1097"/>
    <w:bookmarkEnd w:id="1098"/>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099" w:name="_Toc29707"/>
      <w:r>
        <w:rPr>
          <w:rFonts w:hint="eastAsia" w:ascii="宋体" w:hAnsi="宋体" w:eastAsia="宋体" w:cs="宋体"/>
          <w:color w:val="000000" w:themeColor="text1"/>
          <w:sz w:val="28"/>
          <w:szCs w:val="28"/>
          <w:highlight w:val="none"/>
          <w14:textFill>
            <w14:solidFill>
              <w14:schemeClr w14:val="tx1"/>
            </w14:solidFill>
          </w14:textFill>
        </w:rPr>
        <w:t>1.开标一览表；</w:t>
      </w:r>
      <w:bookmarkEnd w:id="1099"/>
    </w:p>
    <w:p>
      <w:pPr>
        <w:pStyle w:val="5"/>
        <w:tabs>
          <w:tab w:val="left" w:pos="5580"/>
        </w:tabs>
        <w:spacing w:line="400" w:lineRule="exact"/>
        <w:ind w:left="1080" w:leftChars="257" w:hanging="540"/>
        <w:jc w:val="center"/>
        <w:rPr>
          <w:rFonts w:hint="eastAsia" w:ascii="宋体" w:hAnsi="宋体" w:eastAsia="宋体" w:cs="宋体"/>
          <w:color w:val="000000" w:themeColor="text1"/>
          <w:highlight w:val="none"/>
          <w14:textFill>
            <w14:solidFill>
              <w14:schemeClr w14:val="tx1"/>
            </w14:solidFill>
          </w14:textFill>
        </w:rPr>
      </w:pPr>
      <w:bookmarkStart w:id="1100" w:name="_Hlt520356241"/>
      <w:bookmarkEnd w:id="1100"/>
      <w:bookmarkStart w:id="1101" w:name="_Toc494296984"/>
      <w:r>
        <w:rPr>
          <w:rFonts w:hint="eastAsia" w:ascii="宋体" w:hAnsi="宋体" w:eastAsia="宋体" w:cs="宋体"/>
          <w:b/>
          <w:color w:val="000000" w:themeColor="text1"/>
          <w:highlight w:val="none"/>
          <w14:textFill>
            <w14:solidFill>
              <w14:schemeClr w14:val="tx1"/>
            </w14:solidFill>
          </w14:textFill>
        </w:rPr>
        <w:t>开标一览表</w:t>
      </w:r>
      <w:bookmarkEnd w:id="1101"/>
    </w:p>
    <w:p>
      <w:pPr>
        <w:tabs>
          <w:tab w:val="left" w:pos="1800"/>
          <w:tab w:val="left" w:pos="5580"/>
        </w:tabs>
        <w:spacing w:line="400" w:lineRule="exact"/>
        <w:ind w:left="1080" w:leftChars="257" w:right="-867" w:rightChars="-413"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项目名称：　                  项目编号：                          </w:t>
      </w:r>
    </w:p>
    <w:p>
      <w:pPr>
        <w:tabs>
          <w:tab w:val="left" w:pos="1800"/>
          <w:tab w:val="left" w:pos="5580"/>
        </w:tabs>
        <w:spacing w:line="400" w:lineRule="exact"/>
        <w:ind w:left="1080" w:leftChars="257" w:right="-867" w:rightChars="-413" w:hanging="54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报价单位：人民币</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元</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包号：</w:t>
      </w:r>
    </w:p>
    <w:tbl>
      <w:tblPr>
        <w:tblStyle w:val="33"/>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7"/>
        <w:gridCol w:w="1387"/>
        <w:gridCol w:w="1387"/>
        <w:gridCol w:w="1387"/>
        <w:gridCol w:w="1387"/>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387" w:type="dxa"/>
            <w:vAlign w:val="center"/>
          </w:tcPr>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标项</w:t>
            </w:r>
            <w:r>
              <w:rPr>
                <w:rFonts w:hint="eastAsia" w:ascii="宋体" w:hAnsi="宋体" w:eastAsia="宋体" w:cs="宋体"/>
                <w:color w:val="000000" w:themeColor="text1"/>
                <w:sz w:val="24"/>
                <w:highlight w:val="none"/>
                <w:lang w:val="en-US" w:eastAsia="zh-CN"/>
                <w14:textFill>
                  <w14:solidFill>
                    <w14:schemeClr w14:val="tx1"/>
                  </w14:solidFill>
                </w14:textFill>
              </w:rPr>
              <w:t>名称</w:t>
            </w:r>
          </w:p>
        </w:tc>
        <w:tc>
          <w:tcPr>
            <w:tcW w:w="1387" w:type="dxa"/>
            <w:vAlign w:val="center"/>
          </w:tcPr>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投标总价</w:t>
            </w:r>
          </w:p>
        </w:tc>
        <w:tc>
          <w:tcPr>
            <w:tcW w:w="1387" w:type="dxa"/>
            <w:vAlign w:val="center"/>
          </w:tcPr>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投标保证金</w:t>
            </w:r>
          </w:p>
        </w:tc>
        <w:tc>
          <w:tcPr>
            <w:tcW w:w="1387" w:type="dxa"/>
            <w:vAlign w:val="center"/>
          </w:tcPr>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交货期</w:t>
            </w:r>
          </w:p>
        </w:tc>
        <w:tc>
          <w:tcPr>
            <w:tcW w:w="1387" w:type="dxa"/>
            <w:vAlign w:val="center"/>
          </w:tcPr>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交货地点</w:t>
            </w:r>
          </w:p>
        </w:tc>
        <w:tc>
          <w:tcPr>
            <w:tcW w:w="1387" w:type="dxa"/>
            <w:vAlign w:val="center"/>
          </w:tcPr>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387" w:type="dxa"/>
            <w:vAlign w:val="center"/>
          </w:tcPr>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p>
        </w:tc>
        <w:tc>
          <w:tcPr>
            <w:tcW w:w="1387" w:type="dxa"/>
            <w:vAlign w:val="center"/>
          </w:tcPr>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大写：</w:t>
            </w:r>
          </w:p>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小写：</w:t>
            </w:r>
          </w:p>
        </w:tc>
        <w:tc>
          <w:tcPr>
            <w:tcW w:w="1387" w:type="dxa"/>
            <w:vAlign w:val="center"/>
          </w:tcPr>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p>
        </w:tc>
        <w:tc>
          <w:tcPr>
            <w:tcW w:w="1387" w:type="dxa"/>
            <w:vAlign w:val="center"/>
          </w:tcPr>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p>
        </w:tc>
        <w:tc>
          <w:tcPr>
            <w:tcW w:w="1387" w:type="dxa"/>
            <w:vAlign w:val="center"/>
          </w:tcPr>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p>
        </w:tc>
        <w:tc>
          <w:tcPr>
            <w:tcW w:w="1387" w:type="dxa"/>
            <w:vAlign w:val="center"/>
          </w:tcPr>
          <w:p>
            <w:pPr>
              <w:keepNext w:val="0"/>
              <w:keepLines w:val="0"/>
              <w:suppressLineNumbers w:val="0"/>
              <w:tabs>
                <w:tab w:val="left" w:pos="5580"/>
              </w:tabs>
              <w:spacing w:before="0" w:beforeAutospacing="0" w:after="0" w:afterAutospacing="0" w:line="40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p>
        </w:tc>
      </w:tr>
    </w:tbl>
    <w:p>
      <w:pPr>
        <w:pStyle w:val="19"/>
        <w:tabs>
          <w:tab w:val="left" w:pos="5580"/>
        </w:tabs>
        <w:spacing w:line="400" w:lineRule="exact"/>
        <w:ind w:left="1080" w:leftChars="257" w:hanging="540"/>
        <w:rPr>
          <w:rFonts w:hint="eastAsia" w:ascii="宋体" w:hAnsi="宋体" w:eastAsia="宋体" w:cs="宋体"/>
          <w:color w:val="000000" w:themeColor="text1"/>
          <w:sz w:val="24"/>
          <w:highlight w:val="none"/>
          <w14:textFill>
            <w14:solidFill>
              <w14:schemeClr w14:val="tx1"/>
            </w14:solidFill>
          </w14:textFill>
        </w:rPr>
      </w:pPr>
    </w:p>
    <w:p>
      <w:pPr>
        <w:pStyle w:val="19"/>
        <w:tabs>
          <w:tab w:val="left" w:pos="5580"/>
        </w:tabs>
        <w:spacing w:line="400" w:lineRule="exact"/>
        <w:ind w:left="1080" w:leftChars="257" w:hanging="540"/>
        <w:rPr>
          <w:rFonts w:hint="eastAsia" w:ascii="宋体" w:hAnsi="宋体" w:eastAsia="宋体" w:cs="宋体"/>
          <w:color w:val="000000" w:themeColor="text1"/>
          <w:sz w:val="24"/>
          <w:highlight w:val="none"/>
          <w:u w:val="single"/>
          <w14:textFill>
            <w14:solidFill>
              <w14:schemeClr w14:val="tx1"/>
            </w14:solidFill>
          </w14:textFill>
        </w:rPr>
      </w:pPr>
    </w:p>
    <w:p>
      <w:pPr>
        <w:pStyle w:val="19"/>
        <w:tabs>
          <w:tab w:val="left" w:pos="5580"/>
        </w:tabs>
        <w:spacing w:line="400" w:lineRule="exact"/>
        <w:ind w:left="1080" w:leftChars="257"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供应商名称（公章）：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pStyle w:val="19"/>
        <w:tabs>
          <w:tab w:val="left" w:pos="5580"/>
        </w:tabs>
        <w:spacing w:line="400" w:lineRule="exact"/>
        <w:ind w:left="1080" w:leftChars="257" w:hanging="54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法定代表人或委托代理</w:t>
      </w:r>
      <w:r>
        <w:rPr>
          <w:rFonts w:hint="eastAsia" w:ascii="宋体" w:hAnsi="宋体" w:eastAsia="宋体" w:cs="宋体"/>
          <w:color w:val="000000" w:themeColor="text1"/>
          <w:sz w:val="24"/>
          <w:highlight w:val="none"/>
          <w:lang w:eastAsia="zh-CN"/>
          <w14:textFill>
            <w14:solidFill>
              <w14:schemeClr w14:val="tx1"/>
            </w14:solidFill>
          </w14:textFill>
        </w:rPr>
        <w:t>人（</w:t>
      </w:r>
      <w:r>
        <w:rPr>
          <w:rFonts w:hint="eastAsia" w:hAnsi="宋体" w:cs="宋体"/>
          <w:color w:val="000000" w:themeColor="text1"/>
          <w:sz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ab/>
      </w:r>
    </w:p>
    <w:p>
      <w:pPr>
        <w:pStyle w:val="19"/>
        <w:tabs>
          <w:tab w:val="left" w:pos="5580"/>
        </w:tabs>
        <w:spacing w:line="400" w:lineRule="exact"/>
        <w:ind w:left="1080" w:leftChars="257" w:hanging="540"/>
        <w:rPr>
          <w:rFonts w:hint="eastAsia" w:ascii="宋体" w:hAnsi="宋体" w:eastAsia="宋体" w:cs="宋体"/>
          <w:color w:val="000000" w:themeColor="text1"/>
          <w:sz w:val="24"/>
          <w:highlight w:val="none"/>
          <w14:textFill>
            <w14:solidFill>
              <w14:schemeClr w14:val="tx1"/>
            </w14:solidFill>
          </w14:textFill>
        </w:rPr>
      </w:pPr>
    </w:p>
    <w:p>
      <w:pPr>
        <w:pStyle w:val="19"/>
        <w:tabs>
          <w:tab w:val="left" w:pos="5580"/>
        </w:tabs>
        <w:spacing w:line="400" w:lineRule="exact"/>
        <w:ind w:left="1080" w:leftChars="257"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注:1、此表应按供应商须知的规定装订密封。</w:t>
      </w:r>
    </w:p>
    <w:p>
      <w:pPr>
        <w:pStyle w:val="19"/>
        <w:tabs>
          <w:tab w:val="left" w:pos="5580"/>
        </w:tabs>
        <w:spacing w:line="400" w:lineRule="exact"/>
        <w:ind w:left="741" w:leftChars="353"/>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2、此表中，投标总价应和投标分项报价表的总价相一致。</w:t>
      </w:r>
    </w:p>
    <w:p>
      <w:pPr>
        <w:pStyle w:val="19"/>
        <w:tabs>
          <w:tab w:val="left" w:pos="5580"/>
        </w:tabs>
        <w:spacing w:line="400" w:lineRule="exact"/>
        <w:ind w:left="741" w:leftChars="353"/>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3、投标商报价时包含税费等一切与本次项目相关的费用。</w:t>
      </w:r>
    </w:p>
    <w:p>
      <w:pPr>
        <w:pStyle w:val="19"/>
        <w:tabs>
          <w:tab w:val="left" w:pos="5580"/>
        </w:tabs>
        <w:spacing w:line="240" w:lineRule="atLeast"/>
        <w:rPr>
          <w:rFonts w:hint="eastAsia" w:ascii="宋体" w:hAnsi="宋体" w:eastAsia="宋体" w:cs="宋体"/>
          <w:b/>
          <w:color w:val="000000" w:themeColor="text1"/>
          <w:sz w:val="24"/>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b/>
          <w:color w:val="000000" w:themeColor="text1"/>
          <w:sz w:val="24"/>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b/>
          <w:color w:val="000000" w:themeColor="text1"/>
          <w:sz w:val="24"/>
          <w:highlight w:val="none"/>
          <w14:textFill>
            <w14:solidFill>
              <w14:schemeClr w14:val="tx1"/>
            </w14:solidFill>
          </w14:textFill>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b/>
          <w:color w:val="000000" w:themeColor="text1"/>
          <w:sz w:val="24"/>
          <w:highlight w:val="none"/>
          <w14:textFill>
            <w14:solidFill>
              <w14:schemeClr w14:val="tx1"/>
            </w14:solidFill>
          </w14:textFill>
        </w:rPr>
      </w:pPr>
      <w:bookmarkStart w:id="1102" w:name="_Toc178"/>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具有有效的营业执照</w:t>
      </w:r>
      <w:r>
        <w:rPr>
          <w:rFonts w:hint="eastAsia" w:ascii="宋体" w:hAnsi="宋体" w:eastAsia="宋体" w:cs="宋体"/>
          <w:color w:val="000000" w:themeColor="text1"/>
          <w:sz w:val="28"/>
          <w:szCs w:val="28"/>
          <w:highlight w:val="none"/>
          <w14:textFill>
            <w14:solidFill>
              <w14:schemeClr w14:val="tx1"/>
            </w14:solidFill>
          </w14:textFill>
        </w:rPr>
        <w:t>；</w:t>
      </w:r>
      <w:bookmarkEnd w:id="1102"/>
    </w:p>
    <w:p>
      <w:pPr>
        <w:pStyle w:val="19"/>
        <w:tabs>
          <w:tab w:val="left" w:pos="5580"/>
        </w:tabs>
        <w:spacing w:line="240" w:lineRule="atLeast"/>
        <w:rPr>
          <w:rFonts w:hint="eastAsia" w:ascii="宋体" w:hAnsi="宋体" w:eastAsia="宋体" w:cs="宋体"/>
          <w:b/>
          <w:color w:val="000000" w:themeColor="text1"/>
          <w:sz w:val="24"/>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b/>
          <w:color w:val="000000" w:themeColor="text1"/>
          <w:sz w:val="24"/>
          <w:highlight w:val="none"/>
          <w14:textFill>
            <w14:solidFill>
              <w14:schemeClr w14:val="tx1"/>
            </w14:solidFill>
          </w14:textFill>
        </w:rPr>
      </w:pPr>
    </w:p>
    <w:p>
      <w:pPr>
        <w:pStyle w:val="19"/>
        <w:tabs>
          <w:tab w:val="left" w:pos="5580"/>
        </w:tabs>
        <w:spacing w:line="240" w:lineRule="atLeast"/>
        <w:outlineLvl w:val="9"/>
        <w:rPr>
          <w:rFonts w:hint="eastAsia" w:ascii="宋体" w:hAnsi="宋体" w:eastAsia="宋体" w:cs="宋体"/>
          <w:b/>
          <w:color w:val="000000" w:themeColor="text1"/>
          <w:sz w:val="24"/>
          <w:highlight w:val="none"/>
          <w14:textFill>
            <w14:solidFill>
              <w14:schemeClr w14:val="tx1"/>
            </w14:solidFill>
          </w14:textFill>
        </w:rPr>
      </w:pPr>
    </w:p>
    <w:p>
      <w:pPr>
        <w:pStyle w:val="3"/>
        <w:keepNext/>
        <w:keepLines/>
        <w:pageBreakBefore w:val="0"/>
        <w:widowControl w:val="0"/>
        <w:numPr>
          <w:ilvl w:val="0"/>
          <w:numId w:val="2"/>
        </w:numPr>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03" w:name="_Toc22668"/>
      <w:r>
        <w:rPr>
          <w:rFonts w:hint="eastAsia" w:ascii="宋体" w:hAnsi="宋体" w:eastAsia="宋体" w:cs="宋体"/>
          <w:color w:val="000000" w:themeColor="text1"/>
          <w:sz w:val="28"/>
          <w:szCs w:val="28"/>
          <w:highlight w:val="none"/>
          <w:lang w:val="en-US" w:eastAsia="zh-CN"/>
          <w14:textFill>
            <w14:solidFill>
              <w14:schemeClr w14:val="tx1"/>
            </w14:solidFill>
          </w14:textFill>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医疗器械经营许可证或其他医疗器械生产经营许可证明文件）；</w:t>
      </w:r>
      <w:bookmarkEnd w:id="1103"/>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5"/>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br w:type="page"/>
      </w:r>
    </w:p>
    <w:p>
      <w:pPr>
        <w:pStyle w:val="3"/>
        <w:keepNext/>
        <w:keepLines/>
        <w:pageBreakBefore w:val="0"/>
        <w:widowControl w:val="0"/>
        <w:numPr>
          <w:ilvl w:val="0"/>
          <w:numId w:val="2"/>
        </w:numPr>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04" w:name="_Toc14719"/>
      <w:r>
        <w:rPr>
          <w:rFonts w:hint="eastAsia" w:ascii="宋体" w:hAnsi="宋体" w:eastAsia="宋体" w:cs="宋体"/>
          <w:color w:val="000000" w:themeColor="text1"/>
          <w:sz w:val="28"/>
          <w:szCs w:val="28"/>
          <w:highlight w:val="none"/>
          <w:lang w:val="en-US" w:eastAsia="zh-CN"/>
          <w14:textFill>
            <w14:solidFill>
              <w14:schemeClr w14:val="tx1"/>
            </w14:solidFill>
          </w14:textFill>
        </w:rPr>
        <w:t>法定代表人资格证明及授权书、被授权人身份证(法定代表人投标需提供法定代表人身份证)；</w:t>
      </w:r>
      <w:bookmarkEnd w:id="1104"/>
    </w:p>
    <w:p>
      <w:pPr>
        <w:adjustRightInd w:val="0"/>
        <w:snapToGrid w:val="0"/>
        <w:spacing w:before="240" w:beforeLines="100" w:after="240" w:afterLines="10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（一）法定代表人身份证明</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同志，现任我单位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职务，为法定代表人，特此证明。</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签发日期：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附：代表人性别：</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身份证号码：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具有有效的营业执照</w:t>
      </w:r>
      <w:r>
        <w:rPr>
          <w:rFonts w:hint="eastAsia" w:ascii="宋体" w:hAnsi="宋体" w:eastAsia="宋体" w:cs="宋体"/>
          <w:color w:val="000000" w:themeColor="text1"/>
          <w:sz w:val="24"/>
          <w:szCs w:val="24"/>
          <w:highlight w:val="none"/>
          <w14:textFill>
            <w14:solidFill>
              <w14:schemeClr w14:val="tx1"/>
            </w14:solidFill>
          </w14:textFill>
        </w:rPr>
        <w:t>号码：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经济性质：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1、法定代表人为企业事业单位、国家机关、社会团体的主要行政负责人。</w:t>
      </w:r>
    </w:p>
    <w:p>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提供身份证正反面。</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内容必须填写真实、清楚、涂改无效，不得转让。</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392045" cy="1557020"/>
                <wp:effectExtent l="5080" t="4445" r="22225" b="19685"/>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5"/>
                            </w:pPr>
                          </w:p>
                          <w:p>
                            <w:pPr>
                              <w:pStyle w:val="5"/>
                            </w:pPr>
                          </w:p>
                          <w:p>
                            <w:pPr>
                              <w:pStyle w:val="5"/>
                            </w:pPr>
                          </w:p>
                          <w:p>
                            <w:pPr>
                              <w:pStyle w:val="5"/>
                            </w:pPr>
                          </w:p>
                        </w:txbxContent>
                      </wps:txbx>
                      <wps:bodyPr wrap="square" upright="1"/>
                    </wps:wsp>
                  </a:graphicData>
                </a:graphic>
              </wp:anchor>
            </w:drawing>
          </mc:Choice>
          <mc:Fallback>
            <w:pict>
              <v:roundrect id="圆角矩形 15" o:spid="_x0000_s1026" o:spt="2" style="position:absolute;left:0pt;margin-left:229.8pt;margin-top:2.25pt;height:122.6pt;width:188.35pt;z-index:251659264;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D8jnaAAAACQ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5"/>
                      </w:pPr>
                    </w:p>
                    <w:p>
                      <w:pPr>
                        <w:pStyle w:val="5"/>
                      </w:pPr>
                    </w:p>
                    <w:p>
                      <w:pPr>
                        <w:pStyle w:val="5"/>
                      </w:pPr>
                    </w:p>
                    <w:p>
                      <w:pPr>
                        <w:pStyle w:val="5"/>
                      </w:pPr>
                    </w:p>
                  </w:txbxContent>
                </v:textbox>
              </v:roundrect>
            </w:pict>
          </mc:Fallback>
        </mc:AlternateConten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autoSpaceDE w:val="0"/>
        <w:autoSpaceDN w:val="0"/>
        <w:adjustRightInd w:val="0"/>
        <w:spacing w:line="360" w:lineRule="auto"/>
        <w:ind w:right="246"/>
        <w:rPr>
          <w:rFonts w:hint="eastAsia"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spacing w:line="360" w:lineRule="auto"/>
        <w:ind w:right="246"/>
        <w:rPr>
          <w:rFonts w:hint="eastAsia"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spacing w:line="360" w:lineRule="auto"/>
        <w:ind w:right="246" w:firstLine="784" w:firstLineChars="3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公</w:t>
      </w:r>
      <w:r>
        <w:rPr>
          <w:rFonts w:hint="eastAsia" w:ascii="宋体" w:hAnsi="宋体" w:eastAsia="宋体" w:cs="宋体"/>
          <w:color w:val="000000" w:themeColor="text1"/>
          <w:kern w:val="0"/>
          <w:sz w:val="24"/>
          <w:szCs w:val="24"/>
          <w:highlight w:val="none"/>
          <w14:textFill>
            <w14:solidFill>
              <w14:schemeClr w14:val="tx1"/>
            </w14:solidFill>
          </w14:textFill>
        </w:rPr>
        <w:t>章）：</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pPr>
        <w:adjustRightInd w:val="0"/>
        <w:snapToGrid w:val="0"/>
        <w:spacing w:line="360" w:lineRule="auto"/>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法定代表人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autoSpaceDE w:val="0"/>
        <w:autoSpaceDN w:val="0"/>
        <w:adjustRightInd w:val="0"/>
        <w:spacing w:line="360" w:lineRule="auto"/>
        <w:ind w:right="246" w:firstLine="784" w:firstLineChars="327"/>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日期：</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 xml:space="preserve">         </w:t>
      </w:r>
    </w:p>
    <w:p>
      <w:pPr>
        <w:adjustRightInd w:val="0"/>
        <w:snapToGrid w:val="0"/>
        <w:spacing w:line="400" w:lineRule="exact"/>
        <w:ind w:firstLine="784" w:firstLineChars="327"/>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                                  </w:t>
      </w:r>
    </w:p>
    <w:p>
      <w:pPr>
        <w:pStyle w:val="19"/>
        <w:tabs>
          <w:tab w:val="left" w:pos="5580"/>
        </w:tabs>
        <w:spacing w:line="400" w:lineRule="exact"/>
        <w:ind w:left="1080" w:leftChars="257"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说明：1.供应商为自然人的，应提供身份证明的复印件。</w:t>
      </w:r>
    </w:p>
    <w:p>
      <w:pPr>
        <w:pStyle w:val="19"/>
        <w:tabs>
          <w:tab w:val="left" w:pos="5580"/>
        </w:tabs>
        <w:spacing w:line="400" w:lineRule="exact"/>
        <w:ind w:left="1080" w:leftChars="257"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.联合体投标应提供联合体各方满足以上要求的证明文件。</w:t>
      </w:r>
      <w:bookmarkStart w:id="1105" w:name="_Toc6829"/>
      <w:bookmarkStart w:id="1106" w:name="_Toc21867"/>
      <w:bookmarkStart w:id="1107" w:name="_Toc16640"/>
      <w:bookmarkStart w:id="1108" w:name="_Toc22472"/>
      <w:bookmarkStart w:id="1109" w:name="_Toc5436"/>
      <w:bookmarkStart w:id="1110" w:name="_Toc13107"/>
      <w:bookmarkStart w:id="1111" w:name="_Toc1083"/>
      <w:bookmarkStart w:id="1112" w:name="_Toc515647807"/>
    </w:p>
    <w:p>
      <w:pPr>
        <w:rPr>
          <w:rFonts w:hint="eastAsia" w:ascii="宋体" w:hAnsi="宋体" w:eastAsia="宋体" w:cs="宋体"/>
          <w:b/>
          <w:bCs/>
          <w:color w:val="000000" w:themeColor="text1"/>
          <w:sz w:val="24"/>
          <w:highlight w:val="none"/>
          <w14:textFill>
            <w14:solidFill>
              <w14:schemeClr w14:val="tx1"/>
            </w14:solidFill>
          </w14:textFill>
        </w:rPr>
      </w:pPr>
      <w:bookmarkStart w:id="1113" w:name="_Toc24769"/>
      <w:bookmarkStart w:id="1114" w:name="_Toc6179"/>
      <w:bookmarkStart w:id="1115" w:name="_Toc32380"/>
    </w:p>
    <w:p>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br w:type="page"/>
      </w:r>
    </w:p>
    <w:bookmarkEnd w:id="1105"/>
    <w:bookmarkEnd w:id="1106"/>
    <w:bookmarkEnd w:id="1107"/>
    <w:bookmarkEnd w:id="1108"/>
    <w:bookmarkEnd w:id="1109"/>
    <w:bookmarkEnd w:id="1110"/>
    <w:bookmarkEnd w:id="1111"/>
    <w:bookmarkEnd w:id="1112"/>
    <w:bookmarkEnd w:id="1113"/>
    <w:bookmarkEnd w:id="1114"/>
    <w:bookmarkEnd w:id="1115"/>
    <w:p>
      <w:pPr>
        <w:spacing w:line="360" w:lineRule="auto"/>
        <w:jc w:val="center"/>
        <w:rPr>
          <w:rFonts w:hint="eastAsia" w:ascii="宋体" w:hAnsi="宋体" w:eastAsia="宋体" w:cs="宋体"/>
          <w:b/>
          <w:bCs/>
          <w:color w:val="000000" w:themeColor="text1"/>
          <w:sz w:val="24"/>
          <w:szCs w:val="24"/>
          <w:highlight w:val="none"/>
          <w:u w:val="single"/>
          <w14:textFill>
            <w14:solidFill>
              <w14:schemeClr w14:val="tx1"/>
            </w14:solidFill>
          </w14:textFill>
        </w:rPr>
      </w:pPr>
      <w:bookmarkStart w:id="1116" w:name="_Toc7039"/>
      <w:bookmarkStart w:id="1117" w:name="_Toc32520"/>
      <w:bookmarkStart w:id="1118" w:name="_Toc515647808"/>
      <w:r>
        <w:rPr>
          <w:rFonts w:hint="eastAsia" w:ascii="宋体" w:hAnsi="宋体" w:eastAsia="宋体" w:cs="宋体"/>
          <w:b/>
          <w:bCs/>
          <w:color w:val="000000" w:themeColor="text1"/>
          <w:sz w:val="24"/>
          <w:szCs w:val="24"/>
          <w:highlight w:val="none"/>
          <w14:textFill>
            <w14:solidFill>
              <w14:schemeClr w14:val="tx1"/>
            </w14:solidFill>
          </w14:textFill>
        </w:rPr>
        <w:t>（二）法定代表人授权委托书</w:t>
      </w:r>
    </w:p>
    <w:p>
      <w:pPr>
        <w:pStyle w:val="19"/>
        <w:tabs>
          <w:tab w:val="left" w:pos="5580"/>
        </w:tabs>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本</w:t>
      </w:r>
      <w:r>
        <w:rPr>
          <w:rFonts w:hint="eastAsia" w:ascii="宋体" w:hAnsi="宋体" w:eastAsia="宋体" w:cs="宋体"/>
          <w:i w:val="0"/>
          <w:iCs w:val="0"/>
          <w:color w:val="000000" w:themeColor="text1"/>
          <w:sz w:val="24"/>
          <w:szCs w:val="24"/>
          <w:highlight w:val="none"/>
          <w14:textFill>
            <w14:solidFill>
              <w14:schemeClr w14:val="tx1"/>
            </w14:solidFill>
          </w14:textFill>
        </w:rPr>
        <w:t>授权书声明：注册于</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（国家或地区的名称）</w:t>
      </w:r>
      <w:r>
        <w:rPr>
          <w:rFonts w:hint="eastAsia" w:ascii="宋体" w:hAnsi="宋体" w:eastAsia="宋体" w:cs="宋体"/>
          <w:i w:val="0"/>
          <w:iCs w:val="0"/>
          <w:color w:val="000000" w:themeColor="text1"/>
          <w:sz w:val="24"/>
          <w:szCs w:val="24"/>
          <w:highlight w:val="none"/>
          <w14:textFill>
            <w14:solidFill>
              <w14:schemeClr w14:val="tx1"/>
            </w14:solidFill>
          </w14:textFill>
        </w:rPr>
        <w:t>的（</w:t>
      </w:r>
      <w:r>
        <w:rPr>
          <w:rFonts w:hint="eastAsia" w:ascii="宋体" w:hAnsi="宋体" w:eastAsia="宋体" w:cs="宋体"/>
          <w:i w:val="0"/>
          <w:iCs w:val="0"/>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）的在下面签字的（</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法人代表姓名、职务</w:t>
      </w:r>
      <w:r>
        <w:rPr>
          <w:rFonts w:hint="eastAsia" w:ascii="宋体" w:hAnsi="宋体" w:eastAsia="宋体" w:cs="宋体"/>
          <w:i w:val="0"/>
          <w:iCs w:val="0"/>
          <w:color w:val="000000" w:themeColor="text1"/>
          <w:sz w:val="24"/>
          <w:szCs w:val="24"/>
          <w:highlight w:val="none"/>
          <w14:textFill>
            <w14:solidFill>
              <w14:schemeClr w14:val="tx1"/>
            </w14:solidFill>
          </w14:textFill>
        </w:rPr>
        <w:t>）代表我单位授权（</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单位名称</w:t>
      </w:r>
      <w:r>
        <w:rPr>
          <w:rFonts w:hint="eastAsia" w:ascii="宋体" w:hAnsi="宋体" w:eastAsia="宋体" w:cs="宋体"/>
          <w:i w:val="0"/>
          <w:iCs w:val="0"/>
          <w:color w:val="000000" w:themeColor="text1"/>
          <w:sz w:val="24"/>
          <w:szCs w:val="24"/>
          <w:highlight w:val="none"/>
          <w14:textFill>
            <w14:solidFill>
              <w14:schemeClr w14:val="tx1"/>
            </w14:solidFill>
          </w14:textFill>
        </w:rPr>
        <w:t>）的在下面签字的（</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被授权人的姓名、职务</w:t>
      </w:r>
      <w:r>
        <w:rPr>
          <w:rFonts w:hint="eastAsia" w:ascii="宋体" w:hAnsi="宋体" w:eastAsia="宋体" w:cs="宋体"/>
          <w:i w:val="0"/>
          <w:iCs w:val="0"/>
          <w:color w:val="000000" w:themeColor="text1"/>
          <w:sz w:val="24"/>
          <w:szCs w:val="24"/>
          <w:highlight w:val="none"/>
          <w14:textFill>
            <w14:solidFill>
              <w14:schemeClr w14:val="tx1"/>
            </w14:solidFill>
          </w14:textFill>
        </w:rPr>
        <w:t>）为我单位的合法代理人，就（</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项目名称</w:t>
      </w:r>
      <w:r>
        <w:rPr>
          <w:rFonts w:hint="eastAsia" w:ascii="宋体" w:hAnsi="宋体" w:eastAsia="宋体" w:cs="宋体"/>
          <w:i w:val="0"/>
          <w:iCs w:val="0"/>
          <w:color w:val="000000" w:themeColor="text1"/>
          <w:sz w:val="24"/>
          <w:szCs w:val="24"/>
          <w:highlight w:val="none"/>
          <w14:textFill>
            <w14:solidFill>
              <w14:schemeClr w14:val="tx1"/>
            </w14:solidFill>
          </w14:textFill>
        </w:rPr>
        <w:t>）的投标，以我单位名义处理一切与之有关的事</w:t>
      </w:r>
      <w:r>
        <w:rPr>
          <w:rFonts w:hint="eastAsia" w:ascii="宋体" w:hAnsi="宋体" w:eastAsia="宋体" w:cs="宋体"/>
          <w:color w:val="000000" w:themeColor="text1"/>
          <w:sz w:val="24"/>
          <w:szCs w:val="24"/>
          <w:highlight w:val="none"/>
          <w14:textFill>
            <w14:solidFill>
              <w14:schemeClr w14:val="tx1"/>
            </w14:solidFill>
          </w14:textFill>
        </w:rPr>
        <w:t>务。</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w:t>
      </w:r>
    </w:p>
    <w:p>
      <w:pPr>
        <w:pStyle w:val="19"/>
        <w:tabs>
          <w:tab w:val="left" w:pos="5580"/>
        </w:tabs>
        <w:spacing w:line="360" w:lineRule="exact"/>
        <w:ind w:left="-540" w:leftChars="-257" w:firstLine="900" w:firstLineChars="3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日签字生效,特此声明。</w:t>
      </w:r>
    </w:p>
    <w:p>
      <w:pPr>
        <w:pStyle w:val="19"/>
        <w:tabs>
          <w:tab w:val="left" w:pos="5580"/>
        </w:tabs>
        <w:spacing w:line="240" w:lineRule="atLeast"/>
        <w:ind w:left="-540" w:leftChars="-257" w:firstLine="900" w:firstLineChars="3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0" distR="0" simplePos="0" relativeHeight="251661312"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8" name="自选图形 5"/>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jc w:val="center"/>
                            </w:pPr>
                            <w:r>
                              <w:rPr>
                                <w:rFonts w:hint="eastAsia" w:hAnsi="宋体"/>
                              </w:rPr>
                              <w:t>授权委托人身份证复印件</w:t>
                            </w:r>
                          </w:p>
                          <w:p/>
                        </w:txbxContent>
                      </wps:txbx>
                      <wps:bodyPr wrap="square" upright="1"/>
                    </wps:wsp>
                  </a:graphicData>
                </a:graphic>
              </wp:anchor>
            </w:drawing>
          </mc:Choice>
          <mc:Fallback>
            <w:pict>
              <v:roundrect id="自选图形 5" o:spid="_x0000_s1026" o:spt="2" style="position:absolute;left:0pt;margin-left:239.3pt;margin-top:13.2pt;height:76.3pt;width:195.15pt;z-index:251661312;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BZ+42wAAAAoBAAAPAAAAAAAAAAEAIAAAACIAAABkcnMvZG93bnJl&#10;di54bWxQSwECFAAUAAAACACHTuJAc0c2TzMCAAByBAAADgAAAAAAAAABACAAAAAqAQAAZHJzL2Uy&#10;b0RvYy54bWxQSwUGAAAAAAYABgBZAQAAzwU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jc w:val="center"/>
                      </w:pPr>
                      <w:r>
                        <w:rPr>
                          <w:rFonts w:hint="eastAsia" w:hAnsi="宋体"/>
                        </w:rPr>
                        <w:t>授权委托人身份证复印件</w:t>
                      </w:r>
                    </w:p>
                    <w:p/>
                  </w:txbxContent>
                </v:textbox>
              </v:roundrect>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0" distR="0" simplePos="0" relativeHeight="251661312" behindDoc="0" locked="0" layoutInCell="1" allowOverlap="1">
                <wp:simplePos x="0" y="0"/>
                <wp:positionH relativeFrom="column">
                  <wp:posOffset>20955</wp:posOffset>
                </wp:positionH>
                <wp:positionV relativeFrom="paragraph">
                  <wp:posOffset>135890</wp:posOffset>
                </wp:positionV>
                <wp:extent cx="2317750" cy="942340"/>
                <wp:effectExtent l="4445" t="4445" r="20955" b="5715"/>
                <wp:wrapNone/>
                <wp:docPr id="1029" name="自选图形 6"/>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wrap="square" upright="1"/>
                    </wps:wsp>
                  </a:graphicData>
                </a:graphic>
              </wp:anchor>
            </w:drawing>
          </mc:Choice>
          <mc:Fallback>
            <w:pict>
              <v:shape id="自选图形 6" o:spid="_x0000_s1026" o:spt="176" type="#_x0000_t176" style="position:absolute;left:0pt;margin-left:1.65pt;margin-top:10.7pt;height:74.2pt;width:182.5pt;z-index:251661312;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NoQO1gAAAAgBAAAPAAAAAAAAAAEAIAAAACIAAABkcnMvZG93bnJldi54bWxQSwECFAAUAAAA&#10;CACHTuJA7Cj0kykCAABVBAAADgAAAAAAAAABACAAAAAlAQAAZHJzL2Uyb0RvYy54bWxQSwUGAAAA&#10;AAYABgBZAQAAw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0" distR="0" simplePos="0" relativeHeight="251661312"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0" name="自选图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w:t>
                            </w:r>
                          </w:p>
                          <w:p/>
                        </w:txbxContent>
                      </wps:txbx>
                      <wps:bodyPr wrap="square" upright="1"/>
                    </wps:wsp>
                  </a:graphicData>
                </a:graphic>
              </wp:anchor>
            </w:drawing>
          </mc:Choice>
          <mc:Fallback>
            <w:pict>
              <v:roundrect id="自选图形 7" o:spid="_x0000_s1026" o:spt="2" style="position:absolute;left:0pt;margin-left:237.65pt;margin-top:7.6pt;height:73.65pt;width:199.65pt;z-index:251661312;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DRWe2wAAAAoBAAAPAAAAAAAAAAEAIAAAACIAAABkcnMvZG93bnJldi54&#10;bWxQSwECFAAUAAAACACHTuJAJRqzWzACAAByBAAADgAAAAAAAAABACAAAAAqAQAAZHJzL2Uyb0Rv&#10;Yy54bWxQSwUGAAAAAAYABgBZAQAAzA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w:t>
                      </w:r>
                    </w:p>
                    <w:p/>
                  </w:txbxContent>
                </v:textbox>
              </v:roundrect>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0" distR="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1" name="自选图形 8"/>
                <wp:cNvGraphicFramePr/>
                <a:graphic xmlns:a="http://schemas.openxmlformats.org/drawingml/2006/main">
                  <a:graphicData uri="http://schemas.microsoft.com/office/word/2010/wordprocessingShape">
                    <wps:wsp>
                      <wps:cNvSpPr/>
                      <wps:spPr>
                        <a:xfrm>
                          <a:off x="0" y="0"/>
                          <a:ext cx="2555240" cy="1024889"/>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rPr>
                                <w:rFonts w:hAnsi="宋体"/>
                              </w:rPr>
                            </w:pPr>
                          </w:p>
                          <w:p>
                            <w:pPr>
                              <w:jc w:val="center"/>
                              <w:rPr>
                                <w:szCs w:val="21"/>
                              </w:rPr>
                            </w:pPr>
                            <w:r>
                              <w:rPr>
                                <w:rFonts w:hint="eastAsia" w:hAnsi="宋体"/>
                                <w:szCs w:val="21"/>
                              </w:rPr>
                              <w:t>法定代表人身份证复印件</w:t>
                            </w:r>
                          </w:p>
                          <w:p/>
                        </w:txbxContent>
                      </wps:txbx>
                      <wps:bodyPr wrap="square" upright="1"/>
                    </wps:wsp>
                  </a:graphicData>
                </a:graphic>
              </wp:anchor>
            </w:drawing>
          </mc:Choice>
          <mc:Fallback>
            <w:pict>
              <v:roundrect id="自选图形 8"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C3vYAAAACAEAAA8AAAAAAAAAAQAgAAAAIgAAAGRycy9kb3ducmV2&#10;LnhtbFBLAQIUABQAAAAIAIdO4kAhpKCcNQIAAHMEAAAOAAAAAAAAAAEAIAAAACcBAABkcnMvZTJv&#10;RG9jLnhtbFBLBQYAAAAABgAGAFkBAADOBQAAAAA=&#10;">
                <v:fill on="t" focussize="0,0"/>
                <v:stroke weight="1.25pt" color="#808080" joinstyle="round"/>
                <v:imagedata o:title=""/>
                <o:lock v:ext="edit" aspectratio="f"/>
                <v:textbox>
                  <w:txbxContent>
                    <w:p>
                      <w:pPr>
                        <w:jc w:val="center"/>
                        <w:rPr>
                          <w:rFonts w:hAnsi="宋体"/>
                        </w:rPr>
                      </w:pPr>
                    </w:p>
                    <w:p>
                      <w:pPr>
                        <w:rPr>
                          <w:rFonts w:hAnsi="宋体"/>
                        </w:rPr>
                      </w:pPr>
                    </w:p>
                    <w:p>
                      <w:pPr>
                        <w:jc w:val="center"/>
                        <w:rPr>
                          <w:szCs w:val="21"/>
                        </w:rPr>
                      </w:pPr>
                      <w:r>
                        <w:rPr>
                          <w:rFonts w:hint="eastAsia" w:hAnsi="宋体"/>
                          <w:szCs w:val="21"/>
                        </w:rPr>
                        <w:t>法定代表人身份证复印件</w:t>
                      </w:r>
                    </w:p>
                    <w:p/>
                  </w:txbxContent>
                </v:textbox>
              </v:roundrect>
            </w:pict>
          </mc:Fallback>
        </mc:AlternateConten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pStyle w:val="26"/>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1"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注：提供身份证正反面。</w:t>
      </w:r>
    </w:p>
    <w:p>
      <w:pPr>
        <w:pStyle w:val="19"/>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19"/>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19"/>
        <w:tabs>
          <w:tab w:val="left" w:pos="5580"/>
        </w:tabs>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身份证号码：______________________________ </w:t>
      </w:r>
    </w:p>
    <w:p>
      <w:pPr>
        <w:pStyle w:val="19"/>
        <w:tabs>
          <w:tab w:val="left" w:pos="5580"/>
        </w:tabs>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19"/>
        <w:tabs>
          <w:tab w:val="left" w:pos="5580"/>
        </w:tabs>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19"/>
        <w:tabs>
          <w:tab w:val="left" w:pos="5580"/>
        </w:tabs>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详细通讯地址：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19"/>
        <w:tabs>
          <w:tab w:val="left" w:pos="5580"/>
        </w:tabs>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19"/>
        <w:tabs>
          <w:tab w:val="left" w:pos="5580"/>
        </w:tabs>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19"/>
        <w:tabs>
          <w:tab w:val="left" w:pos="5580"/>
        </w:tabs>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19"/>
        <w:tabs>
          <w:tab w:val="left" w:pos="5580"/>
        </w:tabs>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bookmarkEnd w:id="1116"/>
      <w:bookmarkEnd w:id="1117"/>
      <w:bookmarkEnd w:id="1118"/>
    </w:p>
    <w:p>
      <w:pPr>
        <w:pStyle w:val="19"/>
        <w:tabs>
          <w:tab w:val="left" w:pos="5580"/>
        </w:tabs>
        <w:spacing w:line="400" w:lineRule="exact"/>
        <w:ind w:left="1079" w:leftChars="257" w:hanging="539"/>
        <w:rPr>
          <w:rFonts w:hint="eastAsia" w:ascii="宋体" w:hAnsi="宋体" w:eastAsia="宋体" w:cs="宋体"/>
          <w:color w:val="000000" w:themeColor="text1"/>
          <w:sz w:val="24"/>
          <w:highlight w:val="none"/>
          <w14:textFill>
            <w14:solidFill>
              <w14:schemeClr w14:val="tx1"/>
            </w14:solidFill>
          </w14:textFill>
        </w:rPr>
      </w:pPr>
    </w:p>
    <w:p>
      <w:pPr>
        <w:pStyle w:val="19"/>
        <w:tabs>
          <w:tab w:val="left" w:pos="5580"/>
        </w:tabs>
        <w:spacing w:line="400" w:lineRule="exact"/>
        <w:ind w:left="1079" w:leftChars="257" w:hanging="539"/>
        <w:rPr>
          <w:rFonts w:hint="eastAsia" w:ascii="宋体" w:hAnsi="宋体" w:eastAsia="宋体" w:cs="宋体"/>
          <w:color w:val="000000" w:themeColor="text1"/>
          <w:sz w:val="24"/>
          <w:highlight w:val="none"/>
          <w14:textFill>
            <w14:solidFill>
              <w14:schemeClr w14:val="tx1"/>
            </w14:solidFill>
          </w14:textFill>
        </w:rPr>
      </w:pPr>
    </w:p>
    <w:p>
      <w:pPr>
        <w:pStyle w:val="19"/>
        <w:tabs>
          <w:tab w:val="left" w:pos="5580"/>
        </w:tabs>
        <w:spacing w:line="400" w:lineRule="exact"/>
        <w:ind w:left="1079" w:leftChars="257" w:hanging="539"/>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br w:type="page"/>
      </w: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119" w:name="_Toc30546"/>
      <w:r>
        <w:rPr>
          <w:rFonts w:hint="eastAsia" w:ascii="宋体" w:hAnsi="宋体" w:eastAsia="宋体" w:cs="宋体"/>
          <w:color w:val="000000" w:themeColor="text1"/>
          <w:sz w:val="28"/>
          <w:szCs w:val="28"/>
          <w:highlight w:val="none"/>
          <w:lang w:val="en-US" w:eastAsia="zh-CN"/>
          <w14:textFill>
            <w14:solidFill>
              <w14:schemeClr w14:val="tx1"/>
            </w14:solidFill>
          </w14:textFill>
        </w:rPr>
        <w:t>5.提供近两年内任意一年的财务审计报告（新成立未满一年的新公司可提供近三个月内任意一个月的银行资信证明）；</w:t>
      </w:r>
      <w:bookmarkEnd w:id="1119"/>
    </w:p>
    <w:p>
      <w:pPr>
        <w:pStyle w:val="32"/>
        <w:spacing w:line="400" w:lineRule="exact"/>
        <w:ind w:firstLine="0" w:firstLineChars="0"/>
        <w:rPr>
          <w:rFonts w:hint="eastAsia" w:ascii="宋体" w:hAnsi="宋体" w:eastAsia="宋体" w:cs="宋体"/>
          <w:b/>
          <w:color w:val="000000" w:themeColor="text1"/>
          <w:kern w:val="0"/>
          <w:szCs w:val="20"/>
          <w:highlight w:val="none"/>
          <w14:textFill>
            <w14:solidFill>
              <w14:schemeClr w14:val="tx1"/>
            </w14:solidFill>
          </w14:textFill>
        </w:rPr>
      </w:pPr>
    </w:p>
    <w:p>
      <w:pPr>
        <w:pStyle w:val="6"/>
        <w:rPr>
          <w:rFonts w:hint="eastAsia"/>
          <w:color w:val="000000" w:themeColor="text1"/>
          <w:highlight w:val="none"/>
          <w14:textFill>
            <w14:solidFill>
              <w14:schemeClr w14:val="tx1"/>
            </w14:solidFill>
          </w14:textFill>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120" w:name="_Toc3394"/>
      <w:r>
        <w:rPr>
          <w:rFonts w:hint="eastAsia" w:ascii="宋体" w:hAnsi="宋体" w:eastAsia="宋体" w:cs="宋体"/>
          <w:color w:val="000000" w:themeColor="text1"/>
          <w:sz w:val="28"/>
          <w:szCs w:val="28"/>
          <w:highlight w:val="none"/>
          <w:lang w:val="en-US" w:eastAsia="zh-CN"/>
          <w14:textFill>
            <w14:solidFill>
              <w14:schemeClr w14:val="tx1"/>
            </w14:solidFill>
          </w14:textFill>
        </w:rPr>
        <w:t>6.依法缴纳近六个月内任意一个月社会保险证明；</w:t>
      </w:r>
      <w:bookmarkEnd w:id="1120"/>
    </w:p>
    <w:p>
      <w:pPr>
        <w:pStyle w:val="5"/>
        <w:ind w:left="0" w:leftChars="0" w:firstLine="0" w:firstLineChars="0"/>
        <w:rPr>
          <w:rFonts w:hint="eastAsia"/>
          <w:color w:val="000000" w:themeColor="text1"/>
          <w:highlight w:val="none"/>
          <w14:textFill>
            <w14:solidFill>
              <w14:schemeClr w14:val="tx1"/>
            </w14:solidFill>
          </w14:textFill>
        </w:rPr>
      </w:pPr>
    </w:p>
    <w:p>
      <w:pPr>
        <w:pStyle w:val="5"/>
        <w:rPr>
          <w:rFonts w:hint="eastAsia"/>
          <w:color w:val="000000" w:themeColor="text1"/>
          <w:highlight w:val="none"/>
          <w14:textFill>
            <w14:solidFill>
              <w14:schemeClr w14:val="tx1"/>
            </w14:solidFill>
          </w14:textFill>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121" w:name="_Toc18669"/>
      <w:r>
        <w:rPr>
          <w:rFonts w:hint="eastAsia" w:ascii="宋体" w:hAnsi="宋体" w:eastAsia="宋体" w:cs="宋体"/>
          <w:color w:val="000000" w:themeColor="text1"/>
          <w:sz w:val="28"/>
          <w:szCs w:val="28"/>
          <w:highlight w:val="none"/>
          <w:lang w:val="en-US" w:eastAsia="zh-CN"/>
          <w14:textFill>
            <w14:solidFill>
              <w14:schemeClr w14:val="tx1"/>
            </w14:solidFill>
          </w14:textFill>
        </w:rPr>
        <w:t>7.依法缴纳近六个月内任意一个月税收证明；</w:t>
      </w:r>
      <w:bookmarkEnd w:id="1121"/>
    </w:p>
    <w:p>
      <w:pPr>
        <w:pStyle w:val="19"/>
        <w:tabs>
          <w:tab w:val="left" w:pos="5580"/>
        </w:tabs>
        <w:spacing w:line="400" w:lineRule="exact"/>
        <w:rPr>
          <w:rFonts w:hint="eastAsia" w:ascii="宋体" w:hAnsi="宋体" w:eastAsia="宋体" w:cs="宋体"/>
          <w:b/>
          <w:color w:val="000000" w:themeColor="text1"/>
          <w:kern w:val="0"/>
          <w:sz w:val="24"/>
          <w:highlight w:val="none"/>
          <w14:textFill>
            <w14:solidFill>
              <w14:schemeClr w14:val="tx1"/>
            </w14:solidFill>
          </w14:textFill>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22" w:name="_Toc6764"/>
      <w:r>
        <w:rPr>
          <w:rFonts w:hint="eastAsia" w:ascii="宋体" w:hAnsi="宋体" w:eastAsia="宋体" w:cs="宋体"/>
          <w:color w:val="000000" w:themeColor="text1"/>
          <w:sz w:val="28"/>
          <w:szCs w:val="28"/>
          <w:highlight w:val="none"/>
          <w:lang w:val="en-US" w:eastAsia="zh-CN"/>
          <w14:textFill>
            <w14:solidFill>
              <w14:schemeClr w14:val="tx1"/>
            </w14:solidFill>
          </w14:textFill>
        </w:rPr>
        <w:t>8.根据《财政部关于在政府采购活动中查询及使用信用记录有关问题的通知》（财库﹝2016﹞125号）的要求，凡拟参加本次招标项目的供应商，如在“信用中国”网站（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以采购代理机构或采购人查询为准）；</w:t>
      </w:r>
      <w:bookmarkEnd w:id="1122"/>
    </w:p>
    <w:p>
      <w:pPr>
        <w:pStyle w:val="19"/>
        <w:tabs>
          <w:tab w:val="left" w:pos="5580"/>
        </w:tabs>
        <w:spacing w:line="400" w:lineRule="exact"/>
        <w:ind w:left="1080" w:leftChars="257" w:hanging="540"/>
        <w:rPr>
          <w:rFonts w:hint="eastAsia" w:ascii="宋体" w:hAnsi="宋体" w:eastAsia="宋体" w:cs="宋体"/>
          <w:b/>
          <w:color w:val="000000" w:themeColor="text1"/>
          <w:kern w:val="0"/>
          <w:sz w:val="24"/>
          <w:highlight w:val="none"/>
          <w14:textFill>
            <w14:solidFill>
              <w14:schemeClr w14:val="tx1"/>
            </w14:solidFill>
          </w14:textFill>
        </w:rPr>
      </w:pPr>
    </w:p>
    <w:p>
      <w:pPr>
        <w:pStyle w:val="19"/>
        <w:tabs>
          <w:tab w:val="left" w:pos="5580"/>
        </w:tabs>
        <w:spacing w:line="400" w:lineRule="exact"/>
        <w:rPr>
          <w:rFonts w:hint="eastAsia" w:ascii="宋体" w:hAnsi="宋体" w:eastAsia="宋体" w:cs="宋体"/>
          <w:b/>
          <w:color w:val="000000" w:themeColor="text1"/>
          <w:kern w:val="0"/>
          <w:sz w:val="24"/>
          <w:highlight w:val="none"/>
          <w14:textFill>
            <w14:solidFill>
              <w14:schemeClr w14:val="tx1"/>
            </w14:solidFill>
          </w14:textFill>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23" w:name="_Toc24989"/>
      <w:r>
        <w:rPr>
          <w:rFonts w:hint="eastAsia" w:ascii="宋体" w:hAnsi="宋体" w:eastAsia="宋体" w:cs="宋体"/>
          <w:color w:val="000000" w:themeColor="text1"/>
          <w:sz w:val="28"/>
          <w:szCs w:val="28"/>
          <w:highlight w:val="none"/>
          <w:lang w:val="en-US" w:eastAsia="zh-CN"/>
          <w14:textFill>
            <w14:solidFill>
              <w14:schemeClr w14:val="tx1"/>
            </w14:solidFill>
          </w14:textFill>
        </w:rPr>
        <w:t>9.参与政府采购活动前3年内未被列入失信、重大税收违法案件、财政部门禁止参加政府采购活动的承诺书；</w:t>
      </w:r>
      <w:bookmarkEnd w:id="1123"/>
    </w:p>
    <w:p>
      <w:pPr>
        <w:pStyle w:val="19"/>
        <w:tabs>
          <w:tab w:val="left" w:pos="5580"/>
        </w:tabs>
        <w:spacing w:line="400" w:lineRule="exact"/>
        <w:rPr>
          <w:rFonts w:hint="eastAsia" w:ascii="宋体" w:hAnsi="宋体" w:eastAsia="宋体" w:cs="宋体"/>
          <w:b/>
          <w:color w:val="000000" w:themeColor="text1"/>
          <w:kern w:val="0"/>
          <w:sz w:val="24"/>
          <w:highlight w:val="none"/>
          <w14:textFill>
            <w14:solidFill>
              <w14:schemeClr w14:val="tx1"/>
            </w14:solidFill>
          </w14:textFill>
        </w:rPr>
      </w:pPr>
    </w:p>
    <w:p>
      <w:pPr>
        <w:pStyle w:val="19"/>
        <w:tabs>
          <w:tab w:val="left" w:pos="5580"/>
        </w:tabs>
        <w:spacing w:line="400" w:lineRule="exact"/>
        <w:rPr>
          <w:rFonts w:hint="eastAsia" w:ascii="宋体" w:hAnsi="宋体" w:eastAsia="宋体" w:cs="宋体"/>
          <w:b/>
          <w:color w:val="000000" w:themeColor="text1"/>
          <w:kern w:val="0"/>
          <w:sz w:val="24"/>
          <w:highlight w:val="none"/>
          <w14:textFill>
            <w14:solidFill>
              <w14:schemeClr w14:val="tx1"/>
            </w14:solidFill>
          </w14:textFill>
        </w:rPr>
      </w:pPr>
    </w:p>
    <w:p>
      <w:pPr>
        <w:pStyle w:val="19"/>
        <w:tabs>
          <w:tab w:val="left" w:pos="5580"/>
        </w:tabs>
        <w:spacing w:line="400" w:lineRule="exact"/>
        <w:rPr>
          <w:rFonts w:hint="eastAsia" w:ascii="宋体" w:hAnsi="宋体" w:eastAsia="宋体" w:cs="宋体"/>
          <w:b/>
          <w:color w:val="000000" w:themeColor="text1"/>
          <w:kern w:val="0"/>
          <w:sz w:val="24"/>
          <w:highlight w:val="none"/>
          <w14:textFill>
            <w14:solidFill>
              <w14:schemeClr w14:val="tx1"/>
            </w14:solidFill>
          </w14:textFill>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124" w:name="_Toc15726"/>
      <w:r>
        <w:rPr>
          <w:rFonts w:hint="eastAsia" w:ascii="宋体" w:hAnsi="宋体" w:eastAsia="宋体" w:cs="宋体"/>
          <w:color w:val="000000" w:themeColor="text1"/>
          <w:sz w:val="28"/>
          <w:szCs w:val="28"/>
          <w:highlight w:val="none"/>
          <w:lang w:val="en-US" w:eastAsia="zh-CN"/>
          <w14:textFill>
            <w14:solidFill>
              <w14:schemeClr w14:val="tx1"/>
            </w14:solidFill>
          </w14:textFill>
        </w:rPr>
        <w:t>10.提供针对本次项目的《反商业贿赂承诺书》；</w:t>
      </w:r>
      <w:bookmarkEnd w:id="1124"/>
    </w:p>
    <w:p>
      <w:pPr>
        <w:pStyle w:val="19"/>
        <w:tabs>
          <w:tab w:val="left" w:pos="5580"/>
        </w:tabs>
        <w:spacing w:line="400" w:lineRule="exact"/>
        <w:rPr>
          <w:rFonts w:hint="eastAsia" w:ascii="宋体" w:hAnsi="宋体" w:eastAsia="宋体" w:cs="宋体"/>
          <w:b/>
          <w:color w:val="000000" w:themeColor="text1"/>
          <w:kern w:val="0"/>
          <w:sz w:val="24"/>
          <w:highlight w:val="none"/>
          <w14:textFill>
            <w14:solidFill>
              <w14:schemeClr w14:val="tx1"/>
            </w14:solidFill>
          </w14:textFill>
        </w:rPr>
      </w:pPr>
    </w:p>
    <w:p>
      <w:pPr>
        <w:pStyle w:val="19"/>
        <w:tabs>
          <w:tab w:val="left" w:pos="5580"/>
        </w:tabs>
        <w:spacing w:line="400" w:lineRule="exact"/>
        <w:rPr>
          <w:rFonts w:hint="eastAsia" w:ascii="宋体" w:hAnsi="宋体" w:eastAsia="宋体" w:cs="宋体"/>
          <w:b/>
          <w:color w:val="000000" w:themeColor="text1"/>
          <w:kern w:val="0"/>
          <w:sz w:val="24"/>
          <w:highlight w:val="none"/>
          <w14:textFill>
            <w14:solidFill>
              <w14:schemeClr w14:val="tx1"/>
            </w14:solidFill>
          </w14:textFill>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25" w:name="_Toc10365"/>
      <w:r>
        <w:rPr>
          <w:rFonts w:hint="eastAsia" w:ascii="宋体" w:hAnsi="宋体" w:eastAsia="宋体" w:cs="宋体"/>
          <w:color w:val="000000" w:themeColor="text1"/>
          <w:sz w:val="28"/>
          <w:szCs w:val="28"/>
          <w:highlight w:val="none"/>
          <w:lang w:val="en-US" w:eastAsia="zh-CN"/>
          <w14:textFill>
            <w14:solidFill>
              <w14:schemeClr w14:val="tx1"/>
            </w14:solidFill>
          </w14:textFill>
        </w:rPr>
        <w:t>11.缴纳投标保证金的有效凭证；</w:t>
      </w:r>
      <w:bookmarkEnd w:id="1125"/>
    </w:p>
    <w:p>
      <w:pPr>
        <w:shd w:val="clear" w:color="auto" w:fill="auto"/>
        <w:snapToGrid w:val="0"/>
        <w:spacing w:before="0" w:beforeAutospacing="0" w:after="0" w:afterAutospacing="0" w:line="360" w:lineRule="exact"/>
        <w:jc w:val="both"/>
        <w:textAlignment w:val="baseline"/>
        <w:rPr>
          <w:rFonts w:hint="eastAsia" w:ascii="宋体" w:hAnsi="宋体" w:eastAsia="宋体" w:cs="宋体"/>
          <w:b/>
          <w:bCs/>
          <w:i w:val="0"/>
          <w:caps w:val="0"/>
          <w:color w:val="000000" w:themeColor="text1"/>
          <w:spacing w:val="0"/>
          <w:w w:val="100"/>
          <w:sz w:val="24"/>
          <w:highlight w:val="none"/>
          <w14:textFill>
            <w14:solidFill>
              <w14:schemeClr w14:val="tx1"/>
            </w14:solidFill>
          </w14:textFill>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bCs/>
          <w:i w:val="0"/>
          <w:caps w:val="0"/>
          <w:color w:val="000000" w:themeColor="text1"/>
          <w:spacing w:val="0"/>
          <w:w w:val="100"/>
          <w:sz w:val="24"/>
          <w:highlight w:val="none"/>
          <w14:textFill>
            <w14:solidFill>
              <w14:schemeClr w14:val="tx1"/>
            </w14:solidFill>
          </w14:textFill>
        </w:rPr>
      </w:pPr>
      <w:r>
        <w:rPr>
          <w:rFonts w:hint="eastAsia" w:ascii="宋体" w:hAnsi="宋体" w:eastAsia="宋体" w:cs="宋体"/>
          <w:b/>
          <w:bCs/>
          <w:i w:val="0"/>
          <w:caps w:val="0"/>
          <w:color w:val="000000" w:themeColor="text1"/>
          <w:spacing w:val="0"/>
          <w:w w:val="100"/>
          <w:sz w:val="24"/>
          <w:highlight w:val="none"/>
          <w14:textFill>
            <w14:solidFill>
              <w14:schemeClr w14:val="tx1"/>
            </w14:solidFill>
          </w14:textFill>
        </w:rPr>
        <w:t>（注：</w:t>
      </w:r>
      <w:r>
        <w:rPr>
          <w:rFonts w:hint="eastAsia" w:ascii="宋体" w:hAnsi="宋体" w:cs="宋体"/>
          <w:b/>
          <w:bCs/>
          <w:i w:val="0"/>
          <w:caps w:val="0"/>
          <w:color w:val="000000" w:themeColor="text1"/>
          <w:spacing w:val="0"/>
          <w:w w:val="100"/>
          <w:sz w:val="24"/>
          <w:highlight w:val="none"/>
          <w:lang w:val="en-US" w:eastAsia="zh-CN"/>
          <w14:textFill>
            <w14:solidFill>
              <w14:schemeClr w14:val="tx1"/>
            </w14:solidFill>
          </w14:textFill>
        </w:rPr>
        <w:t>本项目以</w:t>
      </w:r>
      <w:r>
        <w:rPr>
          <w:rFonts w:hint="eastAsia" w:ascii="宋体" w:hAnsi="宋体" w:eastAsia="宋体" w:cs="宋体"/>
          <w:b/>
          <w:bCs/>
          <w:i w:val="0"/>
          <w:caps w:val="0"/>
          <w:color w:val="000000" w:themeColor="text1"/>
          <w:spacing w:val="0"/>
          <w:w w:val="100"/>
          <w:sz w:val="24"/>
          <w:highlight w:val="none"/>
          <w:lang w:val="en-US" w:eastAsia="zh-CN"/>
          <w14:textFill>
            <w14:solidFill>
              <w14:schemeClr w14:val="tx1"/>
            </w14:solidFill>
          </w14:textFill>
        </w:rPr>
        <w:t>缴纳投标保证金的有效凭证复印件</w:t>
      </w:r>
      <w:r>
        <w:rPr>
          <w:rFonts w:hint="eastAsia" w:ascii="宋体" w:hAnsi="宋体" w:cs="宋体"/>
          <w:b/>
          <w:bCs/>
          <w:i w:val="0"/>
          <w:caps w:val="0"/>
          <w:color w:val="000000" w:themeColor="text1"/>
          <w:spacing w:val="0"/>
          <w:w w:val="100"/>
          <w:sz w:val="24"/>
          <w:highlight w:val="none"/>
          <w:lang w:val="en-US" w:eastAsia="zh-CN"/>
          <w14:textFill>
            <w14:solidFill>
              <w14:schemeClr w14:val="tx1"/>
            </w14:solidFill>
          </w14:textFill>
        </w:rPr>
        <w:t>加</w:t>
      </w:r>
      <w:r>
        <w:rPr>
          <w:rFonts w:hint="eastAsia" w:ascii="宋体" w:hAnsi="宋体" w:eastAsia="宋体" w:cs="宋体"/>
          <w:b/>
          <w:bCs/>
          <w:i w:val="0"/>
          <w:caps w:val="0"/>
          <w:color w:val="000000" w:themeColor="text1"/>
          <w:spacing w:val="0"/>
          <w:w w:val="100"/>
          <w:sz w:val="24"/>
          <w:highlight w:val="none"/>
          <w:lang w:val="en-US" w:eastAsia="zh-CN"/>
          <w14:textFill>
            <w14:solidFill>
              <w14:schemeClr w14:val="tx1"/>
            </w14:solidFill>
          </w14:textFill>
        </w:rPr>
        <w:t>盖公章为准</w:t>
      </w:r>
      <w:r>
        <w:rPr>
          <w:rFonts w:hint="eastAsia" w:ascii="宋体" w:hAnsi="宋体" w:eastAsia="宋体" w:cs="宋体"/>
          <w:b/>
          <w:bCs/>
          <w:i w:val="0"/>
          <w:caps w:val="0"/>
          <w:color w:val="000000" w:themeColor="text1"/>
          <w:spacing w:val="0"/>
          <w:w w:val="100"/>
          <w:sz w:val="24"/>
          <w:highlight w:val="none"/>
          <w14:textFill>
            <w14:solidFill>
              <w14:schemeClr w14:val="tx1"/>
            </w14:solidFill>
          </w14:textFill>
        </w:rPr>
        <w:t>。）</w:t>
      </w:r>
    </w:p>
    <w:tbl>
      <w:tblPr>
        <w:tblStyle w:val="33"/>
        <w:tblpPr w:leftFromText="180" w:rightFromText="180" w:vertAnchor="text" w:horzAnchor="page" w:tblpX="1967" w:tblpY="235"/>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8080" w:type="dxa"/>
          </w:tcPr>
          <w:p>
            <w:pPr>
              <w:keepNext w:val="0"/>
              <w:keepLines w:val="0"/>
              <w:suppressLineNumbers w:val="0"/>
              <w:shd w:val="clear" w:color="auto" w:fill="auto"/>
              <w:snapToGrid w:val="0"/>
              <w:spacing w:before="0" w:beforeAutospacing="0" w:after="0" w:afterAutospacing="0" w:line="360" w:lineRule="exact"/>
              <w:ind w:left="0" w:right="0"/>
              <w:jc w:val="both"/>
              <w:textAlignment w:val="baseline"/>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pPr>
          </w:p>
          <w:p>
            <w:pPr>
              <w:keepNext w:val="0"/>
              <w:keepLines w:val="0"/>
              <w:suppressLineNumbers w:val="0"/>
              <w:shd w:val="clear" w:color="auto" w:fill="auto"/>
              <w:snapToGrid w:val="0"/>
              <w:spacing w:before="0" w:beforeAutospacing="0" w:after="0" w:afterAutospacing="0" w:line="360" w:lineRule="exact"/>
              <w:ind w:left="0" w:right="0"/>
              <w:jc w:val="both"/>
              <w:textAlignment w:val="baseline"/>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pPr>
          </w:p>
          <w:p>
            <w:pPr>
              <w:keepNext w:val="0"/>
              <w:keepLines w:val="0"/>
              <w:suppressLineNumbers w:val="0"/>
              <w:shd w:val="clear" w:color="auto" w:fill="auto"/>
              <w:snapToGrid w:val="0"/>
              <w:spacing w:before="0" w:beforeAutospacing="0" w:after="0" w:afterAutospacing="0" w:line="360" w:lineRule="exact"/>
              <w:ind w:left="0" w:right="0"/>
              <w:jc w:val="center"/>
              <w:textAlignment w:val="baseline"/>
              <w:rPr>
                <w:rFonts w:hint="eastAsia" w:ascii="宋体" w:hAnsi="宋体" w:eastAsia="宋体" w:cs="宋体"/>
                <w:b w:val="0"/>
                <w:i w:val="0"/>
                <w:caps w:val="0"/>
                <w:color w:val="000000" w:themeColor="text1"/>
                <w:spacing w:val="0"/>
                <w:w w:val="100"/>
                <w:sz w:val="24"/>
                <w:highlight w:val="none"/>
                <w:lang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highlight w:val="none"/>
                <w:lang w:eastAsia="zh-CN"/>
                <w14:textFill>
                  <w14:solidFill>
                    <w14:schemeClr w14:val="tx1"/>
                  </w14:solidFill>
                </w14:textFill>
              </w:rPr>
              <w:t>缴纳投标保证金的有效凭证</w:t>
            </w: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复印件</w:t>
            </w:r>
            <w:r>
              <w:rPr>
                <w:rFonts w:hint="eastAsia" w:ascii="宋体" w:hAnsi="宋体" w:eastAsia="宋体" w:cs="宋体"/>
                <w:b w:val="0"/>
                <w:i w:val="0"/>
                <w:caps w:val="0"/>
                <w:color w:val="000000" w:themeColor="text1"/>
                <w:spacing w:val="0"/>
                <w:w w:val="100"/>
                <w:sz w:val="24"/>
                <w:highlight w:val="none"/>
                <w:lang w:eastAsia="zh-CN"/>
                <w14:textFill>
                  <w14:solidFill>
                    <w14:schemeClr w14:val="tx1"/>
                  </w14:solidFill>
                </w14:textFill>
              </w:rPr>
              <w:t>（</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银行转账回执单或保函</w:t>
            </w:r>
            <w:r>
              <w:rPr>
                <w:rFonts w:hint="eastAsia" w:ascii="宋体" w:hAnsi="宋体" w:eastAsia="宋体" w:cs="宋体"/>
                <w:b w:val="0"/>
                <w:i w:val="0"/>
                <w:caps w:val="0"/>
                <w:color w:val="000000" w:themeColor="text1"/>
                <w:spacing w:val="0"/>
                <w:w w:val="100"/>
                <w:sz w:val="24"/>
                <w:highlight w:val="none"/>
                <w:lang w:eastAsia="zh-CN"/>
                <w14:textFill>
                  <w14:solidFill>
                    <w14:schemeClr w14:val="tx1"/>
                  </w14:solidFill>
                </w14:textFill>
              </w:rPr>
              <w:t>）</w:t>
            </w:r>
          </w:p>
        </w:tc>
      </w:tr>
    </w:tbl>
    <w:p>
      <w:pPr>
        <w:pStyle w:val="19"/>
        <w:tabs>
          <w:tab w:val="left" w:pos="5580"/>
        </w:tabs>
        <w:spacing w:line="400" w:lineRule="exact"/>
        <w:outlineLvl w:val="9"/>
        <w:rPr>
          <w:rFonts w:hint="eastAsia" w:ascii="宋体" w:hAnsi="宋体" w:eastAsia="宋体" w:cs="宋体"/>
          <w:b/>
          <w:color w:val="000000" w:themeColor="text1"/>
          <w:kern w:val="0"/>
          <w:sz w:val="24"/>
          <w:highlight w:val="none"/>
          <w:lang w:eastAsia="zh-CN"/>
          <w14:textFill>
            <w14:solidFill>
              <w14:schemeClr w14:val="tx1"/>
            </w14:solidFill>
          </w14:textFill>
        </w:rPr>
      </w:pPr>
    </w:p>
    <w:p>
      <w:pPr>
        <w:pStyle w:val="19"/>
        <w:tabs>
          <w:tab w:val="left" w:pos="5580"/>
        </w:tabs>
        <w:spacing w:line="400" w:lineRule="exact"/>
        <w:ind w:left="540" w:leftChars="257"/>
        <w:outlineLvl w:val="9"/>
        <w:rPr>
          <w:rFonts w:hint="eastAsia" w:ascii="宋体" w:hAnsi="宋体" w:eastAsia="宋体" w:cs="宋体"/>
          <w:b/>
          <w:color w:val="000000" w:themeColor="text1"/>
          <w:kern w:val="0"/>
          <w:sz w:val="24"/>
          <w:highlight w:val="none"/>
          <w14:textFill>
            <w14:solidFill>
              <w14:schemeClr w14:val="tx1"/>
            </w14:solidFill>
          </w14:textFill>
        </w:rPr>
      </w:pPr>
    </w:p>
    <w:p>
      <w:pPr>
        <w:pStyle w:val="19"/>
        <w:tabs>
          <w:tab w:val="left" w:pos="5580"/>
        </w:tabs>
        <w:spacing w:line="400" w:lineRule="exact"/>
        <w:ind w:left="540" w:leftChars="257"/>
        <w:outlineLvl w:val="9"/>
        <w:rPr>
          <w:rFonts w:hint="eastAsia" w:ascii="宋体" w:hAnsi="宋体" w:eastAsia="宋体" w:cs="宋体"/>
          <w:b/>
          <w:color w:val="000000" w:themeColor="text1"/>
          <w:kern w:val="0"/>
          <w:sz w:val="24"/>
          <w:highlight w:val="none"/>
          <w14:textFill>
            <w14:solidFill>
              <w14:schemeClr w14:val="tx1"/>
            </w14:solidFill>
          </w14:textFill>
        </w:rPr>
      </w:pPr>
    </w:p>
    <w:p>
      <w:pPr>
        <w:pStyle w:val="19"/>
        <w:tabs>
          <w:tab w:val="left" w:pos="5580"/>
        </w:tabs>
        <w:spacing w:line="400" w:lineRule="exact"/>
        <w:ind w:left="540" w:leftChars="257"/>
        <w:outlineLvl w:val="9"/>
        <w:rPr>
          <w:rFonts w:hint="eastAsia" w:ascii="宋体" w:hAnsi="宋体" w:eastAsia="宋体" w:cs="宋体"/>
          <w:b/>
          <w:color w:val="000000" w:themeColor="text1"/>
          <w:kern w:val="0"/>
          <w:sz w:val="24"/>
          <w:highlight w:val="none"/>
          <w14:textFill>
            <w14:solidFill>
              <w14:schemeClr w14:val="tx1"/>
            </w14:solidFill>
          </w14:textFill>
        </w:rPr>
      </w:pPr>
    </w:p>
    <w:p>
      <w:pPr>
        <w:pStyle w:val="19"/>
        <w:tabs>
          <w:tab w:val="left" w:pos="5580"/>
        </w:tabs>
        <w:spacing w:line="400" w:lineRule="exact"/>
        <w:ind w:left="540" w:leftChars="257"/>
        <w:outlineLvl w:val="9"/>
        <w:rPr>
          <w:rFonts w:hint="eastAsia" w:ascii="宋体" w:hAnsi="宋体" w:eastAsia="宋体" w:cs="宋体"/>
          <w:b/>
          <w:color w:val="000000" w:themeColor="text1"/>
          <w:kern w:val="0"/>
          <w:sz w:val="24"/>
          <w:highlight w:val="none"/>
          <w14:textFill>
            <w14:solidFill>
              <w14:schemeClr w14:val="tx1"/>
            </w14:solidFill>
          </w14:textFill>
        </w:rPr>
      </w:pPr>
    </w:p>
    <w:p>
      <w:pPr>
        <w:pStyle w:val="19"/>
        <w:tabs>
          <w:tab w:val="left" w:pos="5580"/>
        </w:tabs>
        <w:spacing w:line="400" w:lineRule="exact"/>
        <w:outlineLvl w:val="9"/>
        <w:rPr>
          <w:rFonts w:hint="eastAsia" w:ascii="宋体" w:hAnsi="宋体" w:eastAsia="宋体" w:cs="宋体"/>
          <w:b/>
          <w:color w:val="000000" w:themeColor="text1"/>
          <w:kern w:val="0"/>
          <w:sz w:val="24"/>
          <w:highlight w:val="none"/>
          <w14:textFill>
            <w14:solidFill>
              <w14:schemeClr w14:val="tx1"/>
            </w14:solidFill>
          </w14:textFill>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126" w:name="_Toc29629"/>
      <w:r>
        <w:rPr>
          <w:rFonts w:hint="eastAsia" w:ascii="宋体" w:hAnsi="宋体" w:eastAsia="宋体" w:cs="宋体"/>
          <w:color w:val="000000" w:themeColor="text1"/>
          <w:sz w:val="28"/>
          <w:szCs w:val="28"/>
          <w:highlight w:val="none"/>
          <w:lang w:val="en-US" w:eastAsia="zh-CN"/>
          <w14:textFill>
            <w14:solidFill>
              <w14:schemeClr w14:val="tx1"/>
            </w14:solidFill>
          </w14:textFill>
        </w:rPr>
        <w:t>12.银行开户许可证复印件或银行基本账户信息(包含：银行账号及开户行名称）；</w:t>
      </w:r>
      <w:bookmarkEnd w:id="1126"/>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27" w:name="_Toc5352"/>
      <w:r>
        <w:rPr>
          <w:rFonts w:hint="eastAsia" w:ascii="宋体" w:hAnsi="宋体" w:eastAsia="宋体" w:cs="宋体"/>
          <w:color w:val="000000" w:themeColor="text1"/>
          <w:sz w:val="28"/>
          <w:szCs w:val="28"/>
          <w:highlight w:val="none"/>
          <w:lang w:val="en-US" w:eastAsia="zh-CN"/>
          <w14:textFill>
            <w14:solidFill>
              <w14:schemeClr w14:val="tx1"/>
            </w14:solidFill>
          </w14:textFill>
        </w:rPr>
        <w:t>13.供应商可提供有利于投标的其他资格证明材料。</w:t>
      </w:r>
      <w:bookmarkEnd w:id="1127"/>
    </w:p>
    <w:p>
      <w:pPr>
        <w:rPr>
          <w:rFonts w:hint="eastAsia" w:ascii="宋体" w:hAnsi="宋体" w:eastAsia="宋体" w:cs="宋体"/>
          <w:b/>
          <w:color w:val="000000" w:themeColor="text1"/>
          <w:kern w:val="0"/>
          <w:sz w:val="24"/>
          <w:szCs w:val="20"/>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pStyle w:val="3"/>
        <w:spacing w:before="0" w:line="240" w:lineRule="atLeast"/>
        <w:ind w:left="1080" w:leftChars="257" w:hanging="540"/>
        <w:rPr>
          <w:rFonts w:hint="eastAsia" w:ascii="宋体" w:hAnsi="宋体" w:eastAsia="宋体" w:cs="宋体"/>
          <w:color w:val="000000" w:themeColor="text1"/>
          <w:sz w:val="28"/>
          <w:highlight w:val="none"/>
          <w14:textFill>
            <w14:solidFill>
              <w14:schemeClr w14:val="tx1"/>
            </w14:solidFill>
          </w14:textFill>
        </w:rPr>
      </w:pPr>
      <w:bookmarkStart w:id="1128" w:name="_Toc28694"/>
      <w:r>
        <w:rPr>
          <w:rFonts w:hint="eastAsia" w:ascii="宋体" w:hAnsi="宋体" w:eastAsia="宋体" w:cs="宋体"/>
          <w:color w:val="000000" w:themeColor="text1"/>
          <w:sz w:val="28"/>
          <w:highlight w:val="none"/>
          <w14:textFill>
            <w14:solidFill>
              <w14:schemeClr w14:val="tx1"/>
            </w14:solidFill>
          </w14:textFill>
        </w:rPr>
        <w:t>第二部分  商务及技术文件</w:t>
      </w:r>
      <w:bookmarkEnd w:id="1128"/>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bookmarkStart w:id="1129" w:name="_Toc14915"/>
      <w:bookmarkStart w:id="1130" w:name="_Toc2041"/>
      <w:bookmarkStart w:id="1131" w:name="_Toc515647817"/>
      <w:r>
        <w:rPr>
          <w:rFonts w:hint="eastAsia" w:ascii="宋体" w:hAnsi="宋体" w:cs="宋体"/>
          <w:color w:val="000000" w:themeColor="text1"/>
          <w:kern w:val="0"/>
          <w:sz w:val="24"/>
          <w:szCs w:val="24"/>
          <w:highlight w:val="none"/>
          <w:lang w:val="en-US" w:eastAsia="zh-CN"/>
          <w14:textFill>
            <w14:solidFill>
              <w14:schemeClr w14:val="tx1"/>
            </w14:solidFill>
          </w14:textFill>
        </w:rPr>
        <w:t>1.投标书</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2.投标分项报价表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3.货物说明一览表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4.技术规格偏离表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5.商务条款偏离表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6-1中小企业声明函</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6-2 残疾人福利性单位声明函</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7.供应商关联单位的说明</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8.供应商可提供有利于投标的其他证明材料</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9.投标文件格式范本</w:t>
      </w:r>
    </w:p>
    <w:p>
      <w:pPr>
        <w:spacing w:line="360" w:lineRule="auto"/>
        <w:rPr>
          <w:rFonts w:hint="eastAsia" w:ascii="宋体" w:hAnsi="宋体" w:eastAsia="宋体" w:cs="宋体"/>
          <w:b/>
          <w:bCs/>
          <w:color w:val="000000" w:themeColor="text1"/>
          <w:highlight w:val="none"/>
          <w14:textFill>
            <w14:solidFill>
              <w14:schemeClr w14:val="tx1"/>
            </w14:solidFill>
          </w14:textFill>
        </w:rPr>
      </w:pPr>
    </w:p>
    <w:p>
      <w:pPr>
        <w:pStyle w:val="5"/>
        <w:rPr>
          <w:rFonts w:hint="eastAsia" w:ascii="宋体" w:hAnsi="宋体" w:eastAsia="宋体" w:cs="宋体"/>
          <w:b/>
          <w:bCs/>
          <w:color w:val="000000" w:themeColor="text1"/>
          <w:highlight w:val="none"/>
          <w14:textFill>
            <w14:solidFill>
              <w14:schemeClr w14:val="tx1"/>
            </w14:solidFill>
          </w14:textFill>
        </w:rPr>
      </w:pPr>
    </w:p>
    <w:p>
      <w:pPr>
        <w:pStyle w:val="5"/>
        <w:rPr>
          <w:rFonts w:hint="eastAsia" w:ascii="宋体" w:hAnsi="宋体" w:eastAsia="宋体" w:cs="宋体"/>
          <w:b/>
          <w:bCs/>
          <w:color w:val="000000" w:themeColor="text1"/>
          <w:highlight w:val="none"/>
          <w14:textFill>
            <w14:solidFill>
              <w14:schemeClr w14:val="tx1"/>
            </w14:solidFill>
          </w14:textFill>
        </w:rPr>
      </w:pPr>
    </w:p>
    <w:p>
      <w:pPr>
        <w:pStyle w:val="5"/>
        <w:rPr>
          <w:rFonts w:hint="eastAsia" w:ascii="宋体" w:hAnsi="宋体" w:eastAsia="宋体" w:cs="宋体"/>
          <w:b/>
          <w:bCs/>
          <w:color w:val="000000" w:themeColor="text1"/>
          <w:highlight w:val="none"/>
          <w14:textFill>
            <w14:solidFill>
              <w14:schemeClr w14:val="tx1"/>
            </w14:solidFill>
          </w14:textFill>
        </w:rPr>
      </w:pPr>
    </w:p>
    <w:p>
      <w:pPr>
        <w:pStyle w:val="5"/>
        <w:rPr>
          <w:rFonts w:hint="eastAsia" w:ascii="宋体" w:hAnsi="宋体" w:eastAsia="宋体" w:cs="宋体"/>
          <w:b/>
          <w:bCs/>
          <w:color w:val="000000" w:themeColor="text1"/>
          <w:highlight w:val="none"/>
          <w14:textFill>
            <w14:solidFill>
              <w14:schemeClr w14:val="tx1"/>
            </w14:solidFill>
          </w14:textFill>
        </w:rPr>
      </w:pPr>
    </w:p>
    <w:p>
      <w:pPr>
        <w:pStyle w:val="5"/>
        <w:rPr>
          <w:rFonts w:hint="eastAsia" w:ascii="宋体" w:hAnsi="宋体" w:eastAsia="宋体" w:cs="宋体"/>
          <w:b/>
          <w:bCs/>
          <w:color w:val="000000" w:themeColor="text1"/>
          <w:highlight w:val="none"/>
          <w14:textFill>
            <w14:solidFill>
              <w14:schemeClr w14:val="tx1"/>
            </w14:solidFill>
          </w14:textFill>
        </w:rPr>
      </w:pPr>
    </w:p>
    <w:p>
      <w:pPr>
        <w:pStyle w:val="5"/>
        <w:rPr>
          <w:rFonts w:hint="eastAsia" w:ascii="宋体" w:hAnsi="宋体" w:eastAsia="宋体" w:cs="宋体"/>
          <w:b/>
          <w:bCs/>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color w:val="000000" w:themeColor="text1"/>
          <w:szCs w:val="21"/>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color w:val="000000" w:themeColor="text1"/>
          <w:szCs w:val="21"/>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color w:val="000000" w:themeColor="text1"/>
          <w:szCs w:val="21"/>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color w:val="000000" w:themeColor="text1"/>
          <w:szCs w:val="21"/>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color w:val="000000" w:themeColor="text1"/>
          <w:szCs w:val="21"/>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color w:val="000000" w:themeColor="text1"/>
          <w:szCs w:val="21"/>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color w:val="000000" w:themeColor="text1"/>
          <w:szCs w:val="21"/>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color w:val="000000" w:themeColor="text1"/>
          <w:szCs w:val="21"/>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color w:val="000000" w:themeColor="text1"/>
          <w:szCs w:val="21"/>
          <w:highlight w:val="none"/>
          <w14:textFill>
            <w14:solidFill>
              <w14:schemeClr w14:val="tx1"/>
            </w14:solidFill>
          </w14:textFill>
        </w:rPr>
      </w:pPr>
    </w:p>
    <w:p>
      <w:pPr>
        <w:pStyle w:val="19"/>
        <w:tabs>
          <w:tab w:val="left" w:pos="5580"/>
        </w:tabs>
        <w:spacing w:line="240" w:lineRule="atLeast"/>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b/>
          <w:bCs/>
          <w:color w:val="000000" w:themeColor="text1"/>
          <w:sz w:val="24"/>
          <w:szCs w:val="24"/>
          <w:highlight w:val="none"/>
          <w14:textFill>
            <w14:solidFill>
              <w14:schemeClr w14:val="tx1"/>
            </w14:solidFill>
          </w14:textFill>
        </w:rPr>
      </w:pPr>
      <w:bookmarkStart w:id="1132" w:name="_Toc21772"/>
      <w:bookmarkStart w:id="1133" w:name="_Toc29625"/>
      <w:bookmarkStart w:id="1134" w:name="_Toc25918"/>
      <w:bookmarkStart w:id="1135" w:name="_Toc30408"/>
      <w:r>
        <w:rPr>
          <w:rFonts w:hint="eastAsia" w:ascii="宋体" w:hAnsi="宋体" w:eastAsia="宋体" w:cs="宋体"/>
          <w:b/>
          <w:bCs/>
          <w:color w:val="000000" w:themeColor="text1"/>
          <w:sz w:val="24"/>
          <w:szCs w:val="24"/>
          <w:highlight w:val="none"/>
          <w14:textFill>
            <w14:solidFill>
              <w14:schemeClr w14:val="tx1"/>
            </w14:solidFill>
          </w14:textFill>
        </w:rPr>
        <w:br w:type="page"/>
      </w:r>
    </w:p>
    <w:bookmarkEnd w:id="1129"/>
    <w:bookmarkEnd w:id="1130"/>
    <w:bookmarkEnd w:id="1131"/>
    <w:bookmarkEnd w:id="1132"/>
    <w:bookmarkEnd w:id="1133"/>
    <w:bookmarkEnd w:id="1134"/>
    <w:bookmarkEnd w:id="1135"/>
    <w:p>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36" w:name="_Toc3118"/>
      <w:r>
        <w:rPr>
          <w:rFonts w:hint="eastAsia" w:ascii="宋体" w:hAnsi="宋体" w:eastAsia="宋体" w:cs="宋体"/>
          <w:color w:val="000000" w:themeColor="text1"/>
          <w:sz w:val="28"/>
          <w:szCs w:val="28"/>
          <w:highlight w:val="none"/>
          <w:lang w:val="en-US" w:eastAsia="zh-CN"/>
          <w14:textFill>
            <w14:solidFill>
              <w14:schemeClr w14:val="tx1"/>
            </w14:solidFill>
          </w14:textFill>
        </w:rPr>
        <w:t>1.投标书</w:t>
      </w:r>
      <w:bookmarkEnd w:id="1136"/>
    </w:p>
    <w:p>
      <w:pPr>
        <w:tabs>
          <w:tab w:val="left" w:pos="5580"/>
        </w:tabs>
        <w:spacing w:line="400" w:lineRule="exact"/>
        <w:ind w:left="1080" w:hanging="10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pPr>
        <w:pStyle w:val="19"/>
        <w:tabs>
          <w:tab w:val="left" w:pos="5580"/>
        </w:tabs>
        <w:spacing w:line="400" w:lineRule="exact"/>
        <w:ind w:left="2" w:leftChars="1"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w:t>
      </w:r>
      <w:r>
        <w:rPr>
          <w:rFonts w:hint="eastAsia" w:ascii="宋体" w:hAnsi="宋体" w:eastAsia="宋体" w:cs="宋体"/>
          <w:i/>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)项目的投标邀请(</w:t>
      </w:r>
      <w:r>
        <w:rPr>
          <w:rFonts w:hint="eastAsia" w:ascii="宋体" w:hAnsi="宋体" w:eastAsia="宋体" w:cs="宋体"/>
          <w:i/>
          <w:color w:val="000000" w:themeColor="text1"/>
          <w:sz w:val="24"/>
          <w:szCs w:val="24"/>
          <w:highlight w:val="none"/>
          <w:u w:val="single"/>
          <w14:textFill>
            <w14:solidFill>
              <w14:schemeClr w14:val="tx1"/>
            </w14:solidFill>
          </w14:textFill>
        </w:rPr>
        <w:t>项目编号</w:t>
      </w:r>
      <w:r>
        <w:rPr>
          <w:rFonts w:hint="eastAsia" w:ascii="宋体" w:hAnsi="宋体" w:eastAsia="宋体" w:cs="宋体"/>
          <w:color w:val="000000" w:themeColor="text1"/>
          <w:sz w:val="24"/>
          <w:szCs w:val="24"/>
          <w:highlight w:val="none"/>
          <w14:textFill>
            <w14:solidFill>
              <w14:schemeClr w14:val="tx1"/>
            </w14:solidFill>
          </w14:textFill>
        </w:rPr>
        <w:t>),签字代表(</w:t>
      </w:r>
      <w:r>
        <w:rPr>
          <w:rFonts w:hint="eastAsia" w:ascii="宋体" w:hAnsi="宋体" w:eastAsia="宋体" w:cs="宋体"/>
          <w:i/>
          <w:color w:val="000000" w:themeColor="text1"/>
          <w:sz w:val="24"/>
          <w:szCs w:val="24"/>
          <w:highlight w:val="none"/>
          <w:u w:val="single"/>
          <w14:textFill>
            <w14:solidFill>
              <w14:schemeClr w14:val="tx1"/>
            </w14:solidFill>
          </w14:textFill>
        </w:rPr>
        <w:t>姓名、职务</w:t>
      </w:r>
      <w:r>
        <w:rPr>
          <w:rFonts w:hint="eastAsia" w:ascii="宋体" w:hAnsi="宋体" w:eastAsia="宋体" w:cs="宋体"/>
          <w:color w:val="000000" w:themeColor="text1"/>
          <w:sz w:val="24"/>
          <w:szCs w:val="24"/>
          <w:highlight w:val="none"/>
          <w14:textFill>
            <w14:solidFill>
              <w14:schemeClr w14:val="tx1"/>
            </w14:solidFill>
          </w14:textFill>
        </w:rPr>
        <w:t>)经正式授权并代表供应商（</w:t>
      </w:r>
      <w:r>
        <w:rPr>
          <w:rFonts w:hint="eastAsia" w:ascii="宋体" w:hAnsi="宋体" w:eastAsia="宋体" w:cs="宋体"/>
          <w:i/>
          <w:color w:val="000000" w:themeColor="text1"/>
          <w:sz w:val="24"/>
          <w:szCs w:val="24"/>
          <w:highlight w:val="none"/>
          <w:u w:val="single"/>
          <w14:textFill>
            <w14:solidFill>
              <w14:schemeClr w14:val="tx1"/>
            </w14:solidFill>
          </w14:textFill>
        </w:rPr>
        <w:t>名称、地址</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上传投标</w:t>
      </w:r>
      <w:r>
        <w:rPr>
          <w:rFonts w:hint="eastAsia" w:ascii="宋体" w:hAnsi="宋体" w:eastAsia="宋体" w:cs="宋体"/>
          <w:color w:val="000000" w:themeColor="text1"/>
          <w:sz w:val="24"/>
          <w:szCs w:val="24"/>
          <w:highlight w:val="none"/>
          <w14:textFill>
            <w14:solidFill>
              <w14:schemeClr w14:val="tx1"/>
            </w14:solidFill>
          </w14:textFill>
        </w:rPr>
        <w:t>文件，并以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形式出具的金额为人民币</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元的投标保证金。</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据此，签字代表宣布同意如下：</w:t>
      </w:r>
    </w:p>
    <w:p>
      <w:pPr>
        <w:pStyle w:val="19"/>
        <w:tabs>
          <w:tab w:val="left" w:pos="720"/>
          <w:tab w:val="left" w:pos="900"/>
        </w:tabs>
        <w:spacing w:line="400" w:lineRule="exact"/>
        <w:ind w:left="769" w:leftChars="257" w:hanging="22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（1）附投标价格表中规定的应提供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的投标总价详见开标一览表，</w:t>
      </w:r>
      <w:r>
        <w:rPr>
          <w:rFonts w:hint="eastAsia" w:ascii="宋体" w:hAnsi="宋体" w:eastAsia="宋体" w:cs="宋体"/>
          <w:color w:val="000000" w:themeColor="text1"/>
          <w:sz w:val="24"/>
          <w:szCs w:val="24"/>
          <w:highlight w:val="none"/>
          <w:u w:val="single"/>
          <w14:textFill>
            <w14:solidFill>
              <w14:schemeClr w14:val="tx1"/>
            </w14:solidFill>
          </w14:textFill>
        </w:rPr>
        <w:t>其中由小型和</w:t>
      </w:r>
      <w:r>
        <w:rPr>
          <w:rFonts w:hint="eastAsia" w:ascii="宋体" w:hAnsi="宋体" w:eastAsia="宋体" w:cs="宋体"/>
          <w:color w:val="000000" w:themeColor="text1"/>
          <w:sz w:val="24"/>
          <w:szCs w:val="24"/>
          <w:highlight w:val="none"/>
          <w14:textFill>
            <w14:solidFill>
              <w14:schemeClr w14:val="tx1"/>
            </w14:solidFill>
          </w14:textFill>
        </w:rPr>
        <w:t>微型企业制造产品的价格为</w:t>
      </w:r>
      <w:r>
        <w:rPr>
          <w:rFonts w:hint="eastAsia" w:ascii="宋体" w:hAnsi="宋体" w:eastAsia="宋体" w:cs="宋体"/>
          <w:color w:val="000000" w:themeColor="text1"/>
          <w:sz w:val="24"/>
          <w:szCs w:val="24"/>
          <w:highlight w:val="none"/>
          <w:u w:val="single"/>
          <w14:textFill>
            <w14:solidFill>
              <w14:schemeClr w14:val="tx1"/>
            </w14:solidFill>
          </w14:textFill>
        </w:rPr>
        <w:t>　　  （用文字和数字表示），占投标总价   %</w:t>
      </w:r>
      <w:r>
        <w:rPr>
          <w:rFonts w:hint="eastAsia" w:ascii="宋体" w:hAnsi="宋体" w:eastAsia="宋体" w:cs="宋体"/>
          <w:color w:val="000000" w:themeColor="text1"/>
          <w:sz w:val="24"/>
          <w:szCs w:val="24"/>
          <w:highlight w:val="none"/>
          <w14:textFill>
            <w14:solidFill>
              <w14:schemeClr w14:val="tx1"/>
            </w14:solidFill>
          </w14:textFill>
        </w:rPr>
        <w:t>。</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（2）本投标有效期为自投标截止之日起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个日历日。</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（3）联合体中的大中型企业和其他自然人、法人或者非法人组织，与联合体中的小型、微型企业之间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存在、不存在）投资关系（如果是联合体的话）。</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（4）已详细审查全部招标文件，包括所有补充通知（如果有的话），完全理解并同意放弃对这方面有不明、误解和质疑的权力。</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（5）在规定的开标时间后，遵守招标文件中有关保证金的规定。</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（6）我方不是为本项目提供整体设计、规范编制或者项目管理、监理、检测等</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的供应商，我方不是采购代理机构的附属机构。</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（7）在领取中标通知书的同时按招标文件规定的形式，向贵方一次性支付中标服务费。</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（8）按照贵方可能要求，提供与其投标有关的一切数据或资料，完全理解贵方不一定接受最低价的投标或收到的任何投标。</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（9）按照招标文件的规定履行合同责任和义务。</w:t>
      </w:r>
    </w:p>
    <w:p>
      <w:pPr>
        <w:pStyle w:val="19"/>
        <w:tabs>
          <w:tab w:val="left" w:pos="5580"/>
        </w:tabs>
        <w:spacing w:line="400" w:lineRule="exact"/>
        <w:ind w:left="359" w:leftChars="68" w:hanging="216" w:hangingChars="9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与本投标有关的一切正式往来信函请寄：</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传真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电子函件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法定代表人或其委托代理人（签/章）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供应商开户银行（全称）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供应商银行帐号</w:t>
      </w:r>
      <w:r>
        <w:rPr>
          <w:rFonts w:hint="eastAsia" w:ascii="宋体" w:hAnsi="宋体" w:eastAsia="宋体" w:cs="宋体"/>
          <w:color w:val="000000" w:themeColor="text1"/>
          <w:sz w:val="24"/>
          <w:szCs w:val="24"/>
          <w:highlight w:val="none"/>
          <w:u w:val="single"/>
          <w14:textFill>
            <w14:solidFill>
              <w14:schemeClr w14:val="tx1"/>
            </w14:solidFill>
          </w14:textFill>
        </w:rPr>
        <w:t>　　　　　　　　 　　</w:t>
      </w:r>
    </w:p>
    <w:p>
      <w:pPr>
        <w:pStyle w:val="19"/>
        <w:tabs>
          <w:tab w:val="left" w:pos="558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bookmarkStart w:id="1137" w:name="_Toc30947"/>
      <w:bookmarkStart w:id="1138" w:name="_Toc23473"/>
      <w:bookmarkStart w:id="1139" w:name="_Toc1266"/>
      <w:bookmarkStart w:id="1140" w:name="_Toc14219"/>
      <w:bookmarkStart w:id="1141" w:name="_Toc6738"/>
      <w:bookmarkStart w:id="1142" w:name="_Toc19819"/>
    </w:p>
    <w:p>
      <w:pPr>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br w:type="page"/>
      </w:r>
    </w:p>
    <w:bookmarkEnd w:id="1137"/>
    <w:bookmarkEnd w:id="1138"/>
    <w:bookmarkEnd w:id="1139"/>
    <w:bookmarkEnd w:id="1140"/>
    <w:bookmarkEnd w:id="1141"/>
    <w:bookmarkEnd w:id="1142"/>
    <w:p>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43" w:name="_Toc12779"/>
      <w:bookmarkStart w:id="1144" w:name="_Toc216582817"/>
      <w:bookmarkStart w:id="1145" w:name="_Toc28959"/>
      <w:bookmarkStart w:id="1146" w:name="_Toc515647820"/>
      <w:bookmarkStart w:id="1147" w:name="_Toc22563"/>
      <w:r>
        <w:rPr>
          <w:rFonts w:hint="eastAsia" w:ascii="宋体" w:hAnsi="宋体" w:eastAsia="宋体" w:cs="宋体"/>
          <w:color w:val="000000" w:themeColor="text1"/>
          <w:sz w:val="28"/>
          <w:szCs w:val="28"/>
          <w:highlight w:val="none"/>
          <w:lang w:val="en-US" w:eastAsia="zh-CN"/>
          <w14:textFill>
            <w14:solidFill>
              <w14:schemeClr w14:val="tx1"/>
            </w14:solidFill>
          </w14:textFill>
        </w:rPr>
        <w:t>2.投标分项报价表</w:t>
      </w:r>
      <w:bookmarkEnd w:id="1143"/>
    </w:p>
    <w:p>
      <w:pPr>
        <w:pStyle w:val="19"/>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                      项目编号:                       　 　          报价单位：人民币</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元</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包号：</w:t>
      </w:r>
    </w:p>
    <w:tbl>
      <w:tblPr>
        <w:tblStyle w:val="33"/>
        <w:tblW w:w="56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235"/>
        <w:gridCol w:w="726"/>
        <w:gridCol w:w="952"/>
        <w:gridCol w:w="1516"/>
        <w:gridCol w:w="726"/>
        <w:gridCol w:w="726"/>
        <w:gridCol w:w="726"/>
        <w:gridCol w:w="726"/>
        <w:gridCol w:w="764"/>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序号</w:t>
            </w:r>
          </w:p>
        </w:tc>
        <w:tc>
          <w:tcPr>
            <w:tcW w:w="6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名称</w:t>
            </w: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品牌</w:t>
            </w:r>
          </w:p>
        </w:tc>
        <w:tc>
          <w:tcPr>
            <w:tcW w:w="498"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规格</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型号</w:t>
            </w:r>
          </w:p>
        </w:tc>
        <w:tc>
          <w:tcPr>
            <w:tcW w:w="79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生产厂家名称</w:t>
            </w: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产地</w:t>
            </w: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数量</w:t>
            </w: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w:t>
            </w: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单价</w:t>
            </w:r>
          </w:p>
        </w:tc>
        <w:tc>
          <w:tcPr>
            <w:tcW w:w="394"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合价</w:t>
            </w:r>
          </w:p>
        </w:tc>
        <w:tc>
          <w:tcPr>
            <w:tcW w:w="38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6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498"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793"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6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498"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793"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6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498"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793"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6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498"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793"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6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498"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793"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p>
        </w:tc>
        <w:tc>
          <w:tcPr>
            <w:tcW w:w="6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498"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793"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p>
        </w:tc>
        <w:tc>
          <w:tcPr>
            <w:tcW w:w="6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498"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793"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p>
        </w:tc>
        <w:tc>
          <w:tcPr>
            <w:tcW w:w="6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498"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793"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617" w:type="pct"/>
            <w:gridSpan w:val="1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总价（元）</w:t>
            </w:r>
          </w:p>
        </w:tc>
        <w:tc>
          <w:tcPr>
            <w:tcW w:w="38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highlight w:val="none"/>
                <w14:textFill>
                  <w14:solidFill>
                    <w14:schemeClr w14:val="tx1"/>
                  </w14:solidFill>
                </w14:textFill>
              </w:rPr>
            </w:pPr>
          </w:p>
        </w:tc>
      </w:tr>
    </w:tbl>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pPr>
        <w:pStyle w:val="5"/>
        <w:spacing w:line="360" w:lineRule="exact"/>
        <w:ind w:firstLine="0"/>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2"/>
          <w:sz w:val="24"/>
          <w:szCs w:val="24"/>
          <w:highlight w:val="none"/>
          <w14:textFill>
            <w14:solidFill>
              <w14:schemeClr w14:val="tx1"/>
            </w14:solidFill>
          </w14:textFill>
        </w:rPr>
        <w:t>名称（</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公章</w:t>
      </w: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pPr>
        <w:pStyle w:val="5"/>
        <w:spacing w:line="360" w:lineRule="exact"/>
        <w:ind w:firstLine="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法定代表人或委托代理</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kern w:val="2"/>
          <w:sz w:val="24"/>
          <w:szCs w:val="24"/>
          <w:highlight w:val="none"/>
          <w14:textFill>
            <w14:solidFill>
              <w14:schemeClr w14:val="tx1"/>
            </w14:solidFill>
          </w14:textFill>
        </w:rPr>
        <w:t>(签/章):</w:t>
      </w:r>
      <w:r>
        <w:rPr>
          <w:rFonts w:hint="eastAsia" w:ascii="宋体" w:hAnsi="宋体" w:eastAsia="宋体" w:cs="宋体"/>
          <w:color w:val="000000" w:themeColor="text1"/>
          <w:kern w:val="2"/>
          <w:sz w:val="24"/>
          <w:szCs w:val="24"/>
          <w:highlight w:val="none"/>
          <w:u w:val="single"/>
          <w14:textFill>
            <w14:solidFill>
              <w14:schemeClr w14:val="tx1"/>
            </w14:solidFill>
          </w14:textFill>
        </w:rPr>
        <w:tab/>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p>
      <w:pPr>
        <w:pStyle w:val="5"/>
        <w:spacing w:line="360" w:lineRule="exact"/>
        <w:ind w:firstLine="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日期 ：</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注:1.如果供应商认为需要，每种</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填写一份该表。</w:t>
      </w:r>
    </w:p>
    <w:p>
      <w:pPr>
        <w:pStyle w:val="19"/>
        <w:spacing w:line="400" w:lineRule="exact"/>
        <w:ind w:left="1079" w:leftChars="428" w:hanging="180" w:hangingChars="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2.如果按单价计算的结果与总价不一致,以单价为准修正总价。</w:t>
      </w:r>
    </w:p>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3.如果不提供详细分项报价将视为没有实质性响应招标文件。</w:t>
      </w:r>
    </w:p>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4.上述各项的详细分项报价，应另页描述。</w:t>
      </w:r>
    </w:p>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5.如果开标一览表（报价表）内容与投标文件中明细表内容不一致的，以开标一览表（报价表）内容为准。</w:t>
      </w:r>
    </w:p>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48" w:name="_Toc10486"/>
      <w:bookmarkStart w:id="1149" w:name="_Toc16798"/>
      <w:bookmarkStart w:id="1150" w:name="_Toc27975"/>
      <w:bookmarkStart w:id="1151" w:name="_Toc30209"/>
      <w:bookmarkStart w:id="1152" w:name="_Toc27721"/>
      <w:bookmarkStart w:id="1153" w:name="_Toc29174"/>
      <w:bookmarkStart w:id="1154" w:name="_Toc6480"/>
      <w:bookmarkStart w:id="1155" w:name="_Toc28199"/>
      <w:bookmarkStart w:id="1156" w:name="_Toc13950"/>
      <w:bookmarkStart w:id="1157" w:name="_Toc32439"/>
      <w:bookmarkStart w:id="1158" w:name="_Toc3096"/>
      <w:bookmarkStart w:id="1159" w:name="_Toc26185"/>
      <w:r>
        <w:rPr>
          <w:rFonts w:hint="eastAsia" w:ascii="宋体" w:hAnsi="宋体" w:eastAsia="宋体" w:cs="宋体"/>
          <w:color w:val="000000" w:themeColor="text1"/>
          <w:sz w:val="28"/>
          <w:szCs w:val="28"/>
          <w:highlight w:val="none"/>
          <w:lang w:val="en-US" w:eastAsia="zh-CN"/>
          <w14:textFill>
            <w14:solidFill>
              <w14:schemeClr w14:val="tx1"/>
            </w14:solidFill>
          </w14:textFill>
        </w:rPr>
        <w:br w:type="page"/>
      </w:r>
    </w:p>
    <w:p>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60" w:name="_Toc2520"/>
      <w:r>
        <w:rPr>
          <w:rFonts w:hint="eastAsia" w:ascii="宋体" w:hAnsi="宋体" w:eastAsia="宋体" w:cs="宋体"/>
          <w:color w:val="000000" w:themeColor="text1"/>
          <w:sz w:val="28"/>
          <w:szCs w:val="28"/>
          <w:highlight w:val="none"/>
          <w:lang w:val="en-US" w:eastAsia="zh-CN"/>
          <w14:textFill>
            <w14:solidFill>
              <w14:schemeClr w14:val="tx1"/>
            </w14:solidFill>
          </w14:textFill>
        </w:rPr>
        <w:t>备品备件设备分项报价表</w:t>
      </w:r>
      <w:bookmarkEnd w:id="1148"/>
      <w:bookmarkEnd w:id="1149"/>
      <w:bookmarkEnd w:id="1150"/>
      <w:bookmarkEnd w:id="1151"/>
      <w:bookmarkEnd w:id="1152"/>
      <w:bookmarkEnd w:id="1153"/>
      <w:bookmarkEnd w:id="1154"/>
      <w:bookmarkEnd w:id="1155"/>
      <w:bookmarkEnd w:id="1156"/>
      <w:bookmarkEnd w:id="1160"/>
    </w:p>
    <w:tbl>
      <w:tblPr>
        <w:tblStyle w:val="33"/>
        <w:tblW w:w="54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628"/>
        <w:gridCol w:w="898"/>
        <w:gridCol w:w="633"/>
        <w:gridCol w:w="898"/>
        <w:gridCol w:w="1037"/>
        <w:gridCol w:w="633"/>
        <w:gridCol w:w="633"/>
        <w:gridCol w:w="633"/>
        <w:gridCol w:w="633"/>
        <w:gridCol w:w="646"/>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67"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编号</w:t>
            </w: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品牌</w:t>
            </w: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规格型号</w:t>
            </w:r>
          </w:p>
        </w:tc>
        <w:tc>
          <w:tcPr>
            <w:tcW w:w="554"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制造商名称</w:t>
            </w: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产地</w:t>
            </w: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w:t>
            </w:r>
          </w:p>
        </w:tc>
        <w:tc>
          <w:tcPr>
            <w:tcW w:w="34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合价</w:t>
            </w:r>
          </w:p>
        </w:tc>
        <w:tc>
          <w:tcPr>
            <w:tcW w:w="343"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67" w:type="pct"/>
            <w:vMerge w:val="restar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质保期外设备报价</w:t>
            </w:r>
          </w:p>
        </w:tc>
        <w:tc>
          <w:tcPr>
            <w:tcW w:w="3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54"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3"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67" w:type="pct"/>
            <w:vMerge w:val="continue"/>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54"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3"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67" w:type="pct"/>
            <w:vMerge w:val="continue"/>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54"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3"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67" w:type="pct"/>
            <w:vMerge w:val="continue"/>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54"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3"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67"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232" w:type="pct"/>
            <w:gridSpan w:val="11"/>
            <w:vAlign w:val="center"/>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总价（质保期外设备报价）：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67" w:type="pct"/>
            <w:vMerge w:val="restar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质保期内免费设备</w:t>
            </w:r>
          </w:p>
        </w:tc>
        <w:tc>
          <w:tcPr>
            <w:tcW w:w="3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54"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3"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67" w:type="pct"/>
            <w:vMerge w:val="continue"/>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54"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3"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67" w:type="pct"/>
            <w:vMerge w:val="continue"/>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54"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3"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67" w:type="pct"/>
            <w:vMerge w:val="continue"/>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80"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54"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38"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3"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shd w:val="clear"/>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pPr>
        <w:pStyle w:val="5"/>
        <w:spacing w:line="360" w:lineRule="exact"/>
        <w:ind w:firstLine="0"/>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2"/>
          <w:sz w:val="24"/>
          <w:szCs w:val="24"/>
          <w:highlight w:val="none"/>
          <w14:textFill>
            <w14:solidFill>
              <w14:schemeClr w14:val="tx1"/>
            </w14:solidFill>
          </w14:textFill>
        </w:rPr>
        <w:t>名称（</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公章</w:t>
      </w: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pPr>
        <w:pStyle w:val="5"/>
        <w:spacing w:line="360" w:lineRule="exact"/>
        <w:ind w:firstLine="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法定代表人或委托代理</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kern w:val="2"/>
          <w:sz w:val="24"/>
          <w:szCs w:val="24"/>
          <w:highlight w:val="none"/>
          <w14:textFill>
            <w14:solidFill>
              <w14:schemeClr w14:val="tx1"/>
            </w14:solidFill>
          </w14:textFill>
        </w:rPr>
        <w:t>(签/章):</w:t>
      </w:r>
      <w:r>
        <w:rPr>
          <w:rFonts w:hint="eastAsia" w:ascii="宋体" w:hAnsi="宋体" w:eastAsia="宋体" w:cs="宋体"/>
          <w:color w:val="000000" w:themeColor="text1"/>
          <w:kern w:val="2"/>
          <w:sz w:val="24"/>
          <w:szCs w:val="24"/>
          <w:highlight w:val="none"/>
          <w:u w:val="single"/>
          <w14:textFill>
            <w14:solidFill>
              <w14:schemeClr w14:val="tx1"/>
            </w14:solidFill>
          </w14:textFill>
        </w:rPr>
        <w:tab/>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p>
      <w:pPr>
        <w:pStyle w:val="5"/>
        <w:spacing w:line="360" w:lineRule="exact"/>
        <w:ind w:firstLine="0"/>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日期 ：</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p>
    <w:p>
      <w:pPr>
        <w:pStyle w:val="5"/>
        <w:spacing w:line="360" w:lineRule="exact"/>
        <w:ind w:firstLine="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p>
      <w:pPr>
        <w:keepNext w:val="0"/>
        <w:keepLines w:val="0"/>
        <w:pageBreakBefore w:val="0"/>
        <w:widowControl w:val="0"/>
        <w:shd w:val="clear"/>
        <w:kinsoku/>
        <w:wordWrap/>
        <w:overflowPunct/>
        <w:topLinePunct w:val="0"/>
        <w:bidi w:val="0"/>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 表格长度方向可做扩展根据需求可补充相关资料，但不可减少。</w:t>
      </w:r>
    </w:p>
    <w:p>
      <w:pPr>
        <w:keepNext w:val="0"/>
        <w:keepLines w:val="0"/>
        <w:pageBreakBefore w:val="0"/>
        <w:widowControl w:val="0"/>
        <w:shd w:val="clear"/>
        <w:kinsoku/>
        <w:wordWrap/>
        <w:overflowPunct/>
        <w:topLinePunct w:val="0"/>
        <w:bidi w:val="0"/>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2、备品备件设备分项报价仅供</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 xml:space="preserve">在设备发生故障情况下采用此报价，填写此表时请谨慎。备品备件分为两部分（1、质保期内免费的备品备件、2、质保期外备品备件报价）                 </w:t>
      </w:r>
    </w:p>
    <w:p>
      <w:pPr>
        <w:pStyle w:val="5"/>
        <w:keepNext w:val="0"/>
        <w:keepLines w:val="0"/>
        <w:pageBreakBefore w:val="0"/>
        <w:widowControl w:val="0"/>
        <w:shd w:val="clear"/>
        <w:kinsoku/>
        <w:wordWrap/>
        <w:overflowPunct/>
        <w:topLinePunct w:val="0"/>
        <w:bidi w:val="0"/>
        <w:snapToGrid/>
        <w:spacing w:line="320" w:lineRule="exact"/>
        <w:ind w:firstLine="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3、备品备件设备分项报价不合计于</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投标报价表</w:t>
      </w:r>
      <w:r>
        <w:rPr>
          <w:rFonts w:hint="eastAsia" w:ascii="宋体" w:hAnsi="宋体" w:eastAsia="宋体" w:cs="宋体"/>
          <w:color w:val="000000" w:themeColor="text1"/>
          <w:kern w:val="2"/>
          <w:sz w:val="24"/>
          <w:szCs w:val="24"/>
          <w:highlight w:val="none"/>
          <w14:textFill>
            <w14:solidFill>
              <w14:schemeClr w14:val="tx1"/>
            </w14:solidFill>
          </w14:textFill>
        </w:rPr>
        <w:t>总价，单独名列即可。</w:t>
      </w:r>
    </w:p>
    <w:p>
      <w:pPr>
        <w:pStyle w:val="5"/>
        <w:keepNext w:val="0"/>
        <w:keepLines w:val="0"/>
        <w:pageBreakBefore w:val="0"/>
        <w:widowControl w:val="0"/>
        <w:shd w:val="clear"/>
        <w:kinsoku/>
        <w:wordWrap/>
        <w:overflowPunct/>
        <w:topLinePunct w:val="0"/>
        <w:bidi w:val="0"/>
        <w:snapToGrid/>
        <w:spacing w:line="320" w:lineRule="exact"/>
        <w:ind w:firstLine="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bookmarkEnd w:id="1157"/>
    <w:bookmarkEnd w:id="1158"/>
    <w:bookmarkEnd w:id="1159"/>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br w:type="page"/>
      </w:r>
    </w:p>
    <w:p>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61" w:name="_Toc16661"/>
      <w:r>
        <w:rPr>
          <w:rFonts w:hint="eastAsia" w:ascii="宋体" w:hAnsi="宋体" w:eastAsia="宋体" w:cs="宋体"/>
          <w:color w:val="000000" w:themeColor="text1"/>
          <w:sz w:val="28"/>
          <w:szCs w:val="28"/>
          <w:highlight w:val="none"/>
          <w:lang w:val="en-US" w:eastAsia="zh-CN"/>
          <w14:textFill>
            <w14:solidFill>
              <w14:schemeClr w14:val="tx1"/>
            </w14:solidFill>
          </w14:textFill>
        </w:rPr>
        <w:t>3.货物说明一览表</w:t>
      </w:r>
      <w:bookmarkEnd w:id="1161"/>
    </w:p>
    <w:p>
      <w:pPr>
        <w:pStyle w:val="19"/>
        <w:spacing w:line="360" w:lineRule="exact"/>
        <w:ind w:left="1080" w:leftChars="257" w:hanging="54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项目名称:                    </w:t>
      </w:r>
      <w:r>
        <w:rPr>
          <w:rFonts w:hint="eastAsia" w:ascii="宋体" w:hAnsi="宋体" w:eastAsia="宋体" w:cs="宋体"/>
          <w:color w:val="000000" w:themeColor="text1"/>
          <w:sz w:val="24"/>
          <w:highlight w:val="none"/>
          <w:lang w:eastAsia="zh-CN"/>
          <w14:textFill>
            <w14:solidFill>
              <w14:schemeClr w14:val="tx1"/>
            </w14:solidFill>
          </w14:textFill>
        </w:rPr>
        <w:t>项目编号</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包号：</w:t>
      </w:r>
      <w:r>
        <w:rPr>
          <w:rFonts w:hint="eastAsia" w:ascii="宋体" w:hAnsi="宋体" w:eastAsia="宋体" w:cs="宋体"/>
          <w:color w:val="000000" w:themeColor="text1"/>
          <w:sz w:val="24"/>
          <w:highlight w:val="none"/>
          <w14:textFill>
            <w14:solidFill>
              <w14:schemeClr w14:val="tx1"/>
            </w14:solidFill>
          </w14:textFill>
        </w:rPr>
        <w:t xml:space="preserve">                                  </w:t>
      </w:r>
    </w:p>
    <w:tbl>
      <w:tblPr>
        <w:tblStyle w:val="33"/>
        <w:tblW w:w="54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685"/>
        <w:gridCol w:w="1685"/>
        <w:gridCol w:w="995"/>
        <w:gridCol w:w="1338"/>
        <w:gridCol w:w="1685"/>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30" w:type="pct"/>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898" w:type="pct"/>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名称</w:t>
            </w:r>
          </w:p>
        </w:tc>
        <w:tc>
          <w:tcPr>
            <w:tcW w:w="898" w:type="pct"/>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主要规格</w:t>
            </w:r>
          </w:p>
        </w:tc>
        <w:tc>
          <w:tcPr>
            <w:tcW w:w="530" w:type="pct"/>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数量</w:t>
            </w:r>
          </w:p>
        </w:tc>
        <w:tc>
          <w:tcPr>
            <w:tcW w:w="713" w:type="pct"/>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交货期</w:t>
            </w:r>
          </w:p>
        </w:tc>
        <w:tc>
          <w:tcPr>
            <w:tcW w:w="898" w:type="pct"/>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交货地点</w:t>
            </w:r>
          </w:p>
        </w:tc>
        <w:tc>
          <w:tcPr>
            <w:tcW w:w="530" w:type="pct"/>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713"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713"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713"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713"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713"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713"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713"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30" w:type="pct"/>
            <w:vAlign w:val="center"/>
          </w:tcPr>
          <w:p>
            <w:pPr>
              <w:pStyle w:val="19"/>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713"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898"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c>
          <w:tcPr>
            <w:tcW w:w="530" w:type="pct"/>
          </w:tcPr>
          <w:p>
            <w:pPr>
              <w:pStyle w:val="19"/>
              <w:keepNext w:val="0"/>
              <w:keepLines w:val="0"/>
              <w:suppressLineNumbers w:val="0"/>
              <w:spacing w:before="0" w:beforeAutospacing="0" w:after="0" w:afterAutospacing="0" w:line="360" w:lineRule="exact"/>
              <w:ind w:left="1080" w:leftChars="257" w:right="0" w:hanging="540"/>
              <w:rPr>
                <w:rFonts w:hint="eastAsia" w:ascii="宋体" w:hAnsi="宋体" w:eastAsia="宋体" w:cs="宋体"/>
                <w:color w:val="000000" w:themeColor="text1"/>
                <w:sz w:val="24"/>
                <w:highlight w:val="none"/>
                <w14:textFill>
                  <w14:solidFill>
                    <w14:schemeClr w14:val="tx1"/>
                  </w14:solidFill>
                </w14:textFill>
              </w:rPr>
            </w:pPr>
          </w:p>
        </w:tc>
      </w:tr>
    </w:tbl>
    <w:p>
      <w:pPr>
        <w:pStyle w:val="19"/>
        <w:spacing w:line="360" w:lineRule="exact"/>
        <w:ind w:left="1080" w:leftChars="257" w:hanging="540"/>
        <w:rPr>
          <w:rFonts w:hint="eastAsia" w:ascii="宋体" w:hAnsi="宋体" w:eastAsia="宋体" w:cs="宋体"/>
          <w:color w:val="000000" w:themeColor="text1"/>
          <w:sz w:val="24"/>
          <w:highlight w:val="none"/>
          <w14:textFill>
            <w14:solidFill>
              <w14:schemeClr w14:val="tx1"/>
            </w14:solidFill>
          </w14:textFill>
        </w:rPr>
      </w:pPr>
    </w:p>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pPr>
        <w:pStyle w:val="5"/>
        <w:spacing w:line="360" w:lineRule="exact"/>
        <w:ind w:firstLine="0"/>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2"/>
          <w:sz w:val="24"/>
          <w:szCs w:val="24"/>
          <w:highlight w:val="none"/>
          <w14:textFill>
            <w14:solidFill>
              <w14:schemeClr w14:val="tx1"/>
            </w14:solidFill>
          </w14:textFill>
        </w:rPr>
        <w:t>名称（</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公章</w:t>
      </w: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pPr>
        <w:pStyle w:val="5"/>
        <w:spacing w:line="360" w:lineRule="exact"/>
        <w:ind w:firstLine="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法定代表人或委托代理</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kern w:val="2"/>
          <w:sz w:val="24"/>
          <w:szCs w:val="24"/>
          <w:highlight w:val="none"/>
          <w14:textFill>
            <w14:solidFill>
              <w14:schemeClr w14:val="tx1"/>
            </w14:solidFill>
          </w14:textFill>
        </w:rPr>
        <w:t>(签/章):</w:t>
      </w:r>
      <w:r>
        <w:rPr>
          <w:rFonts w:hint="eastAsia" w:ascii="宋体" w:hAnsi="宋体" w:eastAsia="宋体" w:cs="宋体"/>
          <w:color w:val="000000" w:themeColor="text1"/>
          <w:kern w:val="2"/>
          <w:sz w:val="24"/>
          <w:szCs w:val="24"/>
          <w:highlight w:val="none"/>
          <w:u w:val="single"/>
          <w14:textFill>
            <w14:solidFill>
              <w14:schemeClr w14:val="tx1"/>
            </w14:solidFill>
          </w14:textFill>
        </w:rPr>
        <w:tab/>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p>
      <w:pPr>
        <w:pStyle w:val="5"/>
        <w:spacing w:line="360" w:lineRule="exact"/>
        <w:ind w:firstLine="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日期 ：</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p>
      <w:pPr>
        <w:pStyle w:val="19"/>
        <w:spacing w:line="400" w:lineRule="exact"/>
        <w:ind w:left="1080" w:leftChars="257" w:hanging="540"/>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 各项</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详细技术性能应另页描述</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19"/>
        <w:spacing w:line="240" w:lineRule="atLeast"/>
        <w:rPr>
          <w:rFonts w:hint="eastAsia" w:ascii="宋体" w:hAnsi="宋体" w:eastAsia="宋体" w:cs="宋体"/>
          <w:b/>
          <w:bCs/>
          <w:color w:val="000000" w:themeColor="text1"/>
          <w:sz w:val="22"/>
          <w:szCs w:val="22"/>
          <w:highlight w:val="none"/>
          <w14:textFill>
            <w14:solidFill>
              <w14:schemeClr w14:val="tx1"/>
            </w14:solidFill>
          </w14:textFill>
        </w:rPr>
      </w:pPr>
    </w:p>
    <w:p>
      <w:pPr>
        <w:pStyle w:val="19"/>
        <w:spacing w:line="240" w:lineRule="atLeast"/>
        <w:rPr>
          <w:rFonts w:hint="eastAsia" w:ascii="宋体" w:hAnsi="宋体" w:eastAsia="宋体" w:cs="宋体"/>
          <w:b/>
          <w:bCs/>
          <w:color w:val="000000" w:themeColor="text1"/>
          <w:sz w:val="22"/>
          <w:szCs w:val="22"/>
          <w:highlight w:val="none"/>
          <w14:textFill>
            <w14:solidFill>
              <w14:schemeClr w14:val="tx1"/>
            </w14:solidFill>
          </w14:textFill>
        </w:rPr>
      </w:pPr>
    </w:p>
    <w:p>
      <w:pPr>
        <w:pStyle w:val="19"/>
        <w:spacing w:line="240" w:lineRule="atLeast"/>
        <w:rPr>
          <w:rFonts w:hint="eastAsia" w:ascii="宋体" w:hAnsi="宋体" w:eastAsia="宋体" w:cs="宋体"/>
          <w:b/>
          <w:bCs/>
          <w:color w:val="000000" w:themeColor="text1"/>
          <w:sz w:val="22"/>
          <w:szCs w:val="22"/>
          <w:highlight w:val="none"/>
          <w14:textFill>
            <w14:solidFill>
              <w14:schemeClr w14:val="tx1"/>
            </w14:solidFill>
          </w14:textFill>
        </w:rPr>
      </w:pPr>
    </w:p>
    <w:p>
      <w:pPr>
        <w:pStyle w:val="19"/>
        <w:spacing w:line="240" w:lineRule="atLeast"/>
        <w:rPr>
          <w:rFonts w:hint="eastAsia" w:ascii="宋体" w:hAnsi="宋体" w:eastAsia="宋体" w:cs="宋体"/>
          <w:b/>
          <w:bCs/>
          <w:color w:val="000000" w:themeColor="text1"/>
          <w:sz w:val="22"/>
          <w:szCs w:val="22"/>
          <w:highlight w:val="none"/>
          <w14:textFill>
            <w14:solidFill>
              <w14:schemeClr w14:val="tx1"/>
            </w14:solidFill>
          </w14:textFill>
        </w:rPr>
      </w:pPr>
    </w:p>
    <w:p>
      <w:pPr>
        <w:pStyle w:val="19"/>
        <w:spacing w:line="240" w:lineRule="atLeast"/>
        <w:rPr>
          <w:rFonts w:hint="eastAsia" w:ascii="宋体" w:hAnsi="宋体" w:eastAsia="宋体" w:cs="宋体"/>
          <w:b/>
          <w:bCs/>
          <w:color w:val="000000" w:themeColor="text1"/>
          <w:sz w:val="22"/>
          <w:szCs w:val="22"/>
          <w:highlight w:val="none"/>
          <w14:textFill>
            <w14:solidFill>
              <w14:schemeClr w14:val="tx1"/>
            </w14:solidFill>
          </w14:textFill>
        </w:rPr>
      </w:pPr>
    </w:p>
    <w:p>
      <w:pPr>
        <w:pStyle w:val="19"/>
        <w:spacing w:line="240" w:lineRule="atLeast"/>
        <w:rPr>
          <w:rFonts w:hint="eastAsia" w:ascii="宋体" w:hAnsi="宋体" w:eastAsia="宋体" w:cs="宋体"/>
          <w:b/>
          <w:bCs/>
          <w:color w:val="000000" w:themeColor="text1"/>
          <w:sz w:val="22"/>
          <w:szCs w:val="22"/>
          <w:highlight w:val="none"/>
          <w14:textFill>
            <w14:solidFill>
              <w14:schemeClr w14:val="tx1"/>
            </w14:solidFill>
          </w14:textFill>
        </w:rPr>
      </w:pPr>
    </w:p>
    <w:p>
      <w:pPr>
        <w:pStyle w:val="19"/>
        <w:spacing w:line="240" w:lineRule="atLeast"/>
        <w:rPr>
          <w:rFonts w:hint="eastAsia" w:ascii="宋体" w:hAnsi="宋体" w:eastAsia="宋体" w:cs="宋体"/>
          <w:b/>
          <w:bCs/>
          <w:color w:val="000000" w:themeColor="text1"/>
          <w:sz w:val="22"/>
          <w:szCs w:val="22"/>
          <w:highlight w:val="none"/>
          <w14:textFill>
            <w14:solidFill>
              <w14:schemeClr w14:val="tx1"/>
            </w14:solidFill>
          </w14:textFill>
        </w:rPr>
      </w:pPr>
    </w:p>
    <w:p>
      <w:pPr>
        <w:pStyle w:val="19"/>
        <w:spacing w:line="240" w:lineRule="atLeast"/>
        <w:rPr>
          <w:rFonts w:hint="eastAsia" w:ascii="宋体" w:hAnsi="宋体" w:eastAsia="宋体" w:cs="宋体"/>
          <w:b/>
          <w:bCs/>
          <w:color w:val="000000" w:themeColor="text1"/>
          <w:sz w:val="22"/>
          <w:szCs w:val="22"/>
          <w:highlight w:val="none"/>
          <w14:textFill>
            <w14:solidFill>
              <w14:schemeClr w14:val="tx1"/>
            </w14:solidFill>
          </w14:textFill>
        </w:rPr>
      </w:pPr>
    </w:p>
    <w:p>
      <w:pPr>
        <w:pStyle w:val="19"/>
        <w:spacing w:line="240" w:lineRule="atLeast"/>
        <w:rPr>
          <w:rFonts w:hint="eastAsia" w:ascii="宋体" w:hAnsi="宋体" w:eastAsia="宋体" w:cs="宋体"/>
          <w:b/>
          <w:bCs/>
          <w:color w:val="000000" w:themeColor="text1"/>
          <w:sz w:val="22"/>
          <w:szCs w:val="22"/>
          <w:highlight w:val="none"/>
          <w14:textFill>
            <w14:solidFill>
              <w14:schemeClr w14:val="tx1"/>
            </w14:solidFill>
          </w14:textFill>
        </w:rPr>
      </w:pPr>
    </w:p>
    <w:p>
      <w:pPr>
        <w:pStyle w:val="19"/>
        <w:spacing w:line="240" w:lineRule="atLeast"/>
        <w:rPr>
          <w:rFonts w:hint="eastAsia" w:ascii="宋体" w:hAnsi="宋体" w:eastAsia="宋体" w:cs="宋体"/>
          <w:b/>
          <w:bCs/>
          <w:color w:val="000000" w:themeColor="text1"/>
          <w:sz w:val="22"/>
          <w:szCs w:val="22"/>
          <w:highlight w:val="none"/>
          <w14:textFill>
            <w14:solidFill>
              <w14:schemeClr w14:val="tx1"/>
            </w14:solidFill>
          </w14:textFill>
        </w:rPr>
      </w:pPr>
    </w:p>
    <w:p>
      <w:pPr>
        <w:pStyle w:val="19"/>
        <w:spacing w:line="240" w:lineRule="atLeast"/>
        <w:rPr>
          <w:rFonts w:hint="eastAsia" w:ascii="宋体" w:hAnsi="宋体" w:eastAsia="宋体" w:cs="宋体"/>
          <w:b/>
          <w:bCs/>
          <w:color w:val="000000" w:themeColor="text1"/>
          <w:sz w:val="22"/>
          <w:szCs w:val="22"/>
          <w:highlight w:val="none"/>
          <w14:textFill>
            <w14:solidFill>
              <w14:schemeClr w14:val="tx1"/>
            </w14:solidFill>
          </w14:textFill>
        </w:rPr>
      </w:pPr>
    </w:p>
    <w:p>
      <w:pP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p>
    <w:p>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62" w:name="_Toc20225"/>
      <w:r>
        <w:rPr>
          <w:rFonts w:hint="eastAsia" w:ascii="宋体" w:hAnsi="宋体" w:eastAsia="宋体" w:cs="宋体"/>
          <w:color w:val="000000" w:themeColor="text1"/>
          <w:sz w:val="28"/>
          <w:szCs w:val="28"/>
          <w:highlight w:val="none"/>
          <w:lang w:val="en-US" w:eastAsia="zh-CN"/>
          <w14:textFill>
            <w14:solidFill>
              <w14:schemeClr w14:val="tx1"/>
            </w14:solidFill>
          </w14:textFill>
        </w:rPr>
        <w:t>4.技术规格偏离表</w:t>
      </w:r>
      <w:bookmarkEnd w:id="1162"/>
    </w:p>
    <w:p>
      <w:pPr>
        <w:pStyle w:val="19"/>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项目名称:                       项目编号: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包号：</w:t>
      </w:r>
      <w:r>
        <w:rPr>
          <w:rFonts w:hint="eastAsia" w:ascii="宋体" w:hAnsi="宋体" w:eastAsia="宋体" w:cs="宋体"/>
          <w:color w:val="000000" w:themeColor="text1"/>
          <w:sz w:val="24"/>
          <w:szCs w:val="24"/>
          <w:highlight w:val="none"/>
          <w14:textFill>
            <w14:solidFill>
              <w14:schemeClr w14:val="tx1"/>
            </w14:solidFill>
          </w14:textFill>
        </w:rPr>
        <w:t xml:space="preserve">          </w:t>
      </w:r>
    </w:p>
    <w:tbl>
      <w:tblPr>
        <w:tblStyle w:val="33"/>
        <w:tblW w:w="5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28"/>
        <w:gridCol w:w="2633"/>
        <w:gridCol w:w="1428"/>
        <w:gridCol w:w="1428"/>
        <w:gridCol w:w="84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755"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392" w:type="pct"/>
            <w:vAlign w:val="center"/>
          </w:tcPr>
          <w:p>
            <w:pPr>
              <w:pStyle w:val="19"/>
              <w:keepNext w:val="0"/>
              <w:keepLines w:val="0"/>
              <w:suppressLineNumbers w:val="0"/>
              <w:spacing w:before="0" w:beforeAutospacing="0" w:after="0" w:afterAutospacing="0" w:line="400" w:lineRule="exact"/>
              <w:ind w:left="269" w:leftChars="128"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招标文件条款号</w:t>
            </w:r>
          </w:p>
        </w:tc>
        <w:tc>
          <w:tcPr>
            <w:tcW w:w="755"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招标规格</w:t>
            </w:r>
          </w:p>
        </w:tc>
        <w:tc>
          <w:tcPr>
            <w:tcW w:w="755"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投标规格</w:t>
            </w:r>
          </w:p>
        </w:tc>
        <w:tc>
          <w:tcPr>
            <w:tcW w:w="447"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w:t>
            </w:r>
          </w:p>
        </w:tc>
        <w:tc>
          <w:tcPr>
            <w:tcW w:w="447"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39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39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39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39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39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39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47" w:type="pct"/>
            <w:vAlign w:val="center"/>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39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755"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4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bl>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bookmarkEnd w:id="1144"/>
    <w:bookmarkEnd w:id="1145"/>
    <w:bookmarkEnd w:id="1146"/>
    <w:bookmarkEnd w:id="1147"/>
    <w:p>
      <w:pPr>
        <w:pStyle w:val="5"/>
        <w:spacing w:line="360" w:lineRule="exact"/>
        <w:ind w:firstLine="0"/>
        <w:rPr>
          <w:rFonts w:hint="eastAsia" w:ascii="宋体" w:hAnsi="宋体" w:eastAsia="宋体" w:cs="宋体"/>
          <w:color w:val="000000" w:themeColor="text1"/>
          <w:kern w:val="2"/>
          <w:sz w:val="24"/>
          <w:szCs w:val="24"/>
          <w:highlight w:val="none"/>
          <w:u w:val="single"/>
          <w14:textFill>
            <w14:solidFill>
              <w14:schemeClr w14:val="tx1"/>
            </w14:solidFill>
          </w14:textFill>
        </w:rPr>
      </w:pPr>
      <w:bookmarkStart w:id="1163" w:name="_Toc216582818"/>
      <w:bookmarkStart w:id="1164" w:name="_Toc1980"/>
      <w:bookmarkStart w:id="1165" w:name="_Toc515647821"/>
      <w:bookmarkStart w:id="1166" w:name="_Toc23"/>
      <w:bookmarkStart w:id="1167" w:name="_Toc31439"/>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2"/>
          <w:sz w:val="24"/>
          <w:szCs w:val="24"/>
          <w:highlight w:val="none"/>
          <w14:textFill>
            <w14:solidFill>
              <w14:schemeClr w14:val="tx1"/>
            </w14:solidFill>
          </w14:textFill>
        </w:rPr>
        <w:t>名称（</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公章</w:t>
      </w: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pPr>
        <w:pStyle w:val="5"/>
        <w:spacing w:line="360" w:lineRule="exact"/>
        <w:ind w:firstLine="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法定代表人或委托代理</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kern w:val="2"/>
          <w:sz w:val="24"/>
          <w:szCs w:val="24"/>
          <w:highlight w:val="none"/>
          <w14:textFill>
            <w14:solidFill>
              <w14:schemeClr w14:val="tx1"/>
            </w14:solidFill>
          </w14:textFill>
        </w:rPr>
        <w:t>(签/章):</w:t>
      </w:r>
      <w:r>
        <w:rPr>
          <w:rFonts w:hint="eastAsia" w:ascii="宋体" w:hAnsi="宋体" w:eastAsia="宋体" w:cs="宋体"/>
          <w:color w:val="000000" w:themeColor="text1"/>
          <w:kern w:val="2"/>
          <w:sz w:val="24"/>
          <w:szCs w:val="24"/>
          <w:highlight w:val="none"/>
          <w:u w:val="single"/>
          <w14:textFill>
            <w14:solidFill>
              <w14:schemeClr w14:val="tx1"/>
            </w14:solidFill>
          </w14:textFill>
        </w:rPr>
        <w:tab/>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p>
      <w:pPr>
        <w:pStyle w:val="5"/>
        <w:spacing w:line="360" w:lineRule="exact"/>
        <w:ind w:firstLine="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日期 ：</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rPr>
          <w:rFonts w:hint="eastAsia" w:ascii="宋体" w:hAnsi="宋体" w:eastAsia="宋体" w:cs="宋体"/>
          <w:color w:val="000000" w:themeColor="text1"/>
          <w:sz w:val="28"/>
          <w:szCs w:val="28"/>
          <w:highlight w:val="none"/>
          <w14:textFill>
            <w14:solidFill>
              <w14:schemeClr w14:val="tx1"/>
            </w14:solidFill>
          </w14:textFill>
        </w:rPr>
      </w:pPr>
      <w:bookmarkStart w:id="1168" w:name="_Toc14887"/>
      <w:bookmarkStart w:id="1169" w:name="_Toc22109"/>
      <w:bookmarkStart w:id="1170" w:name="_Toc12914"/>
      <w:r>
        <w:rPr>
          <w:rFonts w:hint="eastAsia" w:ascii="宋体" w:hAnsi="宋体" w:eastAsia="宋体" w:cs="宋体"/>
          <w:color w:val="000000" w:themeColor="text1"/>
          <w:sz w:val="28"/>
          <w:szCs w:val="28"/>
          <w:highlight w:val="none"/>
          <w14:textFill>
            <w14:solidFill>
              <w14:schemeClr w14:val="tx1"/>
            </w14:solidFill>
          </w14:textFill>
        </w:rPr>
        <w:br w:type="page"/>
      </w:r>
    </w:p>
    <w:bookmarkEnd w:id="1163"/>
    <w:bookmarkEnd w:id="1164"/>
    <w:bookmarkEnd w:id="1165"/>
    <w:bookmarkEnd w:id="1166"/>
    <w:bookmarkEnd w:id="1167"/>
    <w:bookmarkEnd w:id="1168"/>
    <w:bookmarkEnd w:id="1169"/>
    <w:bookmarkEnd w:id="1170"/>
    <w:p>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71" w:name="_Toc30787"/>
      <w:r>
        <w:rPr>
          <w:rFonts w:hint="eastAsia" w:ascii="宋体" w:hAnsi="宋体" w:eastAsia="宋体" w:cs="宋体"/>
          <w:color w:val="000000" w:themeColor="text1"/>
          <w:sz w:val="28"/>
          <w:szCs w:val="28"/>
          <w:highlight w:val="none"/>
          <w:lang w:val="en-US" w:eastAsia="zh-CN"/>
          <w14:textFill>
            <w14:solidFill>
              <w14:schemeClr w14:val="tx1"/>
            </w14:solidFill>
          </w14:textFill>
        </w:rPr>
        <w:t>5.商务条款偏离表</w:t>
      </w:r>
      <w:bookmarkEnd w:id="1171"/>
    </w:p>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项目名称:                      项目编号:         </w:t>
      </w:r>
      <w:r>
        <w:rPr>
          <w:rFonts w:hint="eastAsia" w:ascii="宋体" w:hAnsi="宋体" w:eastAsia="宋体" w:cs="宋体"/>
          <w:color w:val="000000" w:themeColor="text1"/>
          <w:sz w:val="24"/>
          <w:szCs w:val="24"/>
          <w:highlight w:val="none"/>
          <w:lang w:eastAsia="zh-CN"/>
          <w14:textFill>
            <w14:solidFill>
              <w14:schemeClr w14:val="tx1"/>
            </w14:solidFill>
          </w14:textFill>
        </w:rPr>
        <w:t>包号：</w:t>
      </w:r>
      <w:r>
        <w:rPr>
          <w:rFonts w:hint="eastAsia" w:ascii="宋体" w:hAnsi="宋体" w:eastAsia="宋体" w:cs="宋体"/>
          <w:color w:val="000000" w:themeColor="text1"/>
          <w:sz w:val="24"/>
          <w:szCs w:val="24"/>
          <w:highlight w:val="none"/>
          <w14:textFill>
            <w14:solidFill>
              <w14:schemeClr w14:val="tx1"/>
            </w14:solidFill>
          </w14:textFill>
        </w:rPr>
        <w:t xml:space="preserve">    </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011"/>
        <w:gridCol w:w="2520"/>
        <w:gridCol w:w="252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179" w:type="pct"/>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招标文件条款号</w:t>
            </w:r>
          </w:p>
        </w:tc>
        <w:tc>
          <w:tcPr>
            <w:tcW w:w="1477" w:type="pct"/>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招标文件的商务条款</w:t>
            </w:r>
          </w:p>
        </w:tc>
        <w:tc>
          <w:tcPr>
            <w:tcW w:w="1477" w:type="pct"/>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投标文件的商务条款</w:t>
            </w:r>
          </w:p>
        </w:tc>
        <w:tc>
          <w:tcPr>
            <w:tcW w:w="432" w:type="pct"/>
          </w:tcPr>
          <w:p>
            <w:pPr>
              <w:pStyle w:val="19"/>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179"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1477"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c>
          <w:tcPr>
            <w:tcW w:w="432" w:type="pct"/>
          </w:tcPr>
          <w:p>
            <w:pPr>
              <w:pStyle w:val="19"/>
              <w:keepNext w:val="0"/>
              <w:keepLines w:val="0"/>
              <w:suppressLineNumbers w:val="0"/>
              <w:spacing w:before="0" w:beforeAutospacing="0" w:after="0" w:afterAutospacing="0" w:line="400" w:lineRule="exact"/>
              <w:ind w:left="1080" w:leftChars="257" w:right="0" w:hanging="540"/>
              <w:rPr>
                <w:rFonts w:hint="eastAsia" w:ascii="宋体" w:hAnsi="宋体" w:eastAsia="宋体" w:cs="宋体"/>
                <w:color w:val="000000" w:themeColor="text1"/>
                <w:sz w:val="24"/>
                <w:szCs w:val="24"/>
                <w:highlight w:val="none"/>
                <w14:textFill>
                  <w14:solidFill>
                    <w14:schemeClr w14:val="tx1"/>
                  </w14:solidFill>
                </w14:textFill>
              </w:rPr>
            </w:pPr>
          </w:p>
        </w:tc>
      </w:tr>
    </w:tbl>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pPr>
        <w:pStyle w:val="19"/>
        <w:spacing w:line="400" w:lineRule="exac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pPr>
        <w:pStyle w:val="5"/>
        <w:spacing w:line="360" w:lineRule="exact"/>
        <w:ind w:firstLine="0"/>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2"/>
          <w:sz w:val="24"/>
          <w:szCs w:val="24"/>
          <w:highlight w:val="none"/>
          <w14:textFill>
            <w14:solidFill>
              <w14:schemeClr w14:val="tx1"/>
            </w14:solidFill>
          </w14:textFill>
        </w:rPr>
        <w:t>名称（</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公章</w:t>
      </w: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pPr>
        <w:pStyle w:val="5"/>
        <w:spacing w:line="360" w:lineRule="exact"/>
        <w:ind w:firstLine="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法定代表人或委托代理</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kern w:val="2"/>
          <w:sz w:val="24"/>
          <w:szCs w:val="24"/>
          <w:highlight w:val="none"/>
          <w14:textFill>
            <w14:solidFill>
              <w14:schemeClr w14:val="tx1"/>
            </w14:solidFill>
          </w14:textFill>
        </w:rPr>
        <w:t>(签/章):</w:t>
      </w:r>
      <w:r>
        <w:rPr>
          <w:rFonts w:hint="eastAsia" w:ascii="宋体" w:hAnsi="宋体" w:eastAsia="宋体" w:cs="宋体"/>
          <w:color w:val="000000" w:themeColor="text1"/>
          <w:kern w:val="2"/>
          <w:sz w:val="24"/>
          <w:szCs w:val="24"/>
          <w:highlight w:val="none"/>
          <w:u w:val="single"/>
          <w14:textFill>
            <w14:solidFill>
              <w14:schemeClr w14:val="tx1"/>
            </w14:solidFill>
          </w14:textFill>
        </w:rPr>
        <w:tab/>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p>
      <w:pPr>
        <w:pStyle w:val="5"/>
        <w:spacing w:line="360" w:lineRule="exact"/>
        <w:ind w:firstLine="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日期 ：</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9"/>
        <w:tabs>
          <w:tab w:val="left" w:pos="5370"/>
        </w:tabs>
        <w:spacing w:line="400" w:lineRule="exact"/>
        <w:ind w:left="1080" w:leftChars="257" w:hanging="540"/>
        <w:rPr>
          <w:rFonts w:hint="eastAsia" w:ascii="宋体" w:hAnsi="宋体" w:eastAsia="宋体" w:cs="宋体"/>
          <w:color w:val="000000" w:themeColor="text1"/>
          <w:sz w:val="24"/>
          <w:szCs w:val="24"/>
          <w:highlight w:val="none"/>
          <w:u w:val="singl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bookmarkStart w:id="1172" w:name="_Toc27043"/>
      <w:bookmarkStart w:id="1173" w:name="_Toc21312"/>
      <w:bookmarkStart w:id="1174" w:name="_Toc515647823"/>
      <w:bookmarkStart w:id="1175" w:name="_Toc25797"/>
      <w:bookmarkStart w:id="1176" w:name="_Toc31694"/>
      <w:bookmarkStart w:id="1177" w:name="_Toc17820"/>
      <w:bookmarkStart w:id="1178" w:name="_Toc10725"/>
      <w:r>
        <w:rPr>
          <w:rFonts w:hint="eastAsia" w:ascii="宋体" w:hAnsi="宋体" w:eastAsia="宋体" w:cs="宋体"/>
          <w:color w:val="000000" w:themeColor="text1"/>
          <w:sz w:val="24"/>
          <w:szCs w:val="24"/>
          <w:highlight w:val="none"/>
          <w14:textFill>
            <w14:solidFill>
              <w14:schemeClr w14:val="tx1"/>
            </w14:solidFill>
          </w14:textFill>
        </w:rPr>
        <w:br w:type="page"/>
      </w:r>
    </w:p>
    <w:bookmarkEnd w:id="1172"/>
    <w:bookmarkEnd w:id="1173"/>
    <w:bookmarkEnd w:id="1174"/>
    <w:bookmarkEnd w:id="1175"/>
    <w:bookmarkEnd w:id="1176"/>
    <w:bookmarkEnd w:id="1177"/>
    <w:bookmarkEnd w:id="1178"/>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79" w:name="_Toc31126"/>
      <w:bookmarkStart w:id="1180" w:name="_Toc9687"/>
      <w:bookmarkStart w:id="1181" w:name="_Toc21610"/>
      <w:bookmarkStart w:id="1182" w:name="_Toc11803"/>
      <w:bookmarkStart w:id="1183" w:name="_Toc11343"/>
      <w:bookmarkStart w:id="1184" w:name="_Toc2709"/>
      <w:bookmarkStart w:id="1185" w:name="_Toc10977"/>
      <w:bookmarkStart w:id="1186" w:name="_Toc515647824"/>
      <w:r>
        <w:rPr>
          <w:rFonts w:hint="eastAsia" w:ascii="宋体" w:hAnsi="宋体" w:eastAsia="宋体" w:cs="宋体"/>
          <w:color w:val="000000" w:themeColor="text1"/>
          <w:sz w:val="28"/>
          <w:szCs w:val="28"/>
          <w:highlight w:val="none"/>
          <w:lang w:val="en-US" w:eastAsia="zh-CN"/>
          <w14:textFill>
            <w14:solidFill>
              <w14:schemeClr w14:val="tx1"/>
            </w14:solidFill>
          </w14:textFill>
        </w:rPr>
        <w:t>6-1中小企业声明函</w:t>
      </w:r>
      <w:bookmarkEnd w:id="1179"/>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（单位名称）</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的</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（项目名称）</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（标的名称）</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，属于</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（采购文件中明确的所属行业）</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行业；制造商为</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（企业名称）</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，从业人员</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人，营业收入为</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万元，资产总额为</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万元，属于</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（中型企业、小型企业、微型企业）</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（标的名称）</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，属于</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（采购文件中明确的所属行业）</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行业；制造商为</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（企业名称）</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，从业人员</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人，营业收入为</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万元，资产总额为</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万元，属于</w:t>
      </w:r>
      <w:r>
        <w:rPr>
          <w:rFonts w:hint="eastAsia" w:ascii="宋体" w:hAnsi="宋体" w:eastAsia="宋体" w:cs="宋体"/>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（中型企业、小型企业、微型企业）</w:t>
      </w: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日 期：</w:t>
      </w:r>
    </w:p>
    <w:p>
      <w:pPr>
        <w:pStyle w:val="26"/>
        <w:rPr>
          <w:rFonts w:hint="default"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p>
    <w:p>
      <w:pPr>
        <w:pStyle w:val="26"/>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default"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注：从业人员、 营业收入、 资产总额填报上一年度数据， 无上一年度数据的新成立企业可不填报。（若响应文件中无上述文件，则在评审时不考虑对该</w:t>
      </w: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中、</w:t>
      </w:r>
      <w:r>
        <w:rPr>
          <w:rFonts w:hint="default"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小、微企业的相关优惠。）</w:t>
      </w:r>
    </w:p>
    <w:p>
      <w:pP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br w:type="page"/>
      </w:r>
    </w:p>
    <w:p>
      <w:pPr>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附：</w:t>
      </w:r>
    </w:p>
    <w:p>
      <w:pPr>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中小微企业划型标准</w:t>
      </w:r>
    </w:p>
    <w:tbl>
      <w:tblPr>
        <w:tblStyle w:val="33"/>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行业名称</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指标名称</w:t>
            </w: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计量单位</w:t>
            </w:r>
          </w:p>
        </w:tc>
        <w:tc>
          <w:tcPr>
            <w:tcW w:w="19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中型</w:t>
            </w:r>
          </w:p>
        </w:tc>
        <w:tc>
          <w:tcPr>
            <w:tcW w:w="16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小型</w:t>
            </w:r>
          </w:p>
        </w:tc>
        <w:tc>
          <w:tcPr>
            <w:tcW w:w="108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农、林、牧、渔</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500≤Y＜20000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50≤Y＜500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工业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300≤X＜1000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20≤X＜300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2000≤Y＜40000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300≤Y＜2000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建筑业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6000≤Y＜80000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300≤Y＜6000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资产总额（Z）</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5000≤Z＜80000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300≤Z＜5000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批发业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20≤X＜200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5≤X＜20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5000≤Y＜40000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1000≤Y＜5000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零售业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50≤X＜300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10≤X＜50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500≤Y＜20000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100≤Y＜500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交通运输业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300≤X＜1000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20≤X＜300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3000≤Y＜30000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200≤Y＜3000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仓储业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100≤X＜200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1000≤Y＜30000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100≤Y＜1000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邮政业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300≤X＜1000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20≤X＜300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2000≤Y＜30000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100≤Y＜2000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住宿业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100≤X＜300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2000≤Y＜10000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100≤Y＜2000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餐饮业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100≤X＜300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2000≤Y＜10000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100≤Y＜2000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信息传输业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100≤X＜2000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1000≤Y＜100000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100≤Y＜1000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软件和信息技术服务业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100≤X＜300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1000≤Y＜10000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50≤Y＜1000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房地产开发经营</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1000≤Y＜200000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100≤X＜1000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资产总额（Z）</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5000≤Z＜10000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2000≤Y＜5000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物业管理</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300≤X＜1000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100≤X＜300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1000≤Y＜5000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500≤Y＜1000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租赁和商务服务业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100≤X＜300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资产总额（Z）</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8000≤Z＜120000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100≤Z＜8000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其他未列明行业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100≤X＜300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line="336" w:lineRule="auto"/>
        <w:ind w:firstLine="482" w:firstLineChars="200"/>
        <w:contextualSpacing/>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说明：</w:t>
      </w:r>
      <w:r>
        <w:rPr>
          <w:rFonts w:hint="eastAsia" w:ascii="宋体" w:hAnsi="宋体" w:eastAsia="宋体" w:cs="宋体"/>
          <w:color w:val="000000" w:themeColor="text1"/>
          <w:sz w:val="24"/>
          <w:szCs w:val="24"/>
          <w:highlight w:val="none"/>
          <w14:textFill>
            <w14:solidFill>
              <w14:schemeClr w14:val="tx1"/>
            </w14:solidFill>
          </w14:textFill>
        </w:rPr>
        <w:t>上述标准参照《关于印发中小企业划型标准规定的通知》（工信部联企业[2011]300号），大型、中型和小型企业须同时满足所列指标的下限，否则下划一档；微型企业只须满足所列指标中的一项即可。</w:t>
      </w:r>
    </w:p>
    <w:p>
      <w:pPr>
        <w:snapToGrid w:val="0"/>
        <w:spacing w:line="336" w:lineRule="auto"/>
        <w:ind w:firstLine="480" w:firstLineChars="200"/>
        <w:contextualSpacing/>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所称中小企业，是指在中华人民共和国境内依法设立，依据国务院批准的</w:t>
      </w:r>
    </w:p>
    <w:p>
      <w:pPr>
        <w:snapToGrid w:val="0"/>
        <w:spacing w:line="336" w:lineRule="auto"/>
        <w:ind w:firstLine="480" w:firstLineChars="200"/>
        <w:contextualSpacing/>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规定的中小企业扶持政策：</w:t>
      </w:r>
    </w:p>
    <w:p>
      <w:pPr>
        <w:snapToGrid w:val="0"/>
        <w:spacing w:line="336" w:lineRule="auto"/>
        <w:ind w:firstLine="480" w:firstLineChars="200"/>
        <w:contextualSpacing/>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pPr>
        <w:snapToGrid w:val="0"/>
        <w:spacing w:line="336" w:lineRule="auto"/>
        <w:ind w:firstLine="480" w:firstLineChars="200"/>
        <w:contextualSpacing/>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（2）在工程采购项目中，工程由中小企业承建，即工程施工单位为中小企业，不对其中涉及的货物的制造商和服务的承接商作出要求；</w:t>
      </w:r>
    </w:p>
    <w:p>
      <w:pPr>
        <w:snapToGrid w:val="0"/>
        <w:spacing w:line="336" w:lineRule="auto"/>
        <w:ind w:firstLine="480" w:firstLineChars="200"/>
        <w:contextualSpacing/>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pPr>
        <w:snapToGrid w:val="0"/>
        <w:spacing w:line="336" w:lineRule="auto"/>
        <w:ind w:firstLine="480" w:firstLineChars="200"/>
        <w:contextualSpacing/>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在货物采购项目中，供应商提供的货物既有中小企业制造货物，也有大型企业制造货物的，不享受本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规定的中小企业扶持政策。以联合体形式参加政府采购活动，联合体各方均为中小企业的，联合体视同中小企业。其中，联合体各方均为小微企业的，联合体视同小微企业。</w:t>
      </w:r>
    </w:p>
    <w:p>
      <w:pPr>
        <w:snapToGrid w:val="0"/>
        <w:spacing w:line="336" w:lineRule="auto"/>
        <w:ind w:firstLine="480" w:firstLineChars="200"/>
        <w:contextualSpacing/>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依据本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规定享受扶持政策获得政府采购合同的，小微企业不得将合同分包给大中型企业，中型企业不得将合同分包给大型企业。</w:t>
      </w:r>
    </w:p>
    <w:p>
      <w:pPr>
        <w:pStyle w:val="26"/>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p>
    <w:bookmarkEnd w:id="1180"/>
    <w:bookmarkEnd w:id="1181"/>
    <w:bookmarkEnd w:id="1182"/>
    <w:bookmarkEnd w:id="1183"/>
    <w:bookmarkEnd w:id="1184"/>
    <w:bookmarkEnd w:id="1185"/>
    <w:bookmarkEnd w:id="1186"/>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br w:type="page"/>
      </w: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87" w:name="_Toc23491"/>
      <w:r>
        <w:rPr>
          <w:rFonts w:hint="eastAsia" w:ascii="宋体" w:hAnsi="宋体" w:eastAsia="宋体" w:cs="宋体"/>
          <w:color w:val="000000" w:themeColor="text1"/>
          <w:sz w:val="28"/>
          <w:szCs w:val="28"/>
          <w:highlight w:val="none"/>
          <w:lang w:val="en-US" w:eastAsia="zh-CN"/>
          <w14:textFill>
            <w14:solidFill>
              <w14:schemeClr w14:val="tx1"/>
            </w14:solidFill>
          </w14:textFill>
        </w:rPr>
        <w:t>6-2 残疾人福利性单位声明函</w:t>
      </w:r>
      <w:bookmarkEnd w:id="1187"/>
    </w:p>
    <w:p>
      <w:pPr>
        <w:spacing w:line="400" w:lineRule="exact"/>
        <w:ind w:left="1080" w:leftChars="257" w:hanging="540"/>
        <w:jc w:val="center"/>
        <w:rPr>
          <w:rFonts w:hint="eastAsia" w:ascii="宋体" w:hAnsi="宋体" w:eastAsia="宋体" w:cs="宋体"/>
          <w:color w:val="000000" w:themeColor="text1"/>
          <w:kern w:val="0"/>
          <w:sz w:val="24"/>
          <w:highlight w:val="none"/>
          <w14:textFill>
            <w14:solidFill>
              <w14:schemeClr w14:val="tx1"/>
            </w14:solidFill>
          </w14:textFill>
        </w:rPr>
      </w:pPr>
    </w:p>
    <w:p>
      <w:pPr>
        <w:spacing w:line="400" w:lineRule="exact"/>
        <w:ind w:firstLine="567"/>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宋体" w:hAnsi="宋体" w:eastAsia="宋体" w:cs="宋体"/>
          <w:color w:val="000000" w:themeColor="text1"/>
          <w:kern w:val="0"/>
          <w:sz w:val="24"/>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4"/>
          <w:highlight w:val="none"/>
          <w14:textFill>
            <w14:solidFill>
              <w14:schemeClr w14:val="tx1"/>
            </w14:solidFill>
          </w14:textFill>
        </w:rPr>
        <w:t>，或者提供其他残疾人福利性单位制造的</w:t>
      </w:r>
      <w:r>
        <w:rPr>
          <w:rFonts w:hint="eastAsia" w:ascii="宋体" w:hAnsi="宋体" w:eastAsia="宋体" w:cs="宋体"/>
          <w:color w:val="000000" w:themeColor="text1"/>
          <w:kern w:val="0"/>
          <w:sz w:val="24"/>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4"/>
          <w:highlight w:val="none"/>
          <w14:textFill>
            <w14:solidFill>
              <w14:schemeClr w14:val="tx1"/>
            </w14:solidFill>
          </w14:textFill>
        </w:rPr>
        <w:t>（不包括使用非残疾人福利性单位注册商标的</w:t>
      </w:r>
      <w:r>
        <w:rPr>
          <w:rFonts w:hint="eastAsia" w:ascii="宋体" w:hAnsi="宋体" w:eastAsia="宋体" w:cs="宋体"/>
          <w:color w:val="000000" w:themeColor="text1"/>
          <w:kern w:val="0"/>
          <w:sz w:val="24"/>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4"/>
          <w:highlight w:val="none"/>
          <w14:textFill>
            <w14:solidFill>
              <w14:schemeClr w14:val="tx1"/>
            </w14:solidFill>
          </w14:textFill>
        </w:rPr>
        <w:t>）。</w:t>
      </w:r>
    </w:p>
    <w:p>
      <w:pPr>
        <w:spacing w:line="400" w:lineRule="exac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残疾人福利性单位名称（公章）：______________</w:t>
      </w:r>
    </w:p>
    <w:p>
      <w:pPr>
        <w:spacing w:line="400" w:lineRule="exact"/>
        <w:ind w:left="1080" w:leftChars="257" w:hanging="540"/>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color="FFFFFF"/>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  期：_____________________________________________</w:t>
      </w:r>
    </w:p>
    <w:p>
      <w:pPr>
        <w:pStyle w:val="32"/>
        <w:spacing w:line="400" w:lineRule="exact"/>
        <w:ind w:firstLine="480"/>
        <w:rPr>
          <w:rFonts w:hint="eastAsia" w:ascii="宋体" w:hAnsi="宋体" w:eastAsia="宋体" w:cs="宋体"/>
          <w:color w:val="000000" w:themeColor="text1"/>
          <w:highlight w:val="none"/>
          <w14:textFill>
            <w14:solidFill>
              <w14:schemeClr w14:val="tx1"/>
            </w14:solidFill>
          </w14:textFill>
        </w:rPr>
      </w:pPr>
    </w:p>
    <w:p>
      <w:pPr>
        <w:pStyle w:val="32"/>
        <w:spacing w:line="400" w:lineRule="exact"/>
        <w:ind w:firstLine="480"/>
        <w:rPr>
          <w:rFonts w:hint="eastAsia" w:ascii="宋体" w:hAnsi="宋体" w:eastAsia="宋体" w:cs="宋体"/>
          <w:color w:val="000000" w:themeColor="text1"/>
          <w:highlight w:val="none"/>
          <w14:textFill>
            <w14:solidFill>
              <w14:schemeClr w14:val="tx1"/>
            </w14:solidFill>
          </w14:textFill>
        </w:rPr>
      </w:pPr>
    </w:p>
    <w:p>
      <w:pPr>
        <w:pStyle w:val="5"/>
        <w:rPr>
          <w:rFonts w:hint="eastAsia" w:ascii="宋体" w:hAnsi="宋体" w:eastAsia="宋体" w:cs="宋体"/>
          <w:color w:val="000000" w:themeColor="text1"/>
          <w:highlight w:val="none"/>
          <w14:textFill>
            <w14:solidFill>
              <w14:schemeClr w14:val="tx1"/>
            </w14:solidFill>
          </w14:textFill>
        </w:rPr>
      </w:pPr>
    </w:p>
    <w:p>
      <w:pPr>
        <w:pStyle w:val="6"/>
        <w:rPr>
          <w:rFonts w:hint="eastAsia" w:ascii="宋体" w:hAnsi="宋体" w:eastAsia="宋体" w:cs="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6"/>
        <w:rPr>
          <w:rFonts w:hint="eastAsia" w:ascii="宋体" w:hAnsi="宋体" w:eastAsia="宋体" w:cs="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88" w:name="_Toc10874"/>
      <w:r>
        <w:rPr>
          <w:rFonts w:hint="eastAsia" w:ascii="宋体" w:hAnsi="宋体" w:eastAsia="宋体" w:cs="宋体"/>
          <w:color w:val="000000" w:themeColor="text1"/>
          <w:sz w:val="28"/>
          <w:szCs w:val="28"/>
          <w:highlight w:val="none"/>
          <w:lang w:val="en-US" w:eastAsia="zh-CN"/>
          <w14:textFill>
            <w14:solidFill>
              <w14:schemeClr w14:val="tx1"/>
            </w14:solidFill>
          </w14:textFill>
        </w:rPr>
        <w:t>7.供应商关联单位的说明（格式自拟）</w:t>
      </w:r>
      <w:bookmarkEnd w:id="1188"/>
    </w:p>
    <w:p>
      <w:pPr>
        <w:pStyle w:val="5"/>
        <w:spacing w:line="400" w:lineRule="exact"/>
        <w:jc w:val="center"/>
        <w:rPr>
          <w:rFonts w:hint="eastAsia" w:ascii="宋体" w:hAnsi="宋体" w:eastAsia="宋体" w:cs="宋体"/>
          <w:color w:val="000000" w:themeColor="text1"/>
          <w:szCs w:val="24"/>
          <w:highlight w:val="none"/>
          <w14:textFill>
            <w14:solidFill>
              <w14:schemeClr w14:val="tx1"/>
            </w14:solidFill>
          </w14:textFill>
        </w:rPr>
      </w:pPr>
    </w:p>
    <w:p>
      <w:pPr>
        <w:pStyle w:val="5"/>
        <w:spacing w:line="400" w:lineRule="exact"/>
        <w:ind w:firstLine="42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说明：供应商应当如实披露与本单位存在下列关联关系的单位名称：</w:t>
      </w:r>
    </w:p>
    <w:p>
      <w:pPr>
        <w:pStyle w:val="5"/>
        <w:spacing w:line="400" w:lineRule="exact"/>
        <w:ind w:firstLine="840" w:firstLineChars="400"/>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（1）与供应商单位负责人为同一人的其他单位；</w:t>
      </w:r>
    </w:p>
    <w:p>
      <w:pPr>
        <w:pStyle w:val="5"/>
        <w:spacing w:line="400" w:lineRule="exact"/>
        <w:ind w:firstLine="42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（2）与供应商存在直接控股、管理关系的其他单位。</w:t>
      </w:r>
    </w:p>
    <w:p>
      <w:pPr>
        <w:pStyle w:val="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b/>
          <w:color w:val="000000" w:themeColor="text1"/>
          <w:kern w:val="0"/>
          <w:sz w:val="24"/>
          <w:highlight w:val="none"/>
          <w14:textFill>
            <w14:solidFill>
              <w14:schemeClr w14:val="tx1"/>
            </w14:solidFill>
          </w14:textFill>
        </w:rPr>
      </w:pPr>
    </w:p>
    <w:p>
      <w:pPr>
        <w:pStyle w:val="26"/>
        <w:rPr>
          <w:rFonts w:hint="eastAsia" w:ascii="宋体" w:hAnsi="宋体" w:eastAsia="宋体" w:cs="宋体"/>
          <w:b/>
          <w:color w:val="000000" w:themeColor="text1"/>
          <w:kern w:val="0"/>
          <w:sz w:val="24"/>
          <w:highlight w:val="none"/>
          <w14:textFill>
            <w14:solidFill>
              <w14:schemeClr w14:val="tx1"/>
            </w14:solidFill>
          </w14:textFill>
        </w:rPr>
      </w:pPr>
    </w:p>
    <w:p>
      <w:pPr>
        <w:pStyle w:val="26"/>
        <w:rPr>
          <w:rFonts w:hint="eastAsia" w:ascii="宋体" w:hAnsi="宋体" w:eastAsia="宋体" w:cs="宋体"/>
          <w:b/>
          <w:color w:val="000000" w:themeColor="text1"/>
          <w:kern w:val="0"/>
          <w:sz w:val="24"/>
          <w:highlight w:val="none"/>
          <w14:textFill>
            <w14:solidFill>
              <w14:schemeClr w14:val="tx1"/>
            </w14:solidFill>
          </w14:textFill>
        </w:rPr>
      </w:pPr>
    </w:p>
    <w:p>
      <w:pPr>
        <w:pStyle w:val="26"/>
        <w:rPr>
          <w:rFonts w:hint="eastAsia" w:ascii="宋体" w:hAnsi="宋体" w:eastAsia="宋体" w:cs="宋体"/>
          <w:b/>
          <w:color w:val="000000" w:themeColor="text1"/>
          <w:kern w:val="0"/>
          <w:sz w:val="24"/>
          <w:highlight w:val="none"/>
          <w14:textFill>
            <w14:solidFill>
              <w14:schemeClr w14:val="tx1"/>
            </w14:solidFill>
          </w14:textFill>
        </w:rPr>
      </w:pPr>
    </w:p>
    <w:p>
      <w:pPr>
        <w:pStyle w:val="26"/>
        <w:rPr>
          <w:rFonts w:hint="eastAsia" w:ascii="宋体" w:hAnsi="宋体" w:eastAsia="宋体" w:cs="宋体"/>
          <w:b/>
          <w:color w:val="000000" w:themeColor="text1"/>
          <w:kern w:val="0"/>
          <w:sz w:val="24"/>
          <w:highlight w:val="none"/>
          <w14:textFill>
            <w14:solidFill>
              <w14:schemeClr w14:val="tx1"/>
            </w14:solidFill>
          </w14:textFill>
        </w:rPr>
      </w:pPr>
    </w:p>
    <w:p>
      <w:pPr>
        <w:pStyle w:val="26"/>
        <w:rPr>
          <w:rFonts w:hint="eastAsia" w:ascii="宋体" w:hAnsi="宋体" w:eastAsia="宋体" w:cs="宋体"/>
          <w:b/>
          <w:color w:val="000000" w:themeColor="text1"/>
          <w:kern w:val="0"/>
          <w:sz w:val="24"/>
          <w:highlight w:val="none"/>
          <w14:textFill>
            <w14:solidFill>
              <w14:schemeClr w14:val="tx1"/>
            </w14:solidFill>
          </w14:textFill>
        </w:rPr>
      </w:pPr>
    </w:p>
    <w:p>
      <w:pPr>
        <w:pStyle w:val="26"/>
        <w:rPr>
          <w:rFonts w:hint="eastAsia" w:ascii="宋体" w:hAnsi="宋体" w:eastAsia="宋体" w:cs="宋体"/>
          <w:b/>
          <w:color w:val="000000" w:themeColor="text1"/>
          <w:kern w:val="0"/>
          <w:sz w:val="24"/>
          <w:highlight w:val="none"/>
          <w14:textFill>
            <w14:solidFill>
              <w14:schemeClr w14:val="tx1"/>
            </w14:solidFill>
          </w14:textFill>
        </w:rPr>
      </w:pPr>
    </w:p>
    <w:p>
      <w:pPr>
        <w:pStyle w:val="26"/>
        <w:rPr>
          <w:rFonts w:hint="eastAsia" w:ascii="宋体" w:hAnsi="宋体" w:eastAsia="宋体" w:cs="宋体"/>
          <w:b/>
          <w:color w:val="000000" w:themeColor="text1"/>
          <w:kern w:val="0"/>
          <w:sz w:val="24"/>
          <w:highlight w:val="none"/>
          <w14:textFill>
            <w14:solidFill>
              <w14:schemeClr w14:val="tx1"/>
            </w14:solidFill>
          </w14:textFill>
        </w:rPr>
      </w:pPr>
    </w:p>
    <w:p>
      <w:pPr>
        <w:pStyle w:val="26"/>
        <w:rPr>
          <w:rFonts w:hint="eastAsia" w:ascii="宋体" w:hAnsi="宋体" w:eastAsia="宋体" w:cs="宋体"/>
          <w:b/>
          <w:color w:val="000000" w:themeColor="text1"/>
          <w:kern w:val="0"/>
          <w:sz w:val="24"/>
          <w:highlight w:val="none"/>
          <w14:textFill>
            <w14:solidFill>
              <w14:schemeClr w14:val="tx1"/>
            </w14:solidFill>
          </w14:textFill>
        </w:rPr>
      </w:pPr>
    </w:p>
    <w:p>
      <w:pPr>
        <w:pStyle w:val="26"/>
        <w:rPr>
          <w:rFonts w:hint="eastAsia" w:ascii="宋体" w:hAnsi="宋体" w:eastAsia="宋体" w:cs="宋体"/>
          <w:b/>
          <w:color w:val="000000" w:themeColor="text1"/>
          <w:kern w:val="0"/>
          <w:sz w:val="24"/>
          <w:highlight w:val="none"/>
          <w14:textFill>
            <w14:solidFill>
              <w14:schemeClr w14:val="tx1"/>
            </w14:solidFill>
          </w14:textFill>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ascii="宋体" w:hAnsi="宋体" w:eastAsia="宋体"/>
          <w:color w:val="000000" w:themeColor="text1"/>
          <w:sz w:val="24"/>
          <w14:textFill>
            <w14:solidFill>
              <w14:schemeClr w14:val="tx1"/>
            </w14:solidFill>
          </w14:textFill>
        </w:rPr>
      </w:pPr>
      <w:bookmarkStart w:id="1189" w:name="_Toc10125"/>
      <w:r>
        <w:rPr>
          <w:rFonts w:hint="eastAsia" w:ascii="宋体" w:hAnsi="宋体" w:eastAsia="宋体" w:cs="宋体"/>
          <w:color w:val="000000" w:themeColor="text1"/>
          <w:sz w:val="28"/>
          <w:szCs w:val="28"/>
          <w:highlight w:val="none"/>
          <w:lang w:val="en-US" w:eastAsia="zh-CN"/>
          <w14:textFill>
            <w14:solidFill>
              <w14:schemeClr w14:val="tx1"/>
            </w14:solidFill>
          </w14:textFill>
        </w:rPr>
        <w:t>8.供应商可提供有利于投标的其他证明材料</w:t>
      </w:r>
      <w:bookmarkEnd w:id="1189"/>
    </w:p>
    <w:p>
      <w:pPr>
        <w:pStyle w:val="118"/>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项目团队成员明细</w:t>
      </w:r>
    </w:p>
    <w:p>
      <w:pPr>
        <w:pStyle w:val="119"/>
        <w:jc w:val="center"/>
        <w:rPr>
          <w:rFonts w:ascii="宋体" w:hAnsi="宋体"/>
          <w:color w:val="000000" w:themeColor="text1"/>
          <w:kern w:val="2"/>
          <w:sz w:val="21"/>
          <w14:textFill>
            <w14:solidFill>
              <w14:schemeClr w14:val="tx1"/>
            </w14:solidFill>
          </w14:textFill>
        </w:rPr>
      </w:pPr>
    </w:p>
    <w:tbl>
      <w:tblPr>
        <w:tblStyle w:val="33"/>
        <w:tblpPr w:leftFromText="180" w:rightFromText="180" w:vertAnchor="text" w:tblpX="-136" w:tblpY="1"/>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708"/>
        <w:gridCol w:w="709"/>
        <w:gridCol w:w="708"/>
        <w:gridCol w:w="1136"/>
        <w:gridCol w:w="850"/>
        <w:gridCol w:w="709"/>
        <w:gridCol w:w="851"/>
        <w:gridCol w:w="1134"/>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序号</w:t>
            </w:r>
          </w:p>
        </w:tc>
        <w:tc>
          <w:tcPr>
            <w:tcW w:w="709" w:type="dxa"/>
            <w:vMerge w:val="restart"/>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default" w:ascii="宋体" w:hAnsi="宋体"/>
                <w:color w:val="000000" w:themeColor="text1"/>
                <w:kern w:val="2"/>
                <w:sz w:val="21"/>
                <w:szCs w:val="21"/>
                <w14:textFill>
                  <w14:solidFill>
                    <w14:schemeClr w14:val="tx1"/>
                  </w14:solidFill>
                </w14:textFill>
              </w:rPr>
              <w:t>职务</w:t>
            </w:r>
          </w:p>
        </w:tc>
        <w:tc>
          <w:tcPr>
            <w:tcW w:w="708" w:type="dxa"/>
            <w:vMerge w:val="restart"/>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default" w:ascii="宋体" w:hAnsi="宋体"/>
                <w:color w:val="000000" w:themeColor="text1"/>
                <w:kern w:val="2"/>
                <w:sz w:val="21"/>
                <w:szCs w:val="21"/>
                <w14:textFill>
                  <w14:solidFill>
                    <w14:schemeClr w14:val="tx1"/>
                  </w14:solidFill>
                </w14:textFill>
              </w:rPr>
              <w:t>姓名</w:t>
            </w:r>
          </w:p>
        </w:tc>
        <w:tc>
          <w:tcPr>
            <w:tcW w:w="709" w:type="dxa"/>
            <w:vMerge w:val="restart"/>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default" w:ascii="宋体" w:hAnsi="宋体"/>
                <w:color w:val="000000" w:themeColor="text1"/>
                <w:kern w:val="2"/>
                <w:sz w:val="21"/>
                <w:szCs w:val="21"/>
                <w14:textFill>
                  <w14:solidFill>
                    <w14:schemeClr w14:val="tx1"/>
                  </w14:solidFill>
                </w14:textFill>
              </w:rPr>
              <w:t>职称</w:t>
            </w:r>
          </w:p>
        </w:tc>
        <w:tc>
          <w:tcPr>
            <w:tcW w:w="708" w:type="dxa"/>
            <w:vMerge w:val="restart"/>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工作年限</w:t>
            </w:r>
          </w:p>
        </w:tc>
        <w:tc>
          <w:tcPr>
            <w:tcW w:w="4680" w:type="dxa"/>
            <w:gridSpan w:val="5"/>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default" w:ascii="宋体" w:hAnsi="宋体"/>
                <w:color w:val="000000" w:themeColor="text1"/>
                <w:kern w:val="2"/>
                <w:sz w:val="21"/>
                <w:szCs w:val="21"/>
                <w14:textFill>
                  <w14:solidFill>
                    <w14:schemeClr w14:val="tx1"/>
                  </w14:solidFill>
                </w14:textFill>
              </w:rPr>
              <w:t>执业或职业资格证明</w:t>
            </w:r>
          </w:p>
        </w:tc>
        <w:tc>
          <w:tcPr>
            <w:tcW w:w="672" w:type="dxa"/>
            <w:vMerge w:val="restart"/>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default" w:ascii="宋体" w:hAnsi="宋体"/>
                <w:color w:val="000000" w:themeColor="text1"/>
                <w:kern w:val="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vMerge w:val="continue"/>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vMerge w:val="continue"/>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vMerge w:val="continue"/>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vMerge w:val="continue"/>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6"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default" w:ascii="宋体" w:hAnsi="宋体"/>
                <w:color w:val="000000" w:themeColor="text1"/>
                <w:kern w:val="2"/>
                <w:sz w:val="21"/>
                <w:szCs w:val="21"/>
                <w14:textFill>
                  <w14:solidFill>
                    <w14:schemeClr w14:val="tx1"/>
                  </w14:solidFill>
                </w14:textFill>
              </w:rPr>
              <w:t>证书名称</w:t>
            </w:r>
          </w:p>
        </w:tc>
        <w:tc>
          <w:tcPr>
            <w:tcW w:w="850"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default" w:ascii="宋体" w:hAnsi="宋体"/>
                <w:color w:val="000000" w:themeColor="text1"/>
                <w:kern w:val="2"/>
                <w:sz w:val="21"/>
                <w:szCs w:val="21"/>
                <w14:textFill>
                  <w14:solidFill>
                    <w14:schemeClr w14:val="tx1"/>
                  </w14:solidFill>
                </w14:textFill>
              </w:rPr>
              <w:t>级别</w:t>
            </w: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default" w:ascii="宋体" w:hAnsi="宋体"/>
                <w:color w:val="000000" w:themeColor="text1"/>
                <w:kern w:val="2"/>
                <w:sz w:val="21"/>
                <w:szCs w:val="21"/>
                <w14:textFill>
                  <w14:solidFill>
                    <w14:schemeClr w14:val="tx1"/>
                  </w14:solidFill>
                </w14:textFill>
              </w:rPr>
              <w:t>证号</w:t>
            </w:r>
          </w:p>
        </w:tc>
        <w:tc>
          <w:tcPr>
            <w:tcW w:w="851"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default" w:ascii="宋体" w:hAnsi="宋体"/>
                <w:color w:val="000000" w:themeColor="text1"/>
                <w:kern w:val="2"/>
                <w:sz w:val="21"/>
                <w:szCs w:val="21"/>
                <w14:textFill>
                  <w14:solidFill>
                    <w14:schemeClr w14:val="tx1"/>
                  </w14:solidFill>
                </w14:textFill>
              </w:rPr>
              <w:t>专业</w:t>
            </w:r>
          </w:p>
        </w:tc>
        <w:tc>
          <w:tcPr>
            <w:tcW w:w="1134"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default" w:ascii="宋体" w:hAnsi="宋体"/>
                <w:color w:val="000000" w:themeColor="text1"/>
                <w:kern w:val="2"/>
                <w:sz w:val="21"/>
                <w:szCs w:val="21"/>
                <w14:textFill>
                  <w14:solidFill>
                    <w14:schemeClr w14:val="tx1"/>
                  </w14:solidFill>
                </w14:textFill>
              </w:rPr>
              <w:t>养老保险</w:t>
            </w:r>
          </w:p>
        </w:tc>
        <w:tc>
          <w:tcPr>
            <w:tcW w:w="672" w:type="dxa"/>
            <w:vMerge w:val="continue"/>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6"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850"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851"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4"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672"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6"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850"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851"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4"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672"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6"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850"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851"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4"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672"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6"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850"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851"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4"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672"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6"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850"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851"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4"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672"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bl>
    <w:p>
      <w:pPr>
        <w:pStyle w:val="119"/>
        <w:ind w:firstLine="210" w:firstLineChars="100"/>
        <w:rPr>
          <w:rFonts w:ascii="宋体" w:hAnsi="宋体"/>
          <w:color w:val="000000" w:themeColor="text1"/>
          <w:kern w:val="2"/>
          <w:sz w:val="21"/>
          <w14:textFill>
            <w14:solidFill>
              <w14:schemeClr w14:val="tx1"/>
            </w14:solidFill>
          </w14:textFill>
        </w:rPr>
      </w:pPr>
      <w:r>
        <w:rPr>
          <w:rFonts w:hint="eastAsia" w:ascii="宋体" w:hAnsi="宋体"/>
          <w:color w:val="000000" w:themeColor="text1"/>
          <w:kern w:val="2"/>
          <w:sz w:val="21"/>
          <w14:textFill>
            <w14:solidFill>
              <w14:schemeClr w14:val="tx1"/>
            </w14:solidFill>
          </w14:textFill>
        </w:rPr>
        <w:t>注：提供拟投入本项目的全部人员信息。工作年限中填写</w:t>
      </w:r>
      <w:r>
        <w:rPr>
          <w:rFonts w:hint="eastAsia" w:ascii="宋体" w:hAnsi="宋体"/>
          <w:color w:val="000000" w:themeColor="text1"/>
          <w:kern w:val="2"/>
          <w:sz w:val="21"/>
          <w:lang w:eastAsia="zh-CN"/>
          <w14:textFill>
            <w14:solidFill>
              <w14:schemeClr w14:val="tx1"/>
            </w14:solidFill>
          </w14:textFill>
        </w:rPr>
        <w:t>从事</w:t>
      </w:r>
      <w:r>
        <w:rPr>
          <w:rFonts w:hint="eastAsia" w:ascii="宋体" w:hAnsi="宋体"/>
          <w:color w:val="000000" w:themeColor="text1"/>
          <w:kern w:val="2"/>
          <w:sz w:val="21"/>
          <w14:textFill>
            <w14:solidFill>
              <w14:schemeClr w14:val="tx1"/>
            </w14:solidFill>
          </w14:textFill>
        </w:rPr>
        <w:t>医疗设备、器械销售或售后服务年限。</w:t>
      </w:r>
    </w:p>
    <w:p>
      <w:pPr>
        <w:pStyle w:val="120"/>
        <w:rPr>
          <w:rFonts w:ascii="宋体" w:hAnsi="宋体" w:eastAsia="宋体"/>
          <w:color w:val="000000" w:themeColor="text1"/>
          <w14:textFill>
            <w14:solidFill>
              <w14:schemeClr w14:val="tx1"/>
            </w14:solidFill>
          </w14:textFill>
        </w:rPr>
      </w:pPr>
    </w:p>
    <w:p>
      <w:pPr>
        <w:pStyle w:val="19"/>
        <w:adjustRightInd w:val="0"/>
        <w:snapToGrid w:val="0"/>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供应商名称(盖单位章)：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(签字或盖章)：</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pStyle w:val="120"/>
        <w:rPr>
          <w:rFonts w:hint="eastAsia" w:ascii="宋体" w:hAnsi="宋体" w:eastAsia="宋体"/>
          <w:color w:val="000000" w:themeColor="text1"/>
          <w14:textFill>
            <w14:solidFill>
              <w14:schemeClr w14:val="tx1"/>
            </w14:solidFill>
          </w14:textFill>
        </w:rPr>
      </w:pPr>
    </w:p>
    <w:p>
      <w:pPr>
        <w:pStyle w:val="120"/>
        <w:rPr>
          <w:rFonts w:ascii="宋体" w:hAnsi="宋体" w:eastAsia="宋体"/>
          <w:color w:val="000000" w:themeColor="text1"/>
          <w14:textFill>
            <w14:solidFill>
              <w14:schemeClr w14:val="tx1"/>
            </w14:solidFill>
          </w14:textFill>
        </w:rPr>
      </w:pPr>
    </w:p>
    <w:p>
      <w:pPr>
        <w:pStyle w:val="118"/>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项目人员简历表</w:t>
      </w:r>
    </w:p>
    <w:tbl>
      <w:tblPr>
        <w:tblStyle w:val="33"/>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96"/>
        <w:gridCol w:w="807"/>
        <w:gridCol w:w="1362"/>
        <w:gridCol w:w="1190"/>
        <w:gridCol w:w="1984"/>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8" w:type="dxa"/>
            <w:gridSpan w:val="2"/>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p>
        </w:tc>
        <w:tc>
          <w:tcPr>
            <w:tcW w:w="807"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1362"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龄</w:t>
            </w:r>
          </w:p>
        </w:tc>
        <w:tc>
          <w:tcPr>
            <w:tcW w:w="1190"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198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学历</w:t>
            </w:r>
          </w:p>
        </w:tc>
        <w:tc>
          <w:tcPr>
            <w:tcW w:w="201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8" w:type="dxa"/>
            <w:gridSpan w:val="2"/>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  称</w:t>
            </w:r>
          </w:p>
        </w:tc>
        <w:tc>
          <w:tcPr>
            <w:tcW w:w="807"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1362"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  务</w:t>
            </w:r>
          </w:p>
        </w:tc>
        <w:tc>
          <w:tcPr>
            <w:tcW w:w="1190"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198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拟在本工程任职</w:t>
            </w:r>
          </w:p>
        </w:tc>
        <w:tc>
          <w:tcPr>
            <w:tcW w:w="201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gridSpan w:val="3"/>
            <w:vMerge w:val="restart"/>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注册类专业证书</w:t>
            </w:r>
          </w:p>
        </w:tc>
        <w:tc>
          <w:tcPr>
            <w:tcW w:w="2552" w:type="dxa"/>
            <w:gridSpan w:val="2"/>
            <w:noWrap w:val="0"/>
            <w:vAlign w:val="center"/>
          </w:tcPr>
          <w:p>
            <w:pPr>
              <w:pStyle w:val="121"/>
              <w:keepNext w:val="0"/>
              <w:keepLines w:val="0"/>
              <w:suppressLineNumbers w:val="0"/>
              <w:spacing w:before="0" w:beforeAutospacing="0" w:after="0" w:afterAutospacing="0" w:line="400" w:lineRule="exact"/>
              <w:ind w:left="0" w:right="0"/>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证书名称：</w:t>
            </w:r>
          </w:p>
        </w:tc>
        <w:tc>
          <w:tcPr>
            <w:tcW w:w="198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级</w:t>
            </w:r>
          </w:p>
        </w:tc>
        <w:tc>
          <w:tcPr>
            <w:tcW w:w="201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gridSpan w:val="3"/>
            <w:vMerge w:val="continue"/>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2552" w:type="dxa"/>
            <w:gridSpan w:val="2"/>
            <w:noWrap w:val="0"/>
            <w:vAlign w:val="center"/>
          </w:tcPr>
          <w:p>
            <w:pPr>
              <w:pStyle w:val="121"/>
              <w:keepNext w:val="0"/>
              <w:keepLines w:val="0"/>
              <w:suppressLineNumbers w:val="0"/>
              <w:spacing w:before="0" w:beforeAutospacing="0" w:after="0" w:afterAutospacing="0" w:line="400" w:lineRule="exact"/>
              <w:ind w:left="0" w:right="0"/>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w:t>
            </w:r>
          </w:p>
        </w:tc>
        <w:tc>
          <w:tcPr>
            <w:tcW w:w="198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w:t>
            </w:r>
          </w:p>
        </w:tc>
        <w:tc>
          <w:tcPr>
            <w:tcW w:w="201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gridSpan w:val="3"/>
            <w:vMerge w:val="restart"/>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职称类专业证书</w:t>
            </w:r>
          </w:p>
        </w:tc>
        <w:tc>
          <w:tcPr>
            <w:tcW w:w="2552" w:type="dxa"/>
            <w:gridSpan w:val="2"/>
            <w:noWrap w:val="0"/>
            <w:vAlign w:val="center"/>
          </w:tcPr>
          <w:p>
            <w:pPr>
              <w:pStyle w:val="121"/>
              <w:keepNext w:val="0"/>
              <w:keepLines w:val="0"/>
              <w:suppressLineNumbers w:val="0"/>
              <w:spacing w:before="0" w:beforeAutospacing="0" w:after="0" w:afterAutospacing="0" w:line="400" w:lineRule="exact"/>
              <w:ind w:left="0" w:right="0"/>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证书名称：</w:t>
            </w:r>
          </w:p>
        </w:tc>
        <w:tc>
          <w:tcPr>
            <w:tcW w:w="198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级</w:t>
            </w:r>
          </w:p>
        </w:tc>
        <w:tc>
          <w:tcPr>
            <w:tcW w:w="201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gridSpan w:val="3"/>
            <w:vMerge w:val="continue"/>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2552" w:type="dxa"/>
            <w:gridSpan w:val="2"/>
            <w:noWrap w:val="0"/>
            <w:vAlign w:val="center"/>
          </w:tcPr>
          <w:p>
            <w:pPr>
              <w:pStyle w:val="121"/>
              <w:keepNext w:val="0"/>
              <w:keepLines w:val="0"/>
              <w:suppressLineNumbers w:val="0"/>
              <w:spacing w:before="0" w:beforeAutospacing="0" w:after="0" w:afterAutospacing="0" w:line="400" w:lineRule="exact"/>
              <w:ind w:left="0" w:right="0"/>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w:t>
            </w:r>
          </w:p>
        </w:tc>
        <w:tc>
          <w:tcPr>
            <w:tcW w:w="198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w:t>
            </w:r>
          </w:p>
        </w:tc>
        <w:tc>
          <w:tcPr>
            <w:tcW w:w="201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gridSpan w:val="3"/>
            <w:vMerge w:val="restart"/>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其他证书</w:t>
            </w:r>
          </w:p>
        </w:tc>
        <w:tc>
          <w:tcPr>
            <w:tcW w:w="2552" w:type="dxa"/>
            <w:gridSpan w:val="2"/>
            <w:noWrap w:val="0"/>
            <w:vAlign w:val="center"/>
          </w:tcPr>
          <w:p>
            <w:pPr>
              <w:pStyle w:val="121"/>
              <w:keepNext w:val="0"/>
              <w:keepLines w:val="0"/>
              <w:suppressLineNumbers w:val="0"/>
              <w:spacing w:before="0" w:beforeAutospacing="0" w:after="0" w:afterAutospacing="0" w:line="400" w:lineRule="exact"/>
              <w:ind w:left="0" w:right="0"/>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证书名称：</w:t>
            </w:r>
          </w:p>
        </w:tc>
        <w:tc>
          <w:tcPr>
            <w:tcW w:w="198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级</w:t>
            </w:r>
          </w:p>
        </w:tc>
        <w:tc>
          <w:tcPr>
            <w:tcW w:w="201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gridSpan w:val="3"/>
            <w:vMerge w:val="continue"/>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2552" w:type="dxa"/>
            <w:gridSpan w:val="2"/>
            <w:noWrap w:val="0"/>
            <w:vAlign w:val="center"/>
          </w:tcPr>
          <w:p>
            <w:pPr>
              <w:pStyle w:val="121"/>
              <w:keepNext w:val="0"/>
              <w:keepLines w:val="0"/>
              <w:suppressLineNumbers w:val="0"/>
              <w:spacing w:before="0" w:beforeAutospacing="0" w:after="0" w:afterAutospacing="0" w:line="400" w:lineRule="exact"/>
              <w:ind w:left="0" w:right="0"/>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w:t>
            </w:r>
          </w:p>
        </w:tc>
        <w:tc>
          <w:tcPr>
            <w:tcW w:w="198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w:t>
            </w:r>
          </w:p>
        </w:tc>
        <w:tc>
          <w:tcPr>
            <w:tcW w:w="201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毕业学校</w:t>
            </w:r>
          </w:p>
        </w:tc>
        <w:tc>
          <w:tcPr>
            <w:tcW w:w="7553" w:type="dxa"/>
            <w:gridSpan w:val="6"/>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5" w:type="dxa"/>
            <w:gridSpan w:val="7"/>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时  间</w:t>
            </w:r>
          </w:p>
        </w:tc>
        <w:tc>
          <w:tcPr>
            <w:tcW w:w="3555" w:type="dxa"/>
            <w:gridSpan w:val="4"/>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参加过的类似项目名称</w:t>
            </w:r>
          </w:p>
        </w:tc>
        <w:tc>
          <w:tcPr>
            <w:tcW w:w="198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工程概况说明</w:t>
            </w:r>
          </w:p>
        </w:tc>
        <w:tc>
          <w:tcPr>
            <w:tcW w:w="201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3555" w:type="dxa"/>
            <w:gridSpan w:val="4"/>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198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201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3555" w:type="dxa"/>
            <w:gridSpan w:val="4"/>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198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c>
          <w:tcPr>
            <w:tcW w:w="2014" w:type="dxa"/>
            <w:noWrap w:val="0"/>
            <w:vAlign w:val="center"/>
          </w:tcPr>
          <w:p>
            <w:pPr>
              <w:pStyle w:val="121"/>
              <w:keepNext w:val="0"/>
              <w:keepLines w:val="0"/>
              <w:suppressLineNumbers w:val="0"/>
              <w:spacing w:before="0" w:beforeAutospacing="0" w:after="0" w:afterAutospacing="0" w:line="400" w:lineRule="exact"/>
              <w:ind w:left="0" w:right="0"/>
              <w:jc w:val="center"/>
              <w:rPr>
                <w:rFonts w:hint="default" w:ascii="宋体" w:hAnsi="宋体"/>
                <w:color w:val="000000" w:themeColor="text1"/>
                <w:szCs w:val="21"/>
                <w14:textFill>
                  <w14:solidFill>
                    <w14:schemeClr w14:val="tx1"/>
                  </w14:solidFill>
                </w14:textFill>
              </w:rPr>
            </w:pPr>
          </w:p>
        </w:tc>
      </w:tr>
    </w:tbl>
    <w:p>
      <w:pPr>
        <w:pStyle w:val="121"/>
        <w:spacing w:line="360" w:lineRule="auto"/>
        <w:ind w:firstLine="420" w:firstLineChars="200"/>
        <w:rPr>
          <w:rFonts w:hint="eastAsia" w:ascii="宋体" w:hAnsi="宋体"/>
          <w:b/>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注：提供拟投入本项目的全部人员简历表，每人一张表。后附人员身份证、职称证、资格证、岗位证、学历证明、业绩证明、社保证明及采购文件要求的其他相关证件、证明等材料复印件。</w:t>
      </w:r>
    </w:p>
    <w:p>
      <w:pPr>
        <w:pStyle w:val="118"/>
        <w:jc w:val="center"/>
        <w:rPr>
          <w:rFonts w:hint="eastAsia" w:ascii="宋体" w:hAnsi="宋体"/>
          <w:b/>
          <w:color w:val="000000" w:themeColor="text1"/>
          <w:sz w:val="24"/>
          <w14:textFill>
            <w14:solidFill>
              <w14:schemeClr w14:val="tx1"/>
            </w14:solidFill>
          </w14:textFill>
        </w:rPr>
      </w:pPr>
    </w:p>
    <w:p>
      <w:pPr>
        <w:pStyle w:val="118"/>
        <w:jc w:val="center"/>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同类</w:t>
      </w:r>
      <w:r>
        <w:rPr>
          <w:rFonts w:ascii="宋体" w:hAnsi="宋体"/>
          <w:b/>
          <w:color w:val="000000" w:themeColor="text1"/>
          <w:sz w:val="24"/>
          <w14:textFill>
            <w14:solidFill>
              <w14:schemeClr w14:val="tx1"/>
            </w14:solidFill>
          </w14:textFill>
        </w:rPr>
        <w:t>项目业绩表</w:t>
      </w:r>
    </w:p>
    <w:p>
      <w:pPr>
        <w:pStyle w:val="122"/>
        <w:spacing w:line="360" w:lineRule="auto"/>
        <w:outlineLvl w:val="2"/>
        <w:rPr>
          <w:rFonts w:ascii="宋体" w:hAnsi="宋体" w:eastAsia="宋体"/>
          <w:color w:val="000000" w:themeColor="text1"/>
          <w:sz w:val="24"/>
          <w14:textFill>
            <w14:solidFill>
              <w14:schemeClr w14:val="tx1"/>
            </w14:solidFill>
          </w14:textFill>
        </w:rPr>
      </w:pPr>
    </w:p>
    <w:tbl>
      <w:tblPr>
        <w:tblStyle w:val="33"/>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34"/>
        <w:gridCol w:w="1276"/>
        <w:gridCol w:w="1559"/>
        <w:gridCol w:w="992"/>
        <w:gridCol w:w="709"/>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序号</w:t>
            </w:r>
          </w:p>
        </w:tc>
        <w:tc>
          <w:tcPr>
            <w:tcW w:w="1134"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项目名称</w:t>
            </w:r>
          </w:p>
        </w:tc>
        <w:tc>
          <w:tcPr>
            <w:tcW w:w="1276"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甲方（委托方）名称</w:t>
            </w:r>
          </w:p>
        </w:tc>
        <w:tc>
          <w:tcPr>
            <w:tcW w:w="155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甲方（委托方）联系人及电话</w:t>
            </w:r>
          </w:p>
        </w:tc>
        <w:tc>
          <w:tcPr>
            <w:tcW w:w="992"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实施具体内容</w:t>
            </w: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项目期限</w:t>
            </w: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合同金额</w:t>
            </w:r>
          </w:p>
        </w:tc>
        <w:tc>
          <w:tcPr>
            <w:tcW w:w="708"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项目地点</w:t>
            </w:r>
          </w:p>
        </w:tc>
        <w:tc>
          <w:tcPr>
            <w:tcW w:w="709" w:type="dxa"/>
            <w:noWrap w:val="0"/>
            <w:vAlign w:val="center"/>
          </w:tcPr>
          <w:p>
            <w:pPr>
              <w:pStyle w:val="119"/>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4"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276"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55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992"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4"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276"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55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992"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4"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276"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55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992"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4"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276"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55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992"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4"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276"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55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992"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4"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276"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55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992"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134"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276"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155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992"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8"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c>
          <w:tcPr>
            <w:tcW w:w="709" w:type="dxa"/>
            <w:noWrap w:val="0"/>
            <w:vAlign w:val="center"/>
          </w:tcPr>
          <w:p>
            <w:pPr>
              <w:pStyle w:val="123"/>
              <w:keepNext w:val="0"/>
              <w:keepLines w:val="0"/>
              <w:suppressLineNumbers w:val="0"/>
              <w:spacing w:before="0" w:beforeAutospacing="0" w:after="0" w:afterAutospacing="0" w:line="400" w:lineRule="exact"/>
              <w:ind w:left="0" w:right="0"/>
              <w:jc w:val="center"/>
              <w:rPr>
                <w:rFonts w:hint="default" w:ascii="宋体" w:hAnsi="宋体"/>
                <w:color w:val="000000" w:themeColor="text1"/>
                <w:kern w:val="2"/>
                <w:sz w:val="21"/>
                <w:szCs w:val="21"/>
                <w14:textFill>
                  <w14:solidFill>
                    <w14:schemeClr w14:val="tx1"/>
                  </w14:solidFill>
                </w14:textFill>
              </w:rPr>
            </w:pPr>
          </w:p>
        </w:tc>
      </w:tr>
    </w:tbl>
    <w:p>
      <w:pPr>
        <w:pStyle w:val="124"/>
        <w:autoSpaceDE w:val="0"/>
        <w:autoSpaceDN w:val="0"/>
        <w:spacing w:line="360" w:lineRule="auto"/>
        <w:rPr>
          <w:rFonts w:hint="eastAsia" w:ascii="宋体" w:hAnsi="宋体"/>
          <w:color w:val="000000" w:themeColor="text1"/>
          <w:szCs w:val="21"/>
          <w14:textFill>
            <w14:solidFill>
              <w14:schemeClr w14:val="tx1"/>
            </w14:solidFill>
          </w14:textFill>
        </w:rPr>
      </w:pPr>
    </w:p>
    <w:p>
      <w:pPr>
        <w:pStyle w:val="124"/>
        <w:autoSpaceDE w:val="0"/>
        <w:autoSpaceDN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注：1、后附</w:t>
      </w:r>
      <w:r>
        <w:rPr>
          <w:rFonts w:hint="eastAsia" w:ascii="宋体" w:hAnsi="宋体"/>
          <w:color w:val="000000" w:themeColor="text1"/>
          <w:szCs w:val="21"/>
          <w:lang w:val="en-US" w:eastAsia="zh-CN"/>
          <w14:textFill>
            <w14:solidFill>
              <w14:schemeClr w14:val="tx1"/>
            </w14:solidFill>
          </w14:textFill>
        </w:rPr>
        <w:t>中标/成交通知书及</w:t>
      </w:r>
      <w:r>
        <w:rPr>
          <w:rFonts w:hint="eastAsia" w:ascii="宋体" w:hAnsi="宋体"/>
          <w:color w:val="000000" w:themeColor="text1"/>
          <w:szCs w:val="21"/>
          <w14:textFill>
            <w14:solidFill>
              <w14:schemeClr w14:val="tx1"/>
            </w14:solidFill>
          </w14:textFill>
        </w:rPr>
        <w:t>合同复印件，否则不予认可；</w:t>
      </w:r>
    </w:p>
    <w:p>
      <w:pPr>
        <w:pStyle w:val="124"/>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2、实施具体内容请详细说明所承担的具体工作内容；</w:t>
      </w:r>
    </w:p>
    <w:p>
      <w:pPr>
        <w:pStyle w:val="19"/>
        <w:adjustRightInd w:val="0"/>
        <w:snapToGrid w:val="0"/>
        <w:spacing w:line="360" w:lineRule="auto"/>
        <w:rPr>
          <w:rFonts w:hint="eastAsia" w:hAnsi="宋体" w:cs="宋体"/>
          <w:color w:val="000000" w:themeColor="text1"/>
          <w14:textFill>
            <w14:solidFill>
              <w14:schemeClr w14:val="tx1"/>
            </w14:solidFill>
          </w14:textFill>
        </w:rPr>
      </w:pPr>
    </w:p>
    <w:p>
      <w:pPr>
        <w:pStyle w:val="19"/>
        <w:adjustRightInd w:val="0"/>
        <w:snapToGrid w:val="0"/>
        <w:spacing w:line="360" w:lineRule="auto"/>
        <w:rPr>
          <w:rFonts w:hint="eastAsia" w:hAnsi="宋体" w:cs="宋体"/>
          <w:color w:val="000000" w:themeColor="text1"/>
          <w14:textFill>
            <w14:solidFill>
              <w14:schemeClr w14:val="tx1"/>
            </w14:solidFill>
          </w14:textFill>
        </w:rPr>
      </w:pPr>
    </w:p>
    <w:p>
      <w:pPr>
        <w:pStyle w:val="19"/>
        <w:adjustRightInd w:val="0"/>
        <w:snapToGrid w:val="0"/>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供应商名称(盖单位章)：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(签字或盖章)：</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pStyle w:val="121"/>
        <w:spacing w:line="360" w:lineRule="auto"/>
        <w:ind w:firstLine="420" w:firstLineChars="200"/>
        <w:rPr>
          <w:rFonts w:ascii="宋体" w:hAnsi="宋体"/>
          <w:color w:val="000000" w:themeColor="text1"/>
          <w14:textFill>
            <w14:solidFill>
              <w14:schemeClr w14:val="tx1"/>
            </w14:solidFill>
          </w14:textFill>
        </w:rPr>
      </w:pPr>
    </w:p>
    <w:p>
      <w:pPr>
        <w:pStyle w:val="6"/>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rPr>
          <w:rFonts w:hint="default" w:ascii="宋体" w:hAnsi="宋体" w:eastAsia="宋体" w:cs="宋体"/>
          <w:b w:val="0"/>
          <w:i w:val="0"/>
          <w:caps w:val="0"/>
          <w:color w:val="000000" w:themeColor="text1"/>
          <w:spacing w:val="0"/>
          <w:w w:val="100"/>
          <w:kern w:val="0"/>
          <w:sz w:val="24"/>
          <w:szCs w:val="20"/>
          <w:lang w:val="en-US" w:eastAsia="zh-CN"/>
          <w14:textFill>
            <w14:solidFill>
              <w14:schemeClr w14:val="tx1"/>
            </w14:solidFill>
          </w14:textFill>
        </w:rPr>
      </w:pPr>
    </w:p>
    <w:p>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190" w:name="_Toc23006"/>
      <w:r>
        <w:rPr>
          <w:rFonts w:hint="eastAsia" w:ascii="宋体" w:hAnsi="宋体" w:eastAsia="宋体" w:cs="宋体"/>
          <w:color w:val="000000" w:themeColor="text1"/>
          <w:sz w:val="28"/>
          <w:szCs w:val="28"/>
          <w:highlight w:val="none"/>
          <w:lang w:val="en-US" w:eastAsia="zh-CN"/>
          <w14:textFill>
            <w14:solidFill>
              <w14:schemeClr w14:val="tx1"/>
            </w14:solidFill>
          </w14:textFill>
        </w:rPr>
        <w:t>9.投标文件格式范本</w:t>
      </w:r>
      <w:bookmarkEnd w:id="1190"/>
    </w:p>
    <w:tbl>
      <w:tblPr>
        <w:tblStyle w:val="33"/>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4"/>
              <w:keepNext w:val="0"/>
              <w:keepLines w:val="0"/>
              <w:suppressLineNumbers w:val="0"/>
              <w:tabs>
                <w:tab w:val="left" w:pos="567"/>
              </w:tabs>
              <w:spacing w:before="0" w:beforeAutospacing="0" w:afterAutospacing="0"/>
              <w:ind w:left="0" w:right="0"/>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                                                </w:t>
            </w:r>
          </w:p>
          <w:p>
            <w:pPr>
              <w:pStyle w:val="14"/>
              <w:keepNext w:val="0"/>
              <w:keepLines w:val="0"/>
              <w:suppressLineNumbers w:val="0"/>
              <w:tabs>
                <w:tab w:val="left" w:pos="567"/>
              </w:tabs>
              <w:spacing w:before="0" w:beforeAutospacing="0" w:afterAutospacing="0"/>
              <w:ind w:left="0" w:right="0" w:firstLine="4216" w:firstLineChars="1500"/>
              <w:rPr>
                <w:rFonts w:hint="eastAsia" w:ascii="宋体" w:hAnsi="宋体" w:eastAsia="宋体" w:cs="宋体"/>
                <w:b/>
                <w:bCs/>
                <w:color w:val="000000" w:themeColor="text1"/>
                <w:sz w:val="28"/>
                <w:szCs w:val="28"/>
                <w:highlight w:val="none"/>
                <w14:textFill>
                  <w14:solidFill>
                    <w14:schemeClr w14:val="tx1"/>
                  </w14:solidFill>
                </w14:textFill>
              </w:rPr>
            </w:pPr>
          </w:p>
          <w:p>
            <w:pPr>
              <w:pStyle w:val="14"/>
              <w:keepNext w:val="0"/>
              <w:keepLines w:val="0"/>
              <w:suppressLineNumbers w:val="0"/>
              <w:tabs>
                <w:tab w:val="left" w:pos="567"/>
              </w:tabs>
              <w:spacing w:before="0" w:beforeAutospacing="0" w:afterAutospacing="0"/>
              <w:ind w:left="0" w:right="0" w:firstLine="4216" w:firstLineChars="1500"/>
              <w:rPr>
                <w:rFonts w:hint="eastAsia" w:ascii="宋体" w:hAnsi="宋体" w:eastAsia="宋体" w:cs="宋体"/>
                <w:b/>
                <w:bCs/>
                <w:color w:val="000000" w:themeColor="text1"/>
                <w:sz w:val="28"/>
                <w:szCs w:val="28"/>
                <w:highlight w:val="none"/>
                <w14:textFill>
                  <w14:solidFill>
                    <w14:schemeClr w14:val="tx1"/>
                  </w14:solidFill>
                </w14:textFill>
              </w:rPr>
            </w:pPr>
          </w:p>
          <w:p>
            <w:pPr>
              <w:pStyle w:val="14"/>
              <w:keepNext w:val="0"/>
              <w:keepLines w:val="0"/>
              <w:suppressLineNumbers w:val="0"/>
              <w:tabs>
                <w:tab w:val="left" w:pos="567"/>
              </w:tabs>
              <w:spacing w:before="0" w:beforeAutospacing="0" w:afterAutospacing="0"/>
              <w:ind w:left="0" w:right="0"/>
              <w:rPr>
                <w:rFonts w:hint="eastAsia" w:ascii="宋体" w:hAnsi="宋体" w:eastAsia="宋体" w:cs="宋体"/>
                <w:b/>
                <w:bCs/>
                <w:color w:val="000000" w:themeColor="text1"/>
                <w:sz w:val="28"/>
                <w:szCs w:val="28"/>
                <w:highlight w:val="none"/>
                <w14:textFill>
                  <w14:solidFill>
                    <w14:schemeClr w14:val="tx1"/>
                  </w14:solidFill>
                </w14:textFill>
              </w:rPr>
            </w:pPr>
          </w:p>
          <w:p>
            <w:pPr>
              <w:pStyle w:val="14"/>
              <w:keepNext w:val="0"/>
              <w:keepLines w:val="0"/>
              <w:suppressLineNumbers w:val="0"/>
              <w:tabs>
                <w:tab w:val="left" w:pos="567"/>
              </w:tabs>
              <w:spacing w:before="0" w:beforeAutospacing="0" w:afterAutospacing="0"/>
              <w:ind w:left="0" w:right="0" w:firstLine="1897" w:firstLineChars="9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项目</w:t>
            </w:r>
          </w:p>
          <w:p>
            <w:pPr>
              <w:pStyle w:val="14"/>
              <w:keepNext w:val="0"/>
              <w:keepLines w:val="0"/>
              <w:suppressLineNumbers w:val="0"/>
              <w:tabs>
                <w:tab w:val="left" w:pos="567"/>
              </w:tabs>
              <w:spacing w:before="0" w:beforeAutospacing="0" w:afterAutospacing="0"/>
              <w:ind w:left="0" w:right="0"/>
              <w:jc w:val="center"/>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suppressLineNumbers w:val="0"/>
              <w:spacing w:before="0" w:beforeAutospacing="0" w:after="0" w:afterAutospacing="0"/>
              <w:ind w:left="0" w:right="0"/>
              <w:rPr>
                <w:rFonts w:hint="eastAsia"/>
                <w:color w:val="000000" w:themeColor="text1"/>
                <w:highlight w:val="none"/>
                <w14:textFill>
                  <w14:solidFill>
                    <w14:schemeClr w14:val="tx1"/>
                  </w14:solidFill>
                </w14:textFill>
              </w:rPr>
            </w:pPr>
          </w:p>
          <w:p>
            <w:pPr>
              <w:pStyle w:val="14"/>
              <w:keepNext w:val="0"/>
              <w:keepLines w:val="0"/>
              <w:suppressLineNumbers w:val="0"/>
              <w:tabs>
                <w:tab w:val="left" w:pos="567"/>
              </w:tabs>
              <w:spacing w:before="0" w:beforeAutospacing="0" w:afterAutospacing="0"/>
              <w:ind w:left="0" w:right="0" w:firstLine="2741" w:firstLineChars="13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cs="宋体"/>
                <w:b/>
                <w:bCs/>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b/>
                <w:bCs/>
                <w:color w:val="000000" w:themeColor="text1"/>
                <w:sz w:val="21"/>
                <w:szCs w:val="21"/>
                <w:highlight w:val="none"/>
                <w14:textFill>
                  <w14:solidFill>
                    <w14:schemeClr w14:val="tx1"/>
                  </w14:solidFill>
                </w14:textFill>
              </w:rPr>
              <w:t>编号 ＊＊＊      包号：＊＊＊</w:t>
            </w:r>
          </w:p>
          <w:p>
            <w:pPr>
              <w:pStyle w:val="14"/>
              <w:keepNext w:val="0"/>
              <w:keepLines w:val="0"/>
              <w:suppressLineNumbers w:val="0"/>
              <w:tabs>
                <w:tab w:val="left" w:pos="567"/>
              </w:tabs>
              <w:spacing w:before="0" w:beforeAutospacing="0" w:afterAutospacing="0"/>
              <w:ind w:left="0" w:right="0"/>
              <w:jc w:val="center"/>
              <w:rPr>
                <w:rFonts w:hint="eastAsia" w:ascii="宋体" w:hAnsi="宋体" w:eastAsia="宋体" w:cs="宋体"/>
                <w:b/>
                <w:bCs/>
                <w:color w:val="000000" w:themeColor="text1"/>
                <w:sz w:val="48"/>
                <w:highlight w:val="none"/>
                <w14:textFill>
                  <w14:solidFill>
                    <w14:schemeClr w14:val="tx1"/>
                  </w14:solidFill>
                </w14:textFill>
              </w:rPr>
            </w:pPr>
          </w:p>
          <w:p>
            <w:pPr>
              <w:pStyle w:val="14"/>
              <w:keepNext w:val="0"/>
              <w:keepLines w:val="0"/>
              <w:suppressLineNumbers w:val="0"/>
              <w:tabs>
                <w:tab w:val="left" w:pos="567"/>
              </w:tabs>
              <w:spacing w:before="0" w:beforeAutospacing="0" w:afterAutospacing="0"/>
              <w:ind w:left="0" w:right="0"/>
              <w:jc w:val="center"/>
              <w:rPr>
                <w:rFonts w:hint="eastAsia" w:ascii="宋体" w:hAnsi="宋体" w:eastAsia="宋体" w:cs="宋体"/>
                <w:b/>
                <w:bCs/>
                <w:color w:val="000000" w:themeColor="text1"/>
                <w:sz w:val="48"/>
                <w:highlight w:val="none"/>
                <w14:textFill>
                  <w14:solidFill>
                    <w14:schemeClr w14:val="tx1"/>
                  </w14:solidFill>
                </w14:textFill>
              </w:rPr>
            </w:pPr>
            <w:r>
              <w:rPr>
                <w:rFonts w:hint="eastAsia" w:ascii="宋体" w:hAnsi="宋体" w:eastAsia="宋体" w:cs="宋体"/>
                <w:b/>
                <w:bCs/>
                <w:color w:val="000000" w:themeColor="text1"/>
                <w:sz w:val="48"/>
                <w:highlight w:val="none"/>
                <w14:textFill>
                  <w14:solidFill>
                    <w14:schemeClr w14:val="tx1"/>
                  </w14:solidFill>
                </w14:textFill>
              </w:rPr>
              <w:t>投 标 文 件</w:t>
            </w:r>
          </w:p>
          <w:p>
            <w:pPr>
              <w:pStyle w:val="5"/>
              <w:keepNext w:val="0"/>
              <w:keepLines w:val="0"/>
              <w:suppressLineNumbers w:val="0"/>
              <w:spacing w:before="0" w:beforeAutospacing="0" w:after="0" w:afterAutospacing="0"/>
              <w:ind w:left="0" w:right="0" w:firstLine="0"/>
              <w:rPr>
                <w:rFonts w:hint="eastAsia" w:ascii="宋体" w:hAnsi="宋体" w:eastAsia="宋体" w:cs="宋体"/>
                <w:b/>
                <w:color w:val="000000" w:themeColor="text1"/>
                <w:sz w:val="32"/>
                <w:highlight w:val="none"/>
                <w14:textFill>
                  <w14:solidFill>
                    <w14:schemeClr w14:val="tx1"/>
                  </w14:solidFill>
                </w14:textFill>
              </w:rPr>
            </w:pPr>
          </w:p>
          <w:p>
            <w:pPr>
              <w:pStyle w:val="5"/>
              <w:keepNext w:val="0"/>
              <w:keepLines w:val="0"/>
              <w:suppressLineNumbers w:val="0"/>
              <w:spacing w:before="0" w:beforeAutospacing="0" w:after="0" w:afterAutospacing="0"/>
              <w:ind w:left="0" w:right="0"/>
              <w:rPr>
                <w:rFonts w:hint="eastAsia" w:ascii="宋体" w:hAnsi="宋体" w:eastAsia="宋体" w:cs="宋体"/>
                <w:b/>
                <w:color w:val="000000" w:themeColor="text1"/>
                <w:sz w:val="32"/>
                <w:highlight w:val="none"/>
                <w14:textFill>
                  <w14:solidFill>
                    <w14:schemeClr w14:val="tx1"/>
                  </w14:solidFill>
                </w14:textFill>
              </w:rPr>
            </w:pPr>
          </w:p>
          <w:p>
            <w:pPr>
              <w:keepNext w:val="0"/>
              <w:keepLines w:val="0"/>
              <w:suppressLineNumbers w:val="0"/>
              <w:spacing w:before="0" w:beforeAutospacing="0" w:after="0" w:afterAutospacing="0" w:line="360" w:lineRule="auto"/>
              <w:ind w:left="176" w:leftChars="84" w:right="0" w:firstLine="1260" w:firstLineChars="6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应</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商：</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（公章）</w:t>
            </w:r>
          </w:p>
          <w:p>
            <w:pPr>
              <w:keepNext w:val="0"/>
              <w:keepLines w:val="0"/>
              <w:suppressLineNumbers w:val="0"/>
              <w:spacing w:before="0" w:beforeAutospacing="0" w:after="0" w:afterAutospacing="0" w:line="360" w:lineRule="auto"/>
              <w:ind w:left="176" w:leftChars="84" w:right="0" w:firstLine="1260" w:firstLineChars="6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keepNext w:val="0"/>
              <w:keepLines w:val="0"/>
              <w:suppressLineNumbers w:val="0"/>
              <w:spacing w:before="0" w:beforeAutospacing="0" w:after="0" w:afterAutospacing="0" w:line="360" w:lineRule="auto"/>
              <w:ind w:left="176" w:leftChars="84" w:right="0" w:firstLine="1260" w:firstLineChars="6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keepNext w:val="0"/>
              <w:keepLines w:val="0"/>
              <w:suppressLineNumbers w:val="0"/>
              <w:spacing w:before="0" w:beforeAutospacing="0" w:after="0" w:afterAutospacing="0" w:line="360" w:lineRule="auto"/>
              <w:ind w:left="176" w:leftChars="84" w:right="0" w:firstLine="1260" w:firstLineChars="6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 系 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pPr>
              <w:keepNext w:val="0"/>
              <w:keepLines w:val="0"/>
              <w:suppressLineNumbers w:val="0"/>
              <w:spacing w:before="0" w:beforeAutospacing="0" w:after="0" w:afterAutospacing="0" w:line="360" w:lineRule="auto"/>
              <w:ind w:left="176" w:leftChars="84" w:right="0" w:firstLine="1260" w:firstLineChars="6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keepNext w:val="0"/>
              <w:keepLines w:val="0"/>
              <w:suppressLineNumbers w:val="0"/>
              <w:spacing w:before="0" w:beforeAutospacing="0" w:after="0" w:afterAutospacing="0" w:line="360" w:lineRule="auto"/>
              <w:ind w:left="176" w:leftChars="84" w:right="0" w:firstLine="1260" w:firstLineChars="6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    址：</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highlight w:val="none"/>
                <w14:textFill>
                  <w14:solidFill>
                    <w14:schemeClr w14:val="tx1"/>
                  </w14:solidFill>
                </w14:textFill>
              </w:rPr>
            </w:pPr>
          </w:p>
          <w:p>
            <w:pPr>
              <w:pStyle w:val="5"/>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p>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highlight w:val="none"/>
                <w14:textFill>
                  <w14:solidFill>
                    <w14:schemeClr w14:val="tx1"/>
                  </w14:solidFill>
                </w14:textFill>
              </w:rPr>
            </w:pPr>
          </w:p>
          <w:p>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注：在202</w:t>
            </w:r>
            <w:r>
              <w:rPr>
                <w:rFonts w:hint="eastAsia" w:ascii="宋体" w:hAnsi="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color w:val="000000" w:themeColor="text1"/>
                <w:highlight w:val="none"/>
                <w14:textFill>
                  <w14:solidFill>
                    <w14:schemeClr w14:val="tx1"/>
                  </w14:solidFill>
                </w14:textFill>
              </w:rPr>
              <w:t>年</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月</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日</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午</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时</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bCs/>
                <w:color w:val="000000" w:themeColor="text1"/>
                <w:highlight w:val="none"/>
                <w14:textFill>
                  <w14:solidFill>
                    <w14:schemeClr w14:val="tx1"/>
                  </w14:solidFill>
                </w14:textFill>
              </w:rPr>
              <w:t>之前不得启封</w:t>
            </w:r>
          </w:p>
          <w:p>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highlight w:val="none"/>
                <w14:textFill>
                  <w14:solidFill>
                    <w14:schemeClr w14:val="tx1"/>
                  </w14:solidFill>
                </w14:textFill>
              </w:rPr>
            </w:pPr>
          </w:p>
        </w:tc>
      </w:tr>
    </w:tbl>
    <w:p>
      <w:pPr>
        <w:spacing w:line="240" w:lineRule="atLeast"/>
        <w:jc w:val="center"/>
        <w:outlineLvl w:val="9"/>
        <w:rPr>
          <w:rFonts w:hint="eastAsia" w:ascii="宋体" w:hAnsi="宋体" w:eastAsia="宋体" w:cs="宋体"/>
          <w:b/>
          <w:color w:val="000000" w:themeColor="text1"/>
          <w:sz w:val="44"/>
          <w:szCs w:val="44"/>
          <w:highlight w:val="none"/>
          <w14:textFill>
            <w14:solidFill>
              <w14:schemeClr w14:val="tx1"/>
            </w14:solidFill>
          </w14:textFill>
        </w:rPr>
      </w:pPr>
    </w:p>
    <w:p>
      <w:pPr>
        <w:pStyle w:val="6"/>
        <w:outlineLvl w:val="9"/>
        <w:rPr>
          <w:rFonts w:hint="eastAsia" w:ascii="宋体" w:hAnsi="宋体" w:eastAsia="宋体" w:cs="宋体"/>
          <w:b/>
          <w:color w:val="000000" w:themeColor="text1"/>
          <w:sz w:val="44"/>
          <w:szCs w:val="44"/>
          <w:highlight w:val="none"/>
          <w14:textFill>
            <w14:solidFill>
              <w14:schemeClr w14:val="tx1"/>
            </w14:solidFill>
          </w14:textFill>
        </w:rPr>
      </w:pPr>
    </w:p>
    <w:p>
      <w:pPr>
        <w:outlineLvl w:val="9"/>
        <w:rPr>
          <w:rFonts w:hint="eastAsia" w:ascii="宋体" w:hAnsi="宋体" w:eastAsia="宋体" w:cs="宋体"/>
          <w:b/>
          <w:color w:val="000000" w:themeColor="text1"/>
          <w:sz w:val="44"/>
          <w:szCs w:val="44"/>
          <w:highlight w:val="none"/>
          <w14:textFill>
            <w14:solidFill>
              <w14:schemeClr w14:val="tx1"/>
            </w14:solidFill>
          </w14:textFill>
        </w:rPr>
      </w:pPr>
    </w:p>
    <w:p>
      <w:pPr>
        <w:outlineLvl w:val="9"/>
        <w:rPr>
          <w:rFonts w:hint="eastAsia"/>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pStyle w:val="26"/>
        <w:rPr>
          <w:rFonts w:hint="eastAsia" w:ascii="宋体" w:hAnsi="宋体" w:eastAsia="宋体" w:cs="宋体"/>
          <w:color w:val="000000" w:themeColor="text1"/>
          <w:highlight w:val="none"/>
          <w14:textFill>
            <w14:solidFill>
              <w14:schemeClr w14:val="tx1"/>
            </w14:solidFill>
          </w14:textFill>
        </w:rPr>
      </w:pPr>
    </w:p>
    <w:p>
      <w:pPr>
        <w:spacing w:line="240" w:lineRule="atLeas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招 标 文 件</w:t>
      </w:r>
    </w:p>
    <w:p>
      <w:pPr>
        <w:spacing w:line="360" w:lineRule="auto"/>
        <w:rPr>
          <w:rFonts w:hint="eastAsia" w:ascii="宋体" w:hAnsi="宋体" w:eastAsia="宋体" w:cs="宋体"/>
          <w:b/>
          <w:color w:val="000000" w:themeColor="text1"/>
          <w:sz w:val="40"/>
          <w:szCs w:val="40"/>
          <w:highlight w:val="none"/>
          <w14:textFill>
            <w14:solidFill>
              <w14:schemeClr w14:val="tx1"/>
            </w14:solidFill>
          </w14:textFill>
        </w:rPr>
      </w:pPr>
      <w:bookmarkStart w:id="1191" w:name="_Toc24900_WPSOffice_Level2"/>
    </w:p>
    <w:p>
      <w:pPr>
        <w:spacing w:line="360" w:lineRule="auto"/>
        <w:jc w:val="center"/>
        <w:rPr>
          <w:rFonts w:hint="default" w:ascii="宋体" w:hAnsi="宋体" w:eastAsia="宋体" w:cs="宋体"/>
          <w:b/>
          <w:color w:val="000000" w:themeColor="text1"/>
          <w:sz w:val="40"/>
          <w:szCs w:val="40"/>
          <w:highlight w:val="none"/>
          <w:lang w:val="en-US" w:eastAsia="zh-CN"/>
          <w14:textFill>
            <w14:solidFill>
              <w14:schemeClr w14:val="tx1"/>
            </w14:solidFill>
          </w14:textFill>
        </w:rPr>
      </w:pPr>
      <w:r>
        <w:rPr>
          <w:rFonts w:hint="eastAsia" w:ascii="宋体" w:hAnsi="宋体" w:eastAsia="宋体" w:cs="宋体"/>
          <w:b/>
          <w:color w:val="000000" w:themeColor="text1"/>
          <w:sz w:val="40"/>
          <w:szCs w:val="40"/>
          <w:highlight w:val="none"/>
          <w14:textFill>
            <w14:solidFill>
              <w14:schemeClr w14:val="tx1"/>
            </w14:solidFill>
          </w14:textFill>
        </w:rPr>
        <w:t>项目编号：</w:t>
      </w:r>
      <w:bookmarkEnd w:id="1191"/>
      <w:r>
        <w:rPr>
          <w:rFonts w:hint="eastAsia" w:ascii="宋体" w:hAnsi="宋体" w:cs="宋体"/>
          <w:b/>
          <w:color w:val="000000" w:themeColor="text1"/>
          <w:sz w:val="40"/>
          <w:szCs w:val="40"/>
          <w:highlight w:val="none"/>
          <w:lang w:eastAsia="zh-CN"/>
          <w14:textFill>
            <w14:solidFill>
              <w14:schemeClr w14:val="tx1"/>
            </w14:solidFill>
          </w14:textFill>
        </w:rPr>
        <w:t>XBZB(GK)-23003</w:t>
      </w:r>
      <w:r>
        <w:rPr>
          <w:rFonts w:hint="eastAsia" w:ascii="宋体" w:hAnsi="宋体" w:cs="宋体"/>
          <w:b/>
          <w:color w:val="000000" w:themeColor="text1"/>
          <w:sz w:val="40"/>
          <w:szCs w:val="40"/>
          <w:highlight w:val="none"/>
          <w:lang w:val="en-US" w:eastAsia="zh-CN"/>
          <w14:textFill>
            <w14:solidFill>
              <w14:schemeClr w14:val="tx1"/>
            </w14:solidFill>
          </w14:textFill>
        </w:rPr>
        <w:t>-1</w:t>
      </w:r>
    </w:p>
    <w:p>
      <w:pPr>
        <w:spacing w:line="240" w:lineRule="atLeast"/>
        <w:jc w:val="center"/>
        <w:rPr>
          <w:rFonts w:hint="eastAsia" w:ascii="宋体" w:hAnsi="宋体" w:eastAsia="宋体" w:cs="宋体"/>
          <w:b/>
          <w:color w:val="000000" w:themeColor="text1"/>
          <w:sz w:val="32"/>
          <w:highlight w:val="none"/>
          <w14:textFill>
            <w14:solidFill>
              <w14:schemeClr w14:val="tx1"/>
            </w14:solidFill>
          </w14:textFill>
        </w:rPr>
      </w:pPr>
    </w:p>
    <w:p>
      <w:pPr>
        <w:spacing w:line="240" w:lineRule="atLeast"/>
        <w:jc w:val="center"/>
        <w:rPr>
          <w:rFonts w:hint="eastAsia" w:ascii="宋体" w:hAnsi="宋体" w:eastAsia="宋体" w:cs="宋体"/>
          <w:b/>
          <w:color w:val="000000" w:themeColor="text1"/>
          <w:sz w:val="32"/>
          <w:highlight w:val="none"/>
          <w14:textFill>
            <w14:solidFill>
              <w14:schemeClr w14:val="tx1"/>
            </w14:solidFill>
          </w14:textFill>
        </w:rPr>
      </w:pPr>
    </w:p>
    <w:p>
      <w:pPr>
        <w:spacing w:line="240" w:lineRule="atLeast"/>
        <w:jc w:val="center"/>
        <w:rPr>
          <w:rFonts w:hint="eastAsia" w:ascii="宋体" w:hAnsi="宋体" w:eastAsia="宋体" w:cs="宋体"/>
          <w:b/>
          <w:color w:val="000000" w:themeColor="text1"/>
          <w:sz w:val="44"/>
          <w:szCs w:val="36"/>
          <w:highlight w:val="none"/>
          <w14:textFill>
            <w14:solidFill>
              <w14:schemeClr w14:val="tx1"/>
            </w14:solidFill>
          </w14:textFill>
        </w:rPr>
      </w:pPr>
      <w:r>
        <w:rPr>
          <w:rFonts w:hint="eastAsia" w:ascii="宋体" w:hAnsi="宋体" w:eastAsia="宋体" w:cs="宋体"/>
          <w:b/>
          <w:color w:val="000000" w:themeColor="text1"/>
          <w:sz w:val="44"/>
          <w:szCs w:val="36"/>
          <w:highlight w:val="none"/>
          <w14:textFill>
            <w14:solidFill>
              <w14:schemeClr w14:val="tx1"/>
            </w14:solidFill>
          </w14:textFill>
        </w:rPr>
        <w:t>第 二 册</w:t>
      </w:r>
    </w:p>
    <w:p>
      <w:pPr>
        <w:rPr>
          <w:rFonts w:hint="eastAsia" w:ascii="宋体" w:hAnsi="宋体" w:eastAsia="宋体" w:cs="宋体"/>
          <w:color w:val="000000" w:themeColor="text1"/>
          <w:sz w:val="44"/>
          <w:szCs w:val="36"/>
          <w:highlight w:val="none"/>
          <w14:textFill>
            <w14:solidFill>
              <w14:schemeClr w14:val="tx1"/>
            </w14:solidFill>
          </w14:textFill>
        </w:rPr>
      </w:pPr>
    </w:p>
    <w:p>
      <w:pPr>
        <w:pStyle w:val="5"/>
        <w:rPr>
          <w:rFonts w:hint="eastAsia" w:ascii="宋体" w:hAnsi="宋体" w:eastAsia="宋体" w:cs="宋体"/>
          <w:b/>
          <w:color w:val="000000" w:themeColor="text1"/>
          <w:sz w:val="44"/>
          <w:szCs w:val="36"/>
          <w:highlight w:val="none"/>
          <w14:textFill>
            <w14:solidFill>
              <w14:schemeClr w14:val="tx1"/>
            </w14:solidFill>
          </w14:textFill>
        </w:rPr>
      </w:pPr>
    </w:p>
    <w:p>
      <w:pPr>
        <w:pStyle w:val="6"/>
        <w:rPr>
          <w:rFonts w:hint="eastAsia" w:ascii="宋体" w:hAnsi="宋体" w:eastAsia="宋体" w:cs="宋体"/>
          <w:b/>
          <w:color w:val="000000" w:themeColor="text1"/>
          <w:sz w:val="44"/>
          <w:szCs w:val="36"/>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spacing w:line="240" w:lineRule="atLeast"/>
        <w:jc w:val="center"/>
        <w:rPr>
          <w:rFonts w:hint="eastAsia" w:ascii="宋体" w:hAnsi="宋体" w:eastAsia="宋体" w:cs="宋体"/>
          <w:b/>
          <w:color w:val="000000" w:themeColor="text1"/>
          <w:sz w:val="32"/>
          <w:highlight w:val="none"/>
          <w14:textFill>
            <w14:solidFill>
              <w14:schemeClr w14:val="tx1"/>
            </w14:solidFill>
          </w14:textFill>
        </w:rPr>
      </w:pPr>
    </w:p>
    <w:p>
      <w:pPr>
        <w:pStyle w:val="5"/>
        <w:rPr>
          <w:rFonts w:hint="eastAsia" w:ascii="宋体" w:hAnsi="宋体" w:eastAsia="宋体" w:cs="宋体"/>
          <w:b/>
          <w:color w:val="000000" w:themeColor="text1"/>
          <w:sz w:val="32"/>
          <w:highlight w:val="none"/>
          <w14:textFill>
            <w14:solidFill>
              <w14:schemeClr w14:val="tx1"/>
            </w14:solidFill>
          </w14:textFill>
        </w:rPr>
      </w:pPr>
    </w:p>
    <w:p>
      <w:pPr>
        <w:pStyle w:val="5"/>
        <w:ind w:left="0" w:leftChars="0" w:firstLine="0" w:firstLineChars="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Style w:val="61"/>
          <w:rFonts w:hint="eastAsia" w:ascii="宋体" w:hAnsi="宋体" w:eastAsia="宋体" w:cs="宋体"/>
          <w:color w:val="000000" w:themeColor="text1"/>
          <w:highlight w:val="none"/>
          <w14:textFill>
            <w14:solidFill>
              <w14:schemeClr w14:val="tx1"/>
            </w14:solidFill>
          </w14:textFill>
        </w:rPr>
      </w:pPr>
      <w:bookmarkStart w:id="1192" w:name="_Toc22081"/>
      <w:bookmarkStart w:id="1193" w:name="_Toc29715"/>
      <w:bookmarkStart w:id="1194" w:name="_Toc515647829"/>
      <w:bookmarkStart w:id="1195" w:name="_Toc28765"/>
      <w:bookmarkStart w:id="1196" w:name="_Toc219175634"/>
      <w:bookmarkStart w:id="1197" w:name="_Toc216582822"/>
      <w:bookmarkStart w:id="1198" w:name="_Toc507399902"/>
      <w:bookmarkStart w:id="1199" w:name="_Toc16370"/>
      <w:bookmarkStart w:id="1200" w:name="_Toc218935350"/>
      <w:r>
        <w:rPr>
          <w:rStyle w:val="61"/>
          <w:rFonts w:hint="eastAsia" w:ascii="宋体" w:hAnsi="宋体" w:eastAsia="宋体" w:cs="宋体"/>
          <w:color w:val="000000" w:themeColor="text1"/>
          <w:highlight w:val="none"/>
          <w14:textFill>
            <w14:solidFill>
              <w14:schemeClr w14:val="tx1"/>
            </w14:solidFill>
          </w14:textFill>
        </w:rPr>
        <w:br w:type="page"/>
      </w:r>
    </w:p>
    <w:p>
      <w:pPr>
        <w:widowControl/>
        <w:spacing w:line="440" w:lineRule="exact"/>
        <w:jc w:val="center"/>
        <w:outlineLvl w:val="0"/>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bookmarkStart w:id="1201" w:name="_Toc22206"/>
      <w:r>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t>第3章</w:t>
      </w:r>
      <w:r>
        <w:rPr>
          <w:rFonts w:hint="eastAsia" w:ascii="宋体" w:hAnsi="宋体" w:cs="宋体"/>
          <w:b/>
          <w:bCs/>
          <w:color w:val="000000" w:themeColor="text1"/>
          <w:kern w:val="0"/>
          <w:sz w:val="32"/>
          <w:szCs w:val="32"/>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t>投标邀请</w:t>
      </w:r>
      <w:bookmarkEnd w:id="1192"/>
      <w:bookmarkEnd w:id="1193"/>
      <w:bookmarkEnd w:id="1194"/>
      <w:bookmarkEnd w:id="1195"/>
      <w:bookmarkEnd w:id="1196"/>
      <w:bookmarkEnd w:id="1197"/>
      <w:bookmarkEnd w:id="1198"/>
      <w:bookmarkEnd w:id="1199"/>
      <w:bookmarkEnd w:id="1200"/>
      <w:bookmarkEnd w:id="1201"/>
      <w:bookmarkStart w:id="1202" w:name="_Toc515647830"/>
      <w:bookmarkStart w:id="1203" w:name="_Toc216582823"/>
      <w:bookmarkStart w:id="1204" w:name="_Toc10488"/>
      <w:bookmarkStart w:id="1205" w:name="_Toc31583"/>
      <w:bookmarkStart w:id="1206" w:name="_Toc5272"/>
      <w:bookmarkStart w:id="1207" w:name="_Toc507399903"/>
      <w:bookmarkStart w:id="1208" w:name="_Toc512937850"/>
    </w:p>
    <w:p>
      <w:pPr>
        <w:tabs>
          <w:tab w:val="left" w:pos="0"/>
          <w:tab w:val="left" w:pos="3165"/>
          <w:tab w:val="center" w:pos="4153"/>
        </w:tabs>
        <w:spacing w:before="0" w:after="0" w:line="480" w:lineRule="exact"/>
        <w:jc w:val="center"/>
        <w:outlineLvl w:val="9"/>
        <w:rPr>
          <w:rFonts w:hint="eastAsia" w:ascii="宋体" w:hAnsi="宋体" w:cs="宋体"/>
          <w:b/>
          <w:bCs/>
          <w:color w:val="000000" w:themeColor="text1"/>
          <w:sz w:val="32"/>
          <w:szCs w:val="32"/>
          <w:highlight w:val="none"/>
          <w:lang w:val="en-US" w:eastAsia="zh-CN"/>
          <w14:textFill>
            <w14:solidFill>
              <w14:schemeClr w14:val="tx1"/>
            </w14:solidFill>
          </w14:textFill>
        </w:rPr>
      </w:pPr>
      <w:bookmarkStart w:id="1209" w:name="_Toc29132"/>
      <w:r>
        <w:rPr>
          <w:rFonts w:hint="eastAsia" w:ascii="宋体" w:hAnsi="宋体" w:cs="宋体"/>
          <w:b/>
          <w:bCs/>
          <w:color w:val="000000" w:themeColor="text1"/>
          <w:sz w:val="32"/>
          <w:szCs w:val="32"/>
          <w:highlight w:val="none"/>
          <w:lang w:val="en-US" w:eastAsia="zh-CN"/>
          <w14:textFill>
            <w14:solidFill>
              <w14:schemeClr w14:val="tx1"/>
            </w14:solidFill>
          </w14:textFill>
        </w:rPr>
        <w:t>2023年喀什中医医院医疗设备采购项目</w:t>
      </w:r>
    </w:p>
    <w:p>
      <w:pPr>
        <w:tabs>
          <w:tab w:val="left" w:pos="0"/>
          <w:tab w:val="left" w:pos="3165"/>
          <w:tab w:val="center" w:pos="4153"/>
        </w:tabs>
        <w:spacing w:before="0" w:after="0" w:line="480" w:lineRule="exact"/>
        <w:jc w:val="center"/>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2023年喀什中医医院医疗设备采购项目</w:t>
      </w:r>
      <w:r>
        <w:rPr>
          <w:rFonts w:hint="eastAsia" w:ascii="宋体" w:hAnsi="宋体" w:eastAsia="宋体" w:cs="宋体"/>
          <w:color w:val="000000" w:themeColor="text1"/>
          <w:sz w:val="24"/>
          <w:szCs w:val="24"/>
          <w:highlight w:val="none"/>
          <w14:textFill>
            <w14:solidFill>
              <w14:schemeClr w14:val="tx1"/>
            </w14:solidFill>
          </w14:textFill>
        </w:rPr>
        <w:t>的潜在供应商应在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政采云平台（https://login.zcygov.cn/user-login/#/login）</w:t>
      </w:r>
      <w:r>
        <w:rPr>
          <w:rFonts w:hint="eastAsia" w:ascii="宋体" w:hAnsi="宋体" w:eastAsia="宋体" w:cs="宋体"/>
          <w:color w:val="000000" w:themeColor="text1"/>
          <w:sz w:val="24"/>
          <w:szCs w:val="24"/>
          <w:highlight w:val="none"/>
          <w14:textFill>
            <w14:solidFill>
              <w14:schemeClr w14:val="tx1"/>
            </w14:solidFill>
          </w14:textFill>
        </w:rPr>
        <w:t>获取招标文件，并于</w:t>
      </w:r>
      <w:r>
        <w:rPr>
          <w:rFonts w:hint="eastAsia" w:ascii="宋体" w:hAnsi="宋体" w:cs="宋体"/>
          <w:color w:val="000000" w:themeColor="text1"/>
          <w:sz w:val="24"/>
          <w:szCs w:val="24"/>
          <w:highlight w:val="none"/>
          <w:u w:val="single"/>
          <w:lang w:eastAsia="zh-CN"/>
          <w14:textFill>
            <w14:solidFill>
              <w14:schemeClr w14:val="tx1"/>
            </w14:solidFill>
          </w14:textFill>
        </w:rPr>
        <w:t>2023年</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cs="宋体"/>
          <w:color w:val="000000" w:themeColor="text1"/>
          <w:sz w:val="24"/>
          <w:szCs w:val="24"/>
          <w:highlight w:val="none"/>
          <w:u w:val="single"/>
          <w:lang w:eastAsia="zh-CN"/>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cs="宋体"/>
          <w:color w:val="000000" w:themeColor="text1"/>
          <w:sz w:val="24"/>
          <w:szCs w:val="24"/>
          <w:highlight w:val="none"/>
          <w:u w:val="single"/>
          <w:lang w:eastAsia="zh-CN"/>
          <w14:textFill>
            <w14:solidFill>
              <w14:schemeClr w14:val="tx1"/>
            </w14:solidFill>
          </w14:textFill>
        </w:rPr>
        <w:t>日11：00</w:t>
      </w:r>
      <w:r>
        <w:rPr>
          <w:rFonts w:hint="eastAsia" w:ascii="宋体" w:hAnsi="宋体" w:eastAsia="宋体" w:cs="宋体"/>
          <w:color w:val="000000" w:themeColor="text1"/>
          <w:sz w:val="24"/>
          <w:szCs w:val="24"/>
          <w:highlight w:val="none"/>
          <w:u w:val="single"/>
          <w14:textFill>
            <w14:solidFill>
              <w14:schemeClr w14:val="tx1"/>
            </w14:solidFill>
          </w14:textFill>
        </w:rPr>
        <w:t>（北京时间）</w:t>
      </w:r>
      <w:r>
        <w:rPr>
          <w:rFonts w:hint="eastAsia" w:ascii="宋体" w:hAnsi="宋体" w:eastAsia="宋体" w:cs="宋体"/>
          <w:bCs/>
          <w:color w:val="000000" w:themeColor="text1"/>
          <w:sz w:val="24"/>
          <w:szCs w:val="24"/>
          <w:highlight w:val="none"/>
          <w14:textFill>
            <w14:solidFill>
              <w14:schemeClr w14:val="tx1"/>
            </w14:solidFill>
          </w14:textFill>
        </w:rPr>
        <w:t>前递交投标文件</w:t>
      </w:r>
      <w:r>
        <w:rPr>
          <w:rFonts w:hint="eastAsia" w:ascii="宋体" w:hAnsi="宋体" w:eastAsia="宋体" w:cs="宋体"/>
          <w:color w:val="000000" w:themeColor="text1"/>
          <w:sz w:val="24"/>
          <w:szCs w:val="24"/>
          <w:highlight w:val="none"/>
          <w14:textFill>
            <w14:solidFill>
              <w14:schemeClr w14:val="tx1"/>
            </w14:solidFill>
          </w14:textFill>
        </w:rPr>
        <w:t>。</w:t>
      </w:r>
      <w:bookmarkStart w:id="1210" w:name="_Toc35393790"/>
      <w:bookmarkStart w:id="1211" w:name="_Toc28359079"/>
      <w:bookmarkStart w:id="1212" w:name="_Toc35393621"/>
      <w:bookmarkStart w:id="1213" w:name="_Toc28359002"/>
      <w:bookmarkStart w:id="1214" w:name="_Toc28217"/>
      <w:bookmarkStart w:id="1215" w:name="_Hlk24379207"/>
    </w:p>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outlineLvl w:val="9"/>
        <w:rPr>
          <w:rFonts w:hint="eastAsia" w:ascii="宋体" w:hAnsi="宋体" w:eastAsia="宋体" w:cs="宋体"/>
          <w:b/>
          <w:bCs w:val="0"/>
          <w:color w:val="000000" w:themeColor="text1"/>
          <w:sz w:val="24"/>
          <w:szCs w:val="24"/>
          <w:highlight w:val="none"/>
          <w14:textFill>
            <w14:solidFill>
              <w14:schemeClr w14:val="tx1"/>
            </w14:solidFill>
          </w14:textFill>
        </w:rPr>
      </w:pPr>
      <w:bookmarkStart w:id="1216" w:name="_Toc20970"/>
      <w:bookmarkStart w:id="1217" w:name="_Toc28253"/>
      <w:r>
        <w:rPr>
          <w:rFonts w:hint="eastAsia" w:ascii="宋体" w:hAnsi="宋体" w:eastAsia="宋体" w:cs="宋体"/>
          <w:b/>
          <w:bCs w:val="0"/>
          <w:color w:val="000000" w:themeColor="text1"/>
          <w:sz w:val="24"/>
          <w:szCs w:val="24"/>
          <w:highlight w:val="none"/>
          <w14:textFill>
            <w14:solidFill>
              <w14:schemeClr w14:val="tx1"/>
            </w14:solidFill>
          </w14:textFill>
        </w:rPr>
        <w:t>一、</w:t>
      </w:r>
      <w:bookmarkEnd w:id="1210"/>
      <w:bookmarkEnd w:id="1211"/>
      <w:bookmarkEnd w:id="1212"/>
      <w:bookmarkEnd w:id="1213"/>
      <w:bookmarkEnd w:id="1214"/>
      <w:r>
        <w:rPr>
          <w:rFonts w:hint="eastAsia" w:ascii="宋体" w:hAnsi="宋体" w:eastAsia="宋体" w:cs="宋体"/>
          <w:b/>
          <w:bCs w:val="0"/>
          <w:color w:val="000000" w:themeColor="text1"/>
          <w:sz w:val="24"/>
          <w:szCs w:val="24"/>
          <w:highlight w:val="none"/>
          <w14:textFill>
            <w14:solidFill>
              <w14:schemeClr w14:val="tx1"/>
            </w14:solidFill>
          </w14:textFill>
        </w:rPr>
        <w:t>项目基本情况</w:t>
      </w:r>
      <w:bookmarkEnd w:id="1216"/>
      <w:bookmarkEnd w:id="1217"/>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lang w:eastAsia="zh-CN"/>
          <w14:textFill>
            <w14:solidFill>
              <w14:schemeClr w14:val="tx1"/>
            </w14:solidFill>
          </w14:textFill>
        </w:rPr>
        <w:t>XBZB(GK)-23003</w:t>
      </w:r>
      <w:r>
        <w:rPr>
          <w:rFonts w:hint="eastAsia" w:ascii="宋体" w:hAnsi="宋体" w:cs="宋体"/>
          <w:color w:val="000000" w:themeColor="text1"/>
          <w:sz w:val="24"/>
          <w:szCs w:val="24"/>
          <w:highlight w:val="no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项目名称：</w:t>
      </w:r>
      <w:bookmarkEnd w:id="1215"/>
      <w:r>
        <w:rPr>
          <w:rFonts w:hint="eastAsia" w:ascii="宋体" w:hAnsi="宋体" w:cs="宋体"/>
          <w:color w:val="000000" w:themeColor="text1"/>
          <w:sz w:val="24"/>
          <w:szCs w:val="24"/>
          <w:highlight w:val="none"/>
          <w:lang w:val="en-US" w:eastAsia="zh-CN"/>
          <w14:textFill>
            <w14:solidFill>
              <w14:schemeClr w14:val="tx1"/>
            </w14:solidFill>
          </w14:textFill>
        </w:rPr>
        <w:t>2023年喀什中医医院医疗设备采购项目</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3.采购方式：公开招标</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4.预算金额（元）：</w:t>
      </w:r>
      <w:r>
        <w:rPr>
          <w:rFonts w:hint="eastAsia" w:ascii="宋体" w:hAnsi="宋体" w:cs="宋体"/>
          <w:color w:val="000000" w:themeColor="text1"/>
          <w:sz w:val="24"/>
          <w:szCs w:val="24"/>
          <w:highlight w:val="none"/>
          <w:lang w:val="en-US" w:eastAsia="zh-CN"/>
          <w14:textFill>
            <w14:solidFill>
              <w14:schemeClr w14:val="tx1"/>
            </w14:solidFill>
          </w14:textFill>
        </w:rPr>
        <w:t>5735300</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5.最高限价（元）</w:t>
      </w:r>
      <w:r>
        <w:rPr>
          <w:rFonts w:hint="eastAsia" w:ascii="宋体" w:hAnsi="宋体" w:cs="宋体"/>
          <w:color w:val="000000" w:themeColor="text1"/>
          <w:sz w:val="24"/>
          <w:szCs w:val="24"/>
          <w:highlight w:val="none"/>
          <w:lang w:val="en-US" w:eastAsia="zh-CN"/>
          <w14:textFill>
            <w14:solidFill>
              <w14:schemeClr w14:val="tx1"/>
            </w14:solidFill>
          </w14:textFill>
        </w:rPr>
        <w:t>2348400,3386900</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6.采购需求：</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标项一</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标项名称：2023年喀什中医医院医疗设备采购项目（第九包）</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数量：不限</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val="en-US" w:eastAsia="zh-CN"/>
          <w14:textFill>
            <w14:solidFill>
              <w14:schemeClr w14:val="tx1"/>
            </w14:solidFill>
          </w14:textFill>
        </w:rPr>
        <w:t>：2348400</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简要规格描述或项目基本概况介绍、用途:</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详见采购文件设备清单</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标项二</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标项名称：2023年喀什中医医院医疗设备采购项目（第十二包）</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数量：不限</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val="en-US" w:eastAsia="zh-CN"/>
          <w14:textFill>
            <w14:solidFill>
              <w14:schemeClr w14:val="tx1"/>
            </w14:solidFill>
          </w14:textFill>
        </w:rPr>
        <w:t>：3386900</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简要规格描述或项目基本概况介绍、用途:</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详见采购文件设备清单</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备注：</w:t>
      </w:r>
    </w:p>
    <w:p>
      <w:pPr>
        <w:pStyle w:val="42"/>
        <w:ind w:left="0" w:leftChars="0" w:firstLine="0" w:firstLineChars="0"/>
        <w:rPr>
          <w:rFonts w:hint="eastAsia" w:ascii="宋体" w:hAnsi="宋体" w:cs="宋体"/>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合同履约期限：</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标项一</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二：</w:t>
      </w: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自合同生效之日起至合同全部权利义务履行完毕之日止</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本项目不接受联合体投标。</w:t>
      </w:r>
    </w:p>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bookmarkStart w:id="1218" w:name="_Toc1145"/>
      <w:bookmarkStart w:id="1219" w:name="_Toc13688"/>
      <w:bookmarkStart w:id="1220" w:name="_Toc28359080"/>
      <w:bookmarkStart w:id="1221" w:name="_Toc28359003"/>
      <w:bookmarkStart w:id="1222" w:name="_Toc19260"/>
      <w:bookmarkStart w:id="1223" w:name="_Toc35393622"/>
      <w:bookmarkStart w:id="1224" w:name="_Toc29506"/>
      <w:bookmarkStart w:id="1225" w:name="_Toc35393791"/>
      <w:r>
        <w:rPr>
          <w:rFonts w:hint="eastAsia" w:ascii="宋体" w:hAnsi="宋体" w:eastAsia="宋体" w:cs="宋体"/>
          <w:b/>
          <w:color w:val="000000" w:themeColor="text1"/>
          <w:sz w:val="24"/>
          <w:szCs w:val="24"/>
          <w:highlight w:val="none"/>
          <w14:textFill>
            <w14:solidFill>
              <w14:schemeClr w14:val="tx1"/>
            </w14:solidFill>
          </w14:textFill>
        </w:rPr>
        <w:t>二、</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申请人的</w:t>
      </w:r>
      <w:r>
        <w:rPr>
          <w:rFonts w:hint="eastAsia" w:ascii="宋体" w:hAnsi="宋体" w:eastAsia="宋体" w:cs="宋体"/>
          <w:b/>
          <w:color w:val="000000" w:themeColor="text1"/>
          <w:sz w:val="24"/>
          <w:szCs w:val="24"/>
          <w:highlight w:val="none"/>
          <w14:textFill>
            <w14:solidFill>
              <w14:schemeClr w14:val="tx1"/>
            </w14:solidFill>
          </w14:textFill>
        </w:rPr>
        <w:t>资格要求：</w:t>
      </w:r>
      <w:bookmarkEnd w:id="1218"/>
      <w:bookmarkEnd w:id="1219"/>
      <w:bookmarkEnd w:id="1220"/>
      <w:bookmarkEnd w:id="1221"/>
      <w:bookmarkEnd w:id="1222"/>
      <w:bookmarkEnd w:id="1223"/>
      <w:bookmarkEnd w:id="1224"/>
      <w:bookmarkEnd w:id="1225"/>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1.满足《中华人民共和国政府采购法》第二十二条规定：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226" w:name="_Toc28359004"/>
      <w:bookmarkStart w:id="1227" w:name="_Toc35393792"/>
      <w:bookmarkStart w:id="1228" w:name="_Toc32226"/>
      <w:bookmarkStart w:id="1229" w:name="_Toc27678"/>
      <w:bookmarkStart w:id="1230" w:name="_Toc28359081"/>
      <w:bookmarkStart w:id="1231" w:name="_Toc35393623"/>
      <w:r>
        <w:rPr>
          <w:rFonts w:hint="eastAsia" w:ascii="宋体" w:hAnsi="宋体" w:eastAsia="宋体" w:cs="宋体"/>
          <w:color w:val="000000" w:themeColor="text1"/>
          <w:sz w:val="24"/>
          <w:szCs w:val="24"/>
          <w:highlight w:val="none"/>
          <w:lang w:val="en-US" w:eastAsia="zh-CN"/>
          <w14:textFill>
            <w14:solidFill>
              <w14:schemeClr w14:val="tx1"/>
            </w14:solidFill>
          </w14:textFill>
        </w:rPr>
        <w:t>（1）具有有效的营业执照；</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（2）法定代表人资格证明及授权书、被授权人身份证(法定代表人投标需提供法定代表人身份证)；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（3）提供近两年内任意一年的财务审计报告（</w:t>
      </w:r>
      <w:r>
        <w:rPr>
          <w:rFonts w:hint="eastAsia" w:ascii="宋体" w:hAnsi="宋体" w:cs="宋体"/>
          <w:color w:val="000000" w:themeColor="text1"/>
          <w:sz w:val="24"/>
          <w:szCs w:val="24"/>
          <w:highlight w:val="none"/>
          <w:lang w:val="en-US" w:eastAsia="zh-CN"/>
          <w14:textFill>
            <w14:solidFill>
              <w14:schemeClr w14:val="tx1"/>
            </w14:solidFill>
          </w14:textFill>
        </w:rPr>
        <w:t>新成立未满一年的新公司可提供近三个月内任意一个月的银行资信证明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（4）依法缴纳近六个月内任意一个月社会保险证明；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依法缴纳近六个月内任意一个月税收证明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以采购代理机构或采购人查询为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（7）参与政府采购活动前3年内未被列入失信、重大税收违法案件、财政部门禁止参加政府采购活动的承诺书；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（8）提供针对本次项目的《反商业贿赂承诺书》</w:t>
      </w:r>
      <w:r>
        <w:rPr>
          <w:rFonts w:hint="eastAsia" w:ascii="宋体" w:hAnsi="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2.落实政府采购政策需满足的资格要求：</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本项目为非专门面向中小企业（含中型、小型、微型企业）采购项目，根据《政府采购促进中小企业发展管理办法》（财库[2020]46号）的规定，评标时将给予此类企业进行价格</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10</w:t>
      </w:r>
      <w:r>
        <w:rPr>
          <w:rFonts w:hint="default" w:ascii="宋体" w:hAnsi="宋体" w:eastAsia="宋体" w:cs="宋体"/>
          <w:b w:val="0"/>
          <w:bCs w:val="0"/>
          <w:color w:val="000000" w:themeColor="text1"/>
          <w:sz w:val="24"/>
          <w:szCs w:val="24"/>
          <w:highlight w:val="none"/>
          <w:u w:val="single"/>
          <w:lang w:val="en-US" w:eastAsia="zh-CN"/>
          <w14:textFill>
            <w14:solidFill>
              <w14:schemeClr w14:val="tx1"/>
            </w14:solidFill>
          </w14:textFill>
        </w:rPr>
        <w:t>%</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的优惠，用优惠后的价格参与评审</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outlineLvl w:val="9"/>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3.本项目的特定资格要求：</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标项1、标项2</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医疗器械经营许可证或其他医疗器械生产经营许可证明文件）。</w:t>
      </w:r>
    </w:p>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三、获取招标文件</w:t>
      </w:r>
      <w:bookmarkEnd w:id="1226"/>
      <w:bookmarkEnd w:id="1227"/>
      <w:bookmarkEnd w:id="1228"/>
      <w:bookmarkEnd w:id="1229"/>
      <w:bookmarkEnd w:id="1230"/>
      <w:bookmarkEnd w:id="1231"/>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获取时间：</w:t>
      </w:r>
      <w:r>
        <w:rPr>
          <w:rFonts w:hint="eastAsia" w:ascii="宋体" w:hAnsi="宋体" w:eastAsia="宋体" w:cs="宋体"/>
          <w:color w:val="000000" w:themeColor="text1"/>
          <w:sz w:val="24"/>
          <w:szCs w:val="24"/>
          <w:highlight w:val="none"/>
          <w:lang w:eastAsia="zh-CN"/>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日至20</w:t>
      </w: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，每天上午10:00至14:00，下午</w:t>
      </w:r>
      <w:r>
        <w:rPr>
          <w:rFonts w:hint="eastAsia" w:ascii="宋体" w:hAnsi="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获取方式：</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供应商登陆政采云平台http://www.zcygov.cn/，在线申请获取采购文件（登录政府采购云平台 → 项目采购 → 获取采购文件 → 申请，审核通过后可下载招标文件，如有操作性问题，可与政采云在线客服进行咨询，咨询电话：</w:t>
      </w:r>
      <w:r>
        <w:rPr>
          <w:rFonts w:hint="eastAsia" w:ascii="宋体" w:hAnsi="宋体" w:cs="宋体"/>
          <w:color w:val="000000" w:themeColor="text1"/>
          <w:sz w:val="24"/>
          <w:szCs w:val="24"/>
          <w:highlight w:val="none"/>
          <w:u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获取地点：政采云平台（https://login.zcygov.cn/user-login/#/login）</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售价（元</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0元</w:t>
      </w:r>
    </w:p>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outlineLvl w:val="9"/>
        <w:rPr>
          <w:rFonts w:hint="eastAsia" w:ascii="宋体" w:hAnsi="宋体" w:eastAsia="宋体" w:cs="宋体"/>
          <w:b/>
          <w:bCs w:val="0"/>
          <w:color w:val="000000" w:themeColor="text1"/>
          <w:sz w:val="24"/>
          <w:szCs w:val="24"/>
          <w:highlight w:val="none"/>
          <w:u w:val="none"/>
          <w14:textFill>
            <w14:solidFill>
              <w14:schemeClr w14:val="tx1"/>
            </w14:solidFill>
          </w14:textFill>
        </w:rPr>
      </w:pPr>
      <w:bookmarkStart w:id="1232" w:name="_Toc28359082"/>
      <w:bookmarkStart w:id="1233" w:name="_Toc28359005"/>
      <w:bookmarkStart w:id="1234" w:name="_Toc35393793"/>
      <w:bookmarkStart w:id="1235" w:name="_Toc2422"/>
      <w:bookmarkStart w:id="1236" w:name="_Toc35393624"/>
      <w:bookmarkStart w:id="1237" w:name="_Toc952"/>
      <w:bookmarkStart w:id="1238" w:name="_Toc2532"/>
      <w:bookmarkStart w:id="1239" w:name="_Toc9047"/>
      <w:r>
        <w:rPr>
          <w:rFonts w:hint="eastAsia" w:ascii="宋体" w:hAnsi="宋体" w:eastAsia="宋体" w:cs="宋体"/>
          <w:b/>
          <w:bCs w:val="0"/>
          <w:color w:val="000000" w:themeColor="text1"/>
          <w:sz w:val="24"/>
          <w:szCs w:val="24"/>
          <w:highlight w:val="none"/>
          <w:u w:val="none"/>
          <w14:textFill>
            <w14:solidFill>
              <w14:schemeClr w14:val="tx1"/>
            </w14:solidFill>
          </w14:textFill>
        </w:rPr>
        <w:t>四、提交投标文件</w:t>
      </w:r>
      <w:bookmarkEnd w:id="1232"/>
      <w:bookmarkEnd w:id="1233"/>
      <w:r>
        <w:rPr>
          <w:rFonts w:hint="eastAsia" w:ascii="宋体" w:hAnsi="宋体" w:eastAsia="宋体" w:cs="宋体"/>
          <w:b/>
          <w:bCs w:val="0"/>
          <w:color w:val="000000" w:themeColor="text1"/>
          <w:sz w:val="24"/>
          <w:szCs w:val="24"/>
          <w:highlight w:val="none"/>
          <w:u w:val="none"/>
          <w14:textFill>
            <w14:solidFill>
              <w14:schemeClr w14:val="tx1"/>
            </w14:solidFill>
          </w14:textFill>
        </w:rPr>
        <w:t>截止时间、开标时间和地点</w:t>
      </w:r>
      <w:bookmarkEnd w:id="1234"/>
      <w:bookmarkEnd w:id="1235"/>
      <w:bookmarkEnd w:id="1236"/>
      <w:bookmarkEnd w:id="1237"/>
      <w:bookmarkEnd w:id="1238"/>
      <w:bookmarkEnd w:id="1239"/>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提交投标文件截止</w:t>
      </w:r>
      <w:r>
        <w:rPr>
          <w:rFonts w:hint="eastAsia" w:ascii="宋体" w:hAnsi="宋体" w:eastAsia="宋体" w:cs="宋体"/>
          <w:color w:val="000000" w:themeColor="text1"/>
          <w:sz w:val="24"/>
          <w:szCs w:val="24"/>
          <w:highlight w:val="none"/>
          <w:u w:val="none"/>
          <w14:textFill>
            <w14:solidFill>
              <w14:schemeClr w14:val="tx1"/>
            </w14:solidFill>
          </w14:textFill>
        </w:rPr>
        <w:t>时间：</w:t>
      </w:r>
      <w:bookmarkStart w:id="1240" w:name="_Toc35393794"/>
      <w:bookmarkStart w:id="1241" w:name="_Toc35393625"/>
      <w:bookmarkStart w:id="1242" w:name="_Toc28359007"/>
      <w:bookmarkStart w:id="1243" w:name="_Toc28359084"/>
      <w:r>
        <w:rPr>
          <w:rFonts w:hint="eastAsia" w:ascii="宋体" w:hAnsi="宋体" w:cs="宋体"/>
          <w:color w:val="000000" w:themeColor="text1"/>
          <w:sz w:val="24"/>
          <w:szCs w:val="24"/>
          <w:highlight w:val="none"/>
          <w:lang w:eastAsia="zh-CN"/>
          <w14:textFill>
            <w14:solidFill>
              <w14:schemeClr w14:val="tx1"/>
            </w14:solidFill>
          </w14:textFill>
        </w:rPr>
        <w:t>2023年</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24</w:t>
      </w:r>
      <w:r>
        <w:rPr>
          <w:rFonts w:hint="eastAsia" w:ascii="宋体" w:hAnsi="宋体" w:cs="宋体"/>
          <w:color w:val="000000" w:themeColor="text1"/>
          <w:sz w:val="24"/>
          <w:szCs w:val="24"/>
          <w:highlight w:val="none"/>
          <w:lang w:eastAsia="zh-CN"/>
          <w14:textFill>
            <w14:solidFill>
              <w14:schemeClr w14:val="tx1"/>
            </w14:solidFill>
          </w14:textFill>
        </w:rPr>
        <w:t>日11：00</w:t>
      </w:r>
      <w:r>
        <w:rPr>
          <w:rFonts w:hint="eastAsia" w:ascii="宋体" w:hAnsi="宋体" w:eastAsia="宋体" w:cs="宋体"/>
          <w:color w:val="000000" w:themeColor="text1"/>
          <w:sz w:val="24"/>
          <w:szCs w:val="24"/>
          <w:highlight w:val="none"/>
          <w:u w:val="none"/>
          <w14:textFill>
            <w14:solidFill>
              <w14:schemeClr w14:val="tx1"/>
            </w14:solidFill>
          </w14:textFill>
        </w:rPr>
        <w:t>（北京时间</w:t>
      </w:r>
      <w:r>
        <w:rPr>
          <w:rFonts w:hint="eastAsia" w:ascii="宋体" w:hAnsi="宋体" w:eastAsia="宋体" w:cs="宋体"/>
          <w:bCs/>
          <w:color w:val="000000" w:themeColor="text1"/>
          <w:sz w:val="24"/>
          <w:szCs w:val="24"/>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u w:val="none"/>
          <w14:textFill>
            <w14:solidFill>
              <w14:schemeClr w14:val="tx1"/>
            </w14:solidFill>
          </w14:textFill>
        </w:rPr>
        <w:t>地点：</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政采云平台</w:t>
      </w:r>
      <w:r>
        <w:rPr>
          <w:rFonts w:hint="eastAsia" w:ascii="宋体" w:hAnsi="宋体" w:eastAsia="宋体" w:cs="宋体"/>
          <w:color w:val="000000" w:themeColor="text1"/>
          <w:sz w:val="24"/>
          <w:szCs w:val="24"/>
          <w:highlight w:val="none"/>
          <w:u w:val="none"/>
          <w14:textFill>
            <w14:solidFill>
              <w14:schemeClr w14:val="tx1"/>
            </w14:solidFill>
          </w14:textFill>
        </w:rPr>
        <w:t>（https://login.zcygov.cn/user-login/#/login）</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开标时间：</w:t>
      </w:r>
      <w:r>
        <w:rPr>
          <w:rFonts w:hint="eastAsia" w:ascii="宋体" w:hAnsi="宋体" w:cs="宋体"/>
          <w:color w:val="000000" w:themeColor="text1"/>
          <w:sz w:val="24"/>
          <w:szCs w:val="24"/>
          <w:highlight w:val="none"/>
          <w:lang w:eastAsia="zh-CN"/>
          <w14:textFill>
            <w14:solidFill>
              <w14:schemeClr w14:val="tx1"/>
            </w14:solidFill>
          </w14:textFill>
        </w:rPr>
        <w:t>2023年</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24</w:t>
      </w:r>
      <w:r>
        <w:rPr>
          <w:rFonts w:hint="eastAsia" w:ascii="宋体" w:hAnsi="宋体" w:cs="宋体"/>
          <w:color w:val="000000" w:themeColor="text1"/>
          <w:sz w:val="24"/>
          <w:szCs w:val="24"/>
          <w:highlight w:val="none"/>
          <w:lang w:eastAsia="zh-CN"/>
          <w14:textFill>
            <w14:solidFill>
              <w14:schemeClr w14:val="tx1"/>
            </w14:solidFill>
          </w14:textFill>
        </w:rPr>
        <w:t>日11：00</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开标地点：</w:t>
      </w:r>
      <w:bookmarkStart w:id="1244" w:name="_Toc30400"/>
      <w:bookmarkStart w:id="1245" w:name="_Toc32108"/>
      <w:bookmarkStart w:id="1246" w:name="_Toc23672"/>
      <w:bookmarkStart w:id="1247" w:name="_Toc20863"/>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政采云平台</w:t>
      </w:r>
      <w:r>
        <w:rPr>
          <w:rFonts w:hint="eastAsia" w:ascii="宋体" w:hAnsi="宋体" w:eastAsia="宋体" w:cs="宋体"/>
          <w:color w:val="000000" w:themeColor="text1"/>
          <w:sz w:val="24"/>
          <w:szCs w:val="24"/>
          <w:highlight w:val="none"/>
          <w:u w:val="none"/>
          <w14:textFill>
            <w14:solidFill>
              <w14:schemeClr w14:val="tx1"/>
            </w14:solidFill>
          </w14:textFill>
        </w:rPr>
        <w:t>（https://login.zcygov.cn/user-login/#/login）</w:t>
      </w:r>
    </w:p>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outlineLvl w:val="9"/>
        <w:rPr>
          <w:rFonts w:hint="eastAsia" w:ascii="宋体" w:hAnsi="宋体" w:eastAsia="宋体" w:cs="宋体"/>
          <w:b/>
          <w:bCs w:val="0"/>
          <w:color w:val="000000" w:themeColor="text1"/>
          <w:sz w:val="24"/>
          <w:szCs w:val="24"/>
          <w:highlight w:val="none"/>
          <w:u w:val="none"/>
          <w14:textFill>
            <w14:solidFill>
              <w14:schemeClr w14:val="tx1"/>
            </w14:solidFill>
          </w14:textFill>
        </w:rPr>
      </w:pPr>
      <w:r>
        <w:rPr>
          <w:rFonts w:hint="eastAsia" w:ascii="宋体" w:hAnsi="宋体" w:eastAsia="宋体" w:cs="宋体"/>
          <w:b/>
          <w:bCs w:val="0"/>
          <w:color w:val="000000" w:themeColor="text1"/>
          <w:sz w:val="24"/>
          <w:szCs w:val="24"/>
          <w:highlight w:val="none"/>
          <w:u w:val="none"/>
          <w14:textFill>
            <w14:solidFill>
              <w14:schemeClr w14:val="tx1"/>
            </w14:solidFill>
          </w14:textFill>
        </w:rPr>
        <w:t>五、公告期限</w:t>
      </w:r>
      <w:bookmarkEnd w:id="1240"/>
      <w:bookmarkEnd w:id="1241"/>
      <w:bookmarkEnd w:id="1242"/>
      <w:bookmarkEnd w:id="1243"/>
      <w:bookmarkEnd w:id="1244"/>
      <w:bookmarkEnd w:id="1245"/>
      <w:bookmarkEnd w:id="1246"/>
      <w:bookmarkEnd w:id="1247"/>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自本公告发布之日起5个工作日。</w:t>
      </w:r>
    </w:p>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outlineLvl w:val="9"/>
        <w:rPr>
          <w:rFonts w:hint="eastAsia" w:ascii="宋体" w:hAnsi="宋体" w:eastAsia="宋体" w:cs="宋体"/>
          <w:b/>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eastAsia="zh-CN"/>
          <w14:textFill>
            <w14:solidFill>
              <w14:schemeClr w14:val="tx1"/>
            </w14:solidFill>
          </w14:textFill>
        </w:rPr>
        <w:t>六、其它补充事宜</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val="en-US" w:eastAsia="zh-CN"/>
          <w14:textFill>
            <w14:solidFill>
              <w14:schemeClr w14:val="tx1"/>
            </w14:solidFill>
          </w14:textFill>
        </w:rPr>
        <w:t>进行咨询。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outlineLvl w:val="9"/>
        <w:rPr>
          <w:rFonts w:hint="eastAsia" w:ascii="宋体" w:hAnsi="宋体" w:eastAsia="宋体" w:cs="宋体"/>
          <w:b/>
          <w:bCs w:val="0"/>
          <w:color w:val="000000" w:themeColor="text1"/>
          <w:sz w:val="24"/>
          <w:szCs w:val="24"/>
          <w:highlight w:val="none"/>
          <w14:textFill>
            <w14:solidFill>
              <w14:schemeClr w14:val="tx1"/>
            </w14:solidFill>
          </w14:textFill>
        </w:rPr>
      </w:pPr>
      <w:bookmarkStart w:id="1248" w:name="_Toc35393795"/>
      <w:bookmarkStart w:id="1249" w:name="_Toc35393626"/>
      <w:bookmarkStart w:id="1250" w:name="_Toc18258"/>
      <w:bookmarkStart w:id="1251" w:name="_Toc647"/>
      <w:bookmarkStart w:id="1252" w:name="_Toc13675"/>
      <w:bookmarkStart w:id="1253" w:name="_Toc999"/>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val="0"/>
          <w:color w:val="000000" w:themeColor="text1"/>
          <w:sz w:val="24"/>
          <w:szCs w:val="24"/>
          <w:highlight w:val="none"/>
          <w14:textFill>
            <w14:solidFill>
              <w14:schemeClr w14:val="tx1"/>
            </w14:solidFill>
          </w14:textFill>
        </w:rPr>
        <w:t>、</w:t>
      </w:r>
      <w:bookmarkEnd w:id="1248"/>
      <w:bookmarkEnd w:id="1249"/>
      <w:bookmarkStart w:id="1254" w:name="_Toc35393627"/>
      <w:bookmarkStart w:id="1255" w:name="_Toc35393796"/>
      <w:bookmarkStart w:id="1256" w:name="_Toc28359085"/>
      <w:bookmarkStart w:id="1257" w:name="_Toc28359008"/>
      <w:r>
        <w:rPr>
          <w:rFonts w:hint="eastAsia" w:ascii="宋体" w:hAnsi="宋体" w:eastAsia="宋体" w:cs="宋体"/>
          <w:b/>
          <w:bCs w:val="0"/>
          <w:color w:val="000000" w:themeColor="text1"/>
          <w:sz w:val="24"/>
          <w:szCs w:val="24"/>
          <w:highlight w:val="none"/>
          <w14:textFill>
            <w14:solidFill>
              <w14:schemeClr w14:val="tx1"/>
            </w14:solidFill>
          </w14:textFill>
        </w:rPr>
        <w:t>对本次采购提出询问，请按以下方式联系。</w:t>
      </w:r>
      <w:bookmarkEnd w:id="1250"/>
      <w:bookmarkEnd w:id="1251"/>
      <w:bookmarkEnd w:id="1252"/>
      <w:bookmarkEnd w:id="1253"/>
      <w:bookmarkEnd w:id="1254"/>
      <w:bookmarkEnd w:id="1255"/>
      <w:bookmarkEnd w:id="1256"/>
      <w:bookmarkEnd w:id="1257"/>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bookmarkStart w:id="1258" w:name="_Toc28359087"/>
      <w:bookmarkStart w:id="1259" w:name="_Toc28359010"/>
      <w:r>
        <w:rPr>
          <w:rFonts w:hint="eastAsia" w:ascii="宋体" w:hAnsi="宋体" w:eastAsia="宋体" w:cs="宋体"/>
          <w:color w:val="000000" w:themeColor="text1"/>
          <w:kern w:val="0"/>
          <w:sz w:val="24"/>
          <w:szCs w:val="24"/>
          <w:highlight w:val="none"/>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名    称：</w:t>
      </w:r>
      <w:r>
        <w:rPr>
          <w:rFonts w:hint="eastAsia" w:ascii="宋体" w:hAnsi="宋体" w:cs="宋体"/>
          <w:color w:val="000000" w:themeColor="text1"/>
          <w:kern w:val="0"/>
          <w:sz w:val="24"/>
          <w:szCs w:val="24"/>
          <w:highlight w:val="none"/>
          <w:lang w:val="en-US" w:eastAsia="zh-CN"/>
          <w14:textFill>
            <w14:solidFill>
              <w14:schemeClr w14:val="tx1"/>
            </w14:solidFill>
          </w14:textFill>
        </w:rPr>
        <w:t>喀什中医医院</w:t>
      </w:r>
      <w:r>
        <w:rPr>
          <w:rFonts w:hint="eastAsia" w:ascii="宋体" w:hAnsi="宋体" w:eastAsia="宋体" w:cs="宋体"/>
          <w:color w:val="000000" w:themeColor="text1"/>
          <w:kern w:val="0"/>
          <w:sz w:val="24"/>
          <w:szCs w:val="24"/>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    址：</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喀什市深喀大道8号深圳城2号楼16楼1612室</w:t>
      </w:r>
      <w:r>
        <w:rPr>
          <w:rFonts w:hint="eastAsia" w:ascii="宋体" w:hAnsi="宋体" w:eastAsia="宋体" w:cs="宋体"/>
          <w:color w:val="000000" w:themeColor="text1"/>
          <w:kern w:val="0"/>
          <w:sz w:val="24"/>
          <w:szCs w:val="24"/>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 系 人：</w:t>
      </w:r>
      <w:r>
        <w:rPr>
          <w:rFonts w:hint="eastAsia" w:ascii="宋体" w:hAnsi="宋体" w:cs="宋体"/>
          <w:color w:val="000000" w:themeColor="text1"/>
          <w:kern w:val="0"/>
          <w:sz w:val="24"/>
          <w:szCs w:val="24"/>
          <w:highlight w:val="none"/>
          <w:lang w:val="en-US" w:eastAsia="zh-CN"/>
          <w14:textFill>
            <w14:solidFill>
              <w14:schemeClr w14:val="tx1"/>
            </w14:solidFill>
          </w14:textFill>
        </w:rPr>
        <w:t>王涛</w:t>
      </w:r>
      <w:r>
        <w:rPr>
          <w:rFonts w:hint="eastAsia" w:ascii="宋体" w:hAnsi="宋体" w:eastAsia="宋体" w:cs="宋体"/>
          <w:color w:val="000000" w:themeColor="text1"/>
          <w:kern w:val="0"/>
          <w:sz w:val="24"/>
          <w:szCs w:val="24"/>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15739955295</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名    称：</w:t>
      </w:r>
      <w:r>
        <w:rPr>
          <w:rFonts w:hint="eastAsia" w:ascii="宋体" w:hAnsi="宋体" w:cs="宋体"/>
          <w:color w:val="000000" w:themeColor="text1"/>
          <w:kern w:val="0"/>
          <w:sz w:val="24"/>
          <w:szCs w:val="24"/>
          <w:highlight w:val="none"/>
          <w:lang w:eastAsia="zh-CN"/>
          <w14:textFill>
            <w14:solidFill>
              <w14:schemeClr w14:val="tx1"/>
            </w14:solidFill>
          </w14:textFill>
        </w:rPr>
        <w:t>新疆西北招标有限公司</w:t>
      </w:r>
      <w:r>
        <w:rPr>
          <w:rFonts w:hint="eastAsia" w:ascii="宋体" w:hAnsi="宋体" w:eastAsia="宋体" w:cs="宋体"/>
          <w:color w:val="000000" w:themeColor="text1"/>
          <w:kern w:val="0"/>
          <w:sz w:val="24"/>
          <w:szCs w:val="24"/>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    址：</w:t>
      </w:r>
      <w:r>
        <w:rPr>
          <w:rFonts w:hint="eastAsia" w:ascii="宋体" w:hAnsi="宋体" w:cs="宋体"/>
          <w:color w:val="000000" w:themeColor="text1"/>
          <w:kern w:val="0"/>
          <w:sz w:val="24"/>
          <w:szCs w:val="24"/>
          <w:highlight w:val="none"/>
          <w:lang w:val="en-US" w:eastAsia="zh-CN"/>
          <w14:textFill>
            <w14:solidFill>
              <w14:schemeClr w14:val="tx1"/>
            </w14:solidFill>
          </w14:textFill>
        </w:rPr>
        <w:t>喀什经济开发区兵团分区总部大厦B座9楼</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 系 人：</w:t>
      </w:r>
      <w:r>
        <w:rPr>
          <w:rFonts w:hint="eastAsia" w:ascii="宋体" w:hAnsi="宋体" w:cs="宋体"/>
          <w:color w:val="000000" w:themeColor="text1"/>
          <w:kern w:val="0"/>
          <w:sz w:val="24"/>
          <w:szCs w:val="24"/>
          <w:highlight w:val="none"/>
          <w:lang w:val="en-US" w:eastAsia="zh-CN"/>
          <w14:textFill>
            <w14:solidFill>
              <w14:schemeClr w14:val="tx1"/>
            </w14:solidFill>
          </w14:textFill>
        </w:rPr>
        <w:t>张升礼</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eastAsia="zh-CN"/>
          <w14:textFill>
            <w14:solidFill>
              <w14:schemeClr w14:val="tx1"/>
            </w14:solidFill>
          </w14:textFill>
        </w:rPr>
        <w:t>18799505112</w:t>
      </w:r>
    </w:p>
    <w:bookmarkEnd w:id="1258"/>
    <w:bookmarkEnd w:id="1259"/>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righ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新疆西北招标有限公司</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p>
    <w:p>
      <w:pPr>
        <w:outlineLvl w:val="9"/>
        <w:rPr>
          <w:rFonts w:hint="eastAsia"/>
          <w:color w:val="000000" w:themeColor="text1"/>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微软雅黑" w:hAnsi="微软雅黑" w:eastAsia="微软雅黑"/>
          <w:i w:val="0"/>
          <w:iC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i w:val="0"/>
          <w:iCs w:val="0"/>
          <w:color w:val="000000" w:themeColor="text1"/>
          <w:spacing w:val="0"/>
          <w:sz w:val="24"/>
          <w:szCs w:val="24"/>
          <w:lang w:val="en-US" w:eastAsia="zh-CN"/>
          <w14:textFill>
            <w14:solidFill>
              <w14:schemeClr w14:val="tx1"/>
            </w14:solidFill>
          </w14:textFill>
        </w:rPr>
        <w:t xml:space="preserve">                                                </w:t>
      </w:r>
    </w:p>
    <w:p>
      <w:pPr>
        <w:pStyle w:val="26"/>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br w:type="page"/>
      </w:r>
    </w:p>
    <w:p>
      <w:pPr>
        <w:pStyle w:val="2"/>
        <w:tabs>
          <w:tab w:val="left" w:pos="0"/>
        </w:tabs>
        <w:spacing w:before="0" w:after="0" w:line="240" w:lineRule="atLeast"/>
        <w:jc w:val="center"/>
        <w:rPr>
          <w:rFonts w:hint="eastAsia" w:ascii="宋体" w:hAnsi="宋体" w:eastAsia="宋体" w:cs="宋体"/>
          <w:b/>
          <w:bCs/>
          <w:color w:val="000000" w:themeColor="text1"/>
          <w:szCs w:val="32"/>
          <w:highlight w:val="none"/>
          <w14:textFill>
            <w14:solidFill>
              <w14:schemeClr w14:val="tx1"/>
            </w14:solidFill>
          </w14:textFill>
        </w:rPr>
      </w:pPr>
      <w:bookmarkStart w:id="1260" w:name="_Toc14316"/>
      <w:r>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t>第4章</w:t>
      </w:r>
      <w:r>
        <w:rPr>
          <w:rFonts w:hint="eastAsia" w:hAnsi="宋体" w:cs="宋体"/>
          <w:b/>
          <w:bCs/>
          <w:color w:val="000000" w:themeColor="text1"/>
          <w:kern w:val="0"/>
          <w:sz w:val="32"/>
          <w:szCs w:val="32"/>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t>供应商须知资料表</w:t>
      </w:r>
      <w:bookmarkEnd w:id="1202"/>
      <w:bookmarkEnd w:id="1203"/>
      <w:bookmarkEnd w:id="1204"/>
      <w:bookmarkEnd w:id="1205"/>
      <w:bookmarkEnd w:id="1206"/>
      <w:bookmarkEnd w:id="1207"/>
      <w:bookmarkEnd w:id="1208"/>
      <w:bookmarkEnd w:id="1209"/>
      <w:bookmarkEnd w:id="1260"/>
    </w:p>
    <w:p>
      <w:pPr>
        <w:spacing w:line="400" w:lineRule="exact"/>
        <w:ind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本表是本招标项目的具体资料，是对供应商须知的具体补充和修改，如有矛盾，应以本资料表为准。</w:t>
      </w:r>
    </w:p>
    <w:tbl>
      <w:tblPr>
        <w:tblStyle w:val="33"/>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w:t>
            </w:r>
            <w:r>
              <w:rPr>
                <w:rFonts w:hint="eastAsia" w:ascii="宋体" w:hAnsi="宋体" w:cs="宋体"/>
                <w:color w:val="000000" w:themeColor="text1"/>
                <w:sz w:val="24"/>
                <w:szCs w:val="24"/>
                <w:highlight w:val="none"/>
                <w:u w:val="single"/>
                <w:lang w:eastAsia="zh-CN"/>
                <w14:textFill>
                  <w14:solidFill>
                    <w14:schemeClr w14:val="tx1"/>
                  </w14:solidFill>
                </w14:textFill>
              </w:rPr>
              <w:t>喀什中医医院</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w:t>
            </w:r>
            <w:r>
              <w:rPr>
                <w:rFonts w:hint="eastAsia" w:ascii="宋体" w:hAnsi="宋体" w:eastAsia="宋体" w:cs="宋体"/>
                <w:color w:val="000000" w:themeColor="text1"/>
                <w:sz w:val="24"/>
                <w:szCs w:val="24"/>
                <w:highlight w:val="none"/>
                <w:u w:val="single"/>
                <w14:textFill>
                  <w14:solidFill>
                    <w14:schemeClr w14:val="tx1"/>
                  </w14:solidFill>
                </w14:textFill>
              </w:rPr>
              <w:t>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u w:val="single"/>
                <w:lang w:val="en-US" w:eastAsia="zh-CN"/>
                <w14:textFill>
                  <w14:solidFill>
                    <w14:schemeClr w14:val="tx1"/>
                  </w14:solidFill>
                </w14:textFill>
              </w:rPr>
              <w:t>王涛</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联系电话：</w:t>
            </w:r>
            <w:r>
              <w:rPr>
                <w:rFonts w:hint="eastAsia" w:ascii="宋体" w:hAnsi="宋体" w:cs="宋体"/>
                <w:color w:val="000000" w:themeColor="text1"/>
                <w:sz w:val="24"/>
                <w:szCs w:val="24"/>
                <w:highlight w:val="none"/>
                <w:u w:val="single"/>
                <w:lang w:val="en-US" w:eastAsia="zh-CN"/>
                <w14:textFill>
                  <w14:solidFill>
                    <w14:schemeClr w14:val="tx1"/>
                  </w14:solidFill>
                </w14:textFill>
              </w:rPr>
              <w:t>15739955295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w:t>
            </w:r>
            <w:r>
              <w:rPr>
                <w:rFonts w:hint="eastAsia" w:ascii="宋体" w:hAnsi="宋体" w:cs="宋体"/>
                <w:color w:val="000000" w:themeColor="text1"/>
                <w:sz w:val="24"/>
                <w:szCs w:val="24"/>
                <w:highlight w:val="none"/>
                <w:u w:val="single"/>
                <w:lang w:eastAsia="zh-CN"/>
                <w14:textFill>
                  <w14:solidFill>
                    <w14:schemeClr w14:val="tx1"/>
                  </w14:solidFill>
                </w14:textFill>
              </w:rPr>
              <w:t>新疆西北招标有限公司</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lang w:eastAsia="zh-CN"/>
                <w14:textFill>
                  <w14:solidFill>
                    <w14:schemeClr w14:val="tx1"/>
                  </w14:solidFill>
                </w14:textFill>
              </w:rPr>
              <w:t>喀什经济开发区兵团分区总部大厦B座9楼</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业务联系人：</w:t>
            </w:r>
            <w:r>
              <w:rPr>
                <w:rFonts w:hint="eastAsia" w:ascii="宋体" w:hAnsi="宋体" w:cs="宋体"/>
                <w:color w:val="000000" w:themeColor="text1"/>
                <w:sz w:val="24"/>
                <w:szCs w:val="24"/>
                <w:highlight w:val="none"/>
                <w:u w:val="single"/>
                <w:lang w:val="en-US" w:eastAsia="zh-CN"/>
                <w14:textFill>
                  <w14:solidFill>
                    <w14:schemeClr w14:val="tx1"/>
                  </w14:solidFill>
                </w14:textFill>
              </w:rPr>
              <w:t>张升礼</w:t>
            </w:r>
            <w:r>
              <w:rPr>
                <w:rFonts w:hint="eastAsia" w:ascii="宋体" w:hAnsi="宋体" w:eastAsia="宋体" w:cs="宋体"/>
                <w:color w:val="000000" w:themeColor="text1"/>
                <w:sz w:val="24"/>
                <w:szCs w:val="24"/>
                <w:highlight w:val="none"/>
                <w14:textFill>
                  <w14:solidFill>
                    <w14:schemeClr w14:val="tx1"/>
                  </w14:solidFill>
                </w14:textFill>
              </w:rPr>
              <w:t xml:space="preserve">　   联系电话： </w:t>
            </w:r>
            <w:r>
              <w:rPr>
                <w:rFonts w:hint="eastAsia" w:ascii="宋体" w:hAnsi="宋体" w:cs="宋体"/>
                <w:color w:val="000000" w:themeColor="text1"/>
                <w:sz w:val="24"/>
                <w:szCs w:val="24"/>
                <w:highlight w:val="none"/>
                <w:u w:val="single"/>
                <w:lang w:eastAsia="zh-CN"/>
                <w14:textFill>
                  <w14:solidFill>
                    <w14:schemeClr w14:val="tx1"/>
                  </w14:solidFill>
                </w14:textFill>
              </w:rPr>
              <w:t>18799505112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5"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1.3.4</w:t>
            </w:r>
          </w:p>
        </w:tc>
        <w:tc>
          <w:tcPr>
            <w:tcW w:w="7882" w:type="dxa"/>
            <w:vAlign w:val="center"/>
          </w:tcPr>
          <w:p>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360" w:lineRule="exact"/>
              <w:ind w:left="0" w:right="0"/>
              <w:jc w:val="left"/>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合格供应商的其他资格要求：</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（须将以下资格证明材料附在投标文件中）</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（1）</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具有有效的营业执照</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（2）</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医疗器械经营许可证或其他医疗器械生产经营许可证明文件）；</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（3）</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法定代表人资格证明及授权书、被授权人身份证(法定代表人投标需提供法定代表人身份证)；</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4</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提供近两年内任意一年的财务审计报告（新成立未满一年的新公司可提供近三个月内任意一个月的银行资信证明）</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5</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）依法缴纳近六个月内任意一个月</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社会保险证明</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6</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依法缴纳近六个月内任意一个月税收证明</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60" w:lineRule="exact"/>
              <w:ind w:left="0" w:leftChars="0" w:right="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7</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列入严重违法失信名单（黑名单）信息；将拒绝其参加本次招标活动</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以采购代理机构或采购人查询为准</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jc w:val="left"/>
              <w:textAlignment w:val="baseline"/>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8</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）参与政府采购活动前3年内未被列入失信、重大税收违法案件、财政部门禁止参加政府采购活动的承诺书；</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jc w:val="left"/>
              <w:textAlignment w:val="baseline"/>
              <w:rPr>
                <w:rFonts w:hint="eastAsia" w:ascii="宋体" w:hAnsi="宋体" w:eastAsia="宋体" w:cs="宋体"/>
                <w:b/>
                <w:bCs/>
                <w:i w:val="0"/>
                <w:caps w:val="0"/>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9</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）提供针对本次项目的《反商业贿赂承诺书》</w:t>
            </w:r>
            <w:r>
              <w:rPr>
                <w:rFonts w:hint="eastAsia" w:ascii="宋体" w:hAnsi="宋体" w:eastAsia="宋体" w:cs="宋体"/>
                <w:b/>
                <w:bCs/>
                <w:i w:val="0"/>
                <w:caps w:val="0"/>
                <w:color w:val="000000" w:themeColor="text1"/>
                <w:spacing w:val="0"/>
                <w:w w:val="100"/>
                <w:sz w:val="24"/>
                <w:szCs w:val="24"/>
                <w:highlight w:val="none"/>
                <w:lang w:eastAsia="zh-CN"/>
                <w14:textFill>
                  <w14:solidFill>
                    <w14:schemeClr w14:val="tx1"/>
                  </w14:solidFill>
                </w14:textFill>
              </w:rPr>
              <w:t>；</w:t>
            </w:r>
          </w:p>
          <w:p>
            <w:pPr>
              <w:pStyle w:val="26"/>
              <w:pageBreakBefore w:val="0"/>
              <w:kinsoku/>
              <w:wordWrap/>
              <w:overflowPunct/>
              <w:topLinePunct w:val="0"/>
              <w:bidi w:val="0"/>
              <w:spacing w:line="360" w:lineRule="exact"/>
              <w:rPr>
                <w:rFonts w:hint="eastAsia" w:ascii="宋体" w:hAnsi="宋体" w:eastAsia="宋体" w:cs="宋体"/>
                <w:b/>
                <w:bCs/>
                <w:i w:val="0"/>
                <w:caps w:val="0"/>
                <w:color w:val="000000" w:themeColor="text1"/>
                <w:spacing w:val="0"/>
                <w:w w:val="100"/>
                <w:kern w:val="2"/>
                <w:sz w:val="24"/>
                <w:szCs w:val="24"/>
                <w:highlight w:val="none"/>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10</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eastAsia="宋体" w:cs="宋体"/>
                <w:b/>
                <w:bCs/>
                <w:i w:val="0"/>
                <w:caps w:val="0"/>
                <w:color w:val="000000" w:themeColor="text1"/>
                <w:spacing w:val="0"/>
                <w:w w:val="100"/>
                <w:kern w:val="2"/>
                <w:sz w:val="24"/>
                <w:szCs w:val="24"/>
                <w:highlight w:val="none"/>
                <w:lang w:val="en-US" w:eastAsia="zh-CN" w:bidi="ar-SA"/>
                <w14:textFill>
                  <w14:solidFill>
                    <w14:schemeClr w14:val="tx1"/>
                  </w14:solidFill>
                </w14:textFill>
              </w:rPr>
              <w:t>缴纳投标保证金的有效凭证。</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14:textFill>
                  <w14:solidFill>
                    <w14:schemeClr w14:val="tx1"/>
                  </w14:solidFill>
                </w14:textFill>
              </w:rPr>
              <w:t>各供应商应注意以下事项：①本项目要求各投标供应商提供“</w:t>
            </w:r>
            <w:r>
              <w:rPr>
                <w:rFonts w:hint="eastAsia" w:ascii="宋体" w:hAnsi="宋体" w:cs="宋体"/>
                <w:b/>
                <w:bCs/>
                <w:i w:val="0"/>
                <w:caps w:val="0"/>
                <w:color w:val="000000" w:themeColor="text1"/>
                <w:spacing w:val="0"/>
                <w:w w:val="100"/>
                <w:sz w:val="24"/>
                <w:szCs w:val="24"/>
                <w:highlight w:val="none"/>
                <w:lang w:eastAsia="zh-CN"/>
                <w14:textFill>
                  <w14:solidFill>
                    <w14:schemeClr w14:val="tx1"/>
                  </w14:solidFill>
                </w14:textFill>
              </w:rPr>
              <w:t>依法缴纳近六个月内任意一个月税收证明</w:t>
            </w:r>
            <w:r>
              <w:rPr>
                <w:rFonts w:hint="eastAsia" w:ascii="宋体" w:hAnsi="宋体" w:eastAsia="宋体" w:cs="宋体"/>
                <w:b/>
                <w:bCs/>
                <w:i w:val="0"/>
                <w:caps w:val="0"/>
                <w:color w:val="000000" w:themeColor="text1"/>
                <w:spacing w:val="0"/>
                <w:w w:val="100"/>
                <w:sz w:val="24"/>
                <w:szCs w:val="24"/>
                <w:highlight w:val="none"/>
                <w14:textFill>
                  <w14:solidFill>
                    <w14:schemeClr w14:val="tx1"/>
                  </w14:solidFill>
                </w14:textFill>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1.3.5   </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是否允许采购进口产品</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b/>
                <w:bCs/>
                <w:color w:val="000000" w:themeColor="text1"/>
                <w:sz w:val="24"/>
                <w:szCs w:val="24"/>
                <w:highlight w:val="none"/>
                <w:u w:val="single"/>
                <w:lang w:val="en-US" w:eastAsia="zh-CN"/>
                <w14:textFill>
                  <w14:solidFill>
                    <w14:schemeClr w14:val="tx1"/>
                  </w14:solidFill>
                </w14:textFill>
              </w:rPr>
              <w:t>否</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1.3.6</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是否为专门面向中小企业采购：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否</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1.3.7</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本项目所属行业：</w:t>
            </w:r>
            <w:r>
              <w:rPr>
                <w:rFonts w:hint="eastAsia" w:ascii="宋体" w:hAnsi="宋体" w:cs="宋体"/>
                <w:b/>
                <w:bCs/>
                <w:color w:val="000000" w:themeColor="text1"/>
                <w:sz w:val="24"/>
                <w:szCs w:val="24"/>
                <w:highlight w:val="none"/>
                <w:u w:val="single"/>
                <w:lang w:eastAsia="zh-CN"/>
                <w14:textFill>
                  <w14:solidFill>
                    <w14:schemeClr w14:val="tx1"/>
                  </w14:solidFill>
                </w14:textFill>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1.3.8</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资金来源：</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援疆资金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是否允许联合体投标：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否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1.4.8</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联合体的其他资格要求：</w:t>
            </w:r>
            <w:r>
              <w:rPr>
                <w:rFonts w:hint="eastAsia" w:ascii="宋体" w:hAnsi="宋体" w:eastAsia="宋体" w:cs="宋体"/>
                <w:color w:val="000000" w:themeColor="text1"/>
                <w:sz w:val="24"/>
                <w:szCs w:val="24"/>
                <w:highlight w:val="none"/>
                <w:u w:val="single"/>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p>
        </w:tc>
        <w:tc>
          <w:tcPr>
            <w:tcW w:w="78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预算金额：</w:t>
            </w:r>
            <w:r>
              <w:rPr>
                <w:rFonts w:hint="eastAsia" w:ascii="宋体" w:hAnsi="宋体" w:cs="宋体"/>
                <w:b/>
                <w:bCs/>
                <w:color w:val="000000" w:themeColor="text1"/>
                <w:sz w:val="24"/>
                <w:szCs w:val="24"/>
                <w:highlight w:val="none"/>
                <w:lang w:val="en-US" w:eastAsia="zh-CN"/>
                <w14:textFill>
                  <w14:solidFill>
                    <w14:schemeClr w14:val="tx1"/>
                  </w14:solidFill>
                </w14:textFill>
              </w:rPr>
              <w:t>第九包：2348400；第十二包：3386900；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12.1</w:t>
            </w:r>
          </w:p>
        </w:tc>
        <w:tc>
          <w:tcPr>
            <w:tcW w:w="78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形式</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☑保函</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电汇  □支票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对公转账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（以“保函”形式提交投标保证金的，投标文件须放</w:t>
            </w:r>
            <w:r>
              <w:rPr>
                <w:rFonts w:hint="eastAsia" w:ascii="宋体" w:hAnsi="宋体" w:cs="宋体"/>
                <w:b/>
                <w:bCs/>
                <w:color w:val="000000" w:themeColor="text1"/>
                <w:sz w:val="24"/>
                <w:szCs w:val="24"/>
                <w:highlight w:val="none"/>
                <w:lang w:val="en-US" w:eastAsia="zh-CN"/>
                <w14:textFill>
                  <w14:solidFill>
                    <w14:schemeClr w14:val="tx1"/>
                  </w14:solidFill>
                </w14:textFill>
              </w:rPr>
              <w:t>置</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保函</w:t>
            </w:r>
            <w:r>
              <w:rPr>
                <w:rFonts w:hint="eastAsia" w:ascii="宋体" w:hAnsi="宋体" w:cs="宋体"/>
                <w:b/>
                <w:bCs/>
                <w:color w:val="000000" w:themeColor="text1"/>
                <w:sz w:val="24"/>
                <w:szCs w:val="24"/>
                <w:highlight w:val="none"/>
                <w:lang w:val="en-US" w:eastAsia="zh-CN"/>
                <w14:textFill>
                  <w14:solidFill>
                    <w14:schemeClr w14:val="tx1"/>
                  </w14:solidFill>
                </w14:textFill>
              </w:rPr>
              <w:t>扫描件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b w:val="0"/>
                <w:bCs w:val="0"/>
                <w:color w:val="000000" w:themeColor="text1"/>
                <w:sz w:val="24"/>
                <w:szCs w:val="24"/>
                <w:highlight w:val="none"/>
                <w14:textFill>
                  <w14:solidFill>
                    <w14:schemeClr w14:val="tx1"/>
                  </w14:solidFill>
                </w14:textFill>
              </w:rPr>
              <w:t>保证金金额：</w:t>
            </w:r>
          </w:p>
          <w:p>
            <w:pPr>
              <w:pStyle w:val="42"/>
              <w:keepNext w:val="0"/>
              <w:keepLines w:val="0"/>
              <w:suppressLineNumbers w:val="0"/>
              <w:spacing w:before="0" w:beforeAutospacing="0" w:after="0" w:afterAutospacing="0"/>
              <w:ind w:left="0" w:leftChars="0" w:right="0" w:firstLine="0" w:firstLineChars="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第九包：</w:t>
            </w:r>
            <w:r>
              <w:rPr>
                <w:rFonts w:hint="eastAsia" w:ascii="宋体" w:hAnsi="宋体" w:eastAsia="宋体" w:cs="宋体"/>
                <w:b/>
                <w:bCs/>
                <w:color w:val="000000" w:themeColor="text1"/>
                <w:sz w:val="24"/>
                <w:szCs w:val="24"/>
                <w:highlight w:val="none"/>
                <w14:textFill>
                  <w14:solidFill>
                    <w14:schemeClr w14:val="tx1"/>
                  </w14:solidFill>
                </w14:textFill>
              </w:rPr>
              <w:t>小写：</w:t>
            </w:r>
            <w:r>
              <w:rPr>
                <w:rFonts w:hint="eastAsia" w:ascii="宋体" w:hAnsi="宋体" w:cs="宋体"/>
                <w:b/>
                <w:bCs/>
                <w:color w:val="000000" w:themeColor="text1"/>
                <w:sz w:val="24"/>
                <w:szCs w:val="24"/>
                <w:highlight w:val="none"/>
                <w:lang w:val="en-US" w:eastAsia="zh-CN"/>
                <w14:textFill>
                  <w14:solidFill>
                    <w14:schemeClr w14:val="tx1"/>
                  </w14:solidFill>
                </w14:textFill>
              </w:rPr>
              <w:t>46000.00</w:t>
            </w:r>
            <w:r>
              <w:rPr>
                <w:rFonts w:hint="eastAsia" w:ascii="宋体" w:hAnsi="宋体" w:eastAsia="宋体" w:cs="宋体"/>
                <w:b/>
                <w:bCs/>
                <w:color w:val="000000" w:themeColor="text1"/>
                <w:sz w:val="24"/>
                <w:szCs w:val="24"/>
                <w:highlight w:val="none"/>
                <w14:textFill>
                  <w14:solidFill>
                    <w14:schemeClr w14:val="tx1"/>
                  </w14:solidFill>
                </w14:textFill>
              </w:rPr>
              <w:t>元（</w:t>
            </w:r>
            <w:r>
              <w:rPr>
                <w:rFonts w:hint="eastAsia" w:ascii="宋体" w:hAnsi="宋体" w:cs="宋体"/>
                <w:b/>
                <w:bCs/>
                <w:color w:val="000000" w:themeColor="text1"/>
                <w:sz w:val="24"/>
                <w:szCs w:val="24"/>
                <w:highlight w:val="none"/>
                <w:lang w:val="en-US" w:eastAsia="zh-CN"/>
                <w14:textFill>
                  <w14:solidFill>
                    <w14:schemeClr w14:val="tx1"/>
                  </w14:solidFill>
                </w14:textFill>
              </w:rPr>
              <w:t>大写：肆万陆仟元整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pStyle w:val="42"/>
              <w:keepNext w:val="0"/>
              <w:keepLines w:val="0"/>
              <w:suppressLineNumbers w:val="0"/>
              <w:spacing w:before="0" w:beforeAutospacing="0" w:after="0" w:afterAutospacing="0"/>
              <w:ind w:left="0" w:leftChars="0" w:right="0" w:firstLine="0" w:firstLineChars="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第十二包：</w:t>
            </w:r>
            <w:r>
              <w:rPr>
                <w:rFonts w:hint="eastAsia" w:ascii="宋体" w:hAnsi="宋体" w:eastAsia="宋体" w:cs="宋体"/>
                <w:b/>
                <w:bCs/>
                <w:color w:val="000000" w:themeColor="text1"/>
                <w:sz w:val="24"/>
                <w:szCs w:val="24"/>
                <w:highlight w:val="none"/>
                <w14:textFill>
                  <w14:solidFill>
                    <w14:schemeClr w14:val="tx1"/>
                  </w14:solidFill>
                </w14:textFill>
              </w:rPr>
              <w:t>小写：</w:t>
            </w:r>
            <w:r>
              <w:rPr>
                <w:rFonts w:hint="eastAsia" w:ascii="宋体" w:hAnsi="宋体" w:cs="宋体"/>
                <w:b/>
                <w:bCs/>
                <w:color w:val="000000" w:themeColor="text1"/>
                <w:sz w:val="24"/>
                <w:szCs w:val="24"/>
                <w:highlight w:val="none"/>
                <w:lang w:val="en-US" w:eastAsia="zh-CN"/>
                <w14:textFill>
                  <w14:solidFill>
                    <w14:schemeClr w14:val="tx1"/>
                  </w14:solidFill>
                </w14:textFill>
              </w:rPr>
              <w:t>67000.00</w:t>
            </w:r>
            <w:r>
              <w:rPr>
                <w:rFonts w:hint="eastAsia" w:ascii="宋体" w:hAnsi="宋体" w:eastAsia="宋体" w:cs="宋体"/>
                <w:b/>
                <w:bCs/>
                <w:color w:val="000000" w:themeColor="text1"/>
                <w:sz w:val="24"/>
                <w:szCs w:val="24"/>
                <w:highlight w:val="none"/>
                <w14:textFill>
                  <w14:solidFill>
                    <w14:schemeClr w14:val="tx1"/>
                  </w14:solidFill>
                </w14:textFill>
              </w:rPr>
              <w:t>元（</w:t>
            </w:r>
            <w:r>
              <w:rPr>
                <w:rFonts w:hint="eastAsia" w:ascii="宋体" w:hAnsi="宋体" w:cs="宋体"/>
                <w:b/>
                <w:bCs/>
                <w:color w:val="000000" w:themeColor="text1"/>
                <w:sz w:val="24"/>
                <w:szCs w:val="24"/>
                <w:highlight w:val="none"/>
                <w:lang w:val="en-US" w:eastAsia="zh-CN"/>
                <w14:textFill>
                  <w14:solidFill>
                    <w14:schemeClr w14:val="tx1"/>
                  </w14:solidFill>
                </w14:textFill>
              </w:rPr>
              <w:t>大写：陆万柒仟元整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预算</w:t>
            </w:r>
            <w:r>
              <w:rPr>
                <w:rFonts w:hint="eastAsia" w:ascii="宋体" w:hAnsi="宋体" w:eastAsia="宋体" w:cs="宋体"/>
                <w:color w:val="000000" w:themeColor="text1"/>
                <w:sz w:val="24"/>
                <w:szCs w:val="24"/>
                <w:highlight w:val="none"/>
                <w14:textFill>
                  <w14:solidFill>
                    <w14:schemeClr w14:val="tx1"/>
                  </w14:solidFill>
                </w14:textFill>
              </w:rPr>
              <w:t>金额2%以内的整数计算）</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保证金收款人：</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开户名称：</w:t>
            </w:r>
            <w:r>
              <w:rPr>
                <w:rFonts w:hint="eastAsia" w:ascii="宋体" w:hAnsi="宋体" w:cs="宋体"/>
                <w:b/>
                <w:bCs/>
                <w:color w:val="000000" w:themeColor="text1"/>
                <w:sz w:val="24"/>
                <w:szCs w:val="24"/>
                <w:highlight w:val="none"/>
                <w:lang w:val="en-US" w:eastAsia="zh-CN"/>
                <w14:textFill>
                  <w14:solidFill>
                    <w14:schemeClr w14:val="tx1"/>
                  </w14:solidFill>
                </w14:textFill>
              </w:rPr>
              <w:t>新疆西北招标有限公司</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行号：104881007105</w:t>
            </w:r>
            <w:r>
              <w:rPr>
                <w:rFonts w:hint="eastAsia" w:ascii="宋体" w:hAnsi="宋体" w:eastAsia="宋体" w:cs="宋体"/>
                <w:b/>
                <w:bCs/>
                <w:color w:val="000000" w:themeColor="text1"/>
                <w:sz w:val="24"/>
                <w:szCs w:val="24"/>
                <w:highlight w:val="none"/>
                <w:lang w:val="zh-CN" w:eastAsia="zh-CN"/>
                <w14:textFill>
                  <w14:solidFill>
                    <w14:schemeClr w14:val="tx1"/>
                  </w14:solidFill>
                </w14:textFill>
              </w:rPr>
              <w:t xml:space="preserve"> </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开户账号：107638779707</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开户银行：中国银行乌鲁木齐市奇台路支行</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联系人:张升礼         联系方式：</w:t>
            </w:r>
            <w:r>
              <w:rPr>
                <w:rFonts w:hint="eastAsia" w:ascii="宋体" w:hAnsi="宋体" w:cs="宋体"/>
                <w:b/>
                <w:bCs/>
                <w:color w:val="000000" w:themeColor="text1"/>
                <w:sz w:val="24"/>
                <w:szCs w:val="24"/>
                <w:highlight w:val="none"/>
                <w:lang w:val="en-US" w:eastAsia="zh-CN"/>
                <w14:textFill>
                  <w14:solidFill>
                    <w14:schemeClr w14:val="tx1"/>
                  </w14:solidFill>
                </w14:textFill>
              </w:rPr>
              <w:t>18799505112</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A:缴纳</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投标保证金</w:t>
            </w:r>
            <w:r>
              <w:rPr>
                <w:rFonts w:hint="eastAsia" w:ascii="宋体" w:hAnsi="宋体" w:eastAsia="宋体" w:cs="宋体"/>
                <w:b/>
                <w:bCs/>
                <w:color w:val="000000" w:themeColor="text1"/>
                <w:sz w:val="24"/>
                <w:szCs w:val="24"/>
                <w:highlight w:val="none"/>
                <w14:textFill>
                  <w14:solidFill>
                    <w14:schemeClr w14:val="tx1"/>
                  </w14:solidFill>
                </w14:textFill>
              </w:rPr>
              <w:t>保证金要求：投标保证金必须在开标前交到</w:t>
            </w:r>
            <w:r>
              <w:rPr>
                <w:rFonts w:hint="eastAsia" w:ascii="宋体" w:hAnsi="宋体" w:cs="宋体"/>
                <w:b/>
                <w:bCs/>
                <w:color w:val="000000" w:themeColor="text1"/>
                <w:sz w:val="24"/>
                <w:szCs w:val="24"/>
                <w:highlight w:val="none"/>
                <w:lang w:eastAsia="zh-CN"/>
                <w14:textFill>
                  <w14:solidFill>
                    <w14:schemeClr w14:val="tx1"/>
                  </w14:solidFill>
                </w14:textFill>
              </w:rPr>
              <w:t>新疆西北招标有限公司</w:t>
            </w:r>
            <w:r>
              <w:rPr>
                <w:rFonts w:hint="eastAsia" w:ascii="宋体" w:hAnsi="宋体" w:eastAsia="宋体" w:cs="宋体"/>
                <w:b/>
                <w:bCs/>
                <w:color w:val="000000" w:themeColor="text1"/>
                <w:sz w:val="24"/>
                <w:szCs w:val="24"/>
                <w:highlight w:val="none"/>
                <w14:textFill>
                  <w14:solidFill>
                    <w14:schemeClr w14:val="tx1"/>
                  </w14:solidFill>
                </w14:textFill>
              </w:rPr>
              <w:t>账户中。不接受现金、支票及任何个人、分公司汇款</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B：退</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b/>
                <w:bCs/>
                <w:color w:val="000000" w:themeColor="text1"/>
                <w:sz w:val="24"/>
                <w:szCs w:val="24"/>
                <w:highlight w:val="none"/>
                <w14:textFill>
                  <w14:solidFill>
                    <w14:schemeClr w14:val="tx1"/>
                  </w14:solidFill>
                </w14:textFill>
              </w:rPr>
              <w:t>保证金：（1）根据《中华人民共和国财政部令第87号--政府采购货物和货物招标投标管理办法》第三十八条</w:t>
            </w:r>
            <w:r>
              <w:rPr>
                <w:rFonts w:hint="eastAsia" w:ascii="宋体" w:hAnsi="宋体" w:eastAsia="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在投标截止时间前撤回已提交的投标文件的，采购人或者采购代理机构应当自收到</w:t>
            </w:r>
            <w:r>
              <w:rPr>
                <w:rFonts w:hint="eastAsia" w:ascii="宋体" w:hAnsi="宋体" w:eastAsia="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书面撤回通知之日起５个工作日内，退还已收取的投标保证金，但因</w:t>
            </w:r>
            <w:r>
              <w:rPr>
                <w:rFonts w:hint="eastAsia" w:ascii="宋体" w:hAnsi="宋体" w:eastAsia="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自身原因导致无法及时退还的除外。采购人或者采购代理机构应当自中标通知书发出之日起5个工作日内退还未</w:t>
            </w:r>
            <w:r>
              <w:rPr>
                <w:rFonts w:hint="eastAsia" w:ascii="宋体" w:hAnsi="宋体" w:cs="宋体"/>
                <w:b/>
                <w:bCs/>
                <w:color w:val="000000" w:themeColor="text1"/>
                <w:sz w:val="24"/>
                <w:szCs w:val="24"/>
                <w:highlight w:val="none"/>
                <w:lang w:val="en-US" w:eastAsia="zh-CN"/>
                <w14:textFill>
                  <w14:solidFill>
                    <w14:schemeClr w14:val="tx1"/>
                  </w14:solidFill>
                </w14:textFill>
              </w:rPr>
              <w:t>中标供应商</w:t>
            </w:r>
            <w:r>
              <w:rPr>
                <w:rFonts w:hint="eastAsia" w:ascii="宋体" w:hAnsi="宋体" w:eastAsia="宋体" w:cs="宋体"/>
                <w:b/>
                <w:bCs/>
                <w:color w:val="000000" w:themeColor="text1"/>
                <w:sz w:val="24"/>
                <w:szCs w:val="24"/>
                <w:highlight w:val="none"/>
                <w14:textFill>
                  <w14:solidFill>
                    <w14:schemeClr w14:val="tx1"/>
                  </w14:solidFill>
                </w14:textFill>
              </w:rPr>
              <w:t>的投标保证金，自采购合同签订之日起5个工作日内退还</w:t>
            </w:r>
            <w:r>
              <w:rPr>
                <w:rFonts w:hint="eastAsia" w:ascii="宋体" w:hAnsi="宋体" w:cs="宋体"/>
                <w:b/>
                <w:bCs/>
                <w:color w:val="000000" w:themeColor="text1"/>
                <w:sz w:val="24"/>
                <w:szCs w:val="24"/>
                <w:highlight w:val="none"/>
                <w:lang w:val="en-US" w:eastAsia="zh-CN"/>
                <w14:textFill>
                  <w14:solidFill>
                    <w14:schemeClr w14:val="tx1"/>
                  </w14:solidFill>
                </w14:textFill>
              </w:rPr>
              <w:t>中标供应商</w:t>
            </w:r>
            <w:r>
              <w:rPr>
                <w:rFonts w:hint="eastAsia" w:ascii="宋体" w:hAnsi="宋体" w:eastAsia="宋体" w:cs="宋体"/>
                <w:b/>
                <w:bCs/>
                <w:color w:val="000000" w:themeColor="text1"/>
                <w:sz w:val="24"/>
                <w:szCs w:val="24"/>
                <w:highlight w:val="none"/>
                <w14:textFill>
                  <w14:solidFill>
                    <w14:schemeClr w14:val="tx1"/>
                  </w14:solidFill>
                </w14:textFill>
              </w:rPr>
              <w:t>的投标保证金。</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instrText xml:space="preserve"> HYPERLINK "mailto:中标供应商的投标保证金在与采购单位签订合同后，把合同扫描件发送至邮箱2783389030@qq.com后，当日或次日即原账户退回。" </w:instrTex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中标供应商的投标保证金在与采购单位签订合同后，把合同扫描件发送至邮箱</w:t>
            </w:r>
            <w:r>
              <w:rPr>
                <w:rFonts w:hint="eastAsia" w:ascii="宋体" w:hAnsi="宋体" w:cs="宋体"/>
                <w:b/>
                <w:bCs/>
                <w:color w:val="000000" w:themeColor="text1"/>
                <w:sz w:val="24"/>
                <w:szCs w:val="24"/>
                <w:highlight w:val="none"/>
                <w:lang w:val="en-US" w:eastAsia="zh-CN"/>
                <w14:textFill>
                  <w14:solidFill>
                    <w14:schemeClr w14:val="tx1"/>
                  </w14:solidFill>
                </w14:textFill>
              </w:rPr>
              <w:t>177143086</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@qq.com后，当日或次日即原账户退回。</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r>
              <w:rPr>
                <w:rFonts w:hint="eastAsia" w:ascii="宋体" w:hAnsi="宋体" w:eastAsia="宋体" w:cs="宋体"/>
                <w:b/>
                <w:bCs/>
                <w:color w:val="000000" w:themeColor="text1"/>
                <w:sz w:val="24"/>
                <w:szCs w:val="24"/>
                <w:highlight w:val="none"/>
                <w:u w:val="single"/>
                <w14:textFill>
                  <w14:solidFill>
                    <w14:schemeClr w14:val="tx1"/>
                  </w14:solidFill>
                </w14:textFill>
              </w:rPr>
              <w:t>　</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90</w:t>
            </w:r>
            <w:r>
              <w:rPr>
                <w:rFonts w:hint="eastAsia" w:ascii="宋体" w:hAnsi="宋体" w:eastAsia="宋体" w:cs="宋体"/>
                <w:b/>
                <w:bCs/>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w:t>
            </w:r>
          </w:p>
        </w:tc>
        <w:tc>
          <w:tcPr>
            <w:tcW w:w="7882" w:type="dxa"/>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suppressLineNumbers w:val="0"/>
              <w:spacing w:before="0" w:beforeAutospacing="0" w:after="0" w:afterAutospacing="0" w:line="400" w:lineRule="exact"/>
              <w:ind w:left="0" w:right="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（2）本项目实行网上投标，采用电子投标文件(供应商须使用CA加密设备通过政采云电子投标客户端制作投标文件)。若供应商参与投标，自行承担投标一切费用。</w:t>
            </w:r>
          </w:p>
          <w:p>
            <w:pPr>
              <w:keepNext w:val="0"/>
              <w:keepLines w:val="0"/>
              <w:suppressLineNumbers w:val="0"/>
              <w:spacing w:before="0" w:beforeAutospacing="0" w:after="0" w:afterAutospacing="0" w:line="400" w:lineRule="exact"/>
              <w:ind w:left="0" w:right="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suppressLineNumbers w:val="0"/>
              <w:spacing w:before="0" w:beforeAutospacing="0" w:after="0" w:afterAutospacing="0" w:line="400" w:lineRule="exact"/>
              <w:ind w:left="0" w:right="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b/>
                <w:bCs/>
                <w:color w:val="000000" w:themeColor="text1"/>
                <w:sz w:val="24"/>
                <w:highlight w:val="none"/>
                <w:lang w:val="en-US" w:eastAsia="zh-CN"/>
                <w14:textFill>
                  <w14:solidFill>
                    <w14:schemeClr w14:val="tx1"/>
                  </w14:solidFill>
                </w14:textFill>
              </w:rPr>
              <w:t>95763</w:t>
            </w:r>
            <w:r>
              <w:rPr>
                <w:rFonts w:hint="eastAsia" w:ascii="宋体" w:hAnsi="宋体" w:eastAsia="宋体" w:cs="宋体"/>
                <w:b/>
                <w:bCs/>
                <w:color w:val="000000" w:themeColor="text1"/>
                <w:sz w:val="24"/>
                <w:highlight w:val="none"/>
                <w14:textFill>
                  <w14:solidFill>
                    <w14:schemeClr w14:val="tx1"/>
                  </w14:solidFill>
                </w14:textFill>
              </w:rPr>
              <w:t>进行咨询。</w:t>
            </w:r>
          </w:p>
          <w:p>
            <w:pPr>
              <w:keepNext w:val="0"/>
              <w:keepLines w:val="0"/>
              <w:suppressLineNumbers w:val="0"/>
              <w:spacing w:before="0" w:beforeAutospacing="0" w:after="0" w:afterAutospacing="0" w:line="400" w:lineRule="exact"/>
              <w:ind w:left="0" w:right="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（5）供应商在开标时须使用制作加密电子投标文件所使用的CA锁及电脑，电脑须提前配置好浏览器（建议使用360浏览器或谷歌浏览器），以便开标时解锁。</w:t>
            </w:r>
          </w:p>
          <w:p>
            <w:pPr>
              <w:keepNext w:val="0"/>
              <w:keepLines w:val="0"/>
              <w:suppressLineNumbers w:val="0"/>
              <w:spacing w:before="0" w:beforeAutospacing="0" w:after="0" w:afterAutospacing="0" w:line="400" w:lineRule="exact"/>
              <w:ind w:left="0" w:right="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（6）投标保证金缴纳及确认时间：凡拟参加本次招标项目的供应商，必须在开标前将投标保证金汇入指定账户。否则，届时其投标将被拒绝。</w:t>
            </w:r>
          </w:p>
          <w:p>
            <w:pPr>
              <w:keepNext w:val="0"/>
              <w:keepLines w:val="0"/>
              <w:suppressLineNumbers w:val="0"/>
              <w:spacing w:before="0" w:beforeAutospacing="0" w:after="0" w:afterAutospacing="0" w:line="400" w:lineRule="exact"/>
              <w:ind w:left="0" w:right="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suppressLineNumbers w:val="0"/>
              <w:shd w:val="clear"/>
              <w:spacing w:before="0" w:beforeAutospacing="0" w:after="0" w:afterAutospacing="0" w:line="400" w:lineRule="exact"/>
              <w:ind w:left="0" w:right="0"/>
              <w:jc w:val="left"/>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w:t>
            </w:r>
            <w:r>
              <w:rPr>
                <w:rFonts w:hint="eastAsia" w:ascii="宋体" w:hAnsi="宋体" w:cs="宋体"/>
                <w:b/>
                <w:bCs/>
                <w:color w:val="000000" w:themeColor="text1"/>
                <w:sz w:val="24"/>
                <w:highlight w:val="none"/>
                <w:lang w:val="en-US" w:eastAsia="zh-CN"/>
                <w14:textFill>
                  <w14:solidFill>
                    <w14:schemeClr w14:val="tx1"/>
                  </w14:solidFill>
                </w14:textFill>
              </w:rPr>
              <w:t>JMBS</w:t>
            </w:r>
            <w:r>
              <w:rPr>
                <w:rFonts w:hint="eastAsia" w:ascii="宋体" w:hAnsi="宋体" w:eastAsia="宋体" w:cs="宋体"/>
                <w:b/>
                <w:bCs/>
                <w:color w:val="000000" w:themeColor="text1"/>
                <w:sz w:val="24"/>
                <w:highlight w:val="none"/>
                <w:lang w:val="en-US" w:eastAsia="zh-CN"/>
                <w14:textFill>
                  <w14:solidFill>
                    <w14:schemeClr w14:val="tx1"/>
                  </w14:solidFill>
                </w14:textFill>
              </w:rPr>
              <w:t>，包含第一部分开标一览表及资格证明文件、第二部分商务及技术文件）</w:t>
            </w:r>
          </w:p>
          <w:p>
            <w:pPr>
              <w:keepNext w:val="0"/>
              <w:keepLines w:val="0"/>
              <w:suppressLineNumbers w:val="0"/>
              <w:shd w:val="clear"/>
              <w:spacing w:before="0" w:beforeAutospacing="0" w:after="0" w:afterAutospacing="0" w:line="400" w:lineRule="exact"/>
              <w:ind w:left="0" w:right="0"/>
              <w:jc w:val="left"/>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9）各供应商应完整地按招标文件提供的投标文件格式及要求编写投标文件，根据平台关联点上传对应佐证资料，投标文件应包括“开标一览表及资格证明文件”和“商务及技术文件”两部分，两部分合并成完整一册上传至政采云平台。</w:t>
            </w:r>
          </w:p>
          <w:p>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（10）解密时长为30分钟，超出解密时长，作无效投标处理。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投标截止时间：</w:t>
            </w:r>
            <w:r>
              <w:rPr>
                <w:rFonts w:hint="eastAsia" w:ascii="宋体" w:hAnsi="宋体" w:cs="宋体"/>
                <w:b/>
                <w:bCs/>
                <w:color w:val="000000" w:themeColor="text1"/>
                <w:sz w:val="24"/>
                <w:szCs w:val="24"/>
                <w:highlight w:val="none"/>
                <w:lang w:eastAsia="zh-CN"/>
                <w14:textFill>
                  <w14:solidFill>
                    <w14:schemeClr w14:val="tx1"/>
                  </w14:solidFill>
                </w14:textFill>
              </w:rPr>
              <w:t>2023年</w:t>
            </w:r>
            <w:r>
              <w:rPr>
                <w:rFonts w:hint="eastAsia" w:ascii="宋体" w:hAnsi="宋体" w:cs="宋体"/>
                <w:b/>
                <w:bCs/>
                <w:color w:val="000000" w:themeColor="text1"/>
                <w:sz w:val="24"/>
                <w:szCs w:val="24"/>
                <w:highlight w:val="none"/>
                <w:lang w:val="en-US" w:eastAsia="zh-CN"/>
                <w14:textFill>
                  <w14:solidFill>
                    <w14:schemeClr w14:val="tx1"/>
                  </w14:solidFill>
                </w14:textFill>
              </w:rPr>
              <w:t>8</w:t>
            </w:r>
            <w:r>
              <w:rPr>
                <w:rFonts w:hint="eastAsia" w:ascii="宋体" w:hAnsi="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24</w:t>
            </w:r>
            <w:r>
              <w:rPr>
                <w:rFonts w:hint="eastAsia" w:ascii="宋体" w:hAnsi="宋体" w:cs="宋体"/>
                <w:b/>
                <w:bCs/>
                <w:color w:val="000000" w:themeColor="text1"/>
                <w:sz w:val="24"/>
                <w:szCs w:val="24"/>
                <w:highlight w:val="none"/>
                <w:lang w:eastAsia="zh-CN"/>
                <w14:textFill>
                  <w14:solidFill>
                    <w14:schemeClr w14:val="tx1"/>
                  </w14:solidFill>
                </w14:textFill>
              </w:rPr>
              <w:t>日11：00</w:t>
            </w:r>
            <w:r>
              <w:rPr>
                <w:rFonts w:hint="eastAsia" w:ascii="宋体" w:hAnsi="宋体" w:eastAsia="宋体" w:cs="宋体"/>
                <w:b/>
                <w:bCs/>
                <w:color w:val="000000" w:themeColor="text1"/>
                <w:sz w:val="24"/>
                <w:szCs w:val="24"/>
                <w:highlight w:val="none"/>
                <w14:textFill>
                  <w14:solidFill>
                    <w14:schemeClr w14:val="tx1"/>
                  </w14:solidFill>
                </w14:textFill>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开标时间：</w:t>
            </w:r>
            <w:r>
              <w:rPr>
                <w:rFonts w:hint="eastAsia" w:ascii="宋体" w:hAnsi="宋体" w:cs="宋体"/>
                <w:b/>
                <w:bCs/>
                <w:color w:val="000000" w:themeColor="text1"/>
                <w:sz w:val="24"/>
                <w:szCs w:val="24"/>
                <w:highlight w:val="none"/>
                <w:lang w:eastAsia="zh-CN"/>
                <w14:textFill>
                  <w14:solidFill>
                    <w14:schemeClr w14:val="tx1"/>
                  </w14:solidFill>
                </w14:textFill>
              </w:rPr>
              <w:t>2023年</w:t>
            </w:r>
            <w:r>
              <w:rPr>
                <w:rFonts w:hint="eastAsia" w:ascii="宋体" w:hAnsi="宋体" w:cs="宋体"/>
                <w:b/>
                <w:bCs/>
                <w:color w:val="000000" w:themeColor="text1"/>
                <w:sz w:val="24"/>
                <w:szCs w:val="24"/>
                <w:highlight w:val="none"/>
                <w:lang w:val="en-US" w:eastAsia="zh-CN"/>
                <w14:textFill>
                  <w14:solidFill>
                    <w14:schemeClr w14:val="tx1"/>
                  </w14:solidFill>
                </w14:textFill>
              </w:rPr>
              <w:t>8</w:t>
            </w:r>
            <w:r>
              <w:rPr>
                <w:rFonts w:hint="eastAsia" w:ascii="宋体" w:hAnsi="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24</w:t>
            </w:r>
            <w:bookmarkStart w:id="2413" w:name="_GoBack"/>
            <w:bookmarkEnd w:id="2413"/>
            <w:r>
              <w:rPr>
                <w:rFonts w:hint="eastAsia" w:ascii="宋体" w:hAnsi="宋体" w:cs="宋体"/>
                <w:b/>
                <w:bCs/>
                <w:color w:val="000000" w:themeColor="text1"/>
                <w:sz w:val="24"/>
                <w:szCs w:val="24"/>
                <w:highlight w:val="none"/>
                <w:lang w:eastAsia="zh-CN"/>
                <w14:textFill>
                  <w14:solidFill>
                    <w14:schemeClr w14:val="tx1"/>
                  </w14:solidFill>
                </w14:textFill>
              </w:rPr>
              <w:t>日11：00</w:t>
            </w:r>
            <w:r>
              <w:rPr>
                <w:rFonts w:hint="eastAsia" w:ascii="宋体" w:hAnsi="宋体" w:eastAsia="宋体" w:cs="宋体"/>
                <w:b/>
                <w:bCs/>
                <w:color w:val="000000" w:themeColor="text1"/>
                <w:sz w:val="24"/>
                <w:szCs w:val="24"/>
                <w:highlight w:val="none"/>
                <w14:textFill>
                  <w14:solidFill>
                    <w14:schemeClr w14:val="tx1"/>
                  </w14:solidFill>
                </w14:textFill>
              </w:rPr>
              <w:t>（北京时间）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开标地点：</w:t>
            </w:r>
            <w:r>
              <w:rPr>
                <w:rFonts w:hint="eastAsia" w:ascii="宋体" w:hAnsi="宋体" w:eastAsia="宋体" w:cs="宋体"/>
                <w:b/>
                <w:bCs/>
                <w:color w:val="000000" w:themeColor="text1"/>
                <w:sz w:val="24"/>
                <w:szCs w:val="24"/>
                <w:highlight w:val="none"/>
                <w:lang w:eastAsia="zh-CN"/>
                <w14:textFill>
                  <w14:solidFill>
                    <w14:schemeClr w14:val="tx1"/>
                  </w14:solidFill>
                </w14:textFill>
              </w:rPr>
              <w:t>政采云平台</w:t>
            </w:r>
            <w:r>
              <w:rPr>
                <w:rFonts w:hint="eastAsia" w:ascii="宋体" w:hAnsi="宋体" w:eastAsia="宋体" w:cs="宋体"/>
                <w:b/>
                <w:bCs/>
                <w:color w:val="000000" w:themeColor="text1"/>
                <w:sz w:val="24"/>
                <w:szCs w:val="24"/>
                <w:highlight w:val="none"/>
                <w14:textFill>
                  <w14:solidFill>
                    <w14:schemeClr w14:val="tx1"/>
                  </w14:solidFill>
                </w14:textFill>
              </w:rPr>
              <w:t>（https://login.zcygov.cn/user-login/#/login）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23.2</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评标方法：适用</w:t>
            </w:r>
            <w:r>
              <w:rPr>
                <w:rFonts w:hint="eastAsia" w:ascii="宋体" w:hAnsi="宋体" w:eastAsia="宋体" w:cs="宋体"/>
                <w:color w:val="000000" w:themeColor="text1"/>
                <w:sz w:val="24"/>
                <w:szCs w:val="24"/>
                <w:highlight w:val="none"/>
                <w:u w:val="single"/>
                <w14:textFill>
                  <w14:solidFill>
                    <w14:schemeClr w14:val="tx1"/>
                  </w14:solidFill>
                </w14:textFill>
              </w:rPr>
              <w:t>　综合评分法　</w:t>
            </w:r>
            <w:r>
              <w:rPr>
                <w:rFonts w:hint="eastAsia" w:ascii="宋体" w:hAnsi="宋体" w:eastAsia="宋体" w:cs="宋体"/>
                <w:color w:val="000000" w:themeColor="text1"/>
                <w:sz w:val="24"/>
                <w:szCs w:val="24"/>
                <w:highlight w:val="non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推荐中标候选供应商的数量：</w:t>
            </w:r>
            <w:r>
              <w:rPr>
                <w:rFonts w:hint="eastAsia" w:ascii="宋体" w:hAnsi="宋体" w:eastAsia="宋体" w:cs="宋体"/>
                <w:color w:val="000000" w:themeColor="text1"/>
                <w:sz w:val="24"/>
                <w:szCs w:val="24"/>
                <w:highlight w:val="none"/>
                <w:u w:val="single"/>
                <w14:textFill>
                  <w14:solidFill>
                    <w14:schemeClr w14:val="tx1"/>
                  </w14:solidFill>
                </w14:textFill>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是否委托评标委员会直接确定</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否</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i/>
                <w:color w:val="000000" w:themeColor="text1"/>
                <w:sz w:val="24"/>
                <w:szCs w:val="24"/>
                <w:highlight w:val="none"/>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31.1</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履约保证金金额：合同总价的</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（不得超过政府采购合同金额的10%）</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履约保证金形式：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☑保函</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电汇  □支票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对公转账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提交履约保证金的时间：签订合同前打入甲方指定账户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w:t>
            </w:r>
            <w:r>
              <w:rPr>
                <w:rFonts w:hint="eastAsia" w:ascii="宋体" w:hAnsi="宋体" w:eastAsia="宋体" w:cs="宋体"/>
                <w:color w:val="000000" w:themeColor="text1"/>
                <w:sz w:val="24"/>
                <w:szCs w:val="24"/>
                <w:highlight w:val="none"/>
                <w:lang w:val="zh-CN"/>
                <w14:textFill>
                  <w14:solidFill>
                    <w14:schemeClr w14:val="tx1"/>
                  </w14:solidFill>
                </w14:textFill>
              </w:rPr>
              <w:t>双方可以通过协商另行约定其他退还时间和方式及用途。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招标代理服务收费标准(费率)</w:t>
            </w:r>
          </w:p>
          <w:tbl>
            <w:tblPr>
              <w:tblStyle w:val="33"/>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1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费率中标金额</w:t>
                  </w:r>
                </w:p>
              </w:tc>
              <w:tc>
                <w:tcPr>
                  <w:tcW w:w="15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货物招标</w:t>
                  </w:r>
                </w:p>
              </w:tc>
              <w:tc>
                <w:tcPr>
                  <w:tcW w:w="133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服务招标</w:t>
                  </w:r>
                </w:p>
              </w:tc>
              <w:tc>
                <w:tcPr>
                  <w:tcW w:w="299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100万元以下</w:t>
                  </w:r>
                </w:p>
              </w:tc>
              <w:tc>
                <w:tcPr>
                  <w:tcW w:w="15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1.5%</w:t>
                  </w:r>
                </w:p>
              </w:tc>
              <w:tc>
                <w:tcPr>
                  <w:tcW w:w="133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1.5%</w:t>
                  </w:r>
                </w:p>
              </w:tc>
              <w:tc>
                <w:tcPr>
                  <w:tcW w:w="299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100～500万元</w:t>
                  </w:r>
                </w:p>
              </w:tc>
              <w:tc>
                <w:tcPr>
                  <w:tcW w:w="15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1.1%</w:t>
                  </w:r>
                </w:p>
              </w:tc>
              <w:tc>
                <w:tcPr>
                  <w:tcW w:w="133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0.8%</w:t>
                  </w:r>
                </w:p>
              </w:tc>
              <w:tc>
                <w:tcPr>
                  <w:tcW w:w="299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500～1000万元</w:t>
                  </w:r>
                </w:p>
              </w:tc>
              <w:tc>
                <w:tcPr>
                  <w:tcW w:w="15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0.8%</w:t>
                  </w:r>
                </w:p>
              </w:tc>
              <w:tc>
                <w:tcPr>
                  <w:tcW w:w="133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0.45%</w:t>
                  </w:r>
                </w:p>
              </w:tc>
              <w:tc>
                <w:tcPr>
                  <w:tcW w:w="299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1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1000～5000万元</w:t>
                  </w:r>
                </w:p>
              </w:tc>
              <w:tc>
                <w:tcPr>
                  <w:tcW w:w="15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0.5%</w:t>
                  </w:r>
                </w:p>
              </w:tc>
              <w:tc>
                <w:tcPr>
                  <w:tcW w:w="133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0.25%</w:t>
                  </w:r>
                </w:p>
              </w:tc>
              <w:tc>
                <w:tcPr>
                  <w:tcW w:w="299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5000万元～1亿元</w:t>
                  </w:r>
                </w:p>
              </w:tc>
              <w:tc>
                <w:tcPr>
                  <w:tcW w:w="15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0.25%</w:t>
                  </w:r>
                </w:p>
              </w:tc>
              <w:tc>
                <w:tcPr>
                  <w:tcW w:w="133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0.1%</w:t>
                  </w:r>
                </w:p>
              </w:tc>
              <w:tc>
                <w:tcPr>
                  <w:tcW w:w="299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1～5亿元</w:t>
                  </w:r>
                </w:p>
              </w:tc>
              <w:tc>
                <w:tcPr>
                  <w:tcW w:w="15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0.05%</w:t>
                  </w:r>
                </w:p>
              </w:tc>
              <w:tc>
                <w:tcPr>
                  <w:tcW w:w="133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0.05%</w:t>
                  </w:r>
                </w:p>
              </w:tc>
              <w:tc>
                <w:tcPr>
                  <w:tcW w:w="299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0.05</w:t>
                  </w:r>
                  <w:r>
                    <w:rPr>
                      <w:rFonts w:hint="eastAsia" w:ascii="仿宋" w:hAnsi="仿宋" w:eastAsia="仿宋" w:cs="仿宋"/>
                      <w:color w:val="000000" w:themeColor="text1"/>
                      <w:lang w:eastAsia="zh-CN"/>
                      <w14:textFill>
                        <w14:solidFill>
                          <w14:schemeClr w14:val="tx1"/>
                        </w14:solidFill>
                      </w14:textFill>
                    </w:rPr>
                    <w:cr/>
                  </w:r>
                  <w:r>
                    <w:rPr>
                      <w:rFonts w:hint="eastAsia" w:ascii="仿宋" w:hAnsi="仿宋" w:eastAsia="仿宋" w:cs="仿宋"/>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61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5～10亿元</w:t>
                  </w:r>
                </w:p>
              </w:tc>
              <w:tc>
                <w:tcPr>
                  <w:tcW w:w="15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0.035%</w:t>
                  </w:r>
                </w:p>
              </w:tc>
              <w:tc>
                <w:tcPr>
                  <w:tcW w:w="133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0.035%</w:t>
                  </w:r>
                </w:p>
              </w:tc>
              <w:tc>
                <w:tcPr>
                  <w:tcW w:w="299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1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10～50亿元</w:t>
                  </w:r>
                </w:p>
              </w:tc>
              <w:tc>
                <w:tcPr>
                  <w:tcW w:w="15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0.008%</w:t>
                  </w:r>
                </w:p>
              </w:tc>
              <w:tc>
                <w:tcPr>
                  <w:tcW w:w="133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0.008%</w:t>
                  </w:r>
                </w:p>
              </w:tc>
              <w:tc>
                <w:tcPr>
                  <w:tcW w:w="299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50～100亿元</w:t>
                  </w:r>
                </w:p>
              </w:tc>
              <w:tc>
                <w:tcPr>
                  <w:tcW w:w="15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0.006%</w:t>
                  </w:r>
                </w:p>
              </w:tc>
              <w:tc>
                <w:tcPr>
                  <w:tcW w:w="133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0.006%</w:t>
                  </w:r>
                </w:p>
              </w:tc>
              <w:tc>
                <w:tcPr>
                  <w:tcW w:w="299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100亿以上</w:t>
                  </w:r>
                </w:p>
              </w:tc>
              <w:tc>
                <w:tcPr>
                  <w:tcW w:w="15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0.004%</w:t>
                  </w:r>
                </w:p>
              </w:tc>
              <w:tc>
                <w:tcPr>
                  <w:tcW w:w="133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0.004%</w:t>
                  </w:r>
                </w:p>
              </w:tc>
              <w:tc>
                <w:tcPr>
                  <w:tcW w:w="2996"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0.004%</w:t>
                  </w:r>
                </w:p>
              </w:tc>
            </w:tr>
          </w:tbl>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注：</w:t>
            </w:r>
          </w:p>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1、按本表费率计算的收费为招标代理服务全过程的收费基准价格，单独提供编制招标文件（有标底的含标底）服务的，可按规定标准的30％计收。</w:t>
            </w:r>
          </w:p>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2、招标代理服务收费按差额定率累进法计算。例如：某工程招标代理业务中标金额为6000万元，计算招标代理服务费额如下：</w:t>
            </w:r>
          </w:p>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100万元×1.0％＝1万元</w:t>
            </w:r>
          </w:p>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（500－100）万元×0.7％＝2.8万元</w:t>
            </w:r>
          </w:p>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（1000－500）万元×0.55％＝2.75万元</w:t>
            </w:r>
          </w:p>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（5000－1000）万元×0.35％＝14万元</w:t>
            </w:r>
          </w:p>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（6000－5000）万元×0.2％＝2万元</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合计收费＝1＋2.8＋2.75＋14＋2＝22.55(万元)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1080" w:leftChars="257" w:right="0"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33.1</w:t>
            </w:r>
          </w:p>
        </w:tc>
        <w:tc>
          <w:tcPr>
            <w:tcW w:w="7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本项目是否属于信用担保试点范围：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否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i/>
                <w:color w:val="000000" w:themeColor="text1"/>
                <w:sz w:val="24"/>
                <w:szCs w:val="24"/>
                <w:highlight w:val="none"/>
                <w14:textFill>
                  <w14:solidFill>
                    <w14:schemeClr w14:val="tx1"/>
                  </w14:solidFill>
                </w14:textFill>
              </w:rPr>
              <w:t>（是、否）</w:t>
            </w:r>
          </w:p>
        </w:tc>
      </w:tr>
    </w:tbl>
    <w:p>
      <w:pPr>
        <w:tabs>
          <w:tab w:val="left" w:pos="0"/>
        </w:tabs>
        <w:spacing w:before="0" w:after="0" w:line="240" w:lineRule="atLeast"/>
        <w:outlineLvl w:val="9"/>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bookmarkStart w:id="1261" w:name="_Toc15092"/>
      <w:bookmarkStart w:id="1262" w:name="_Toc27053"/>
      <w:bookmarkStart w:id="1263" w:name="_Toc512937852"/>
    </w:p>
    <w:p>
      <w:pPr>
        <w:tabs>
          <w:tab w:val="left" w:pos="0"/>
        </w:tabs>
        <w:spacing w:before="0" w:after="0" w:line="240" w:lineRule="atLeast"/>
        <w:outlineLvl w:val="9"/>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p>
    <w:p>
      <w:pPr>
        <w:outlineLvl w:val="9"/>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sectPr>
          <w:headerReference r:id="rId5" w:type="default"/>
          <w:footerReference r:id="rId6" w:type="default"/>
          <w:pgSz w:w="11905" w:h="16838"/>
          <w:pgMar w:top="1440" w:right="1797" w:bottom="1440" w:left="1797" w:header="851" w:footer="992" w:gutter="0"/>
          <w:pgNumType w:fmt="decimal"/>
          <w:cols w:space="0" w:num="1"/>
          <w:rtlGutter w:val="0"/>
          <w:docGrid w:linePitch="462" w:charSpace="0"/>
        </w:sectPr>
      </w:pPr>
      <w:r>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br w:type="page"/>
      </w:r>
    </w:p>
    <w:p>
      <w:pPr>
        <w:pStyle w:val="42"/>
        <w:rPr>
          <w:rFonts w:hint="eastAsia"/>
          <w:color w:val="000000" w:themeColor="text1"/>
          <w:lang w:val="en-US" w:eastAsia="zh-CN"/>
          <w14:textFill>
            <w14:solidFill>
              <w14:schemeClr w14:val="tx1"/>
            </w14:solidFill>
          </w14:textFill>
        </w:rPr>
      </w:pPr>
    </w:p>
    <w:p>
      <w:pPr>
        <w:pStyle w:val="2"/>
        <w:tabs>
          <w:tab w:val="left" w:pos="0"/>
        </w:tabs>
        <w:spacing w:before="0" w:after="0" w:line="240" w:lineRule="atLeast"/>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bookmarkStart w:id="1264" w:name="_Toc24403"/>
      <w:r>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t>第5章  货物内容及项目要求</w:t>
      </w:r>
      <w:bookmarkEnd w:id="1261"/>
      <w:bookmarkEnd w:id="1262"/>
      <w:bookmarkEnd w:id="1264"/>
    </w:p>
    <w:bookmarkEnd w:id="1263"/>
    <w:p>
      <w:pPr>
        <w:pStyle w:val="4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jc w:val="left"/>
        <w:textAlignment w:val="baseline"/>
        <w:outlineLvl w:val="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1265" w:name="_Toc4621"/>
      <w:bookmarkStart w:id="1266" w:name="_Toc12446"/>
      <w:bookmarkStart w:id="1267" w:name="_Toc6403"/>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bCs/>
          <w:i w:val="0"/>
          <w:caps w:val="0"/>
          <w:color w:val="000000" w:themeColor="text1"/>
          <w:spacing w:val="0"/>
          <w:w w:val="100"/>
          <w:kern w:val="0"/>
          <w:sz w:val="28"/>
          <w:szCs w:val="28"/>
          <w:highlight w:val="none"/>
          <w:lang w:val="en-US" w:eastAsia="zh-CN" w:bidi="ar-SA"/>
          <w14:textFill>
            <w14:solidFill>
              <w14:schemeClr w14:val="tx1"/>
            </w14:solidFill>
          </w14:textFill>
        </w:rPr>
      </w:pPr>
      <w:bookmarkStart w:id="1268" w:name="_Toc21324"/>
      <w:r>
        <w:rPr>
          <w:rFonts w:hint="eastAsia" w:ascii="宋体" w:hAnsi="宋体" w:eastAsia="宋体" w:cs="宋体"/>
          <w:b/>
          <w:bCs/>
          <w:i w:val="0"/>
          <w:caps w:val="0"/>
          <w:color w:val="000000" w:themeColor="text1"/>
          <w:spacing w:val="0"/>
          <w:w w:val="100"/>
          <w:kern w:val="0"/>
          <w:sz w:val="28"/>
          <w:szCs w:val="28"/>
          <w:highlight w:val="none"/>
          <w:lang w:val="en-US" w:eastAsia="zh-CN" w:bidi="ar-SA"/>
          <w14:textFill>
            <w14:solidFill>
              <w14:schemeClr w14:val="tx1"/>
            </w14:solidFill>
          </w14:textFill>
        </w:rPr>
        <w:t>货物需求：</w:t>
      </w:r>
      <w:bookmarkEnd w:id="1265"/>
      <w:bookmarkEnd w:id="1266"/>
      <w:bookmarkEnd w:id="1267"/>
      <w:bookmarkEnd w:id="1268"/>
      <w:bookmarkStart w:id="1269" w:name="_Toc30525"/>
    </w:p>
    <w:p>
      <w:pPr>
        <w:pStyle w:val="42"/>
        <w:ind w:left="0" w:leftChars="0" w:firstLine="562" w:firstLineChars="200"/>
        <w:rPr>
          <w:rFonts w:hint="default" w:ascii="宋体" w:hAnsi="宋体" w:eastAsia="宋体" w:cs="宋体"/>
          <w:b/>
          <w:bCs/>
          <w:i w:val="0"/>
          <w:caps w:val="0"/>
          <w:color w:val="000000" w:themeColor="text1"/>
          <w:spacing w:val="0"/>
          <w:w w:val="100"/>
          <w:kern w:val="0"/>
          <w:sz w:val="28"/>
          <w:szCs w:val="28"/>
          <w:highlight w:val="none"/>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w w:val="100"/>
          <w:kern w:val="0"/>
          <w:sz w:val="28"/>
          <w:szCs w:val="28"/>
          <w:highlight w:val="none"/>
          <w:lang w:val="en-US" w:eastAsia="zh-CN" w:bidi="ar-SA"/>
          <w14:textFill>
            <w14:solidFill>
              <w14:schemeClr w14:val="tx1"/>
            </w14:solidFill>
          </w14:textFill>
        </w:rPr>
        <w:t>单位：台</w:t>
      </w:r>
    </w:p>
    <w:p>
      <w:pPr>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第九包（234.84万）</w:t>
      </w:r>
    </w:p>
    <w:tbl>
      <w:tblPr>
        <w:tblStyle w:val="33"/>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0"/>
        <w:gridCol w:w="13373"/>
        <w:gridCol w:w="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智能片剂包装系统</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一、基本要求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 单机可装储的药品品种数（不含非机储药）≥336种，可储存最大数量的药盒，高度≤2米。</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2、非机储药品添加用的单个外摆药槽（MDU）的格子数量≥48格，能够保证MDU加药≥48餐/次。</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3、全中文操作系统，支持一维条码和二维条码的识别系统。</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4、实时接收HIS传过来的医嘱信息，提供随机免费的接口升级服务。</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5、设备自带急停按钮。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二、技术参数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1、机储药品的存储部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1.1、所有药盒必须全部容纳在抽拉式结构的储药柜中，方便药师进行药品的集中添加操作，并可按照药性对药品在设备中进行分类摆放，便于定位和查找。</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1.2、抽屉式结构必须有检测装置，防止抽屉未归位的情况下出药，药品掉落到机器外部。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★1.3、存储部分落药结构为T字型通道，优化落药方式提高效率（提供落药通道结构图片）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2、药盒</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2.1、每个药盒必须能够各自独立调节容积大小，单台分包机的储药部中所有的位置都可以放置最小规格型号药盒，所有设备中允许放置最小规格药盒的位置数必须≥336种，该功能应在提供的技术资料里有具体说明，并提供设备实际图片加以说明并标出可以放置最多药盒的所有位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2.2、药盒（含药盒底部）为全透明设计，药盒具有防潮、防尘、防紫外线功能；可用水冲洗，清洁方便，药盒盖子上必须有药品药样的存储窗，以满足药师加药时进行药品实物核对的要求，该功能应在提供的技术资料里有具体说明，并提供实样或实际应用中的图片加以说明。</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2.3、药盒上需要有放置药样装置，并有贴药品名称、规格位置，防止药师加错药。</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2.4、药盒配备有干燥剂放置位置，避免空气潮湿使药品变质。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2.5、设备全部配置为智能药盒，药盒没有固定位置，可以任意安放，机器自动识别药盒，不会包错药。</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2.6、加药时，可以在对应位置及抽屉进行亮灯提示，避免药师放错药盒。</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2.7、设备根据药粒不同，可提供高低两种不同容量药盒。</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3、分包机携带的操作界面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3.1、分包机携带的操作和信息显示系统为外置≥15寸触摸屏，且屏幕仰角可调、可拉伸。</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3.2、全中文操作界面，方便药师操作。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4、备用药槽（非机储药槽）的添加</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4.1、当处方信息中有非机储药需要添加时，外摆药盘必须能自动弹出，并在分包机触摸屏上显示外摆药品在外摆药盘上以格为单位的详细添加信息，方便药师按照触摸屏的提示添加非机储药品。</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4.2、非机储药品添加信息必须能在分包机自带的液晶触摸屏中显示，可以选择是否打印摆药单，以满足医院无纸化摆药的需要。</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4.3、分包机的非机储药槽必须能够从设备中取出，并具有支持多个非机储药槽交替工作的功能。可以进行同时包含48个以上病人多处方进行集中添加非机储药品的能力，提高分包工作效率。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★4.4、设备内置摆药台，药师可抽出摆药台进行补药核对工作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（提供机身内置摆药台实际图片）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5、包装部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5.1、包装部密闭，该装置可以进行清洁。</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★5.2、分包机打印机可以自动调节打印长度，防止把药袋拉断或者太松发生差错。</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6、药袋</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6.1、打印内容需要打印在透明面，方便药师核对药品信息。</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★6.2、药袋的封装模式为U字型单面封装，提高用药的安全性（提供U字型封装模式的实机图片）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7、设备清洁</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外摆药盘、漏斗等与药盘接触的结构需要方便日常清洁。</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8、软件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8.1、历史数据汇总查询、导出功能。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8.2、历史发药量和库存查询、导出功能，方便备药。</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8.3、可以根据药品设置每包的包药数量，超过数量后，自动拆包。</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8.4、可根据药品的特性设置个性化落药参数，以保证同一餐的药品落入同一个包装袋内，避免发生错包和串包。</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8.5、可根据医院使用习惯，设置需要包药的科室。</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8.6、换包装袋和碳带后，可以继续处理之前医嘱。</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8.7、可以根据药品使用情况，把药品分装于多个药盒内，减少药师加药频次。</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8.8、药袋上打印内容包括患者姓名、病区、房号、性别、患者ID、药品名称、规格、数量、用药时间等，打印内容也可根据医院需求进行自由设定。</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8.9、缺包装袋、缺碳带报警、急停报警提示。</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kern w:val="2"/>
                <w:sz w:val="24"/>
                <w:szCs w:val="24"/>
                <w:lang w:val="en-US" w:eastAsia="zh-CN" w:bidi="ar"/>
              </w:rPr>
              <w:t>8.10、可以根据药品特性，设置药品单独包装一袋或者混装。</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中药汤剂贴标包装机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1、容量：≥20000ML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2、自动包装，卫生健康，保质期长，易于携带，服用方便。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3、包装温度、包装量自动显示。</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4、★具备联网通讯功能。可实现煎药单数据传输等通讯协议，并支持包数、包装量通讯协议的自动设置；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5、★自定义编辑客户信息打印，自动取标、自动贴标。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6、封合温度数字化控制，可以设定自动恒定。</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7、包装量为50-250ML无极变量可调包装。</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8、适用于老人、儿童、成年人等不同用量。</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9、包装平均速度≥8袋/分。</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液体真空浓缩机（膏方专用）</w:t>
            </w:r>
          </w:p>
        </w:tc>
        <w:tc>
          <w:tcPr>
            <w:tcW w:w="1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1</w:t>
            </w:r>
            <w:r>
              <w:rPr>
                <w:rFonts w:hint="eastAsia" w:ascii="宋体" w:hAnsi="宋体" w:eastAsia="宋体" w:cs="Times New Roman"/>
                <w:color w:val="000000" w:themeColor="text1"/>
                <w:sz w:val="24"/>
                <w:szCs w:val="24"/>
                <w:lang w:val="en-US" w:eastAsia="zh-CN"/>
                <w14:textFill>
                  <w14:solidFill>
                    <w14:schemeClr w14:val="tx1"/>
                  </w14:solidFill>
                </w14:textFill>
              </w:rPr>
              <w:t>、容量：≥30000ml*2</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2</w:t>
            </w:r>
            <w:r>
              <w:rPr>
                <w:rFonts w:hint="eastAsia" w:ascii="宋体" w:hAnsi="宋体" w:eastAsia="宋体" w:cs="Times New Roman"/>
                <w:color w:val="000000" w:themeColor="text1"/>
                <w:sz w:val="24"/>
                <w:szCs w:val="24"/>
                <w:lang w:val="en-US" w:eastAsia="zh-CN"/>
                <w14:textFill>
                  <w14:solidFill>
                    <w14:schemeClr w14:val="tx1"/>
                  </w14:solidFill>
                </w14:textFill>
              </w:rPr>
              <w:t>、★浓缩量：≥6000ml/h-8000ml/h</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3、采用真空浓缩技术，浓缩速度快，可达6000-8000ml/小时；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4、具有低温浓缩功能，适用于特殊药材（含有热敏易挥发成分）的浓缩；</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5、水冷式冷却方式，效果更佳哦，进水温度自动控制；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6、自身过热保护防干烧功能、自我诊断功能；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7、具有自动消泡功能，产生泡沫自动破碎，无需采用间断进气的方式破碎泡沫，无药液随气泡被抽走的情况，降低药效损失，更有利于含糖分、蛋白质、淀粉、皂苷等成分的药液浓缩。</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8、采用全自动控制，操作简单；</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9、制造商通过ISO9001认证、ISO13485认证及CE认证。</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自动调膏机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技术指标要求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1、容积：≥6L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2、采用保温材料搭配特殊加热结构，提高热力效果，节能环保。</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3、调制容器可以与底座拆分，便于清洗。</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4、调剂时旋转速度能够实现无极变速，充分满足客户对调剂质量的需求。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5、内置控温装置，加热平稳均匀，不易焦糊。</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kern w:val="2"/>
                <w:sz w:val="24"/>
                <w:szCs w:val="24"/>
                <w:lang w:val="en-US" w:eastAsia="zh-CN" w:bidi="ar"/>
              </w:rPr>
              <w:t>6、制造商通过ISO9001认证、ISO13485认证和CE认证。</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膏方包装机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1.包装量：10-50mL无级变量可调；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2.包装温度、包装量自动显示；</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3.自动包装卫生健康；</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4.适用于粘稠液和膏方包装</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5.封合温度数字化控制，可以设定自动恒定；</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6.具有喷淋清洗装置，分为储液桶清洗、喷嘴清洗；</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7.药液加热控制，具有防干烧功能；</w:t>
            </w:r>
          </w:p>
          <w:p>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kern w:val="2"/>
                <w:sz w:val="24"/>
                <w:szCs w:val="24"/>
                <w:lang w:val="en-US" w:eastAsia="zh-CN" w:bidi="ar"/>
              </w:rPr>
            </w:pPr>
            <w:r>
              <w:rPr>
                <w:rFonts w:hint="eastAsia" w:ascii="宋体" w:hAnsi="宋体" w:eastAsia="宋体" w:cs="Times New Roman"/>
                <w:color w:val="000000"/>
                <w:kern w:val="2"/>
                <w:sz w:val="24"/>
                <w:szCs w:val="24"/>
                <w:lang w:val="en-US" w:eastAsia="zh-CN" w:bidi="ar"/>
              </w:rPr>
              <w:t>8.制造商通过ISO9001认证、ISO13485认证及CE认证；</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十功能自动煎药机20升</w:t>
            </w:r>
          </w:p>
        </w:tc>
        <w:tc>
          <w:tcPr>
            <w:tcW w:w="1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1、容量：≥20000ml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2、★符合《中药煎药机行业标准》的相关要求。煎药效果有效成份煎出率≥50%。（以国家认可的相关检测机构出具的检验报告为准）；</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3、★可预设≥12种煎药方案，并具备联网通讯功能。可支持通讯协议自动设置及实现煎药单据传输等通讯协议；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4、符合《中药煎药室管理规范》的相关要求。具有常压煎药功能，自动完成一煎两煎的全过程，提高煎药药效。可实现二煎煎药，二煎时自动加水，自动清洗；</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5、采用安全、方便、快捷的一键式滑盖锁紧装置；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6、★具备先煎后下提示功能，可实现常压煎药、密闭煎药、循环煎药功能；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7、采用安全、卫生、自下往上、双滑道定位的电动机械挤压系统，实现药渣充分分离；</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8、拉伸锅体设计，具有很高的机械强度和刚度，大副提高锅筒的安全性能；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9、不锈钢锅体，内置不锈钢二煎储药罐；</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10、具有防温度过高和防干烧功能，计时、定时设定控制功能；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11、具有文火、武火自动转换；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12、具有安全卸压阀，双安全阀超压自动报警，自动卸压自动闭合；</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13、有蒸汽循环回收功能，煎药蒸汽经风冷冷凝器回收，保障有效成份无损失；</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14、可配备单体包装机；</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15、制造商通过ISO13485认证及CE认证。</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十功能自动煎药机30升</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1、容量：≥30000ml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2、★符合《中药煎药机行业标准》的相关要求。煎药效果有效成份煎出率≥于50%。（以国家认可的相关检测机构出具的检验报告为准）；</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3、★可预设≥12种煎药方案，并具备联网通讯功能。可支持通讯协议自动设置及实现煎药单据传输等通讯协议；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4、符合《中药煎药室管理规范》的相关要求。具有常压煎药功能，自动完成一煎两煎的全过程，提高煎药药效。可实现二煎煎药，二煎时自动加水，自动清洗；</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5、采用安全、方便、快捷的一键式滑盖锁紧装置；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6、★具备先煎后下提示功能，可实现常压煎药、密闭煎药、循环煎药功能；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7、采用安全、卫生、自下往上、双滑道定位的电动机械挤压系统，实现药渣充分分离；</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8、拉伸锅体设计，具有很高的机械强度和刚度，大副提高锅筒的安全性能；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9、不锈钢锅体，内置不锈钢二煎储药罐；</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10、具有防温度过高和防干烧功能，计时、定时设定控制功能；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11、具有文火、武火自动转换；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12、具有安全卸压阀，双安全阀超压自动报警，自动卸压自动闭合；</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13、★有蒸汽循环回收功能，煎药蒸汽经风冷冷凝器回收，保障有效成份无损失；</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14、可配备单体包装机；</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15、制造商通过ISO13485认证及CE认证。</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医用冰箱</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一、有效容积：≥190升，立式，单开透明真空钢化玻璃门。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二、温度控制：微电脑控制，采用高精度数字传感器，箱内温度恒定控制在2-8℃范围内，风冷系统，上下点平均温度显示，调节增量为０．１℃，显示精度为０．１℃，波动范围为±1℃</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三、安全系统：四种故障报警（高低温报警、电源故障报警、开门报警、制冷系统故障报警），三种报警方式（声音蜂鸣报警、灯光闪烁报警、远程信号报警），内置蓄电池，断电后可持续显示箱内温度及声光报警48小时。具有开机延时保护功能。密封条采用耐腐蚀的PVC材料，抗菌性能优越，气囊结构设计，保温性能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四、制冷系统：名牌压缩机和德国EBM冷凝风机．内部风冷系统设计，温度更均匀，储物温度差在2℃以内，空气温差在3℃以内。</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五、材料：外箱材料为冷轧钢板喷涂工艺，内胆材料采用不锈钢设计，</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便于清洁、耐冲击、耐腐蚀。</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六、安全门锁设计，防止随意开启，适合宽电压带和80％湿度地区使用，透明真空钢化玻璃门，配备4层搁架，随意组合，内设照明灯，止动脚轮方便使用．</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麻精药品保险柜</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numPr>
                <w:ilvl w:val="0"/>
                <w:numId w:val="4"/>
              </w:numPr>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层板：可调式镀锌层板，采用优质冷轧钢板折弯焊接而成，耐腐蚀、防酸碱，隔板厚度≥2.5cm，并设有空气流通格；</w:t>
            </w:r>
          </w:p>
          <w:p>
            <w:pPr>
              <w:keepNext w:val="0"/>
              <w:keepLines w:val="0"/>
              <w:numPr>
                <w:ilvl w:val="0"/>
                <w:numId w:val="4"/>
              </w:numPr>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规格：双门，外部尺寸≥1100*460*1650mm,密码锁+安全锁；</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3、柜体6面双层防火钢板构造，厚度大于1.0mm的优质冷轧钢板经过点焊接，增加强度使用寿命更长。两层钢板之间相隔有35 mm以上的绝缘层，防火性更好；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4、具有耐火防爆功能；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5、门板采用加粗镀锌铰链，轻松启闭180度；</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6、底部设有防漏液槽使意外流出的液体不外溢；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7、专业规范的警示标签，标有两种语言的高可见度标签，耐腐蚀；标签反光，在火灾情况下具有高可见性；</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8、装设有防闭火装置的双透气孔，预防火灾隐患；</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9、防溢漏式层板，可引导意外飞溅或倾倒流出的液体流向柜体底部的防漏液槽内；</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10、严格按照OSHA规范，柜身设有静电接地传导端口，方便连接静电接地导线。</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大型超微粉粹机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(低温大型中药超微粉碎机、灵芝超微粉碎机、灵芝孢子粉破壁机)</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运行环境条件要求：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（1）适用电源：380V AC，10%，50HZ。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 用途：该设备能够用于中药超微粉碎（细胞破壁）。可适用于各种软硬药材和其他材质物料的低温超细化粉碎、设备材质304不锈钢；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 物料适应：主要适用药材包括灵芝、西洋参、玛卡、铁皮枫斗、三七、珍珠、茎草类、矿石类、混合中药材、五谷杂粮、干燥草本植物等（油性、湿性、粘性物料＜5%-15%，水分＜6%、进料＜3mm）。对花粉及其他孢子植物等要求打破细胞壁的物料，其破壁率&gt;98%。</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3、入料＜3-10mm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4、产品粒度可调，时间越长、细度越细；</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lang w:val="en-US" w:eastAsia="zh-CN" w:bidi="ar"/>
              </w:rPr>
              <w:t>5、</w:t>
            </w:r>
            <w:r>
              <w:rPr>
                <w:rFonts w:hint="eastAsia" w:ascii="宋体" w:hAnsi="宋体" w:eastAsia="宋体" w:cs="宋体"/>
                <w:color w:val="000000"/>
                <w:kern w:val="2"/>
                <w:sz w:val="24"/>
                <w:szCs w:val="24"/>
                <w:highlight w:val="none"/>
                <w:lang w:val="en-US" w:eastAsia="zh-CN" w:bidi="ar"/>
              </w:rPr>
              <w:t>产量10~80kg/h、灵芝孢子粉4-6kg/h、灵芝一次投料4kg、15-20分钟一批次</w:t>
            </w:r>
            <w:r>
              <w:rPr>
                <w:rFonts w:hint="eastAsia" w:ascii="宋体" w:hAnsi="宋体" w:eastAsia="宋体" w:cs="宋体"/>
                <w:color w:val="000000"/>
                <w:kern w:val="2"/>
                <w:sz w:val="24"/>
                <w:szCs w:val="24"/>
                <w:lang w:val="en-US" w:eastAsia="zh-CN" w:bidi="ar"/>
              </w:rPr>
              <w:t>（根据目数调节产量，≥150目）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highlight w:val="none"/>
                <w:lang w:val="en-US" w:eastAsia="zh-CN" w:bidi="ar"/>
              </w:rPr>
              <w:t>6、设备运行无粉尘外漏、低温运行</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7、容易清洗和组装设备，预留清洗口；</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8、双系统自动化控制，一键启动，触摸屏10寸以上，</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9、三级密码操作（可手动和自动双系统操作,配备应急操作系统设备操作系统需加管理员密码，预防生产过程中变更生产时间），数据生产时间可存储；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 公称容积：100L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★11、 翻转限位：双锁式气动锁紧、纵向+横向限位、新增双层齿轮、更精度限位、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★12、 翻转机构：手动全密闭结构支撑、双齿轮同步翻转、齿轮锁定位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13、 磨介材质：食品药品级304不锈钢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14、 研磨方式：振动式；重力研磨、剪切、撞击；</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15、 振幅：1-6㎜可调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16、 料筒：1只 材质304不锈钢、研磨材质：304不锈钢精磨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17、 装料量：4-20Kg(根据物料比重而定）</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18、 电器控制：双系统操作、一键启动，触摸屏10寸</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19、 隔音罩：加厚低噪音不锈钢隔音罩</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★20、 制冷系统：配备制冷机（保持持续低温、压缩机知名品牌）</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21、 外型尺寸：主机:2400*1100*1950mm</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22、</w:t>
            </w:r>
            <w:r>
              <w:rPr>
                <w:rFonts w:hint="eastAsia" w:ascii="宋体" w:hAnsi="宋体" w:eastAsia="宋体" w:cs="Times New Roman"/>
                <w:color w:val="000000" w:themeColor="text1"/>
                <w:sz w:val="24"/>
                <w:szCs w:val="24"/>
                <w:lang w:val="en-US" w:eastAsia="zh-CN"/>
                <w14:textFill>
                  <w14:solidFill>
                    <w14:schemeClr w14:val="tx1"/>
                  </w14:solidFill>
                </w14:textFill>
              </w:rPr>
              <w:t>可用水、压缩空气、酒精、蒸汽等清洗、消毒。</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5P立式空调</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1、电源: 3N~,380V,50Hz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2、制冷量(kW) :12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3、额定功率(kW)/电流(A): 3.8/7.5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4、最大输入功率(kW)/电流(A) 4.8/8.1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5、能效等级:3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6、风量：室内机/室外机(m/h) ≥2000/6000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7、噪音：室内机/室外机dB(A) ≤室内52/50室外57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8、内机外形尺寸(长x宽x高)(mm)：约600x 350x1880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9、外机外形尺寸(长x宽x高)(mm)：约1030x415x1250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10、冷媒：液管/气管(mm)≥9.5/19</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11、配管：配管长度 ≥50m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12、配管：内外机最大落差 30m</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13、标配控制器遥控器</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小型粉碎机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功率：≥550w 容量：2500克一个  1500克一个 摇摆式打磨 六叶可拆卸刀片 三层安全卡扣 定时打磨功能，插电一键启动，304不锈钢材质 过热断载 加粗纯铜电机</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恒温箱</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公称容积（L）：≥150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额定功率（W）：≥1100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温度控制方式：PT100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温度控制范围：0~60℃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温度波动（℃）： ±1（@37）</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温度均匀性（℃）： ±2（@37）</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环境温度（℃）：5~30，建议25±2</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工作室尺寸（mm）：</w:t>
            </w:r>
            <w:r>
              <w:rPr>
                <w:rFonts w:hint="eastAsia" w:ascii="宋体" w:hAnsi="宋体" w:cs="Times New Roman"/>
                <w:color w:val="000000" w:themeColor="text1"/>
                <w:sz w:val="24"/>
                <w:szCs w:val="24"/>
                <w:lang w:val="en-US" w:eastAsia="zh-CN"/>
                <w14:textFill>
                  <w14:solidFill>
                    <w14:schemeClr w14:val="tx1"/>
                  </w14:solidFill>
                </w14:textFill>
              </w:rPr>
              <w:t>约</w:t>
            </w:r>
            <w:r>
              <w:rPr>
                <w:rFonts w:hint="eastAsia" w:ascii="宋体" w:hAnsi="宋体" w:eastAsia="宋体" w:cs="Times New Roman"/>
                <w:color w:val="000000" w:themeColor="text1"/>
                <w:sz w:val="24"/>
                <w:szCs w:val="24"/>
                <w:lang w:val="en-US" w:eastAsia="zh-CN"/>
                <w14:textFill>
                  <w14:solidFill>
                    <w14:schemeClr w14:val="tx1"/>
                  </w14:solidFill>
                </w14:textFill>
              </w:rPr>
              <w:t>518*400*750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外形尺寸（mm）：</w:t>
            </w:r>
            <w:r>
              <w:rPr>
                <w:rFonts w:hint="eastAsia" w:ascii="宋体" w:hAnsi="宋体" w:cs="Times New Roman"/>
                <w:color w:val="000000" w:themeColor="text1"/>
                <w:sz w:val="24"/>
                <w:szCs w:val="24"/>
                <w:lang w:val="en-US" w:eastAsia="zh-CN"/>
                <w14:textFill>
                  <w14:solidFill>
                    <w14:schemeClr w14:val="tx1"/>
                  </w14:solidFill>
                </w14:textFill>
              </w:rPr>
              <w:t>约</w:t>
            </w:r>
            <w:r>
              <w:rPr>
                <w:rFonts w:hint="eastAsia" w:ascii="宋体" w:hAnsi="宋体" w:eastAsia="宋体" w:cs="Times New Roman"/>
                <w:color w:val="000000" w:themeColor="text1"/>
                <w:sz w:val="24"/>
                <w:szCs w:val="24"/>
                <w:lang w:val="en-US" w:eastAsia="zh-CN"/>
                <w14:textFill>
                  <w14:solidFill>
                    <w14:schemeClr w14:val="tx1"/>
                  </w14:solidFill>
                </w14:textFill>
              </w:rPr>
              <w:t>623*690*1391</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隔板：标配3块，数量可增加</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显示界面：7.0寸触摸屏</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灭菌：标配</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照明：标配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电加热钢化玻璃门：透明度高可观察性强、防止低温凝露</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适用范围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医用恒温箱广泛应用于药品，试剂，疫苗储存，透析液加温、生理盐水加温、用于手术室医疗器械保温保存、生理盐水37℃-42℃加温、冲洗液35℃-37℃加温、甘露醇37℃-42℃加温、B超液加温等。</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产品要求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1、精密的结构设</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1.1≥7.0寸彩色液晶触摸屏可实时监测温度曲线，菜单式操作界面，简单易懂，便于观察和操作。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1.2可一屏查询运行历史记录,显示屏可中英文切换。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1.3可定值运和分段运行，定时范围0-999h59min。</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1.4 三级操作界面权限（管理员、实验员、操作员），防止无关人员操作导致试验中断或设备故障。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1.5配带互联 PC 接口，可进行远程操作监控、同时可选手机 APP 控制程序。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2、精确的温度控制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2.1配带微电脑温度控制系统（采用 PT100 精准控温）。</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3、无菌性</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标配紫外线杀菌，使其灯位于箱内顶部，可定期对箱体内部进行消毒，从而更有效杀灭箱体内循环空气和增湿盘水蒸汽浮菌，防止细胞培养期间的污染。</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内胆均为优质304镜面不锈钢制作，特殊焊接工艺保证内胆不生锈抗老化，方便清洁处理。</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4、安全保护</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配置漏电流、过电压保护器。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具有超温报警，箱内温度超出设置超温温度将启动报警。</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增加温控开关，当温度过高时，开关断开，防止温度过高对仪器产生损害。</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耐高温，可靠性高，全钢化保证操作人员安全。</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口腔综合治疗椅+内窥镜</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一、技术参数：</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1.拥有CE认证，拥有ISO13485质量体系认证证书。</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2.工作条件</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（1）环境温度5℃—40℃，相对湿度 ≤80%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（2）供气压力范围 0.55—0.80Mpa, 流量&gt;55L/min</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（3）水源水压范围 0.20—0.40Mpa, 流量&gt;10L/min</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（4）固定治疗机的地面应平整，安装后的治疗机机身偏斜度应≤0.5°</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3.治疗椅</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★（1）采用阻燃材质缝制纤维皮，质保5年（</w:t>
            </w:r>
            <w:r>
              <w:rPr>
                <w:rFonts w:hint="eastAsia" w:ascii="宋体" w:hAnsi="宋体" w:eastAsia="宋体" w:cs="宋体"/>
                <w:b/>
                <w:bCs/>
                <w:color w:val="000000"/>
                <w:kern w:val="2"/>
                <w:sz w:val="24"/>
                <w:szCs w:val="24"/>
                <w:lang w:val="en-US" w:eastAsia="zh-CN" w:bidi="ar"/>
              </w:rPr>
              <w:t>提供承诺函</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（2）落地式结构，靠背带有负角设计-5度，可用于病患休克时紧急治疗。</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（3）靠背和坐垫采用一体成型式护腰坐垫，符合人体工程学设计，可以对患者腰部有良好的支撑，配备专业蝴蝶形靠背，肩部较窄，采用优质钢板的靠背外板。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★（4）具备机椅互锁装置和防压装置，牙椅升降过程中遇阻停止，保证工作时的安全性。</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（5）座椅升降范围：400mm-780mm；</w:t>
            </w:r>
            <w:r>
              <w:rPr>
                <w:rFonts w:hint="eastAsia" w:ascii="宋体" w:hAnsi="宋体" w:eastAsia="宋体" w:cs="宋体"/>
                <w:color w:val="000000"/>
                <w:kern w:val="2"/>
                <w:sz w:val="24"/>
                <w:szCs w:val="24"/>
                <w:highlight w:val="none"/>
                <w:lang w:val="en-US" w:eastAsia="zh-CN" w:bidi="ar"/>
              </w:rPr>
              <w:t>座椅承重≥135 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（6）折叠式双关节头枕，可单手进行调节，可360°调整；头枕伸缩长度和俯仰角度可无极调节，能适应于轮椅病人的治疗；头枕伸缩范围0-120mm，适用于不同年龄和不同身高的患者需求。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4.工作台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（1）微电脑控制系统，主控台配置3组，每组3个，共9个预设记忆椅位，另设有急救位，机椅联动漱口位，复位键，口腔灯开关，漱口水开关，冲盂水开关，水杯加热开关，座椅靠背运动按键，共18个功能按键。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（2）设备治疗台可整体旋转180度，工作台动态器械挂架部分可水平角度旋转90度，满足不同医生的操作习惯。</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★（3）医生工作台动态器械挂架6个，预留有其他动态器械的加装位。工作台配内嵌式拉手，使用方便，配备气刹固定装置。工作台台面尺寸</w:t>
            </w:r>
            <w:r>
              <w:rPr>
                <w:rFonts w:hint="eastAsia" w:ascii="宋体" w:hAnsi="宋体" w:cs="Times New Roman"/>
                <w:color w:val="000000" w:themeColor="text1"/>
                <w:sz w:val="24"/>
                <w:szCs w:val="24"/>
                <w:lang w:val="en-US" w:eastAsia="zh-CN"/>
                <w14:textFill>
                  <w14:solidFill>
                    <w14:schemeClr w14:val="tx1"/>
                  </w14:solidFill>
                </w14:textFill>
              </w:rPr>
              <w:t>约</w:t>
            </w:r>
            <w:r>
              <w:rPr>
                <w:rFonts w:hint="eastAsia" w:ascii="宋体" w:hAnsi="宋体" w:eastAsia="宋体" w:cs="Times New Roman"/>
                <w:color w:val="000000" w:themeColor="text1"/>
                <w:sz w:val="24"/>
                <w:szCs w:val="24"/>
                <w:lang w:val="en-US" w:eastAsia="zh-CN"/>
                <w14:textFill>
                  <w14:solidFill>
                    <w14:schemeClr w14:val="tx1"/>
                  </w14:solidFill>
                </w14:textFill>
              </w:rPr>
              <w:t xml:space="preserve">500*350mm，置物空间充足。 </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★（4）可通过微电脑控制系统进行一键式水源转换，即水瓶水与市政水源转换。</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（5）不锈钢手机螺旋套。</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（6）四孔手机管，选用抗拉撕硅胶外皮，工作台配备气刹固定装置。</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（7）工作台内部有水路防回吸设计，防止交叉感染的发生。</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（8）工作台按键板块上搭配有数字气压显示表，气压显示更加直观、精准。</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（9）工作台右侧配有SD卡插口，用于系统升级，后期需升级系列更加便捷。</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5.治疗箱</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★（1）一体式陶瓷痰盂，痰盂容水部分直径约230mm，深度约84mm；可90°旋转痰盂，方便患者吐痰；冲水咀高于痰盂缸最高面约20mm，符合国家标准，避免交叉感染。</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（2）配置热水系统，低压恒温防干烧热水器，温水维持在35至40度。</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（3）可转动箱体，可60°旋转,方便维修和四手操作。箱体侧门采用易拆式设计，箱体两侧门板可无需任何器械进行拆卸；箱体内部水气路和电路进行分区。</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（4）配备纯净水系统，适用于治疗中的无菌操作需求。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6.助手位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★（1）助手位动态器械挂架≥5个，挂架可90°旋转 。工作台面配备硅胶防滑垫，可进行135°高温消毒。</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（2）助手位控制面板可控制漱口水开关、冲盂开关、口腔灯开关、漱口水加热、座椅靠背运动按键。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（3）吸唾系统采用过滤网设计，避免吸唾管路堵塞。吸唾手柄、吸唾管路均可拆卸清洗消毒。</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7.口腔灯</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★（1）同品牌六灯珠感应口腔灯，三种光源，一键防固化模式</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（2）LED节能口腔灯，耗电量≦10W，节能环保，发热量低；光斑尺寸</w:t>
            </w:r>
            <w:r>
              <w:rPr>
                <w:rFonts w:hint="eastAsia" w:ascii="宋体" w:hAnsi="宋体" w:eastAsia="宋体" w:cs="Times New Roman"/>
                <w:color w:val="000000"/>
                <w:kern w:val="2"/>
                <w:sz w:val="24"/>
                <w:szCs w:val="24"/>
                <w:lang w:val="en-US" w:eastAsia="zh-CN" w:bidi="ar"/>
              </w:rPr>
              <w:t>≥</w:t>
            </w:r>
            <w:r>
              <w:rPr>
                <w:rFonts w:hint="eastAsia" w:ascii="宋体" w:hAnsi="宋体" w:eastAsia="宋体" w:cs="Times New Roman"/>
                <w:color w:val="000000" w:themeColor="text1"/>
                <w:sz w:val="24"/>
                <w:szCs w:val="24"/>
                <w:lang w:val="en-US" w:eastAsia="zh-CN"/>
                <w14:textFill>
                  <w14:solidFill>
                    <w14:schemeClr w14:val="tx1"/>
                  </w14:solidFill>
                </w14:textFill>
              </w:rPr>
              <w:t>160*80mm；光强：8000-28000LUX，色温三档可调3000K-6000K，一键防固化模式色温2700K；具备红外感应调光功能。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8.脚踏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脚控开关，融合机椅互锁系统，椅位靠背升降、俯仰，漱口水开关及冲痰水开关，实现高速手机干、湿转换及吹屑气功能。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9.感控</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★（1）具备一键智能管道消毒功能，管道冲洗、消毒水注入及留存、消毒液清除等环节全部自动完成。整个消毒过程覆盖了主副两个三用枪、三支手机管、洁牙机管、漱口水管道、强弱吸唾管和痰盂下水管。</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★（2）具备空气消毒系统，内置式空⽓消毒机，即使在治疗过程中，也能有效防止气溶胶病毒传播。</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（3）配备1L的储水瓶，无需频繁添加纯净水或消毒液，可实现整机管路消毒。</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10.其他部分</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（1）三级水过滤系统，分别为铜网过滤器、PP棉过滤器和热水杯过滤器，可过滤掉不小于40微米的杂质，多层的过滤，有效保护机器内部阀体及其他精密设备。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（2）整机水气管，材质柔软，韧性强，抗腐蚀强，经久耐用。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★（3）采用电子阀原理一键控制水电气开关，告别传统的物理拨杆。</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10.医生椅</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多功能医师座椅符合人体工程学设计，不锈钢材质，静音脚轮，座椅高度和靠背角度可调，升降行程155mm，最低椅面高度485mm，靠背调整角度≥15°。</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空气压缩机（一拖五）无油涡旋</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设备名称：医用风冷无油空气压缩机</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二、数量： 适用于1-6台牙科椅位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三、设备用途：</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用于医院或牙科诊所的牙科治疗设备、技工室设备及其他相关设备的动力气源。</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四、结构形式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一体式结构，双气缸≥2500W空压机头、供气，具有电路保护的功能。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五、技术参数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5.3.1：输出流量：在0.5 MPa输出压力时，315L/min（不带干燥）；</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5.3.2：汽缸数量：1气缸无油空压泵头。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5.3.3压力开关启/闭压力设置：4.5/8.0 bar；</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5.3.4额定输出功率：≥2500W</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5.3.5电机转速：315/min</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5.3.6保护系统：IP54</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5.3.7储气罐容量：90L；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5.3.8噪音水平：≤68-75 dB(A)</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5.3.9售后服务：设备保修一年，在保修期间内免费提供所需原件及维修服务</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负压系统</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1.可供牙椅数量：一拖六</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2.功率：1100W</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3.液体抽吸量：870min/L(±1)</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4.用水量：0.15min/L(±0.5)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5.空气抽吸量：870min/L(±10%)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6.排气口管径：50mm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7.污水吸进口管径：32mm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8.进水口管径：8mm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9.排污口管径：32mm</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kern w:val="2"/>
                <w:sz w:val="24"/>
                <w:szCs w:val="24"/>
                <w:lang w:val="en-US" w:eastAsia="zh-CN" w:bidi="ar"/>
              </w:rPr>
              <w:t>10.材质：钣金</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技工桌</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技术指标： 台面尺寸：</w:t>
            </w:r>
            <w:r>
              <w:rPr>
                <w:rFonts w:hint="eastAsia" w:ascii="宋体" w:hAnsi="宋体" w:cs="Times New Roman"/>
                <w:color w:val="000000" w:themeColor="text1"/>
                <w:sz w:val="24"/>
                <w:szCs w:val="24"/>
                <w:lang w:val="en-US" w:eastAsia="zh-CN"/>
                <w14:textFill>
                  <w14:solidFill>
                    <w14:schemeClr w14:val="tx1"/>
                  </w14:solidFill>
                </w14:textFill>
              </w:rPr>
              <w:t>约</w:t>
            </w:r>
            <w:r>
              <w:rPr>
                <w:rFonts w:hint="eastAsia" w:ascii="宋体" w:hAnsi="宋体" w:eastAsia="宋体" w:cs="Times New Roman"/>
                <w:color w:val="000000" w:themeColor="text1"/>
                <w:sz w:val="24"/>
                <w:szCs w:val="24"/>
                <w:lang w:val="en-US" w:eastAsia="zh-CN"/>
                <w14:textFill>
                  <w14:solidFill>
                    <w14:schemeClr w14:val="tx1"/>
                  </w14:solidFill>
                </w14:textFill>
              </w:rPr>
              <w:t xml:space="preserve">1100*600*800mm </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 xml:space="preserve">产品说明： </w:t>
            </w:r>
            <w:r>
              <w:rPr>
                <w:rFonts w:hint="eastAsia" w:ascii="宋体" w:hAnsi="宋体" w:eastAsia="宋体" w:cs="Times New Roman"/>
                <w:color w:val="000000"/>
                <w:kern w:val="2"/>
                <w:sz w:val="24"/>
                <w:szCs w:val="24"/>
                <w:lang w:val="en-US" w:eastAsia="zh-CN" w:bidi="ar"/>
              </w:rPr>
              <w:t xml:space="preserve">口腔吸尘技工台采用防火耐腐蚀面板，钢木结构，配有可调功率吸尘器，吸尘系统吸力强劲，噪音：≤65db，真空度：18.5KPa,在350-900W功率范围内进行功率调节无级调速。吸尘嘴防尘板提供安全防护并增强了吸尘效果，照明工作灯，收缩笔式气枪，推拉灵活的储物抽屉，可灵活拆装的托板扶手，为牙科技工提供了良好的工作条件。 </w:t>
            </w:r>
            <w:r>
              <w:rPr>
                <w:rFonts w:hint="eastAsia" w:ascii="宋体" w:hAnsi="宋体" w:eastAsia="宋体" w:cs="Times New Roman"/>
                <w:color w:val="000000" w:themeColor="text1"/>
                <w:sz w:val="24"/>
                <w:szCs w:val="24"/>
                <w:lang w:val="en-US" w:eastAsia="zh-CN"/>
                <w14:textFill>
                  <w14:solidFill>
                    <w14:schemeClr w14:val="tx1"/>
                  </w14:solidFill>
                </w14:textFill>
              </w:rPr>
              <w:t xml:space="preserve"> </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无线光固化机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一、特点</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1、特殊聚光平凸透镜，准直光束输出</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2、宽谱光</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3、金属前接头，防摔</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4、导光元件出光端面直径为10mm，一次覆盖全牙修复体</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二、主要技术参数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1、电源输入:100-240V～ 50Hz/60Hz输出DC5V/1A</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2、电池:ICR18490 1400mAh</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3、光照强度:1000-2500mW/cm2</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4、前接头光学有效面积:78mm2</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5、波长:385nm-515nm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6、工作模式:高光强、低光强</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7、提供配置清单</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口腔打磨机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1、功率：65W</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2、手柄转速：0-35000转/分钟</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3、扭矩：≥280gf.cm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4、夹头：直径2.35mm或3.0mm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5、手动无极变速调节功能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6、脚踏板控制开关</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7、正反转任意切换</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8、适用范围:首饰打磨、抛光、镶嵌、玉雕、核雕、木雕、琥珀、蜜蜡、小件切割、打孔、义齿加工等</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手机注油机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一、用途和要求：供口腔科手机注油养护用。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二、工作条件：放在平稳的地点操作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三、技术参数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1.手机数量：        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2.工作气源Mpa：    0.3-0.6</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 气体消耗L/Min：  60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4.槽腔容量：        350ml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五．基本特征</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1.确保口腔手机的清洗和加油。</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2.能同时给三支口腔手机清洗及加油。</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3.旋转齿轮能从不同角度给手机有效地清洗和注油。</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4.完成清洗和注油步骤后，按下“空气键”能去除手机内多余残油。</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5.可选择短模式、长模式、超长模式根据不同手机进行加油。</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6.油雾过滤棉能防止油雾的扩散减少到最小程度。</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高速手机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一、 技术参数要求：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1、手机接口为ISO 9168 类型2(Midwest 4 孔)</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2、标准机头大小，头部直径：Φ11.2×H13.4mm，满足大部分手术要求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3、不锈钢机身，陶瓷轴承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4、防回吸卫生机头，逆止阀设计</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5、转速：350,000 - 450,000r/min</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6、驱动气压：0.20 - 0.25MPa (2.0 - 2.5kgf/cm2)</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7、上针方式：按钮式夹头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8、车针类型：ISO1797-1 类型3 ø1.59~1.60mm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9、车针最大长度：21mm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10、功率：20W</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11、喷雾方式：单点喷雾</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二、提供配置清单</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伸缩洁牙机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1、设备用途：用于齿科超声去除菌斑和结石、牙周病治疗及牙根管的荡洗</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2.1电源电压：220V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lang w:val="en-US" w:eastAsia="zh-CN" w:bidi="ar"/>
              </w:rPr>
              <w:t>2.2功率：</w:t>
            </w:r>
            <w:r>
              <w:rPr>
                <w:rFonts w:hint="eastAsia" w:ascii="宋体" w:hAnsi="宋体" w:eastAsia="宋体" w:cs="宋体"/>
                <w:color w:val="000000"/>
                <w:kern w:val="2"/>
                <w:sz w:val="24"/>
                <w:szCs w:val="24"/>
                <w:highlight w:val="none"/>
                <w:lang w:val="en-US" w:eastAsia="zh-CN" w:bidi="ar"/>
              </w:rPr>
              <w:t xml:space="preserve">最大功率≥50W   1-50功率调节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2.3治疗器振荡频率：最大频率≥25kHZ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2.4治疗器尖端主震动偏移：≤25um，减少对牙齿表面的碰撞</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2.5冲洗泵的水流量：10-80ml/min   10档水量调节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2.6水压力 25～60 PSIG(172~414KPa)</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2.7 工作频率  24.5KHz ±5% (for 25KHz Insert)</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27.8KHz ±5% (for 30KHz Insert)</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2.8  手机线      250 cm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脚踏开关线  250 cm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3技术性能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3.1采用磁致伸缩震荡原理，环形运动形式，减少对牙齿表面的碰撞</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3.2具有龈上洁治并同时具有龈上刨平功能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3.3适用于牙本质过敏病人龈上洁治</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3.4具有超声根管荡洗功能。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3.5主机采用旋钮开关控制，方便操作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3.6工作尖可134°高温高压消毒</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3.7 可对深达13mm牙周袋重度牙周病患者进行非手术治疗，并有效清洁刮治</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3.8可选配用于根管荡洗的工作尖</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4、提供配置清单：</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5、可单独选配购买：6支工作尖，包括龈下针工作尖、龈下左弯右弯工作尖、牙周工作尖，根管荡洗工作尖。</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洁牙机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一、功能简介：</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1.超声洁牙机主要用于牙齿洁治，具有洁牙、牙周、根管治疗功能。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2.超声洁牙机由电路、水路、超声换能器等组成。</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3.工作过程采用微处理器全自动控制，可进行频率自动跟踪，搜索达到最佳工作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状态。</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4.接插式手柄，操作方便，效率高，</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5.手柄能耐134℃高温和0.22Mpa高压消毒</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二、 主要技术参数：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1.输出的尖端主振动偏移：≤100um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2.输出的尖端振动频率：28kHz±3kHz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3.输出的半偏移力：&lt;2N</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4.尖端输出功率：3W～20W</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5.进水压力： 0. 1bar~5bar(0.01MPA~0.5MPA)</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6.运行模式：连续运行</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三、主要配置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接插式手柄1支</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各类工作尖7枚</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根管转接器1枚</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脚踏1个</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限力扳手1个</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根管扳手1个</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2#工作尖支架1个</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根管长度测量仪</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功能特点：</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 全触摸 TFT 液晶技术</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 自动检测功能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 屏幕亮度、报警声音可调整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 可设定虚拟根尖位置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 电压：100-240V，50/60HZ 输出：DC 5V 1A</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 电池 3.7V/1800MAH 可充电锂电池</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 充电时间：3 小时</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 xml:space="preserve">提供配置清单 </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印模搅拌机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电源:AC110V60Hz或AC220V 50HZ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转速:≥3400转/分(60Hz)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≥2850转/分(50Hz)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功率:≤400W定时器:1～16秒可调</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记忆时间:3种(出厂时设定时间:8秒、10秒、12秒)</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超声波清洗箱</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1、用途：超声波清洗机是专门为诊所、医院科室等场所设计，用于清洗形状复杂夹缝多，不能用硬物洗擦的光洁或脆弱的物体，及小型医疗器械、针头、假牙等需要清洗的器械。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2、工作条件：放置清洗机时，周围至少留10CM间距；建议将清洗机放置在通风良好的环境中；清洗机外壳散热窗口不能有异物堵住；清洗机应放置在水平的工作台上。</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3、配件：1大一小两个清洗篮，1根排水管，电源线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4、技术要求：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4.1.清洗时间连续可调（ 2 ~ 30 分钟）</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4.2.清洗温度连续可调（ 20℃ ~ 80℃）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4.3.缺水时自动停止加热。</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4.4.全触控面板操作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4.5.多种振动模式可调节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4.6.有自动沥干功能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4.7洗槽：≥240X142X149</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4.8功率：≥200W</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4.9容积：≥6L</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高压蒸汽灭菌锅</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1、用途：供医疗机构作各类耐高温器械及材料灭菌使用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2、工作条件：放在平稳的地点操作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3、含高压水枪高压气枪</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电源电压：AC 220V  ±10%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频    率：50/60Hz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电线插头：国标三芯/欧标三芯</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最大功率：约1800VA</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容    积：≥23L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灭菌温度：121摄氏度，134摄氏度</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特殊灭菌：灭活艾滋（HV）,乙肝（HBV）疯牛病毒及芽孢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干燥程序：强力真空干燥，器械剩余湿度&lt;0.2%</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显    示：数显</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供水系统：敞开式双水箱可消毒清洗。净水箱容积：3.5L废水箱容积：5L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灭菌室配制：5层活动托盘架配3个托盘</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内径尺寸：≥249mm*450mm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功能要求：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微电脑智能控制，故障自检，精确控制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灭菌过程中，灭菌温差±0.5度</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操作界面友好，简单易懂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B&amp;D 测试，真空测试，方便检测机器性能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蒸汽发生器清洗程序，自动清洗机器内管路，避免堵塞。每100次提醒。</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干燥时间可根据用户需要可调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欧姆龙按键，无故障工作上万次</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一机两用，不仅能对器械进行消毒，并能对棉花消毒，并且是干的</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可根据用户需求设定语言、日期、时间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采用硅胶管，耐高压耐高温</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敞开式水箱，便于清洗，避免滋长氯毒素</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储水箱缺水提示，废水箱满水提示，无须为水箱缺水满水担忧</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水质传感器检测蒸馏水水质，减少机器故障率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一次拉伸成型的锅体，采用304不锈钢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设置有安全阀，确保机器在紧急情况下安全释放锅内压力</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双重门锁保护，机械锁配有气锁，在锅内压力未将至0时，机器无法打开</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多重安全保护，可有效保护消毒器械人员的安全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空调式的散热系统，防止机器过热</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采用ABS塑料，全模具化制作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皮碗双头真空泵，抽真空更彻底</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灭菌器水平可通过可调脚垫调整，免费配送水平仪</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配打印机 标配内置USB模块记录灭菌过程</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kern w:val="2"/>
                <w:sz w:val="24"/>
                <w:szCs w:val="24"/>
                <w:lang w:val="en-US" w:eastAsia="zh-CN" w:bidi="ar"/>
              </w:rPr>
              <w:t>证书：压力容器许可证，CE认证, ISO 13485认证，ISO 9001:2000认证</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无菌柜</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1、彩色液晶触摸屏配备打印功能，实时记录，操作简便，一键启动;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2、智能紫外线杀菌灯（关门后15-30分钟杀菌消毒）﹔</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3、智能正压风扇功能（防止进入灰尘、细菌等);</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4、加厚不锈钢内胆存储架，多层可定制(40L-160L)。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规格:A( P ) 720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电源:220V~50Hz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额定功率(W): ≥1200w</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容积:634L土5%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臭氧浓度:5mg/m3≤臭氧浓度≤30mg/m3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承载量/层:10kg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产品外形尺寸:约1150X 480X 1660mm(长*宽*高)净重:≥52kg</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kern w:val="2"/>
                <w:sz w:val="24"/>
                <w:szCs w:val="24"/>
                <w:lang w:val="en-US" w:eastAsia="zh-CN" w:bidi="ar"/>
              </w:rPr>
              <w:t>接通电源，按下电源开关，显示屏亮起，进入主界面。点主界面中的系统设置和时间分别进行设置，在系统设置界面根据需求，可以预约消毒开始时间。</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封口打包机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技术指标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走纸的速度为：10米/分钟</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打印项目依次为：灭菌日期、失效日期、批号、操作人员、锅号、锅次、设备编号</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打印全部选项所需袋宽：85mm（窄体）、108mm（正常）、126mm（宽体）</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工作温度：60～210℃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控温精度≤1%</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工作环境：0～40℃</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kern w:val="2"/>
                <w:sz w:val="24"/>
                <w:szCs w:val="24"/>
                <w:lang w:val="en-US" w:eastAsia="zh-CN" w:bidi="ar"/>
              </w:rPr>
              <w:t>交流电源：220V±10% 50Hz</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干燥箱</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使用温度范围：RT+10-300℃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温度分布精度：±2.5%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内容积：≥30L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使用范围：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干燥、烘培、熔蜡、热处理之用。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方式 双风道强制对流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性能 使用温度范围 RT+10-99℃</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温度分辨率 0.1℃</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温度波动度 ±1℃</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温度分布精度 ±2.5%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构成：</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内装 不锈钢板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外装 冷轧钢板，表面耐药品性涂装</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断热材 硅酸铝纤维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加热器 不锈钢加热管</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 xml:space="preserve"> 排气口 内径28mm*1，顶部</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控制器：具有温度控制、温度设定、温度显示功能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定时器 0-9999分钟（带定时等待功能）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运行功能 定值运行、定时运行、自动停止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传感器 Pt100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安全装置 过升报警</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内容积 30L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隔板承重 15kg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隔板间距 35mm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电源（50/60Hz）额定电流 AC220V/3.6A</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产品要求：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辅助菜单，实现过升报警、偏差修正、菜单锁定</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立式双凤道气套，涡轮离心强制送风，温度更均匀</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调速风机使轻质、细小、粉状样品得以使用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强制风机散热进气结构，使风机最高工作温度＜50℃，长时长寿运行。</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功能性：</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液晶多数据全屏操作显示，停电记忆，停电补偿。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过升防止器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安全性：</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过升报警</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菜单锁定</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过升防止</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振荡器</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电源：AC110V 60HZ/AC/220V 50Hz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重量：≤5Kg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尺寸：约250（W）mm x160（D）mm x92（H）</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功率：约175W</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45度手机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性能参数：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1.头部：45°反角机头，焊接式、力矩型。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2.轴承配置：陶瓷球轴承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3.连接形式：快换接头式，具有水路“防回吸”功能，防止交叉感染。</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4.材质及处理方式：铜合金，表面高耐磨Ni+Cr镀层。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5.冷却形式：单孔水冷却。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6.头部排气模式：压盖后端排气，头部前端喷气大幅减小设计，有效防止治疗“血肿”现象。</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7.工作压力（手机口）：四孔0.25-0.27MPa。</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8.耗气量：30-36NL/min</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9.空载转速：≥300，000rpm（0.25MPa下,实际转速范围315,000—400,000rpm）。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10.噪音：≤68dB</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11.扭矩：0.13～0.15N.cm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12.机芯不平衡量：≤180μg，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13.径向跳动量：≤0.015mm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14.在水压0.2MPa时，冷却水流量≥50mL/min；</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15. 可承受136℃±2高温高压蒸汽灭菌（光纤接头部分除外）。 </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16.提供配置清单</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 xml:space="preserve">口腔影像扫描仪 </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影像板扫描仪</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1 分辨率：  ≥8P/mm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2 影像位深：  ≥12bits/pixel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 灰阶：≥16bit</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 影像板寿命：≥2500次</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 理论分辨率：25LP/mm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 重量：≤3KG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 连接方式：USB连接线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 影像板材质：（软片）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★9影像板尺寸：（标配Size2）</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Size 0：31X22mm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Size 1：40x24mm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Size 2: 41x31mm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Size 3: 54x27mm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★10有效成像面积：（标配Size2）</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Size 0: 31X22mm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Size 1: 40x24mm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Size 2: 41x31mm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Size 3: 54x27mm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11 影像板：软薄可弯曲，能方便的放入患者口腔内，容易置于牙后部位，并适用于各种口内胶片支架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★12 自带隐藏式置物盒可存储各型号的影像板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★13 自动电磁吸附扫描，智能高速，全程无挤压，有效减少影像板磨损和外界杂质影响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★14  可连接平板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牙科X射线机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1.射线类型:X 射线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2.射线方向和分布:限束器出口方向直径 60mm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3.剂量率:≤6mGy/s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4.靶材料:钨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5.靶角:12.5°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6.射线焦点:≤0.4mm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7.管电压:70kV±10%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8.管电流:2mA±20%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9.标称电功率:0.14kW (70 kV、2mA、0.1s)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10.固有滤过:1.0mmAl/70kV</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11.附加滤过:0.5mmAl/70kV</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12.总滤过:1.5mmAl/70kV</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13.半 价层:70kV 时为≥1.6 mmAl</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kern w:val="2"/>
                <w:sz w:val="24"/>
                <w:szCs w:val="24"/>
                <w:lang w:val="en-US" w:eastAsia="zh-CN" w:bidi="ar"/>
              </w:rPr>
              <w:t>14.漏辐射率:1 米处≤0.25mGy/h(70kV,2mA,1s,加载间隔 1s/15s)</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机扩一体机</w:t>
            </w:r>
          </w:p>
        </w:tc>
        <w:tc>
          <w:tcPr>
            <w:tcW w:w="133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一、功能要求: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1）根管治疗和根管长度测量功能二合一;</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2）高清液晶屏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3）有三种操作模式: M1单独根测、N2单独机扩，M3边侧边扩;</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4）具有内置多种镍钛根管扩大系统参数，不需要调节转速和扭力即选即用;又有7种记忆设定，方便用户设定其他品牌扩大系统参数;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5）适用扩大系统，智能识别360°扩大或往复扩大;</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6）迷你机头，方便口内手术; LED光源，亮度高;</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7）扩大针遇大阻力自动反转，到达根尖自动反转退出，有效防止超出根尖和断针;</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8）根测功能采用多频技术，强防干扰，测量结果不受根管环境影响，测量精准可达98.6%;</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9）弯机头、锉夹线、唇勾可高温高压消毒，有效防止交叉感染;</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10)大容量可充电锂离子电池，使用时间长，10分钟不用自动关机，充电时间≤4小时。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二、技术参数: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1）适配器:输入电压AC 100-240V 50/60Hz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2）可充电锂离子电池:≥2600mAh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3）转速范围150-650rpm，扭力范围0.6-5.2Ncm;</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4）防电击分类B型。</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w:t>
            </w:r>
          </w:p>
        </w:tc>
      </w:tr>
    </w:tbl>
    <w:p>
      <w:pPr>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第十二包（338.69万）</w:t>
      </w:r>
    </w:p>
    <w:tbl>
      <w:tblPr>
        <w:tblStyle w:val="33"/>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4"/>
        <w:gridCol w:w="11644"/>
        <w:gridCol w:w="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吞咽言语诊治仪</w:t>
            </w:r>
          </w:p>
        </w:tc>
        <w:tc>
          <w:tcPr>
            <w:tcW w:w="1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1、便携式双通道</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2、电极分离技术：肌电检测和电刺激使用同一根电极线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3、电极脱落检测功能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4、低电压报警功能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★5、5种模式：肌电检测模式、触发电刺激、手动电刺激、电刺激模式、多媒体反馈训练。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6、肌电检测</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6.1反馈阈值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反馈阈有效值：10μV～1000μV；；</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示值准确度：误差不大于±10%或±2μV，两者取较大值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分辨率(测量灵敏度)： ≤1μV。</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7、触发电刺激模式（ETS）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频率：2Hz～100Hz可调，级差1Hz；允差±0.5Hz或±10%取大值；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阈值：10μV～1000μV，级差1μV；允差±10%或±2μV取较大值；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持续时间：1s～10s可调，级差0.1s，允差±10%；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延时时间：0～5s可调，级差0.1s，允差±0.05s或允差±10%取大值；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上升时间：0～5s可调，级差0.1s，允差±0.05s或允差±10%取大值；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下降时间：0～5s可调，级差0.1s，允差±0.05s或允差±10%取大值；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脉冲宽度：50μs～450μs，级差10μs，允差±10%；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输出峰值电流：0～60mA可调，0～10mA，级差1mA；10mA～30mA，级差0.5mA；30mA～60mA；级差0.1mA；允差±2mA或±10%取大值。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8、电刺激模式（NMES）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≥4个固定处方，≥8个自定义处方，自定义可设定参数如下：</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频率：2Hz～100Hz可调，级差1Hz；允差±0.5Hz或±10%取大值；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持续时间：1s～20s可调，级差0.1s，允差±10%；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间隔时间：1s～20s可调，级差0.1s，允差±10%；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上升时间：0～10s可调，级差0.1s，允差±0.05s或允差±10%取大值；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下降时间：0～10s可调，级差0.1s，允差±0.05s或允差±10%取大值；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脉冲宽度：50μs～450μs，级差10μs,允差±10%；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输出峰值电流：0～60mA可调，0～10mA，级差1mA；10mA～30mA，级差0.5mA；30mA～60mA；级差0.1mA；允差±2mA或±10%取大值。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治疗时长：1min～60min可调，级差1min，允差±1min。</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 手动电刺激模式（MAMUAL）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频率：2Hz～100Hz可调，级差1Hz；允差±0.5Hz或±10%取大值；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脉冲宽度：50μs～450μs，级差10μs,允差±10%；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输出峰值电流：0～60mA可调，0～10mA，级差1mA；10mA～30mA，级差0.5mA；30mA～60mA；级差0.1mA；允差±2mA或±10%取大值。</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sz w:val="24"/>
                <w:szCs w:val="24"/>
                <w:lang w:val="en-US" w:eastAsia="zh-CN"/>
              </w:rPr>
            </w:pPr>
            <w:r>
              <w:rPr>
                <w:rFonts w:hint="eastAsia" w:ascii="宋体" w:hAnsi="宋体" w:eastAsia="宋体" w:cs="宋体"/>
                <w:color w:val="auto"/>
                <w:kern w:val="2"/>
                <w:sz w:val="24"/>
                <w:szCs w:val="24"/>
                <w:lang w:val="en-US" w:eastAsia="zh-CN" w:bidi="ar"/>
              </w:rPr>
              <w:t>多媒体反馈训练可连接电视进行互动练习</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膈肌训练器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1.脉冲频率：可调单频，30Hz、35 Hz、40 Hz、45 Hz、50Hz，可选择，默认标准状态40Hz；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2.脉冲宽度：200us；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3.起搏次数：5、6、7、8、9、10、11、12、13、14、15次/分钟，可选择，默认标准状态9次/分钟；</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4.刺激强度（输出脉冲幅度）：0～30单位，可调节；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5.治疗时间（指每一次治疗的持续时间）：5、10、15、20、25、30、60、120min，可选择，有倒计时功能；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6.具有贴片位置提示功能；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7.内置锂电池：充≤4小时即可充满，满电后可持续使用≥8小时；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8.具有LED指示、蜂鸣器提醒功能；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9.噪音：≤60dB；</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10.脉冲幅度值：在负载阻抗为500Ω时，输出脉冲幅度不大于30V；</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11.工作模式：连续运行。</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冰箱（冰刺激用）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颜色：银色</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开门方式：左开门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制冷方式：直冷</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制冷类型：压缩机制冷</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除霜模式：手动除霜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定频/变频：定频</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总容积（升）：≥100L</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冷冻室（升）：≥28L</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冷藏室（升）：≥72L</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吞咽言语诊治仪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1、双通道可单独使用，单独调节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2、电极分离技术：肌电检测和电刺激使用同一根电极线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3、电极脱落检测功能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4、低电压报警功能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★5、5种模式：肌电检测模式、肌电触发电刺激、肌电助力电刺激、电刺激模式、多媒体反馈训练。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6、肌电检测</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6.1反馈阈值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反馈阈有效值：分为低、中、高三个范围，分别为0～50uV、0～200uV、0～1000uV；</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示值准确度：误差不大于±10%或±2μV</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分辨率(测量灵敏度)： ≤1μV。</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7、肌电触发电刺激</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频率：2Hz～100Hz可调，级差1Hz；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阀值：分为低、中、高三个范围，分别为0～50uV、0～200uV、0～1000uV</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脉冲宽度：50～450μs，允差±10%；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输出峰值电流：0～100mA可调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★8、电刺激模式有42个固定处方，8个自定义处方</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频率：2Hz～100Hz可调，级差1Hz；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脉冲宽度：50～450μs，允差±10%；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zh-CN" w:eastAsia="zh-CN"/>
              </w:rPr>
            </w:pPr>
            <w:r>
              <w:rPr>
                <w:rFonts w:hint="eastAsia" w:ascii="宋体" w:hAnsi="宋体" w:eastAsia="宋体" w:cs="宋体"/>
                <w:color w:val="auto"/>
                <w:kern w:val="2"/>
                <w:sz w:val="24"/>
                <w:szCs w:val="24"/>
                <w:lang w:val="en-US" w:eastAsia="zh-CN" w:bidi="ar"/>
              </w:rPr>
              <w:t>输出峰值电流：0～100mA可调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zh-CN" w:eastAsia="zh-CN" w:bidi="ar"/>
              </w:rPr>
              <w:t>治疗时长：</w:t>
            </w:r>
            <w:r>
              <w:rPr>
                <w:rFonts w:hint="eastAsia" w:ascii="宋体" w:hAnsi="宋体" w:eastAsia="宋体" w:cs="宋体"/>
                <w:color w:val="auto"/>
                <w:kern w:val="2"/>
                <w:sz w:val="24"/>
                <w:szCs w:val="24"/>
                <w:lang w:val="en-US" w:eastAsia="zh-CN" w:bidi="ar"/>
              </w:rPr>
              <w:t>1～60min可调，允差1min，允差±1min；</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9、助力电刺激</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频率：18Hz允差±2Hz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脉宽：200μS，允差±10%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输出强度：0-100mA</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多媒体反馈训练可连接电视进行互动练习</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微电脑颈椎牵引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1、电源电压：交流220V±22V   50Hz±1Hz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2、额定输入功率：70VA</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3、颈椎牵引力：0～300N连续可调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4、颈椎牵引行程：0～500mm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5、牵引总时间：0～99min连续可调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6、持续牵引时间：0～9min连续可调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7、间歇牵引时间：0～90s连续可调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★8、中频电疗</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中频频率范围：2kHz～6kHz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中频调制频率范围：0～150Hz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中频调制波形：正弦波、方波、三角波、指数波、锯齿波。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调制方式：连续、断续、间歇、变频、疏密和交替调制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中频调制幅度：50%、75%、100%，允差±5％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中频治疗处方为19个</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中频输出电流为0-100mA，分0-99级可调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中频输出电流稳定度≤10％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电极板温度范围：38℃～55℃，分6档可调，允许±3℃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9、颈、背部按摩</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连续工作时间：≤30min   按摩转速：29转/min～45转/min</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10、牵引力自动补偿功能；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11、具备牵引力过大自动保护功能；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12、具备通过手动按钮调整牵引力大小的功能，且可做牵引前的自动预拉紧功能；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13、配备颈部固定装置，可在牵引过程中对颈椎实行稳定保护作用；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★14、配备中频电疗，在牵引过程中进行中频电流刺激按摩及治疗，促进局部血液循环，增加牵引效果；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★15、配备颈部机械按摩功能，可在牵引过程中使用，也可单独使用，且可根据患者的高低调整按摩装置的高度；</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sz w:val="24"/>
                <w:szCs w:val="24"/>
                <w:lang w:val="en-US" w:eastAsia="zh-CN"/>
              </w:rPr>
            </w:pPr>
            <w:r>
              <w:rPr>
                <w:rFonts w:hint="eastAsia" w:ascii="宋体" w:hAnsi="宋体" w:eastAsia="宋体" w:cs="宋体"/>
                <w:color w:val="auto"/>
                <w:kern w:val="2"/>
                <w:sz w:val="24"/>
                <w:szCs w:val="24"/>
                <w:lang w:val="en-US" w:eastAsia="zh-CN" w:bidi="ar"/>
              </w:rPr>
              <w:t>16、配备腰部按摩装置及红外热疗功能，增加坐位治疗时的舒适性；</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三维颈、腰椎牵引治疗仪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1、电源电压：220V   50Hz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2、额定输入功率：100VA  （允差±15%）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★3、腰椎牵引行程：0～200mm，允差±10mm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4、腰椎牵引总时间：0～99min范围内设定，级差1min，允差不大于30s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5、腰椎牵引力：0～990N范围内可调，级差10N，实际输出的牵引力与预置值的偏差不大于：牵引力不大于200N时，允差：±10％或±10N取大值；牵引力大于200N时，允差：±20％或±50N取小值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6、牵引时间：0～9min范围内设定，级差1min，误差不大于30s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7、间歇时间：0～9min范围内设定，级差1min，误差不大于30s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8、颈椎牵引力：0～300N范围内可调，级差10N，实际输出的牵引力与预置值的偏差不大于：牵引力不大于200N时，允差：±10％或±10N取大值；牵引力大于200N时，允差：±20％或±50N取小值</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9、颈椎牵引行程：0～300mm，允差±10mm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10、颈椎牵引总时间：0～99min范围内设定，级差1min，允差不大于30s</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11、成角动作范围：-10°～+30°连续可调*，允差±2°，成角零位误差不大于±1°，上成角保持稳定。</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12、旋转动作范围：左右各25°连续可调*，允差±2°，左右旋转动作速度：165°/min，允差±15%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13、牵引床加热功能：床面工作温度45℃，允差±3℃。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14、大屏幕液晶显示触摸屏；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15、三维立体牵引，可做平面纵向牵引、上成角牵引、下成角牵引、自动旋转侧扳牵引，上述三种功能可单独使用，也可组合使用；牵引床腰椎牵引具有8种牵引模式； 牵引力自动补偿功能；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16、具备20种治疗方案存储和读取功能；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17、颈腰椎一体化牵引，可以针对两个患者分别或同时进行颈椎或腰椎牵引；</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18、多种安全设计（最大牵引力990N，患者应急线控手柄开关、医务人员操作急退键）；</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PT训练床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规格(cm)：约191×125×49±2cm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床面尺寸(长×宽)cm：约191×125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质量：≥53.0kg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额定载荷：≥135.0kg</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用途：用于PT训练患者床上活动</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PT按摩床（电动升降、可折叠）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规格(cm)：约210×124×50～100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倾斜角度：0-80°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额定载荷：≥135.0kg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最高位置：100cm   最低位置：50cm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电源参数：220V、50Hz</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用途：用于PT训练患者床上活动</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起立床（配矫正板）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1、控制方式：手柄点动控制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2、床面高度：550mm，允差±50mm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3、外形尺寸：2100mm×780mm×840mm，允差±50mm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4、床面直立角度：0°～90°可调（允差±5°）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5、脚踏板上下调整角度：背屈0°～20°，跖屈0°～30°（允差±3°）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脚踏板内外调整角度：内翻0°～30°，外翻0°～30°（允差±3°）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6、组成：床架、床面、扶手桌面、固定带、脚踏板、手控装置组成。</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7、床面额定载荷：135kg，允差±10kg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8、脚踏板可上下、左右角度调节，根据不同的脚踝关节的角度进行康复训练使患者有更舒适的脚位。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★9、配备4个脚轮通过脚踏四联动装置锁定，压下脚踏四联动装置床面上升，四个脚轮着地，升起脚踏四联动装置床面下降，四个脚轮升起锁止。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10、配备有手柄，方便对床面进行升降控制。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11、床面采用优质医疗专用皮革环保防潮、防菌、防火材料。</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12、配备支腿调节地脚，方便对床体进行调整。</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13、扶手桌面：可上下前后调节，方便患者使用。</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多体位按摩床（电动，头、腰、下肢体位可调）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1、尺寸：长×宽×高（mm）：1950×660×560～860，允差±3%。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2、最大起升重量：200kg，允差±10kg。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★3、升降功能：诊疗床的床面升降行程为：0～300mm范围连续可调，允差±30mm。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★4、头部段面两侧手臂托架功能：调节行程0～200mm，允差±20mm。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★5、头部段面功能：相对水平面调节角度：-20°～+30°连续可调，允差±3%。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★6、腰胸段面功能：相对水平面调节角度：0°～+25°连续可调，允差±3%。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★7、左右双下肢段面功能：相对水平面调节角度：-25°～+40°连续可调，允差±3%。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8、床面采用医疗专用环保防潮、防菌、防火材料。</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9、采用优质气弹簧，经久耐用。</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多体位按摩床（九段）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1、尺寸：长×宽×高（mm）：1990×680×570，允差±3%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2、最大起升重量：200kg，允差±10kg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3、升降功能：诊疗床的床面升降行程为：0～300mm范围连续可调，允差±30mm。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4、头部段面两侧手臂托架功能：调节行程0～200mm，允差±20mm。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★5、头部段面功能：相对水平面调节角度：-20°～+30°连续可调，允差±3°。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★6、腰胸段面功能：相对水平面调节角度：0°～+20°连续可调，允差±3°。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★7、下身段面功能：相对水平面调节角度：-20°～0°连续可调，允差±3°。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★8、左右双小腿段面功能：相对水平面调节角度：-70°～+40°连续可调，允差±3°。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9、腰胸段面两侧手臂托架向下90°，允差±3°。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★10、配置充电电池，可断电使用。</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11、采用优质气弹簧，经久耐用。</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CPM下肢关节康复器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1、大腿支架长度可调范围0～260mm，允差±10%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2、小腿支架长度可调范围0～260mm，允差±10%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lang w:val="en-US" w:eastAsia="zh-CN" w:bidi="ar"/>
              </w:rPr>
              <w:t xml:space="preserve">3、 </w:t>
            </w:r>
            <w:r>
              <w:rPr>
                <w:rFonts w:hint="eastAsia" w:ascii="宋体" w:hAnsi="宋体" w:eastAsia="宋体" w:cs="宋体"/>
                <w:color w:val="auto"/>
                <w:kern w:val="2"/>
                <w:sz w:val="24"/>
                <w:szCs w:val="24"/>
                <w:highlight w:val="none"/>
                <w:lang w:val="en-US" w:eastAsia="zh-CN" w:bidi="ar"/>
              </w:rPr>
              <w:t>伸展角度最大调节范围为0～120°；屈曲角度最大调节范围为0～125°，级差3°，其中123°～125°级差2°，角度不大于50°时，允差±5°；角度大于50°时，允差±10%；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4、 角度运行速度8档可调，最小角速度为1.5°/s，最大角速度为3.6°/s。级差0.3°/s，允差±20%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5、 训练时间0～240min可调，级差10min，允差±10%，时间结束会有提示音</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 脚踏板移动至最左位置和最右位置中心线夹角为60°，允差为±10°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7、活动仪设有线控开关，安全可靠</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8、运动角度、速度、时间均数码控制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9、LCD 背光屏幕液晶显示，数据清晰</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10、设备功能：下肢关节（髋、膝、踝）功能障碍的康复训练</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CPM踝关节康复器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1、大腿支架长度可调范围0～260mm，允差±10%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2、小腿支架长度可调范围0～260mm，允差±10%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red"/>
                <w:lang w:val="en-US"/>
              </w:rPr>
            </w:pPr>
            <w:r>
              <w:rPr>
                <w:rFonts w:hint="eastAsia" w:ascii="宋体" w:hAnsi="宋体" w:eastAsia="宋体" w:cs="宋体"/>
                <w:color w:val="auto"/>
                <w:kern w:val="2"/>
                <w:sz w:val="24"/>
                <w:szCs w:val="24"/>
                <w:lang w:val="en-US" w:eastAsia="zh-CN" w:bidi="ar"/>
              </w:rPr>
              <w:t xml:space="preserve">3、 </w:t>
            </w:r>
            <w:r>
              <w:rPr>
                <w:rFonts w:hint="eastAsia" w:ascii="宋体" w:hAnsi="宋体" w:eastAsia="宋体" w:cs="宋体"/>
                <w:color w:val="auto"/>
                <w:kern w:val="2"/>
                <w:sz w:val="24"/>
                <w:szCs w:val="24"/>
                <w:highlight w:val="none"/>
                <w:lang w:val="en-US" w:eastAsia="zh-CN" w:bidi="ar"/>
              </w:rPr>
              <w:t>伸展角度最大调节范围为0～120°；屈曲角度最大调节范围为0～125°，级差3°，其中123°～125°级差2°，角度不大于50°时，允差±5°；角度大于50°时，允差±10%；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 角度运行速度8档可调，最小角速度为1.5°/s，最大角速度为3.6°/s。级差0.3°/s，允差±20%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 训练时间0～240min可调，级差10min，允差±10%，时间结束会有提示音</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 脚踏板移动至最左位置和最右位置中心线夹角为60°，允差为±10°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7、活动仪设有线控开关，安全可靠</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8、运动角度、速度、时间均数码控制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9、LCD 背光屏幕液晶显示，数据清晰</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10、设备功能：下肢关节（髋、膝、踝）功能障碍的康复训练</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CPM手指关节康复器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1、手指固定杆长度可调，调节范围0～80mm，允差±10mm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2、手指固定杆座可调，调节范围0～50mm，允差±10mm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3、手臂固定座前后左右可调整，前后调节范围0～40mm，左右调节范围0～40mm，允差±5mm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4、指关节活动角度范围-90°～+35°，其中掌屈运动向下90°，背伸运动向上35°，允差±5°；向下前角度分0～120级数字调整，级差为3°；向上后角度分0～125级数字调整，0～123时级差3°，其中123～125时级差2°</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5、训练器运动的最小角速度为0.9°/s，最大角速度为3°/s ，允差±5°/s；分8档调节,级差为0.3°/s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6、训练器运动时间：0～240min可调，步进为10，时间允差±1min，治疗结束停止输出</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7、左、右手固定杆件更换容易，操作方便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8、活动仪设有线控开关，安全可靠</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9、LCD 背光屏幕液晶显示，数据清晰</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10、设备功能：对患者掌指关节进行被动训练</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CPM肘关节康复器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1、主机外形尺寸（长×宽×高）：780mm×500mm×1400mm；允差为±5%。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★2、康复器固定支架与活动支架之间的夹角调整范围为0°～125°，数字调整，级差3°，允差为±5%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★3、康复器运动的最小角速度为0.9°/s，最大角速度为3°/s ，允差±5%。可分8档调节,级差为0.3°/s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★4、康复器运动时间可在0～240min范围内每隔10min为一档，任意设置，时间允差±1min，时间到有提示音</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5、过载自动保护，活动仪设有线控开关，安全可靠</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6、最大载荷：≥50N</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7、具有移动支架，方便设备移动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8、LCD 背光屏幕液晶显示，数据清晰</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9、设备功能：对患者肘关节进行被动训练</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门架式减重装置（配医用慢速跑台、下肢功率车）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1、产品外形尺寸（长×宽×高）：1200×2320×2450，允差±10%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2、额定输入功率：1850W</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3、控制方式：电动控制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4、减重力量显示范围：0～990N，步进10N</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★5、减重调节范围（mm）：0～600，允差±10mm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6、设备采用开放式设计，协助病人直接从轮椅上起立，更便于医生帮助病人做行走训练，为病人和治疗师提供一个安全的治疗环境。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7、通过吊带控制，根据需要减轻患者训练中下肢或腰部的承重量。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8、配备DC24V备用电源，确保设备在没有网电源提供下的正常使用。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9、采用显示屏显示力量。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10、具有两个减重训练系统，可独立使用，也可同时使用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11、配医用慢速跑台，配立式功率车。</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12、与慢速跑台配合使用，帮助控制步行姿势，提供更足够的临床使用空间。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13、充气式背心及腿部固定带，长时间使用不会有不舒适感。</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14、配备手柄开关，通过控制减重上升下降，方便对患者进行点控操作</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训练用扶梯（三面）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规格(mm)：约3350×1400×1350~1550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扶手杠调节范围（mm）：0～200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扶手杠侧向额定载荷(kg)：≥70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阶梯额定载荷(kg)：≥135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用途：用于患者恢复曰常上下楼功能。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阶梯台高度：100mm、120mm、240mm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中间台高度600mm允误50mm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材质：型材、多层板、地板革</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结构形式：阶梯、扶手</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四轮辅助器（带刹、带座）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规格(mm)：约1050×840×1040～1450 座垫宽度(mm)：450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座垫前后调节范围(mm)：170座垫高度调节范围(mm)：450～630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台面垫高度调节范围(mm)： 1040～1450  手柄间距离调节范围(mm)： 0～550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台面垫额定载荷质量(kg)： ≥80  座垫额定载荷质量(kg)：≥ 135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用途：增加上肢支撑的面积，提高辅助步行的效果。是神经、骨关节系统疾病患者室内外辅助代步用具。</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材质：型材、多层板、橡胶、海绵、皮革  结构形式：脚轮、底架、桌面、刹车把手、靠背、坐垫</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双轮助行器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规格(mm)：约460×520×760～930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扶手宽度(mm)： 480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额定承载质量(kg)：≥ 100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调节孔位数：≥8</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用途：辅助代步用具</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材质：铝型材   结构形式：把手、支撑杆、脚轮</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跑台（医用慢速电动）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1、程式控制：5种预设程控模式+2种使用者自定+HRC心率程式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2、持续马力：DC2.5HP（Cont.），马达峰值功率：3HP/DC</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3、速度范围：0.1～10km，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4、控制面板：LCD显示（时间.速度.距离.消耗热量.心率程式等）</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5、心跳测量：手握心跳</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6、坡度控制：电动扬升，坡度：0-12挡，（0°～4.3°±1°）</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7、反向训练：0.1-5Km/h可调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8、最大载重：≥150kg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9、跑步面积：约1550 *485mm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10、踏    板：高端止滑踏板</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11、具有快速按键</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肩关节旋转训练器（轮式）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平台升降调节范围（mm）： 0～630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手柄至转动轴距离调节范围(mm)： 130～310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最大阻尼(N·cm)： 1650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用途：改善肩，肘关节活动范围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材质：型材、橡胶、钢板</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结构形式：支撑架、滑动杆、把手、训练部分</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肘关节牵引训练椅（可调式）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规格{mm)：约1180×1220×1100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座垫高度调节范围(mm)： 510～660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升降支架调节范围(mm)： 0～160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前臂垫调节范围(mm)： 0～230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角度调节支架调节角度范围： 0°～-25°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靠背垫角度调节范围： 90°～120°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前臂支架角度调节范围： 0°～120°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座垫额定载荷(kg)：≥135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配重块质量(kg)： 1.8   配重块数量： 5块</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用途：适用于肘关节屈曲伸展活动障碍患者进行持续性肘关节牵引训练，改善关节的活动范围。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材质：型材、多层板、橡胶、海绵、皮革</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结构形式：底架、靠背、训练部分、坐垫、电机</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系列哑铃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规格(mm)：500×500×1080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1磅2件、2磅4件、3磅4件、4磅4件、5磅4件</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用途：进行肌力和医疗体操训练</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材质：型材、橡胶   结构形式：底座、脚轮、哑铃</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重锤式髋关节训练椅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座位高mm：约500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座位宽mm：约550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下肢支架长度mm：约600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下肢支架展角范围：0°～50°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配重块质量×块数：1.8kg×6</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座位额定载荷：≥135kg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靠背垫额定载荷：≥70kg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用途：髋关节外展、内收肌力训练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材质：型材、橡胶、海绵、皮革、多层板</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结构形式：支撑架、扶手、训练部分、滑轮，尼龙绳</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液压式踏步器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扶手宽度mm：约530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扶手高度mm：约1220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油缸力值调节档数mm：12档</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额定载荷，kg：≥135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用途：下肢关节活动度及肌力训练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材质：型材、橡胶</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结构形式：底座、扶手、脚踏板、计数器</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站立架（四人）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肘部垫尺寸：约280mm*80mm*40mm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肘部垫额定承载质量：≥80kg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臀部垫和绑带额定承载质量：≥135kg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规格(mm)：约1800×1800×1090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用途：截瘫、脑瘫等站立功能障碍患者站立训练，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也可预防改善骨质疏松、压疮、心肺功能降低等</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材质：型材、多层板、橡胶、海绵、皮革</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踝关节矫正训练器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规格(mm)：约1330×650×860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座垫前后调节范围(mm)：0～300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脚踏板角度调度范围：0°～80°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额定载荷(kg)：靠背垫：≥70 座位垫：≥135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用途：用于踝关节屈伸功能障碍，患者可做主动和被动训练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材质：型材、多层板、橡胶、海绵、皮革</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结构形式：底架、靠背、扶手、训练部分、坐垫</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下肢功率车（卧式、磁控）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电子表的功能：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1、显示窗口：时间，速度，距离，卡路里，心率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2、按键有：MODE键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座垫额定载荷：≥100kg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规格(mm)：约1270 *600 *1050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用途：用于下肢关节活动、肌力及协调功能训练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材质：塑料、型材、橡胶</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结构形式：鞍座、主架、电子表、扶手、阻尼调节器</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轮椅（轮椅训练及转运病人用）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1、车架选用Q195高强度钢焊接而成,最大承重≥ 100KG，总长≥99CM，总宽≥61cm，总高≥86CM ，坐高≥48CM，座位深度≥41CM，座位宽度≥43CM，座位离地面高度≥46CM，净重：≤13KG。表面粉体铁灰色烤漆处理后具有不褪色、防锈能力强、安全性能高、坚固耐用等特点；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2、整车按人体工程学设计，让使用者更加舒适，健康；</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3、座背垫：采用牛仔蓝牛津布内设有双层加强布及海棉，整体更加安全耐用；                                                                                                                                             </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4、前轮：≥8寸PVC轮，配合加厚黑色铁前叉；                                                                                                                                                                                       5、后轮：≥22寸免充气橡胶实心胎；                                                                                                                                                                     6、扶手：PVC皮料，内部填充高密度海绵，柔软舒适耐磨，可擦拭；</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7、脚踏板：环保PP，强度高，韧性好、可上下三档调节；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8、拆腿： 腿部可拆卸，使用更加方便灵活，可节省体积；                                                                                                                                                                       </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sz w:val="24"/>
                <w:szCs w:val="24"/>
                <w:lang w:val="en-US" w:eastAsia="zh-CN"/>
              </w:rPr>
            </w:pPr>
            <w:r>
              <w:rPr>
                <w:rFonts w:hint="eastAsia" w:ascii="宋体" w:hAnsi="宋体" w:eastAsia="宋体" w:cs="宋体"/>
                <w:color w:val="auto"/>
                <w:kern w:val="2"/>
                <w:sz w:val="24"/>
                <w:szCs w:val="24"/>
                <w:lang w:val="en-US" w:eastAsia="zh-CN" w:bidi="ar"/>
              </w:rPr>
              <w:t>9、刹车：采用手刹及助刹双刹方式，安全便利；</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训练用阶梯（双向）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规格mm)：约3350×830×1350~1550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★扶手杠调节范围（mm）：0～200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扶手杠侧向额定载荷(kg)：≥70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阶梯额定载荷(kg)：≥ 135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用途：用于患者恢复日常上下楼功能。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阶梯台高度：100mm、120mm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中间台高度600mm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材质：型材、多层板、地板革</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结构形式：阶梯、扶手</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楔型垫（皮）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规格(mm)：</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600×450×270角度30度</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用途：卧位功能、综合基本功能、关节活动度、肌肉松弛训练者</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材质：泡沫、皮革</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结构形式：楔形垫</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滚筒（成人大、中、小）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规格(mm)：Φ220×800，Φ250×800，Φ300×800，Φ400×800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四种规格可任选其一</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额定载荷(kg)：小号80、中号100、大号100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质量：各规格相应质量</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用途：偏瘫、脑瘫等运动失调患者进行平衡、协调功能</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材质：钢板、海绵、皮革</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波巴士球/按摩球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规格(cm)：Φ65</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质量：1.8kg</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材质：pvc材质</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用途：用于脑瘫患儿的平衡感觉、反射调节、缓解肌痉挛</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功能牵引网架（网架与训练床）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规格(mm)：约2000×1150×2050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床面高度（mm）：约490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床面宽度（mm）：约1100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水平网架额定载荷：≥80.0kg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绳索、吊带额定载荷：≥50kg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床面额定载荷：≥135.0kg</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sz w:val="24"/>
                <w:szCs w:val="24"/>
                <w:lang w:val="en-US" w:eastAsia="zh-CN"/>
              </w:rPr>
            </w:pPr>
            <w:r>
              <w:rPr>
                <w:rFonts w:hint="eastAsia" w:ascii="宋体" w:hAnsi="宋体" w:eastAsia="宋体" w:cs="宋体"/>
                <w:color w:val="auto"/>
                <w:kern w:val="2"/>
                <w:sz w:val="24"/>
                <w:szCs w:val="24"/>
                <w:lang w:val="en-US" w:eastAsia="zh-CN" w:bidi="ar"/>
              </w:rPr>
              <w:t>用途：肌力、关节活动度、放松调整训练，可进行牵引治疗</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套圈板(卧式)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规格(mm)：</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420×250×70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立杆直径（mm）：25</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用途：训练患者眼—手协调功能</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材质：实木、多层板</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结构形式：底座、套圈</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可调式沙磨板及附件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规格(mm)：约1040×840×800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运动地板革面积（mm）：约970×770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运动地板革厚度（mm）：约5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沙磨板角度调节范围  0～45°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附件品种和件数  4个品种，各1件（磨砂斗、摇磨具、单手推板、单手磨具）</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用途：上肢肌力协调活动能力和关节活动度的作业训练</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OT综合训练台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规格(mm)：约1930×1065×940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左右操作面板：约500×390（长×宽）mm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后操作面板：约980×390（长×宽）mm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操作面板调节范围：0～350mm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用途：改善手指对指功能，提高眼手协调功能，训练患者感知能力及大脑对图形的识别能力，并能训练上肢稳定性、协调性，提高上肢日常活动能力</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组件：上肢协调功能训练器（手指）、分指板、分指板（弧形）、铁棍插板、木插板、套圈（立式）、几何图形插板、认知图形插板、模拟作业工具、上螺丝、上螺母、磁性钮</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电动升降OT桌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桌面升架范围mm：约620～850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手柄转动力距mm ：约10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桌面额定载荷kg ：≥50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桌面尺寸（长×宽）mm：约1500×800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外形尺寸（长×宽×高）mm：约1500×800×620～850</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用途：作业训练用桌，桌面高度可调节</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PT凳（豪华型）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规格(cm)：约45×45×45~58</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升降范围：45-58</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质量：约7.0kg</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用途：治疗师对患者进行手法治疗时可移动式的坐具</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木棍插板（可调式）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规格(cm)：</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60×29×21~30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插棒规格： 2.5×10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1.8×9  </w:t>
            </w:r>
          </w:p>
          <w:p>
            <w:pPr>
              <w:keepNext w:val="0"/>
              <w:keepLines w:val="0"/>
              <w:suppressLineNumbers w:val="0"/>
              <w:spacing w:before="0" w:beforeAutospacing="0" w:after="0" w:afterAutospacing="0" w:line="240" w:lineRule="auto"/>
              <w:ind w:left="0" w:right="0" w:firstLine="1200" w:firstLineChars="5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1.3×8</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数量：10、14、18</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质量：</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5.4kg</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用途：作业治疗用具，将木棒准确插到位，训练患者眼一手协调功能</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作业训练器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规格(mm)：</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架子500×150×520小平板300×300×80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大平板600×400×110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用途：改善手指对指功能，提高手的协调性、</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灵活性，还可用于手的感觉功能练习</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材质：实木、多层板</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手指功能组合训练箱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规格(mm):约550mm×400mm×140mm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木插棍外形尺寸及数量：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大Ф29，4根中 Ф24，5根 小 Ф19,5根</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铁插棍外形尺寸（mm）及数量：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大：Ф8*60 中：Ф6 *60 小：Ф4 *60，各21个</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螺栓外形尺寸及数量：M10×50（3只）、M8×50（2只）、M6×50（3只）</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螺母外形尺寸及数量：M10（3只）、M8（3只）、M6（3只）</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用途：组合训练患者眼一手协调功能，改善手指功能，提高手协调性、灵活性</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材质：实木、多层板、玻璃、不锈钢</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结构形式：木箱、玻璃球、不锈钢棒</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动物图形插板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规格(mm)：</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300×300×7</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用途：患者感知能力及大脑对图形的识别训练</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材质：多层板</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结构形式：底座、训练块</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手功能训练器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规格(mm)：</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400×250×110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基本配置：</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小锥体：（Φ50×120）mm数量：3件</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大锥体：（Φ90×120）mm数量：1件</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齿圈：Φ150mm数量：1件  橡胶圈：Φ70mm数量：1件</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用途：提高手指的作业活动能力。</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材质：多层板、橡胶   结构形式：底座、齿圈、圆锥体、握力圈</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镶嵌训练器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适用于对感知能力、大脑对图形、颜色的识别能力、逻辑思维能力的训练以及提高手指的灵活度及协调性。</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儿童功能性电刺激床及康复踏车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lang w:val="en-US" w:eastAsia="zh-CN"/>
              </w:rPr>
              <w:t>、外形尺寸（长×宽×高）：1350mm×650mm×1100mm，允差±10%。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2、显示方式：触摸屏。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3、屏幕水平方向0°～180°可调，允差±10%；上肢训练部分水平方向0°～180°可调,允差±10%；下肢训练部分伸缩可调节范围0～110mm,允差±10%；产品立杆伸缩调节，可调节范围0～50mm,允差±10%。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4、配置儿童专用座椅。</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5、主动模式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提供力矩（主动阻力矩），1Nm～15Nm，允差±5%,分15档设定，步进为1Nm；初始设定为1档，每档递增1Nm；在训练过程中显示屏会显示当前的速度，训练时间和阻力；训练结束后，训练结果会在屏幕上显示。</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6、被动模式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a）训练时间可调，调节范围：1min～60min，允差±30s，步进为1min，默认20min；</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b)训练速度可调，调节范围：5rpm～55rpm，允差±5rpm，步进1rpm，默认20rpm；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c)运动方向可调，有正和逆两种运动方向，在训练过程中可以改变方向；</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d)电机输出分为高、中、低3档（允差±20%）：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e)痉挛功能可选择开启和关闭，痉挛次数训练结束后会在屏幕上显示；</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f)痉挛后方向可调，其方向为固向和变向；固向是痉挛后，旋转方向都与原方向一致；变向是痉挛后，旋转方向都与原方向相反。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7、训练结果显示</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训练结束时，显示屏会显示锻炼时间，主动时间，左平衡比例、右平衡比例、被动时间、痉挛次数、卡路里、距离。</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8、训练仪工作噪音≤60dB（A）。</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儿童智力评估系统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一、主要功能和测评范围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儿童智力（IQ）测评</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1、图片词汇PPVT智力测试（3岁6个月-9岁2个月儿童)</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2、联合型瑞文CRT智商测试(7-16岁儿童）</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3、绘人MOD智能测试（4-12岁儿童）</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4、丹佛小儿智能发育筛查DDST（0-6岁）</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5、0-6岁儿童神经心理发育量表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6、智能开发指导方案（0-7岁儿童）</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7、0 ～6 岁儿童发育行为评估量表（儿心量表II）</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二、性能特点：</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1、配套儿童智力测试工具箱，包含智力发育DDST丹佛工具、中国儿心测评工具、CDCC测试工具、新生儿神经行为NBNA测试工具、儿心量表II测试工具，≥100种。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2、联合瑞文测验报告单具备每一组测验评判结果及得分。</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3、丹佛小儿智能发育筛查共105个项目。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4、支持全程无创无接触式测试，≥21英寸SGS红外智能感应触摸液晶显示器。无需对屏表面直接施加压力，使用可靠不偏移。</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5、有摄像功能，可插入精美的高清儿童照片，留下永久的记忆。</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6、大容量存储空间，家长可随时查询和打印自己孩子的历次健康档案。</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7、彩色外观，测试界面时尚、卡通，更适合儿童测试，数据统计快速、分析客观、结果报告打印于一体，并给予指导方案。</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三、硬件配置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主机工作站：中央处理器不低于四核四线程3.2G，I5处理器，≥8G内存，≥256G固态硬盘，鼠标，键盘，耳麦，内置高清摄像头，≥16G U盘。</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显示器：≥21英寸SGS红外智能感应触摸液晶显示器</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彩色喷墨打印机，豪华医用推车，儿童智力测试工具箱</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儿童精能运动能力评估系统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1、评定人管理功能——增加评定人信息，支持评定人独立账号登录，同时实现评定数据互联互通，方便评定人员进行日常评估工作处理及档案检索。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用户管理功能——建档筛查儿童，儿童基本信息管理（包含：姓名、性别、出生日期、民族、身份证号、孕周、分娩方式、出生身长、出生体重、出生头围、父母姓名及联系方式，户籍标识、居住地），系统自动生成档案编号，方便后续筛查无需重复添加。多条件检索功能，可支持评定人通过多种条件检索用户。</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量表评估功能——评定人选择筛查儿童，系统自动是生成对应筛查内容，无需手工定义筛查范围，进入评估前系统提供筛查注意事项，同时要求评定人填写用户当前基本身体状态信息。★筛查过程中如出现电脑断电或者其他非主观性突发情况，系统自动保存筛查记录，支持评定人重新进入系统完成之前记录，数据实现自动保存功能。★同时筛查完成后系统自动生成筛查报告(报告内容不少于以下模块：基本信息、各能区原始分数据、各能区百分比、原始总分、总百分比、能力值、各数据折线图，以及对应的训练指导方案）。★系统可自动根据评估情况生成指导方案，同时支撑评定人对系统生成的指导方案根据临床判断进行调整和修改。★系统可添加下次评估时间到报告指定位置，使得用户及时知晓下次评估计划。</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4、档案管理功能——评定人可通过多种条件进行档案检索及查看，同时可进行档案报告的打印及打印内容的设置选择。</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5、界面管理功能——可进行单位基本信息设置及软件基本信息设置包括修改两者的名称，同时支持用户根据自主需求更换软件登录界面内容。</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6、备份还原功能——系统支持数据备份及恢复，后续更换电脑无需担忧数据丢失。</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硬件产品参数：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1、评估工作站：四核以上处理器、≥4G内存、≥500G硬盘。</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2、报告打印设备：彩色喷墨多功能一体机，彩色模式分辨率—4800*1200dpi、黑白模式分辨率4800*1200dpi，支持照片打印，支持无边框打印。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3、可移动操作台：ABS材质，带4个可固定静音轮。</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 xml:space="preserve">4、指纹登录设备：指纹仪采用光学嵌入式指纹模块，以高速指纹对比算法ZKFingerV10.0为核心，支持不少于2000枚指纹模板储存。具有成像清晰、识别速度快等功能。有效采集面积为15.24*20.32mm（FAP20），畸变率小于1%，数据加密采用AES-256，灰度等级8bit，认假率小于0.0001%，拒真率小于1%，图像大小300  *400pixel（FAP20）。                                   </w:t>
            </w:r>
            <w:r>
              <w:rPr>
                <w:rFonts w:hint="eastAsia" w:ascii="宋体" w:hAnsi="宋体" w:eastAsia="宋体" w:cs="Times New Roman"/>
                <w:color w:val="auto"/>
                <w:sz w:val="24"/>
                <w:szCs w:val="24"/>
                <w:lang w:val="en-US" w:eastAsia="zh-CN"/>
              </w:rPr>
              <w:t xml:space="preserve">                             </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儿童（成人）阿基米德悬吊治疗系统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1、金属网架:金属网架系统是模块化的、高度灵活的体系。4个立体工作面，可满足三维与多角度的支持训练，可自由调整高度及悬吊。金属网架尺寸：约4500mm（长）*3000mm（宽）*2400mm（高）。</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多点悬吊可以进行反射的诱发，利用悬吊带、船、绳梯等，可以让患者在不稳定支撑面上进行反射诱发，靶肌肉功能位训练等，悬吊提供的辅助让治疗师在给患者治疗时有更多的空间来帮助、诱导患者进行训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悬吊鞋：最大承重60kg，约尺寸185*85mm；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绳梯（配两块座板）：最大承重50kg，约尺寸2000*1000mm；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吊兜：最大承重30kg，约尺寸2100*1100*980mm；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吊船：最大承重30kg，约尺寸1740*850 *140mm；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多功能棒：最大承重60kg，约尺寸650 *70mm；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平衡凳 ：最大承重50kg，约尺寸1500 *570 *434mm；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木塔（配合平衡凳使用）：最大承重50kg，约尺寸1500*567 *920mm；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支撑摆动装置：最大承重40kg,约尺寸630 *380mm；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座板:最大承重50kg，约尺寸940*800mm；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双杠：最大承重30kg，约1700*40mm；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3、滑轨式悬吊装置和悬吊衣配合，适合儿童在减重状态下步态训练。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滑轨（可往返运动）：承重≥200kg，尺寸为2800mm位移量;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悬吊高度：0~1500mm可调；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4、平衡训练衣可以提供外在支撑，给予肌力弱的肌肉适当的支撑。根据患儿体型可自由调节大小。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5、通过使用悬吊绳、组合软垫和瑜伽坐垫等一系列功能训练可以刺激感觉运动器官，提高感觉和运动的协调能力。</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瑜伽坐垫：最大承重80kg，尺寸直径约34cm；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组合软垫:约178×120×5cm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6、巴氏球可对脑瘫患儿进行平衡协调训练。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巴氏球：最大承重80kg，尺寸直径约850mm；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7、既可以使用开链运动，也可以使用闭链运动。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8、绳索、吊索自由组合，训练形式及配合生物反馈多样组合。</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红色长绳；带挂钩登山扣，最大承重100kg，尺寸约2400mm；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红色长绳；带挂钩登山扣，最大承重100kg，尺寸约1500mm；</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sz w:val="24"/>
                <w:szCs w:val="24"/>
                <w:lang w:val="en-US" w:eastAsia="zh-CN"/>
              </w:rPr>
            </w:pPr>
            <w:r>
              <w:rPr>
                <w:rFonts w:hint="eastAsia" w:ascii="宋体" w:hAnsi="宋体" w:eastAsia="宋体" w:cs="宋体"/>
                <w:color w:val="auto"/>
                <w:kern w:val="2"/>
                <w:sz w:val="24"/>
                <w:szCs w:val="24"/>
                <w:lang w:val="en-US" w:eastAsia="zh-CN" w:bidi="ar"/>
              </w:rPr>
              <w:t>弹力绳：带挂钩登山扣，最大承重30kg，尺寸约2400mm；</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儿童起立床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1、控制方式：手柄点动控制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2、床面尺寸：约1600×630mm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3、床面高度：约550mm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4、起立角度：0°～90°连续可调</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5、训练床架、扶手桌面、固定带、站立板、床面板、手控开关、脚轮及角度调节装置组成。站立训练时，使用人平躺在床面上，床面板及固定带和扶手桌面可以使患者固定在桌面上，床面板通过角度调节装置可改变人的身体姿态，可以由0°（卧姿）逐渐变化为90°站姿，调节角度可以随意选择。</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半圆桌（带10个椅子）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木制材质，面板高密板材材质，高温喷漆桌腿；包含10张椅子</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儿童数码经络导平仪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1、输出通道：15个。</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2、显示方式：触摸屏显示。</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3、输出脉冲：单向脉冲方波，频率范围：0.5～60Hz，脉宽范围：0.2～2.0ms。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★4、输出强度：等级五档可调，最大脉冲幅度0-4000V，允差±15%，每档255级可调。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5、强度自增：255级自增，允差±10℅，自增时间：16s/级，允差±5s。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★6、浪涌</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6.1浪涌范围：最低10Hz，最高60Hz。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6.2浪涌脉宽：最低0.2ms，最高1.0ms。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6.3浪涌周期：最低3s，最高6s。</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7、治疗时间：0～99min可调，允差±3min，步长1min；治疗结束有蜂鸣音提示。</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8、极性转换：手动和自动。</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早期语言评估与训练系统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1、档案:包括登记、查询、修改、列表、卡片和训练记录。</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2、评估：包括开始评估、评估结果、量表评估、查找病人、报告格式。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3、训练：包括单项训练、常规训练、专项训练、教师出题、学生做题。</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4、康复知识：包括特殊教育、疾病介绍。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a)特殊教育：主要包括特殊儿童简介、智障儿童、聋儿三大部分。其中特殊儿童简介主要讲解智力障碍、视觉障碍、听觉障碍、严重情绪障碍、发育迟缓、学习障碍、肢体障碍、身体病弱、自闭症和多动症的概述、教育、生活相处；智障儿童主要讲解智障儿童存在的沟通障碍的训练方法、训练内容和常用的教育训练方法，康复训练的问与答；聋儿主要讲解聋儿听力语言康复、听觉、言语训练的方法及康复训练内容的问与答。</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b)疾病介绍：主要讲解19种语言障碍的基本概念、产生原因及语言表现。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5、系统设置：包括单位、题目类型、题库、人员、参数、康复知识、游戏类型、评估量表、出题类别。</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6、备份恢复：主要讲解系统自动存盘信息，并可手动将系统数据存储于其他各盘中，电脑出现问题时可手动恢复数据功能。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7、退出：退出本系统功能。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8、≥19种语言障碍处方</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a)失语症：Broca失语、Wernicke失语、传导性失语、经皮质运动性失语、经皮质感觉性失语、经皮质混合性失语、完全性失语、命名性失语。</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b)构音障碍：运动性构音障碍、器质性构音障碍。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c)听觉障碍：听觉障碍(获得语言前)、听觉障碍(获得语言后)。</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d)智能障碍：轻度智能障碍、中度智能障碍、重度智能障碍。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e)其它：儿童语言障碍、纯词哑、纯词聋、记忆力障碍。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9、检查结果：分别显示“表一听检查结果”、“表二视检查和语音检查结果”、“表三口语表达结果” 、“直方图”、“口语检查结果” 、“能量图和声调图”的结果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10、采用通过专利新型电脑台车装置，并配备品牌电脑</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11、电脑配置清单不低于以下配置</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CPU：四核；内存：4G；硬盘500G；驱动DVD；19寸液晶显示器</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儿童感觉统和训练系统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1、整体外形尺寸:3025×(高）2430×3775 允差±150mm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2、液晶触摸屏，操作界面友好，简单易懂；显示器外形单屏尺寸：(宽)1463mm×（高）843mm×（厚）90mm  允差±20mm；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3、显示屏配置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3.1、显示器：≥65寸；</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3.2、分辨率：1920*1080；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3.3、CPU：双核A73 1.2GHz 64位处理器；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3.4、音效：3D音效；</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3.5、色域：BT709色域值100%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3.6、HDMI：HDMI *1；</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4、mini主机配置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4.1、主机外形尺寸：182mm×176mm×36mm  ，允差±5%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4.2、处理器：英特尔® 酷睿™ i5-7500T处理器(四核，6MB，4T，2.7GHz，35W)；</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4.3、内存：≥8G(DDR3 2400MHz)；</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4.4、硬盘：≥256G固态；</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4.5、分辨率：1920*1080；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4.6、操作系统：主流操作系统；</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5、海洋球直径：6.5cm，允差±5cm；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6、平台工作噪音≤60dB；</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7、情景互动和认知趣味游戏，开心享受康复的过程；</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8、游戏训练功能：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8.1、内置四个互动感官评估游戏，可在线升级；</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8.2、语音播报功能：儿童音效和成人音效两种可选，默认儿童音效；</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8.3、反馈评估功能：游戏训练中实时跟踪训练情况，游戏训练结束后，根据反馈数据对训练情况进行评估；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8.4、调节音量功能：用户可以通过系统中的音量调节按钮调节音量的大小；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8.5、查询历史记录功能：具备历史记录模块，满足用户查询历史评估报告的需求。</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8.6、游戏训练时间：10分钟、20分钟、30分钟三种可选。</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9、采用新一代环保材料，更安全可靠，可提供检验报告。</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10、材料质软，以防儿童在训练过程中磕碰；</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手指关节训练器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规格(cm)：</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30×25×33</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质量：</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1.5kg</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用途：训练上肢稳定性、协调性功能。提高上肢的日常活动能力。</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肩关节回转训练器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规格(cm)：约42×32×99</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质量：约14.0kg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平台升降调节范围（cm）： 0～63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手柄至转动轴距离调节范围(cm)： 50～64</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最大阻尼(N·cm)： 1650</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用途：改善肩、肘关节活动范围。</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踝关节活动训练器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由椅架、椅座、靠背、扶手、脚踏板等组成。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1、规格(mm)：约710×550×640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2、材质：凹凸革、静电喷塑支架、橡胶垫</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3、结构型式:脚踏板及绑带、座垫、手柄</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sz w:val="24"/>
                <w:szCs w:val="24"/>
                <w:lang w:val="en-US" w:eastAsia="zh-CN"/>
              </w:rPr>
            </w:pPr>
            <w:r>
              <w:rPr>
                <w:rFonts w:hint="eastAsia" w:ascii="宋体" w:hAnsi="宋体" w:eastAsia="宋体" w:cs="宋体"/>
                <w:color w:val="auto"/>
                <w:kern w:val="2"/>
                <w:sz w:val="24"/>
                <w:szCs w:val="24"/>
                <w:lang w:val="en-US" w:eastAsia="zh-CN" w:bidi="ar"/>
              </w:rPr>
              <w:t>4、用于踝关节屈伸功能障碍，患者可做主动和被动训练</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髋关节重锤式训练器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1、尺寸(cm)：约82×60×72</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2、质量：约27.0kg</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3、用于儿童髋关节外在展、内收肌力训练</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髋关节旋转训练器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扶手高度调节范围 mm：930～1350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规格(mm)：</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1220×500×930~1350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用途：通过足的画圈运动，改善髋关节的旋转功能，用于髋关节活动受限的患者</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材质：型材、橡胶、多层板</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结构形式：支撑架、扶手、脚踏板、旋转盘</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立式功率自行车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规格(cm)：</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50×36×75</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质量：</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6.7kg</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用途：锻练心肺功能和增强人体各部位柔韧性、协调性、训练性、训练部位有臂肌、腓肠肌，半腱肌等</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儿童训练阶梯（三向）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规格(cm)：约337×67×111~143</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质量：约97.0kg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材质：不锈钢扶手、支撑架、多层板、地毯</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结构型式:扶手杠、固定管柱、阶梯</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扶手杠调节范围(cm)：0～20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扶手杠侧向额定载荷：≥70kg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阶梯额定载荷,：≥95kg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阶梯扶手高度可调范围为(cm):0～20</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sz w:val="24"/>
                <w:szCs w:val="24"/>
                <w:lang w:val="en-US" w:eastAsia="zh-CN"/>
              </w:rPr>
            </w:pPr>
            <w:r>
              <w:rPr>
                <w:rFonts w:hint="eastAsia" w:ascii="宋体" w:hAnsi="宋体" w:eastAsia="宋体" w:cs="宋体"/>
                <w:color w:val="auto"/>
                <w:kern w:val="2"/>
                <w:sz w:val="24"/>
                <w:szCs w:val="24"/>
                <w:lang w:val="en-US" w:eastAsia="zh-CN" w:bidi="ar"/>
              </w:rPr>
              <w:t>用途：用于患者恢复日常生活中的上下楼梯功能</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儿童训练台、梯椅作业桌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规格(cm)：约65×41×100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质量：约6.0kg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材质：松木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面板(cm)：≥1.5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用途：坐站转移训练，站立训练，平衡训练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规格：约80 *70cm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高度范围：42cm 、47cm 、52cm可调   </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用途：作业训练用桌</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股四头肌训练椅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训练椅由椅架、椅座、靠背、升降支架、配重支架、小腿支架、小腿托、配重块等组成。</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1、外形尺寸:910mm×750mm×990mm，允差±20mm；</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2、座椅高度：480mm，允差±20mm；</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3、扶手内侧宽度：500mm，允差±20mm；</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4、升降支架调节范围：0～100mm，允差±20mm；</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5、小腿垫调节范围：0～300mm，允差±20mm；</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6、助力手柄调节范围：0～150mm，允差±20mm；</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7、小腿支架摆动角度：≥120°，允差±2°</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8、靠背调节角度：97°、135°、165°，允差±2°</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9、靠背及支撑板角度调节方式：手动调节 </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10、配重块质量：</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7.2kg</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11、配重块数量 ：4块</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矫正镜、组合凳、皮软垫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矫正镜：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规格(cm)：约85×67×191</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质量：约28.0kg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镜面玻璃厚度：≤0.5cm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用途：各种姿势矫正训练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组合凳：</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规格(cm)：约55×38×61，50×35×51</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45×32×41，40×29×31</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          35×25×21</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凳面承载质量为：≥135kg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质量：约14.0kg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用途：进行手法治疗时，治疗师与患者所需的各种高度不同的坐具，</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也可作为患者上肢锻炼的工作台面</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皮软垫：</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内层：软垫内层采用软质泡沫聚合材料</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规格(cm)：约180×120×6</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质量：约6.0kg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用途：各种垫上运动，包括关节活动度、坐位平衡、</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卧位医疗体操及卧位肌力训练</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四边组合运动训练架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规格(cm)：长:2800mm，宽:2430mm，高：2440mm。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材质：松木、重质海棉、防滑布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结构型式：滚桶、钢管、立柱、攀石、插接板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滚桶(cm)：Φ25~Φ28×80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钢管(cm)：Φ3   六根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立柱：松木插接板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方管(cm)：Φ8   四根</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底厚(cm)：5    四块</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攀石：20个</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用途：儿童感觉综合失调是现代生活方式引起的疾病。临床表现为脑瘫发育障碍、自闭症、孤独症和学习困难。感觉综合训练是促进脑发育的最佳治疗方法。适用于4-12岁感觉综合失调的儿童在康复师的指导下以游戏的方法进行视觉、听觉和触觉的综合训练。</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站立架（四人）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肘部垫尺寸：约280 *80 *40mm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肘部垫额定承载质量kg：≥80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臀部垫和绑带额定承载质量kg：≥135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规格(cm)：约180×180×108   质量：约50.0Kg</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用途：截瘫、脑瘫等站立功能障碍患者站立训练，也可预防改善骨质疏松、压疮、心肺功能降低等</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PT训练床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规格(cm)：191×125×49±2cm</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床面尺寸(长×宽)cm：约191×125</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质量：约53.0kg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额定载荷：≥135.0kg</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用途：用于PT训练患者床上活动</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OT桌(手摇)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规格（cm）：约120×75×60~80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质量：约41.0kg</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材质：不锈钢内芯、松木板、静电喷塑架</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用途：作业训练用桌，桌面高度可调节</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升降式OT桌(液压调节)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规格（cm）：</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120×75×60~80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质量：</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41.0kg</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材质：不锈钢内芯、松木板、静电喷塑架</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用途：作业训练用桌，桌面高度可调节</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手指阶梯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规格(mm)：</w:t>
            </w:r>
            <w:r>
              <w:rPr>
                <w:rFonts w:hint="eastAsia" w:ascii="宋体" w:hAnsi="宋体" w:cs="Times New Roman"/>
                <w:color w:val="auto"/>
                <w:sz w:val="24"/>
                <w:szCs w:val="24"/>
                <w:lang w:val="en-US" w:eastAsia="zh-CN"/>
              </w:rPr>
              <w:t>约</w:t>
            </w:r>
            <w:r>
              <w:rPr>
                <w:rFonts w:hint="eastAsia" w:ascii="宋体" w:hAnsi="宋体" w:eastAsia="宋体" w:cs="Times New Roman"/>
                <w:color w:val="auto"/>
                <w:sz w:val="24"/>
                <w:szCs w:val="24"/>
                <w:lang w:val="en-US" w:eastAsia="zh-CN"/>
              </w:rPr>
              <w:t>300×120×450</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用途：改善手指关节活动范围，训练手指主动运动的灵活性、协调性</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材质：多层板</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手功能组合训练箱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规格(cm)：21×11.5×12.8</w:t>
            </w:r>
          </w:p>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用途：培养儿童的音乐感知，提高听力，锻炼手眼协调能力</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采用单片微型计算机构成控制核心，人机交换更方便，附带时钟计时芯片；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触感式控制面板，中文背光液晶显示屏紫外灯管工作寿命计时；可在有人状态下进行连续动态消毒。</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超强红外线接受装置，可远距离控制遥控，任意45°轻松操作，内置隐藏式遥控器放置盒，防止遥控器丢失；</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风量状态显示屏显示，风量可按高、中、低自由选择；</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实时显示室内温度,温度测量范围：0℃－39℃，显示10℃－35℃，温度测量精度：±1℃；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采用快速拆卸式拆卸过滤器，便于日常清洁及维护保养，配合静音风机循环送风；</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采用长寿命、C 波段（波长 253.7nm）无臭氧紫外线循环风抗菌杀毒；</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内置高浓度增量负离子发生器，释放负离子控制空气微粒净化空气；</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手动、定时、临时工作模式方便用户操作。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程控数量（定时消毒）6组。</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模块化设计，方便用户维护保养。</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工作时间自动累计功能。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液晶中文显示屏，远红外线遥控。</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双通道循环出风。</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内置光触媒过滤网（Tio2）抗菌、分解有机物；</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
              </w:rPr>
              <w:t>内置活性炭过滤器过滤尘埃、除臭；</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sectPr>
          <w:pgSz w:w="16838" w:h="11905" w:orient="landscape"/>
          <w:pgMar w:top="1797" w:right="1440" w:bottom="1797" w:left="1440" w:header="851" w:footer="992" w:gutter="0"/>
          <w:pgNumType w:fmt="decimal"/>
          <w:cols w:space="0" w:num="1"/>
          <w:rtlGutter w:val="0"/>
          <w:docGrid w:linePitch="462" w:charSpace="0"/>
        </w:sectPr>
      </w:pPr>
    </w:p>
    <w:tbl>
      <w:tblPr>
        <w:tblStyle w:val="33"/>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1"/>
        <w:gridCol w:w="11754"/>
        <w:gridCol w:w="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立式冷藏陈列柜</w:t>
            </w:r>
          </w:p>
        </w:tc>
        <w:tc>
          <w:tcPr>
            <w:tcW w:w="1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1、采用微电脑控制，温度数字显示，精度达到0.1℃；</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2、温度设定值偏差保护，避免误操作；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3、标配USB存储模块，每月可存≥8000条，保存≥3年（36个月）数据， 超限后数据滚动覆盖；</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4、优秀的制冷布局，箱内温度稳定在2℃~8℃范围内；</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制冷系统：</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1、压缩机采用无氟环保制冷剂，制冷速度快，制冷效率高，耗电量低；</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2、风冷翅片式蒸发器配合独特的循环风冷系统设计，确保冷藏箱内部温度恒定；</w:t>
            </w:r>
          </w:p>
          <w:p>
            <w:pPr>
              <w:keepNext w:val="0"/>
              <w:keepLines w:val="0"/>
              <w:widowControl w:val="0"/>
              <w:suppressLineNumbers w:val="0"/>
              <w:spacing w:before="0" w:beforeAutospacing="0" w:after="0" w:afterAutospacing="0"/>
              <w:ind w:left="0" w:right="0" w:firstLine="240" w:firstLineChars="1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3、高密度保温发泡层采用环保环戊烷发泡剂，保温效果好。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安全保障：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1、具备箱内高低温报警、传感器故障报警、断电报警（支持8小时）、开关门异常报警功能；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2、具备声音蜂鸣和灯光闪烁双重报警方式；</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3、传感器故障安全运行模式（显示传感器和控制传感器互为备份）；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4、密码保护功能，防止随意调整运行参数；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5、断电保护：冷藏箱延时启动功能，避免电网恢复供电时多台设备同时导致断路器保护。</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1、宽电压带，适合187~242V电压下使用；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2、安全门锁设计，确保存放物品安全；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3、大屏幕数字显示便于观察；</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4、标配测试孔，方便用户监测或实验采集数据；</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5、高度可调节搁架设计，根据物品的不同调节高度，提高空间利用率；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6、万向可刹车脚轮设计，方便用户移动设备；</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7、双层中空电加热膜玻璃门，设备运行时无凝露；</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8、内置LED节能照明灯，开关门自动点亮或熄灭，方便观察箱内物品。</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搁架（层）/搁架数量：5/10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制冷方式（风冷/直冷）：风冷</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除霜方式（自动/手动）：自动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噪音级别：≤60dB(A)</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内部材料：喷涂钢板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外部材料：喷涂钢板</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隔热层：聚氨酯环戊烷发泡</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有效容积（L)：≥620</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报警标配：高低温报警，断电报警，温控器故障报警，门开关报警</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断电报警时长（h）：8</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脚轮：标配</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外门/类型：2/电加热玻璃门</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外门锁扣：2</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测试孔(几个/位置/内径）：1/右侧/φ23</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kern w:val="2"/>
                <w:sz w:val="24"/>
                <w:szCs w:val="24"/>
                <w:lang w:val="en-US" w:eastAsia="zh-CN" w:bidi="ar"/>
              </w:rPr>
              <w:t>灯（LED/荧光灯)：LED</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4</w:t>
            </w:r>
          </w:p>
        </w:tc>
      </w:tr>
    </w:tbl>
    <w:p>
      <w:pPr>
        <w:spacing w:line="240" w:lineRule="auto"/>
        <w:rPr>
          <w:rFonts w:hint="eastAsia" w:ascii="宋体" w:hAnsi="宋体" w:eastAsia="宋体" w:cs="Times New Roman"/>
          <w:color w:val="000000" w:themeColor="text1"/>
          <w:sz w:val="24"/>
          <w:szCs w:val="24"/>
          <w:lang w:val="en-US" w:eastAsia="zh-CN"/>
          <w14:textFill>
            <w14:solidFill>
              <w14:schemeClr w14:val="tx1"/>
            </w14:solidFill>
          </w14:textFill>
        </w:rPr>
      </w:pPr>
    </w:p>
    <w:p>
      <w:pPr>
        <w:pStyle w:val="42"/>
        <w:ind w:left="0" w:leftChars="0" w:firstLine="0" w:firstLineChars="0"/>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sectPr>
          <w:pgSz w:w="16838" w:h="11905" w:orient="landscape"/>
          <w:pgMar w:top="1797" w:right="1440" w:bottom="1797" w:left="1440" w:header="851" w:footer="992" w:gutter="0"/>
          <w:pgNumType w:fmt="decimal"/>
          <w:cols w:space="0" w:num="1"/>
          <w:rtlGutter w:val="0"/>
          <w:docGrid w:linePitch="462" w:charSpace="0"/>
        </w:sectPr>
      </w:pPr>
    </w:p>
    <w:p>
      <w:pPr>
        <w:pStyle w:val="4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jc w:val="left"/>
        <w:textAlignment w:val="baseline"/>
        <w:outlineLvl w:val="2"/>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1270" w:name="_Toc31528"/>
      <w:bookmarkStart w:id="1271" w:name="_Toc24215"/>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i w:val="0"/>
          <w:caps w:val="0"/>
          <w:color w:val="000000" w:themeColor="text1"/>
          <w:spacing w:val="0"/>
          <w:w w:val="100"/>
          <w:kern w:val="0"/>
          <w:sz w:val="28"/>
          <w:szCs w:val="28"/>
          <w:highlight w:val="none"/>
          <w:lang w:val="en-US" w:eastAsia="zh-CN" w:bidi="ar-SA"/>
          <w14:textFill>
            <w14:solidFill>
              <w14:schemeClr w14:val="tx1"/>
            </w14:solidFill>
          </w14:textFill>
        </w:rPr>
        <w:t>项目要求：</w:t>
      </w:r>
      <w:bookmarkEnd w:id="1270"/>
      <w:bookmarkEnd w:id="1271"/>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（一）所招产品的质量要求</w:t>
      </w:r>
    </w:p>
    <w:p>
      <w:pPr>
        <w:pStyle w:val="3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val="0"/>
          <w:i w:val="0"/>
          <w:caps w:val="0"/>
          <w:color w:val="000000" w:themeColor="text1"/>
          <w:spacing w:val="0"/>
          <w:w w:val="100"/>
          <w:kern w:val="2"/>
          <w:sz w:val="24"/>
          <w:szCs w:val="24"/>
          <w:highlight w:val="none"/>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4"/>
          <w:szCs w:val="24"/>
          <w:highlight w:val="none"/>
          <w:lang w:val="en-US" w:eastAsia="zh-CN" w:bidi="ar-SA"/>
          <w14:textFill>
            <w14:solidFill>
              <w14:schemeClr w14:val="tx1"/>
            </w14:solidFill>
          </w14:textFill>
        </w:rPr>
        <w:t>（1）本项目技术参数均为公共参数，无指向性，投标供应商认为该产品指向某一品牌、某一型号，那么该参数均为参考参数，可以根据技术要求及商务要求自行去选择产品品牌和型号。</w:t>
      </w:r>
    </w:p>
    <w:p>
      <w:pPr>
        <w:pStyle w:val="3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i w:val="0"/>
          <w:caps w:val="0"/>
          <w:color w:val="000000" w:themeColor="text1"/>
          <w:spacing w:val="0"/>
          <w:w w:val="100"/>
          <w:kern w:val="2"/>
          <w:sz w:val="24"/>
          <w:szCs w:val="24"/>
          <w:highlight w:val="none"/>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4"/>
          <w:szCs w:val="24"/>
          <w:highlight w:val="none"/>
          <w:lang w:val="en-US" w:eastAsia="zh-CN" w:bidi="ar-SA"/>
          <w14:textFill>
            <w14:solidFill>
              <w14:schemeClr w14:val="tx1"/>
            </w14:solidFill>
          </w14:textFill>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r>
        <w:rPr>
          <w:rFonts w:hint="eastAsia" w:ascii="宋体" w:hAnsi="宋体" w:cs="宋体"/>
          <w:b/>
          <w:bCs/>
          <w:i w:val="0"/>
          <w:caps w:val="0"/>
          <w:color w:val="000000" w:themeColor="text1"/>
          <w:spacing w:val="0"/>
          <w:w w:val="100"/>
          <w:kern w:val="2"/>
          <w:sz w:val="24"/>
          <w:szCs w:val="24"/>
          <w:highlight w:val="none"/>
          <w:lang w:val="en-US" w:eastAsia="zh-CN" w:bidi="ar-SA"/>
          <w14:textFill>
            <w14:solidFill>
              <w14:schemeClr w14:val="tx1"/>
            </w14:solidFill>
          </w14:textFill>
        </w:rPr>
        <w:t>对于技术规格中标注为</w:t>
      </w:r>
      <w:r>
        <w:rPr>
          <w:rFonts w:hint="eastAsia" w:ascii="宋体" w:hAnsi="宋体" w:eastAsia="宋体" w:cs="宋体"/>
          <w:b/>
          <w:bCs/>
          <w:i w:val="0"/>
          <w:caps w:val="0"/>
          <w:color w:val="000000" w:themeColor="text1"/>
          <w:spacing w:val="0"/>
          <w:w w:val="100"/>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kern w:val="2"/>
          <w:sz w:val="24"/>
          <w:szCs w:val="24"/>
          <w:lang w:val="en-US" w:eastAsia="zh-CN" w:bidi="ar"/>
        </w:rPr>
        <w:t>★</w:t>
      </w:r>
      <w:r>
        <w:rPr>
          <w:rFonts w:hint="eastAsia" w:ascii="宋体" w:hAnsi="宋体" w:eastAsia="宋体" w:cs="宋体"/>
          <w:b/>
          <w:bCs/>
          <w:i w:val="0"/>
          <w:caps w:val="0"/>
          <w:color w:val="000000" w:themeColor="text1"/>
          <w:spacing w:val="0"/>
          <w:w w:val="100"/>
          <w:kern w:val="2"/>
          <w:sz w:val="24"/>
          <w:szCs w:val="24"/>
          <w:highlight w:val="none"/>
          <w:lang w:val="en-US" w:eastAsia="zh-CN" w:bidi="ar-SA"/>
          <w14:textFill>
            <w14:solidFill>
              <w14:schemeClr w14:val="tx1"/>
            </w14:solidFill>
          </w14:textFill>
        </w:rPr>
        <w:t>”</w:t>
      </w:r>
      <w:r>
        <w:rPr>
          <w:rFonts w:hint="eastAsia" w:ascii="宋体" w:hAnsi="宋体" w:cs="宋体"/>
          <w:b/>
          <w:bCs/>
          <w:i w:val="0"/>
          <w:caps w:val="0"/>
          <w:color w:val="000000" w:themeColor="text1"/>
          <w:spacing w:val="0"/>
          <w:w w:val="100"/>
          <w:kern w:val="2"/>
          <w:sz w:val="24"/>
          <w:szCs w:val="24"/>
          <w:highlight w:val="none"/>
          <w:lang w:val="en-US" w:eastAsia="zh-CN" w:bidi="ar-SA"/>
          <w14:textFill>
            <w14:solidFill>
              <w14:schemeClr w14:val="tx1"/>
            </w14:solidFill>
          </w14:textFill>
        </w:rPr>
        <w:t>的为重要参数</w:t>
      </w:r>
      <w:r>
        <w:rPr>
          <w:rFonts w:hint="eastAsia" w:ascii="宋体" w:hAnsi="宋体" w:eastAsia="宋体" w:cs="宋体"/>
          <w:b/>
          <w:bCs/>
          <w:i w:val="0"/>
          <w:caps w:val="0"/>
          <w:color w:val="000000" w:themeColor="text1"/>
          <w:spacing w:val="0"/>
          <w:w w:val="100"/>
          <w:kern w:val="2"/>
          <w:sz w:val="24"/>
          <w:szCs w:val="24"/>
          <w:highlight w:val="none"/>
          <w:lang w:val="en-US" w:eastAsia="zh-CN" w:bidi="ar-SA"/>
          <w14:textFill>
            <w14:solidFill>
              <w14:schemeClr w14:val="tx1"/>
            </w14:solidFill>
          </w14:textFill>
        </w:rPr>
        <w:t>，投标供应商须在投标文件中按照招标文件技术规格的要求提供技术应答的证明材料，如技术规格中无特殊要求则应提交本条款规定的技术支持资料。对于投标供应商提供的投标文件技术应答未按本条款要求提供投标产品技术支持资料（或证明材料）的，或提供的投标产品技术支持资料（或证明材料）出现负偏离的则以扣分处理。</w:t>
      </w:r>
    </w:p>
    <w:p>
      <w:pPr>
        <w:pStyle w:val="3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（二）项目的交货期和质保期</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1、交货期：</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合同签订后15天内安装并调试完毕</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1" w:firstLineChars="100"/>
        <w:jc w:val="left"/>
        <w:textAlignment w:val="baseline"/>
        <w:outlineLvl w:val="9"/>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质保期：</w:t>
      </w:r>
      <w:r>
        <w:rPr>
          <w:rFonts w:hint="eastAsia" w:ascii="宋体" w:hAnsi="宋体" w:cs="宋体"/>
          <w:b/>
          <w:bCs/>
          <w:color w:val="000000" w:themeColor="text1"/>
          <w:sz w:val="24"/>
          <w:szCs w:val="24"/>
          <w:highlight w:val="none"/>
          <w:lang w:val="en-US" w:eastAsia="zh-CN"/>
          <w14:textFill>
            <w14:solidFill>
              <w14:schemeClr w14:val="tx1"/>
            </w14:solidFill>
          </w14:textFill>
        </w:rPr>
        <w:t>自验收合格之日起二年（设备参数清单里对某一项设备质保期另有规定的，按如下方式计算质保期：质保期不足两年的按两年处理，质保期大于或等于两年的，按参数清理里要求的质保期起计）</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1" w:firstLineChars="100"/>
        <w:jc w:val="left"/>
        <w:textAlignment w:val="baseline"/>
        <w:outlineLvl w:val="9"/>
        <w:rPr>
          <w:rFonts w:hint="default" w:ascii="宋体" w:hAnsi="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3、成交供应商应自成交通知书发出之日起3日内与采购人按照采购文件确定的事项签订政府采购合同。</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（三）付款方式和交货地点</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240" w:firstLineChars="100"/>
        <w:jc w:val="left"/>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w w:val="100"/>
          <w:sz w:val="24"/>
          <w:szCs w:val="24"/>
          <w:highlight w:val="none"/>
          <w:lang w:val="en-US" w:eastAsia="zh-CN"/>
          <w14:textFill>
            <w14:solidFill>
              <w14:schemeClr w14:val="tx1"/>
            </w14:solidFill>
          </w14:textFill>
        </w:rPr>
        <w:t>1、</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付款方式：</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2025-2026年度分批次支付完毕（具体</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签订合同时约定</w:t>
      </w:r>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w:t>
      </w:r>
      <w:r>
        <w:rPr>
          <w:rFonts w:hint="eastAsia" w:ascii="宋体" w:hAnsi="宋体" w:eastAsia="宋体" w:cs="宋体"/>
          <w:b/>
          <w:bCs/>
          <w:i w:val="0"/>
          <w:caps w:val="0"/>
          <w:color w:val="000000" w:themeColor="text1"/>
          <w:spacing w:val="0"/>
          <w:w w:val="100"/>
          <w:sz w:val="24"/>
          <w:szCs w:val="24"/>
          <w:highlight w:val="none"/>
          <w:u w:val="none"/>
          <w:lang w:val="en-US" w:eastAsia="zh-CN"/>
          <w14:textFill>
            <w14:solidFill>
              <w14:schemeClr w14:val="tx1"/>
            </w14:solidFill>
          </w14:textFill>
        </w:rPr>
        <w:t>。</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2、</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交货地点：采购人指定地点。</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default"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3、</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合同履行期限：自合同生效之日起至合同全部权利义务履行完毕之日止。</w:t>
      </w:r>
    </w:p>
    <w:bookmarkEnd w:id="1269"/>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2"/>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bookmarkStart w:id="1272" w:name="_Toc9995"/>
      <w:bookmarkStart w:id="1273" w:name="_Toc21030"/>
      <w:bookmarkStart w:id="1274" w:name="_Toc7176"/>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（四）售后服务</w:t>
      </w:r>
      <w:bookmarkEnd w:id="1272"/>
      <w:bookmarkEnd w:id="1273"/>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1.卖方须到买方提供的现场安装、调试设备，进行操作试验，直至运行正常，为仪器操作人员提供技术服务、技术支持及咨询服务，在任何时候、任何地点均可享受到终生的咨询服务。维修响应 7x24 小时响应，在质保期内出现故障中标单位在接到故障报修电话后，</w:t>
      </w: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1</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小时故障响应，12小时之内工程师修复，疆内常备配件库房。在保修期内不定期免费进行状态检测。</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2.为保证设备正常运行，供应商须在</w:t>
      </w: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省</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内有正规完善的维修服务机构，在</w:t>
      </w: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省</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内具有备件库，备件保证5年以上供应期。维修人员应是供应商派出的具有一定专业技术水平的人员，具有供应商的法定代表人授权委托，并提供联系人、联系电话及维修点详细地址。</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（须提供房屋租赁合同或合作协议）</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3.在质保期内，派遣维修或技术人员巡访设备使用单位，协助并指导运维人员进行日常维护保养工作，并与直接使用人交流设备使用相关事宜。</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4</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.售后人员：由</w:t>
      </w: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原厂</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高级工程师负责售后问题。</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5.</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厂家在疆内常驻销售经理和售后维修等人员，提供联系方式、身份信息、社保证明等证明材料。</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6.</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供应商必须积极配合采购人共同参与项目验收。主动向采购方有关技术人员在使用现场提供全套技术指导及培训。</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7</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 xml:space="preserve">.供应商应派相关技术人员到现场免费进行指导安装，解决安装过程中的相关问题。  </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8.</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售后服务承诺：供应商应对质保期内及其以后的服务做出承诺，并具有切实可行的措施,不能及时兑现服务承诺内容而影响使用方使用，供应商应当给予补偿。</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如收到服务需求不合要求情况，可双方协商决定，但决定权在购买方，购买方有权利退回所购买产品。</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人员培训：针对本院实际情况制定详细合理的培训计划，卖方应提供技术培训，保证使用人员正常操作设备的各种功能（包含但不限于厂家工程师驻场培训、网络在线培训、内地交流培训）。</w:t>
      </w:r>
      <w:r>
        <w:rPr>
          <w:rFonts w:hint="eastAsia" w:ascii="宋体" w:hAnsi="宋体" w:eastAsia="宋体" w:cs="宋体"/>
          <w:color w:val="000000" w:themeColor="text1"/>
          <w:sz w:val="24"/>
          <w:szCs w:val="24"/>
          <w:highlight w:val="none"/>
          <w:lang w:val="en-US" w:eastAsia="zh-CN"/>
          <w14:textFill>
            <w14:solidFill>
              <w14:schemeClr w14:val="tx1"/>
            </w14:solidFill>
          </w14:textFill>
        </w:rPr>
        <w:t>在质保期内为采购人提供至少三人的培训服务，确保用户方至少两名操作人员可熟悉使用，供应商应保证在采购人指定交货地点对设备操作人员提供不少于 1 天的免费培训。培训配备受过专业培训的售后服务人员、技术支持人员及咨询服务、在任何时候、任何地点均可享受到终生的咨询服务。供应商投标时应提供详细的培训方案。培训教员的差旅费、食宿费、培训教材等费用，应计入投标报价， 随时排除所有设备故障进行明确的计划阐述，并对所有设备保修期过后维保进行阐述。</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2"/>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bookmarkStart w:id="1275" w:name="_Toc14445"/>
      <w:bookmarkStart w:id="1276" w:name="_Toc742"/>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（五）实施方案及培训方案</w:t>
      </w:r>
      <w:bookmarkEnd w:id="1275"/>
      <w:bookmarkEnd w:id="1276"/>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1.仪器的安装、调试：由厂家专职工程师负责，到医院现场安装、调试。</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供应商应保证供货设备在项目实施过程中</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实施方案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（1）项目详细工作内容，说明项目的工作范围、具体内容和技术要求等，这一部分内容能量化的指标尽可能量化；</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（2）项目实施所采取的方法手段；</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（3）预期效果，说明项目完成时所达到的效果；说明承担单位、协作单位和各自分工的主要内容。</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设备管理及维护</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（1）设备管理方案；（2）设备维护及保养方案。</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进度安排：</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项目工作进度安排，详细说明各阶段工作安排的时间和项目工作内容完成的时间，尽力让项目实施的时间进度与方案所计划的时间吻合；</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供货安装</w:t>
      </w:r>
      <w:r>
        <w:rPr>
          <w:rFonts w:hint="eastAsia" w:ascii="宋体" w:hAnsi="宋体" w:eastAsia="宋体" w:cs="宋体"/>
          <w:color w:val="000000" w:themeColor="text1"/>
          <w:sz w:val="24"/>
          <w:szCs w:val="24"/>
          <w:highlight w:val="none"/>
          <w:lang w:val="en-US" w:eastAsia="zh-CN"/>
          <w14:textFill>
            <w14:solidFill>
              <w14:schemeClr w14:val="tx1"/>
            </w14:solidFill>
          </w14:textFill>
        </w:rPr>
        <w:t>：供货的流程、安装流程应在方案中写明。（注：可提供流程图。）</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项目安全措施</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（1）方针、目标；（2）安全管理机构；（3）安全措施；（4）安全教育等。</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应急处理</w:t>
      </w:r>
      <w:r>
        <w:rPr>
          <w:rFonts w:hint="eastAsia" w:ascii="宋体" w:hAnsi="宋体" w:eastAsia="宋体" w:cs="宋体"/>
          <w:color w:val="000000" w:themeColor="text1"/>
          <w:sz w:val="24"/>
          <w:szCs w:val="24"/>
          <w:highlight w:val="none"/>
          <w:lang w:val="en-US" w:eastAsia="zh-CN"/>
          <w14:textFill>
            <w14:solidFill>
              <w14:schemeClr w14:val="tx1"/>
            </w14:solidFill>
          </w14:textFill>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包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2"/>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bookmarkStart w:id="1277" w:name="_Toc7872"/>
      <w:bookmarkStart w:id="1278" w:name="_Toc21768"/>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（六）验收</w:t>
      </w:r>
      <w:bookmarkEnd w:id="1277"/>
      <w:bookmarkEnd w:id="1278"/>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安装调试后由甲方验货，并对货物进行清点验收，共同签字确认。如验收不合格，一切损失由乙方自行承担。</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验收内容：采购清单内设备、装备数量进行验收。</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标准：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2"/>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bookmarkStart w:id="1279" w:name="_Toc25886"/>
      <w:bookmarkStart w:id="1280" w:name="_Toc23109"/>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（七）其他要求</w:t>
      </w:r>
      <w:bookmarkEnd w:id="1279"/>
      <w:bookmarkEnd w:id="1280"/>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1" w:firstLineChars="100"/>
        <w:jc w:val="left"/>
        <w:textAlignment w:val="baseline"/>
        <w:outlineLvl w:val="9"/>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 xml:space="preserve">1、 供应商负责选择适合设备性质的包装和运输方式，确保设备安全无损地运抵甲方指定的现场,设备的运费、保险费、包装费、验收费、装卸费、税费等一切费用，均由供应商承担。确定与合同规定相符后，供应商负责对设备进行安装调试，最终由甲方设备使用科室与设备科签发相关的安装验收合格报告。 </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1" w:firstLineChars="100"/>
        <w:jc w:val="left"/>
        <w:textAlignment w:val="baseline"/>
        <w:outlineLvl w:val="9"/>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 xml:space="preserve">2、甲乙双方对设备进行开箱清点检查，并在包装及外观完好的情况下收货，如果发现数量不足或货物外观破损等问题，供应商应在 2 天内，按照甲方的要求，采取补足、更换或退货等处理措施，并承担由此发生的一切损失和费用。 </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1" w:firstLineChars="100"/>
        <w:jc w:val="left"/>
        <w:textAlignment w:val="baseline"/>
        <w:outlineLvl w:val="9"/>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3、 供应商所售设备均应按照国家标准和行业标准进行制造的合格产品，供应商已知悉上述标准，并确认采用该标准的设备能满足甲方的要求。甲、乙双方在符合国家相关技术标准的基础上进行验收。</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1" w:firstLineChars="100"/>
        <w:jc w:val="left"/>
        <w:textAlignment w:val="baseline"/>
        <w:outlineLvl w:val="9"/>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 xml:space="preserve">4、 供应商应在甲方收到货物后的 3 个工作日内对设备进行安装调试，经甲方确保设备能够正常使用后，符合验收标准的视为验收合格。验收标准：如招投标文件中有约定按照招投标文件中的约定，未予具体约定的，以国家或行业标准进行验收。安装调试完成符合验收条件时，由供应商向甲方提出书面验收要求，甲乙双方对设备、已完成培训的人员进行验收、考核，达到验收标准的，甲乙双方在验收报告签字盖章，验收完成。必要时甲方可引入第三方或者委托专业机构进行验收，甲乙双方对该验收结果予以认可。 </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1" w:firstLineChars="100"/>
        <w:jc w:val="left"/>
        <w:textAlignment w:val="baseline"/>
        <w:outlineLvl w:val="9"/>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5、 供应商派工程师至甲方的使用科室对相关人员进行操作培训，直到参加培训人员具备独立操作能力并能排除使用中的一般性障碍，且培训结果至甲方满意为止。</w:t>
      </w:r>
    </w:p>
    <w:p>
      <w:pPr>
        <w:pStyle w:val="4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p>
    <w:p>
      <w:pPr>
        <w:widowControl/>
        <w:spacing w:line="440" w:lineRule="exact"/>
        <w:jc w:val="center"/>
        <w:outlineLvl w:val="0"/>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p>
    <w:p>
      <w:pPr>
        <w:widowControl/>
        <w:spacing w:line="440" w:lineRule="exact"/>
        <w:jc w:val="center"/>
        <w:outlineLvl w:val="0"/>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p>
    <w:p>
      <w:pPr>
        <w:pStyle w:val="4"/>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p>
    <w:p>
      <w:pPr>
        <w:pStyle w:val="5"/>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p>
    <w:p>
      <w:pPr>
        <w:pStyle w:val="6"/>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p>
    <w:p>
      <w:pPr>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p>
    <w:p>
      <w:pPr>
        <w:pStyle w:val="4"/>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p>
    <w:p>
      <w:pPr>
        <w:pStyle w:val="5"/>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p>
    <w:p>
      <w:pPr>
        <w:pStyle w:val="6"/>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p>
    <w:p>
      <w:pPr>
        <w:widowControl/>
        <w:spacing w:line="440" w:lineRule="exact"/>
        <w:jc w:val="center"/>
        <w:outlineLvl w:val="0"/>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t>第6章  评标方法和标准</w:t>
      </w:r>
      <w:bookmarkEnd w:id="1274"/>
    </w:p>
    <w:p>
      <w:pPr>
        <w:pStyle w:val="14"/>
        <w:keepNext w:val="0"/>
        <w:keepLines w:val="0"/>
        <w:pageBreakBefore w:val="0"/>
        <w:kinsoku/>
        <w:wordWrap/>
        <w:overflowPunct/>
        <w:topLinePunct w:val="0"/>
        <w:autoSpaceDE/>
        <w:autoSpaceDN/>
        <w:bidi w:val="0"/>
        <w:adjustRightInd/>
        <w:spacing w:before="0" w:line="380" w:lineRule="exact"/>
        <w:ind w:firstLine="540" w:firstLineChars="22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本项目将按照招标文件第一章供应商须知中“五 开标及评标”、“六 确定中标”及本章的规定评标。</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1.投标无效的情形：</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（1）单位负责人为同一人或者存在直接控股、管理关系的不同供应商，其相关投标将被认定为投标无效。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（2）供应商报价超过招标文件规定的预算金额或者分项、分包最高限价的，其投标将被认定为投标无效。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）供应商应当对所投分包投标文件中“</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内容”所列的所有内容进行投标，如仅响应某一包中的部分内容，其该包投标将被认定为投标无效。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）供应商未按本须知第12.1和12.3条规定提交投标保证金的，其投标资格将被认定为投标无效。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）所有投标均以人民币报价。供应商的投标报价应遵守《中华人民共和国价格法》。同时，根据《中华人民共和国政府采购法》第二条的规定，为保证公平竞争，如有</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主体部分的赠与行为，其投标将被认定为投标无效。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）供应商所报的各分项投标单价在合同履行过程中是固定不变的，不得以任何理由予以变更。任何包含价格调整要求的投标，其投标将被认定为投标无效。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）投标应在供应商须知资料表中规定时间内保持有效。投标有效期不满足要求的投标，其投标将被认定为投标无效。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）采购人或采购代理机构将在开标前1个工作日至投标截止后1小时的期间内查询供应商的信用记录。供应商存在不良信用记录的，其投标将被认定为投标无效。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widowControl/>
        <w:kinsoku/>
        <w:wordWrap/>
        <w:overflowPunct/>
        <w:topLinePunct w:val="0"/>
        <w:autoSpaceDE/>
        <w:autoSpaceDN/>
        <w:bidi w:val="0"/>
        <w:adjustRightInd/>
        <w:spacing w:line="380" w:lineRule="exact"/>
        <w:jc w:val="left"/>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default" w:ascii="宋体" w:hAnsi="宋体" w:eastAsia="宋体" w:cs="宋体"/>
          <w:b/>
          <w:bCs/>
          <w:color w:val="000000" w:themeColor="text1"/>
          <w:sz w:val="24"/>
          <w:highlight w:val="none"/>
          <w14:textFill>
            <w14:solidFill>
              <w14:schemeClr w14:val="tx1"/>
            </w14:solidFill>
          </w14:textFill>
        </w:rPr>
        <w:t>本项目为非专门面向中小企业（含中型、小型、微型企业）采购项目，根据《政府采购促进中小企业发展管理办法》（财库[2020]46号）的规定，评标时将给予此类企业进行价格</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10</w:t>
      </w:r>
      <w:r>
        <w:rPr>
          <w:rFonts w:hint="default" w:ascii="宋体" w:hAnsi="宋体" w:eastAsia="宋体" w:cs="宋体"/>
          <w:b/>
          <w:bCs/>
          <w:color w:val="000000" w:themeColor="text1"/>
          <w:sz w:val="24"/>
          <w:highlight w:val="none"/>
          <w:u w:val="single"/>
          <w14:textFill>
            <w14:solidFill>
              <w14:schemeClr w14:val="tx1"/>
            </w14:solidFill>
          </w14:textFill>
        </w:rPr>
        <w:t>%</w:t>
      </w:r>
      <w:r>
        <w:rPr>
          <w:rFonts w:hint="default" w:ascii="宋体" w:hAnsi="宋体" w:eastAsia="宋体" w:cs="宋体"/>
          <w:b/>
          <w:bCs/>
          <w:color w:val="000000" w:themeColor="text1"/>
          <w:sz w:val="24"/>
          <w:highlight w:val="none"/>
          <w14:textFill>
            <w14:solidFill>
              <w14:schemeClr w14:val="tx1"/>
            </w14:solidFill>
          </w14:textFill>
        </w:rPr>
        <w:t>的优惠，用优惠后的价格参与评审</w:t>
      </w:r>
      <w:r>
        <w:rPr>
          <w:rFonts w:hint="eastAsia" w:ascii="宋体" w:hAnsi="宋体" w:eastAsia="宋体" w:cs="宋体"/>
          <w:b/>
          <w:bCs/>
          <w:color w:val="000000" w:themeColor="text1"/>
          <w:sz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8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3.联合协议中约定</w:t>
      </w:r>
      <w:r>
        <w:rPr>
          <w:rFonts w:hint="eastAsia" w:ascii="宋体" w:hAnsi="宋体" w:eastAsia="宋体" w:cs="宋体"/>
          <w:color w:val="000000" w:themeColor="text1"/>
          <w:sz w:val="24"/>
          <w:highlight w:val="none"/>
          <w14:textFill>
            <w14:solidFill>
              <w14:schemeClr w14:val="tx1"/>
            </w14:solidFill>
          </w14:textFill>
        </w:rPr>
        <w:t>，小型、微型企业和监狱企业的协议合同金额占到联合体协议合同总金额30%以上的，可给予联合体</w:t>
      </w:r>
      <w:r>
        <w:rPr>
          <w:rFonts w:hint="eastAsia" w:ascii="宋体" w:hAnsi="宋体" w:eastAsia="宋体" w:cs="宋体"/>
          <w:color w:val="000000" w:themeColor="text1"/>
          <w:sz w:val="24"/>
          <w:highlight w:val="none"/>
          <w:u w:val="single"/>
          <w14:textFill>
            <w14:solidFill>
              <w14:schemeClr w14:val="tx1"/>
            </w14:solidFill>
          </w14:textFill>
        </w:rPr>
        <w:t xml:space="preserve"> 2%-3%</w:t>
      </w:r>
      <w:r>
        <w:rPr>
          <w:rFonts w:hint="eastAsia" w:ascii="宋体" w:hAnsi="宋体" w:eastAsia="宋体" w:cs="宋体"/>
          <w:color w:val="000000" w:themeColor="text1"/>
          <w:sz w:val="24"/>
          <w:highlight w:val="none"/>
          <w14:textFill>
            <w14:solidFill>
              <w14:schemeClr w14:val="tx1"/>
            </w14:solidFill>
          </w14:textFill>
        </w:rPr>
        <w:t>的价格扣除。</w:t>
      </w:r>
      <w:r>
        <w:rPr>
          <w:rFonts w:hint="eastAsia" w:ascii="宋体" w:hAnsi="宋体" w:eastAsia="宋体" w:cs="宋体"/>
          <w:b/>
          <w:bCs/>
          <w:color w:val="000000" w:themeColor="text1"/>
          <w:sz w:val="24"/>
          <w:highlight w:val="none"/>
          <w14:textFill>
            <w14:solidFill>
              <w14:schemeClr w14:val="tx1"/>
            </w14:solidFill>
          </w14:textFill>
        </w:rPr>
        <w:t>（本项目不适用）</w:t>
      </w:r>
    </w:p>
    <w:p>
      <w:pPr>
        <w:keepNext w:val="0"/>
        <w:keepLines w:val="0"/>
        <w:pageBreakBefore w:val="0"/>
        <w:widowControl/>
        <w:kinsoku/>
        <w:wordWrap/>
        <w:overflowPunct/>
        <w:topLinePunct w:val="0"/>
        <w:autoSpaceDE/>
        <w:autoSpaceDN/>
        <w:bidi w:val="0"/>
        <w:adjustRightInd/>
        <w:spacing w:line="38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联合体各方均为小型、微型企业和监狱企业的，联合体视同为小型、微型企业和监狱企业。</w:t>
      </w:r>
    </w:p>
    <w:p>
      <w:pPr>
        <w:pStyle w:val="14"/>
        <w:keepNext w:val="0"/>
        <w:keepLines w:val="0"/>
        <w:pageBreakBefore w:val="0"/>
        <w:kinsoku/>
        <w:wordWrap/>
        <w:overflowPunct/>
        <w:topLinePunct w:val="0"/>
        <w:autoSpaceDE/>
        <w:autoSpaceDN/>
        <w:bidi w:val="0"/>
        <w:adjustRightInd/>
        <w:spacing w:before="0" w:line="38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4.供应商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为提供服务需求在投标中伴随投标的产品如被列入财政部与国家主管部门颁发的节能产品目录或环境标志产品目录或无线局域网产品目录，应提供相关证明，在评标时予以优先采购，具体优惠措施为：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14"/>
        <w:keepNext w:val="0"/>
        <w:keepLines w:val="0"/>
        <w:pageBreakBefore w:val="0"/>
        <w:kinsoku/>
        <w:wordWrap/>
        <w:overflowPunct/>
        <w:topLinePunct w:val="0"/>
        <w:autoSpaceDE/>
        <w:autoSpaceDN/>
        <w:bidi w:val="0"/>
        <w:adjustRightInd/>
        <w:spacing w:before="0" w:line="38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5.对创新产品或创新性企业的优惠措施为：  </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6.开标：</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供应商按照须知资料表中规定的开标时间和地点，在规定时间内上传投标文件。</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到投标截止时间，对供应商上传的投标文件进行解密，解密时长为30分钟。供应商须在规定时间内使用CA锁在政采云平台解密，解密失败或未在规定时间内解密，将无法参加下一阶段的</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eastAsia="zh-CN"/>
          <w14:textFill>
            <w14:solidFill>
              <w14:schemeClr w14:val="tx1"/>
            </w14:solidFill>
          </w14:textFill>
        </w:rPr>
        <w:t xml:space="preserve">，将被认定为无效投标。请供应商提前调试好CA锁，确定在操作时能正常使用。  </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在开标记录时，代理机构开启签字时段，须供应商使用CA锁在政采云平台进行签字确认报价。</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eastAsia="zh-CN"/>
          <w14:textFill>
            <w14:solidFill>
              <w14:schemeClr w14:val="tx1"/>
            </w14:solidFill>
          </w14:textFill>
        </w:rPr>
        <w:t>采购人登录政采云平台对供应商的资格证明材料进行审查。</w:t>
      </w:r>
    </w:p>
    <w:p>
      <w:pPr>
        <w:pStyle w:val="26"/>
        <w:keepNext w:val="0"/>
        <w:keepLines w:val="0"/>
        <w:pageBreakBefore w:val="0"/>
        <w:kinsoku/>
        <w:wordWrap/>
        <w:overflowPunct/>
        <w:topLinePunct w:val="0"/>
        <w:autoSpaceDE/>
        <w:autoSpaceDN/>
        <w:bidi w:val="0"/>
        <w:adjustRightInd/>
        <w:spacing w:line="380" w:lineRule="exact"/>
        <w:rPr>
          <w:rFonts w:hint="eastAsia" w:ascii="宋体" w:hAnsi="宋体" w:eastAsia="宋体" w:cs="宋体"/>
          <w:b/>
          <w:bCs/>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highlight w:val="none"/>
          <w:lang w:val="en-US" w:eastAsia="zh-CN"/>
          <w14:textFill>
            <w14:solidFill>
              <w14:schemeClr w14:val="tx1"/>
            </w14:solidFill>
          </w14:textFill>
        </w:rPr>
        <w:t>7.评标：</w:t>
      </w:r>
    </w:p>
    <w:p>
      <w:pPr>
        <w:pStyle w:val="26"/>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（1）在</w:t>
      </w:r>
      <w:r>
        <w:rPr>
          <w:rFonts w:hint="eastAsia" w:ascii="宋体" w:hAnsi="宋体" w:eastAsia="宋体" w:cs="宋体"/>
          <w:b/>
          <w:bCs/>
          <w:color w:val="000000" w:themeColor="text1"/>
          <w:sz w:val="24"/>
          <w:highlight w:val="none"/>
          <w:lang w:eastAsia="zh-CN"/>
          <w14:textFill>
            <w14:solidFill>
              <w14:schemeClr w14:val="tx1"/>
            </w14:solidFill>
          </w14:textFill>
        </w:rPr>
        <w:t>政采云平台上随机抽取</w:t>
      </w:r>
      <w:r>
        <w:rPr>
          <w:rFonts w:hint="eastAsia" w:ascii="宋体" w:hAnsi="宋体"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名</w:t>
      </w:r>
      <w:r>
        <w:rPr>
          <w:rFonts w:hint="eastAsia" w:ascii="宋体" w:hAnsi="宋体" w:eastAsia="宋体" w:cs="宋体"/>
          <w:b/>
          <w:bCs/>
          <w:color w:val="000000" w:themeColor="text1"/>
          <w:sz w:val="24"/>
          <w:highlight w:val="none"/>
          <w:lang w:eastAsia="zh-CN"/>
          <w14:textFill>
            <w14:solidFill>
              <w14:schemeClr w14:val="tx1"/>
            </w14:solidFill>
          </w14:textFill>
        </w:rPr>
        <w:t>专家</w:t>
      </w:r>
      <w:r>
        <w:rPr>
          <w:rFonts w:hint="eastAsia" w:ascii="宋体" w:hAnsi="宋体" w:eastAsia="宋体" w:cs="宋体"/>
          <w:color w:val="000000" w:themeColor="text1"/>
          <w:sz w:val="24"/>
          <w:highlight w:val="none"/>
          <w14:textFill>
            <w14:solidFill>
              <w14:schemeClr w14:val="tx1"/>
            </w14:solidFill>
          </w14:textFill>
        </w:rPr>
        <w:t>负责评标工作。</w:t>
      </w:r>
    </w:p>
    <w:p>
      <w:pPr>
        <w:pStyle w:val="26"/>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（2）评标前，工作人员收取所有参会人员的手机，主持人宣读评标纪律。</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对采购单位的纪律要求：采购单位不得泄露招投标活动中应当保密的情况和资料，不得与供应商串通损害国家利益、社会公共利益或者他人合法权益</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对与开标大会活动有关的工作人员的纪律要求：与开标大会活动有关的工作人员不得收受他人的财物或者其他好处，不得向他人透露对中标候选人的推荐情况以及评标有关的其他情况。</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对评标专家的评标纪律及注意事项：</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①与本次评标工作无关的人员不得进入评标现场；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②在评标过程中评标委员会以外人员不得干预或影响正常评标工作，不得明示或暗示其倾向性、引导性言论；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③评标委员会成员要严格遵守政府采购法、政府采购法实施条例、政府采购货物和服务招标投标管理办法及评标专家管理办法，要求公正、公平的参与评标工作；</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⑦评标专家与供应商有下列利害关系之一的人员，应当回避</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参加采购活动前3年内与供应商存在劳动关系；</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参加采购活动前3年内担任供应商的董事、监事；</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参加采购活动前3年内是供应商的控股股东或者实际控制人；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与供应商的法定代表人或者负责人有夫妻、直系血亲、三代以内旁系血亲或者近姻亲关系。</w:t>
      </w:r>
    </w:p>
    <w:p>
      <w:pPr>
        <w:pStyle w:val="26"/>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（3）评标委员会应当按照招标文件中规定的评标方法和标准，对所有投标文件进行资格性审查，再对符合资格要求的供应商的投标文件进行符合性审查，以确定其是否满足招标文件的实质性要求。</w:t>
      </w:r>
    </w:p>
    <w:p>
      <w:pPr>
        <w:pStyle w:val="26"/>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Style w:val="26"/>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pPr>
        <w:pStyle w:val="26"/>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（6）评标委员会成员对需要共同认定的事项存在争议的，应当按照少数服从多数的原则作出结论。持不同意见的评标委员会成员应当在评标报告上签署不同意见及理由，否则视为同意评标报告。</w:t>
      </w:r>
    </w:p>
    <w:p>
      <w:pPr>
        <w:pStyle w:val="26"/>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注：现场所有参会人员均要对开标内容进行保密。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bCs/>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highlight w:val="none"/>
          <w:lang w:val="en-US" w:eastAsia="zh-CN"/>
          <w14:textFill>
            <w14:solidFill>
              <w14:schemeClr w14:val="tx1"/>
            </w14:solidFill>
          </w14:textFill>
        </w:rPr>
        <w:t>8.答疑澄清：</w:t>
      </w:r>
    </w:p>
    <w:p>
      <w:pPr>
        <w:pStyle w:val="26"/>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（1）评标委员会对于投标文件中含义不明确、同类问题表述不一致或者有明显文字和计算错误的内容，要求供应商以书面形式现场作出必要的澄清、说明或者补正。</w:t>
      </w:r>
    </w:p>
    <w:p>
      <w:pPr>
        <w:pStyle w:val="26"/>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（2）供应商的澄清、说明或者补正应当采用书面形式，并加盖公章，或者由法定代表人或其授权的代表签字。供应商的澄清、说明或者补正不得超出投标文件的范围或者改变投标文件的实质性内容。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bCs/>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highlight w:val="none"/>
          <w:lang w:val="en-US" w:eastAsia="zh-CN"/>
          <w14:textFill>
            <w14:solidFill>
              <w14:schemeClr w14:val="tx1"/>
            </w14:solidFill>
          </w14:textFill>
        </w:rPr>
        <w:t>9.定标：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（1）采购代理机构应当在评标结束后2个工作日内将评标报告送采购人。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（2）采购人应当自收到评标报告之日起</w:t>
      </w:r>
      <w:r>
        <w:rPr>
          <w:rFonts w:hint="eastAsia" w:ascii="宋体" w:hAnsi="宋体" w:cs="宋体"/>
          <w:b w:val="0"/>
          <w:i w:val="0"/>
          <w:caps w:val="0"/>
          <w:color w:val="000000" w:themeColor="text1"/>
          <w:spacing w:val="0"/>
          <w:w w:val="100"/>
          <w:sz w:val="24"/>
          <w:highlight w:val="none"/>
          <w:lang w:val="en-US" w:eastAsia="zh-CN"/>
          <w14:textFill>
            <w14:solidFill>
              <w14:schemeClr w14:val="tx1"/>
            </w14:solidFill>
          </w14:textFill>
        </w:rPr>
        <w:t>5</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个工作日内，在评标报告确定的中标候选人名单中按顺序确定</w:t>
      </w:r>
      <w:r>
        <w:rPr>
          <w:rFonts w:hint="eastAsia" w:ascii="宋体" w:hAnsi="宋体" w:cs="宋体"/>
          <w:b w:val="0"/>
          <w:i w:val="0"/>
          <w:caps w:val="0"/>
          <w:color w:val="000000" w:themeColor="text1"/>
          <w:spacing w:val="0"/>
          <w:w w:val="100"/>
          <w:sz w:val="24"/>
          <w:highlight w:val="none"/>
          <w:lang w:val="en-US" w:eastAsia="zh-CN"/>
          <w14:textFill>
            <w14:solidFill>
              <w14:schemeClr w14:val="tx1"/>
            </w14:solidFill>
          </w14:textFill>
        </w:rPr>
        <w:t>供应商</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。中标候选人并列的，由采购人按照招标文件规定的方式确定</w:t>
      </w:r>
      <w:r>
        <w:rPr>
          <w:rFonts w:hint="eastAsia" w:ascii="宋体" w:hAnsi="宋体" w:cs="宋体"/>
          <w:b w:val="0"/>
          <w:i w:val="0"/>
          <w:caps w:val="0"/>
          <w:color w:val="000000" w:themeColor="text1"/>
          <w:spacing w:val="0"/>
          <w:w w:val="100"/>
          <w:sz w:val="24"/>
          <w:highlight w:val="none"/>
          <w:lang w:val="en-US" w:eastAsia="zh-CN"/>
          <w14:textFill>
            <w14:solidFill>
              <w14:schemeClr w14:val="tx1"/>
            </w14:solidFill>
          </w14:textFill>
        </w:rPr>
        <w:t>供应商</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（3）采购人在收到评标报告5个工作日内未按评标报告推荐的中标候选人顺序确定</w:t>
      </w:r>
      <w:r>
        <w:rPr>
          <w:rFonts w:hint="eastAsia" w:ascii="宋体" w:hAnsi="宋体" w:cs="宋体"/>
          <w:b w:val="0"/>
          <w:i w:val="0"/>
          <w:caps w:val="0"/>
          <w:color w:val="000000" w:themeColor="text1"/>
          <w:spacing w:val="0"/>
          <w:w w:val="100"/>
          <w:sz w:val="24"/>
          <w:highlight w:val="none"/>
          <w:lang w:val="en-US" w:eastAsia="zh-CN"/>
          <w14:textFill>
            <w14:solidFill>
              <w14:schemeClr w14:val="tx1"/>
            </w14:solidFill>
          </w14:textFill>
        </w:rPr>
        <w:t>供应商</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，又不能说明合法理由的，视同按评标报告推荐的顺序确定排名第一的中标候选人为</w:t>
      </w:r>
      <w:r>
        <w:rPr>
          <w:rFonts w:hint="eastAsia" w:ascii="宋体" w:hAnsi="宋体" w:cs="宋体"/>
          <w:b w:val="0"/>
          <w:i w:val="0"/>
          <w:caps w:val="0"/>
          <w:color w:val="000000" w:themeColor="text1"/>
          <w:spacing w:val="0"/>
          <w:w w:val="100"/>
          <w:sz w:val="24"/>
          <w:highlight w:val="none"/>
          <w:lang w:val="en-US" w:eastAsia="zh-CN"/>
          <w14:textFill>
            <w14:solidFill>
              <w14:schemeClr w14:val="tx1"/>
            </w14:solidFill>
          </w14:textFill>
        </w:rPr>
        <w:t>供应商</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（4）同品牌处理办法：采用综合评标法，则：提供相同品牌产品且通过资格审查、符合性审查的不同供应商参加同一合同项下投标的，按一家供应商计算，评审后得分最高的同品牌供应商获得</w:t>
      </w:r>
      <w:r>
        <w:rPr>
          <w:rFonts w:hint="eastAsia" w:ascii="宋体" w:hAnsi="宋体" w:cs="宋体"/>
          <w:b w:val="0"/>
          <w:i w:val="0"/>
          <w:caps w:val="0"/>
          <w:color w:val="000000" w:themeColor="text1"/>
          <w:spacing w:val="0"/>
          <w:w w:val="100"/>
          <w:sz w:val="24"/>
          <w:highlight w:val="none"/>
          <w:lang w:val="en-US" w:eastAsia="zh-CN"/>
          <w14:textFill>
            <w14:solidFill>
              <w14:schemeClr w14:val="tx1"/>
            </w14:solidFill>
          </w14:textFill>
        </w:rPr>
        <w:t>供应商</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推荐资格;评审得分相同的，由采购人或者采购人委托评标委员会按照招标文件规定的方式确定一个供应商获得</w:t>
      </w:r>
      <w:r>
        <w:rPr>
          <w:rFonts w:hint="eastAsia" w:ascii="宋体" w:hAnsi="宋体" w:cs="宋体"/>
          <w:b w:val="0"/>
          <w:i w:val="0"/>
          <w:caps w:val="0"/>
          <w:color w:val="000000" w:themeColor="text1"/>
          <w:spacing w:val="0"/>
          <w:w w:val="100"/>
          <w:sz w:val="24"/>
          <w:highlight w:val="none"/>
          <w:lang w:val="en-US" w:eastAsia="zh-CN"/>
          <w14:textFill>
            <w14:solidFill>
              <w14:schemeClr w14:val="tx1"/>
            </w14:solidFill>
          </w14:textFill>
        </w:rPr>
        <w:t>供应商</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推荐资格，招标文件未规定的采取随机抽取方式确定，其他同品牌供应商不作为中标候选人。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bCs/>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4"/>
          <w:highlight w:val="none"/>
          <w:lang w:val="en-US" w:eastAsia="zh-CN"/>
          <w14:textFill>
            <w14:solidFill>
              <w14:schemeClr w14:val="tx1"/>
            </w14:solidFill>
          </w14:textFill>
        </w:rPr>
        <w:t>10.评标标准：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default" w:ascii="宋体" w:hAnsi="宋体" w:eastAsia="宋体" w:cs="宋体"/>
          <w:b/>
          <w:bCs/>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cs="宋体"/>
          <w:b/>
          <w:bCs/>
          <w:i w:val="0"/>
          <w:caps w:val="0"/>
          <w:color w:val="000000" w:themeColor="text1"/>
          <w:spacing w:val="0"/>
          <w:w w:val="100"/>
          <w:sz w:val="24"/>
          <w:highlight w:val="none"/>
          <w:lang w:val="en-US" w:eastAsia="zh-CN"/>
          <w14:textFill>
            <w14:solidFill>
              <w14:schemeClr w14:val="tx1"/>
            </w14:solidFill>
          </w14:textFill>
        </w:rPr>
        <w:t>第九包、第十二包：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（1）价格评分占30%，完全满足招标文件参数的投标报价中的最低价为评标基准价，按照下列公式计算每个供应商的投标价格得分。投标报价得分＝（基准价/投标报价）×价格权重×100。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（2）商务评分占</w:t>
      </w:r>
      <w:r>
        <w:rPr>
          <w:rFonts w:hint="eastAsia" w:ascii="宋体" w:hAnsi="宋体" w:cs="宋体"/>
          <w:b w:val="0"/>
          <w:i w:val="0"/>
          <w:caps w:val="0"/>
          <w:color w:val="000000" w:themeColor="text1"/>
          <w:spacing w:val="0"/>
          <w:w w:val="100"/>
          <w:sz w:val="24"/>
          <w:highlight w:val="none"/>
          <w:lang w:val="en-US" w:eastAsia="zh-CN"/>
          <w14:textFill>
            <w14:solidFill>
              <w14:schemeClr w14:val="tx1"/>
            </w14:solidFill>
          </w14:textFill>
        </w:rPr>
        <w:t>14</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%，包含业绩</w:t>
      </w:r>
      <w:r>
        <w:rPr>
          <w:rFonts w:hint="eastAsia" w:ascii="宋体" w:hAnsi="宋体" w:cs="宋体"/>
          <w:b w:val="0"/>
          <w:i w:val="0"/>
          <w:caps w:val="0"/>
          <w:color w:val="000000" w:themeColor="text1"/>
          <w:spacing w:val="0"/>
          <w:w w:val="100"/>
          <w:sz w:val="24"/>
          <w:highlight w:val="none"/>
          <w:lang w:val="en-US" w:eastAsia="zh-CN"/>
          <w14:textFill>
            <w14:solidFill>
              <w14:schemeClr w14:val="tx1"/>
            </w14:solidFill>
          </w14:textFill>
        </w:rPr>
        <w:t>、企业实力、</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标书制作。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（3）技术评分占</w:t>
      </w:r>
      <w:r>
        <w:rPr>
          <w:rFonts w:hint="eastAsia" w:ascii="宋体" w:hAnsi="宋体" w:cs="宋体"/>
          <w:b w:val="0"/>
          <w:i w:val="0"/>
          <w:caps w:val="0"/>
          <w:color w:val="000000" w:themeColor="text1"/>
          <w:spacing w:val="0"/>
          <w:w w:val="100"/>
          <w:sz w:val="24"/>
          <w:highlight w:val="none"/>
          <w:lang w:val="en-US" w:eastAsia="zh-CN"/>
          <w14:textFill>
            <w14:solidFill>
              <w14:schemeClr w14:val="tx1"/>
            </w14:solidFill>
          </w14:textFill>
        </w:rPr>
        <w:t>56</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%，包含技术参数、实施方案</w:t>
      </w:r>
      <w:r>
        <w:rPr>
          <w:rFonts w:hint="eastAsia" w:ascii="宋体" w:hAnsi="宋体" w:cs="宋体"/>
          <w:b w:val="0"/>
          <w:i w:val="0"/>
          <w:caps w:val="0"/>
          <w:color w:val="000000" w:themeColor="text1"/>
          <w:spacing w:val="0"/>
          <w:w w:val="100"/>
          <w:sz w:val="24"/>
          <w:highlight w:val="none"/>
          <w:lang w:val="en-US" w:eastAsia="zh-CN"/>
          <w14:textFill>
            <w14:solidFill>
              <w14:schemeClr w14:val="tx1"/>
            </w14:solidFill>
          </w14:textFill>
        </w:rPr>
        <w:t>、培训方案</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、质量保证及售后服务</w:t>
      </w:r>
      <w:r>
        <w:rPr>
          <w:rFonts w:hint="eastAsia" w:ascii="宋体" w:hAnsi="宋体" w:cs="宋体"/>
          <w:b w:val="0"/>
          <w:i w:val="0"/>
          <w:caps w:val="0"/>
          <w:color w:val="000000" w:themeColor="text1"/>
          <w:spacing w:val="0"/>
          <w:w w:val="100"/>
          <w:sz w:val="24"/>
          <w:highlight w:val="none"/>
          <w:lang w:val="en-US" w:eastAsia="zh-CN"/>
          <w14:textFill>
            <w14:solidFill>
              <w14:schemeClr w14:val="tx1"/>
            </w14:solidFill>
          </w14:textFill>
        </w:rPr>
        <w:t>、备品备件等</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w:t>
      </w:r>
    </w:p>
    <w:p>
      <w:pPr>
        <w:rPr>
          <w:rFonts w:hint="eastAsia" w:ascii="宋体" w:hAnsi="宋体" w:eastAsia="宋体" w:cs="宋体"/>
          <w:color w:val="000000" w:themeColor="text1"/>
          <w:highlight w:val="none"/>
          <w14:textFill>
            <w14:solidFill>
              <w14:schemeClr w14:val="tx1"/>
            </w14:solidFill>
          </w14:textFill>
        </w:rPr>
      </w:pPr>
      <w:bookmarkStart w:id="1281" w:name="_Toc10419"/>
      <w:bookmarkStart w:id="1282" w:name="_Toc23103"/>
      <w:bookmarkStart w:id="1283" w:name="_Toc5478"/>
      <w:bookmarkStart w:id="1284" w:name="_Toc1327"/>
      <w:bookmarkStart w:id="1285" w:name="_Toc5578"/>
      <w:bookmarkStart w:id="1286" w:name="_Toc19412"/>
      <w:bookmarkStart w:id="1287" w:name="_Toc9835"/>
      <w:bookmarkStart w:id="1288" w:name="_Toc9116"/>
      <w:bookmarkStart w:id="1289" w:name="_Toc21866"/>
      <w:bookmarkStart w:id="1290" w:name="_Toc7467"/>
      <w:bookmarkStart w:id="1291" w:name="_Toc28782"/>
      <w:bookmarkStart w:id="1292" w:name="_Toc25901"/>
      <w:bookmarkStart w:id="1293" w:name="_Toc5776"/>
      <w:bookmarkStart w:id="1294" w:name="_Toc6128"/>
      <w:bookmarkStart w:id="1295" w:name="_Toc5986"/>
      <w:bookmarkStart w:id="1296" w:name="_Toc29085"/>
      <w:bookmarkStart w:id="1297" w:name="_Toc21578"/>
      <w:r>
        <w:rPr>
          <w:rFonts w:hint="eastAsia" w:ascii="宋体" w:hAnsi="宋体" w:eastAsia="宋体" w:cs="宋体"/>
          <w:color w:val="000000" w:themeColor="text1"/>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bookmarkStart w:id="1298" w:name="_Toc714"/>
      <w:r>
        <w:rPr>
          <w:rFonts w:hint="eastAsia" w:ascii="宋体" w:hAnsi="宋体" w:eastAsia="宋体" w:cs="宋体"/>
          <w:color w:val="000000" w:themeColor="text1"/>
          <w:highlight w:val="none"/>
          <w14:textFill>
            <w14:solidFill>
              <w14:schemeClr w14:val="tx1"/>
            </w14:solidFill>
          </w14:textFill>
        </w:rPr>
        <w:t>初步评审—资格性审查表</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tbl>
      <w:tblPr>
        <w:tblStyle w:val="33"/>
        <w:tblW w:w="5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7105"/>
        <w:gridCol w:w="733"/>
        <w:gridCol w:w="66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22" w:type="pct"/>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序号</w:t>
            </w:r>
          </w:p>
        </w:tc>
        <w:tc>
          <w:tcPr>
            <w:tcW w:w="3606" w:type="pct"/>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评审内容</w:t>
            </w:r>
          </w:p>
        </w:tc>
        <w:tc>
          <w:tcPr>
            <w:tcW w:w="1071"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22"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000000" w:themeColor="text1"/>
                <w:sz w:val="20"/>
                <w:szCs w:val="20"/>
                <w:highlight w:val="none"/>
                <w14:textFill>
                  <w14:solidFill>
                    <w14:schemeClr w14:val="tx1"/>
                  </w14:solidFill>
                </w14:textFill>
              </w:rPr>
            </w:pPr>
          </w:p>
        </w:tc>
        <w:tc>
          <w:tcPr>
            <w:tcW w:w="3606"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000000" w:themeColor="text1"/>
                <w:sz w:val="20"/>
                <w:szCs w:val="20"/>
                <w:highlight w:val="none"/>
                <w14:textFill>
                  <w14:solidFill>
                    <w14:schemeClr w14:val="tx1"/>
                  </w14:solidFill>
                </w14:textFill>
              </w:rPr>
            </w:pPr>
          </w:p>
        </w:tc>
        <w:tc>
          <w:tcPr>
            <w:tcW w:w="37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是否合格</w:t>
            </w:r>
          </w:p>
        </w:tc>
        <w:tc>
          <w:tcPr>
            <w:tcW w:w="33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是否合格</w:t>
            </w:r>
          </w:p>
        </w:tc>
        <w:tc>
          <w:tcPr>
            <w:tcW w:w="3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2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sz w:val="18"/>
                <w:szCs w:val="18"/>
                <w:highlight w:val="none"/>
                <w14:textFill>
                  <w14:solidFill>
                    <w14:schemeClr w14:val="tx1"/>
                  </w14:solidFill>
                </w14:textFill>
              </w:rPr>
            </w:pPr>
            <w:r>
              <w:rPr>
                <w:rFonts w:hint="eastAsia" w:ascii="宋体" w:hAnsi="宋体" w:eastAsia="宋体" w:cs="宋体"/>
                <w:color w:val="000000" w:themeColor="text1"/>
                <w:spacing w:val="-2"/>
                <w:sz w:val="18"/>
                <w:szCs w:val="18"/>
                <w:highlight w:val="none"/>
                <w14:textFill>
                  <w14:solidFill>
                    <w14:schemeClr w14:val="tx1"/>
                  </w14:solidFill>
                </w14:textFill>
              </w:rPr>
              <w:t>1</w:t>
            </w:r>
          </w:p>
        </w:tc>
        <w:tc>
          <w:tcPr>
            <w:tcW w:w="36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lang w:eastAsia="zh-CN"/>
                <w14:textFill>
                  <w14:solidFill>
                    <w14:schemeClr w14:val="tx1"/>
                  </w14:solidFill>
                </w14:textFill>
              </w:rPr>
              <w:t>具有有效的营业执照</w:t>
            </w:r>
            <w:r>
              <w:rPr>
                <w:rFonts w:hint="eastAsia" w:ascii="宋体" w:hAnsi="宋体" w:eastAsia="宋体" w:cs="宋体"/>
                <w:color w:val="000000" w:themeColor="text1"/>
                <w:spacing w:val="-2"/>
                <w:szCs w:val="21"/>
                <w:highlight w:val="none"/>
                <w14:textFill>
                  <w14:solidFill>
                    <w14:schemeClr w14:val="tx1"/>
                  </w14:solidFill>
                </w14:textFill>
              </w:rPr>
              <w:t>；</w:t>
            </w:r>
          </w:p>
        </w:tc>
        <w:tc>
          <w:tcPr>
            <w:tcW w:w="372"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6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highlight w:val="none"/>
                <w14:textFill>
                  <w14:solidFill>
                    <w14:schemeClr w14:val="tx1"/>
                  </w14:solidFill>
                </w14:textFill>
              </w:rPr>
              <w:t>2</w:t>
            </w:r>
          </w:p>
        </w:tc>
        <w:tc>
          <w:tcPr>
            <w:tcW w:w="36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Cs w:val="21"/>
                <w:highlight w:val="none"/>
                <w:lang w:eastAsia="zh-CN"/>
                <w14:textFill>
                  <w14:solidFill>
                    <w14:schemeClr w14:val="tx1"/>
                  </w14:solidFill>
                </w14:textFill>
              </w:rPr>
            </w:pPr>
            <w:r>
              <w:rPr>
                <w:rFonts w:hint="eastAsia" w:ascii="宋体" w:hAnsi="宋体" w:cs="宋体"/>
                <w:color w:val="000000" w:themeColor="text1"/>
                <w:spacing w:val="-2"/>
                <w:szCs w:val="21"/>
                <w:highlight w:val="none"/>
                <w:lang w:eastAsia="zh-CN"/>
                <w14:textFill>
                  <w14:solidFill>
                    <w14:schemeClr w14:val="tx1"/>
                  </w14:solidFill>
                </w14:textFill>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医疗器械经营许可证或其他医疗器械生产经营许可证明文件）；</w:t>
            </w:r>
          </w:p>
        </w:tc>
        <w:tc>
          <w:tcPr>
            <w:tcW w:w="372"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6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2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highlight w:val="none"/>
                <w:lang w:val="en-US" w:eastAsia="zh-CN"/>
                <w14:textFill>
                  <w14:solidFill>
                    <w14:schemeClr w14:val="tx1"/>
                  </w14:solidFill>
                </w14:textFill>
              </w:rPr>
              <w:t>3</w:t>
            </w:r>
          </w:p>
        </w:tc>
        <w:tc>
          <w:tcPr>
            <w:tcW w:w="36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Cs w:val="21"/>
                <w:highlight w:val="none"/>
                <w:lang w:eastAsia="zh-CN"/>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法定代表人资格证明及授权书、被授权人身份证(法定代表人投标需提供法定代表人身份证)；</w:t>
            </w:r>
          </w:p>
        </w:tc>
        <w:tc>
          <w:tcPr>
            <w:tcW w:w="372"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6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2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highlight w:val="none"/>
                <w:lang w:val="en-US" w:eastAsia="zh-CN"/>
                <w14:textFill>
                  <w14:solidFill>
                    <w14:schemeClr w14:val="tx1"/>
                  </w14:solidFill>
                </w14:textFill>
              </w:rPr>
              <w:t>4</w:t>
            </w:r>
          </w:p>
        </w:tc>
        <w:tc>
          <w:tcPr>
            <w:tcW w:w="36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pacing w:val="-2"/>
                <w:szCs w:val="21"/>
                <w:highlight w:val="none"/>
                <w:lang w:eastAsia="zh-CN"/>
                <w14:textFill>
                  <w14:solidFill>
                    <w14:schemeClr w14:val="tx1"/>
                  </w14:solidFill>
                </w14:textFill>
              </w:rPr>
              <w:t>提供近两年内任意一年的财务审计报告（新成立未满一年的新公司可提供近三个月内任意一个月的银行资信证明）</w:t>
            </w:r>
            <w:r>
              <w:rPr>
                <w:rFonts w:hint="eastAsia" w:ascii="宋体" w:hAnsi="宋体" w:eastAsia="宋体" w:cs="宋体"/>
                <w:color w:val="000000" w:themeColor="text1"/>
                <w:spacing w:val="-2"/>
                <w:szCs w:val="21"/>
                <w:highlight w:val="none"/>
                <w14:textFill>
                  <w14:solidFill>
                    <w14:schemeClr w14:val="tx1"/>
                  </w14:solidFill>
                </w14:textFill>
              </w:rPr>
              <w:t>；</w:t>
            </w:r>
          </w:p>
        </w:tc>
        <w:tc>
          <w:tcPr>
            <w:tcW w:w="372"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6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2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highlight w:val="none"/>
                <w:lang w:val="en-US" w:eastAsia="zh-CN"/>
                <w14:textFill>
                  <w14:solidFill>
                    <w14:schemeClr w14:val="tx1"/>
                  </w14:solidFill>
                </w14:textFill>
              </w:rPr>
              <w:t>5</w:t>
            </w:r>
          </w:p>
        </w:tc>
        <w:tc>
          <w:tcPr>
            <w:tcW w:w="36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依法缴纳近六个月内任意一个月</w:t>
            </w:r>
            <w:r>
              <w:rPr>
                <w:rFonts w:hint="eastAsia" w:ascii="宋体" w:hAnsi="宋体" w:cs="宋体"/>
                <w:color w:val="000000" w:themeColor="text1"/>
                <w:spacing w:val="-2"/>
                <w:szCs w:val="21"/>
                <w:highlight w:val="none"/>
                <w:lang w:eastAsia="zh-CN"/>
                <w14:textFill>
                  <w14:solidFill>
                    <w14:schemeClr w14:val="tx1"/>
                  </w14:solidFill>
                </w14:textFill>
              </w:rPr>
              <w:t>社会保险证明</w:t>
            </w:r>
            <w:r>
              <w:rPr>
                <w:rFonts w:hint="eastAsia" w:ascii="宋体" w:hAnsi="宋体" w:eastAsia="宋体" w:cs="宋体"/>
                <w:color w:val="000000" w:themeColor="text1"/>
                <w:spacing w:val="-2"/>
                <w:szCs w:val="21"/>
                <w:highlight w:val="none"/>
                <w14:textFill>
                  <w14:solidFill>
                    <w14:schemeClr w14:val="tx1"/>
                  </w14:solidFill>
                </w14:textFill>
              </w:rPr>
              <w:t>；</w:t>
            </w:r>
          </w:p>
        </w:tc>
        <w:tc>
          <w:tcPr>
            <w:tcW w:w="372"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6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32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highlight w:val="none"/>
                <w:lang w:val="en-US" w:eastAsia="zh-CN"/>
                <w14:textFill>
                  <w14:solidFill>
                    <w14:schemeClr w14:val="tx1"/>
                  </w14:solidFill>
                </w14:textFill>
              </w:rPr>
              <w:t>6</w:t>
            </w:r>
          </w:p>
        </w:tc>
        <w:tc>
          <w:tcPr>
            <w:tcW w:w="36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pacing w:val="-2"/>
                <w:szCs w:val="21"/>
                <w:highlight w:val="none"/>
                <w:lang w:eastAsia="zh-CN"/>
                <w14:textFill>
                  <w14:solidFill>
                    <w14:schemeClr w14:val="tx1"/>
                  </w14:solidFill>
                </w14:textFill>
              </w:rPr>
              <w:t>依法缴纳近六个月内任意一个月税收证明</w:t>
            </w:r>
            <w:r>
              <w:rPr>
                <w:rFonts w:hint="eastAsia" w:ascii="宋体" w:hAnsi="宋体" w:eastAsia="宋体" w:cs="宋体"/>
                <w:color w:val="000000" w:themeColor="text1"/>
                <w:spacing w:val="-2"/>
                <w:szCs w:val="21"/>
                <w:highlight w:val="none"/>
                <w14:textFill>
                  <w14:solidFill>
                    <w14:schemeClr w14:val="tx1"/>
                  </w14:solidFill>
                </w14:textFill>
              </w:rPr>
              <w:t>；</w:t>
            </w:r>
          </w:p>
        </w:tc>
        <w:tc>
          <w:tcPr>
            <w:tcW w:w="372"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6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2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highlight w:val="none"/>
                <w:lang w:val="en-US" w:eastAsia="zh-CN"/>
                <w14:textFill>
                  <w14:solidFill>
                    <w14:schemeClr w14:val="tx1"/>
                  </w14:solidFill>
                </w14:textFill>
              </w:rPr>
              <w:t>7</w:t>
            </w:r>
          </w:p>
        </w:tc>
        <w:tc>
          <w:tcPr>
            <w:tcW w:w="36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w:t>
            </w:r>
            <w:r>
              <w:rPr>
                <w:rFonts w:hint="eastAsia" w:ascii="宋体" w:hAnsi="宋体" w:cs="宋体"/>
                <w:color w:val="000000" w:themeColor="text1"/>
                <w:spacing w:val="-2"/>
                <w:szCs w:val="21"/>
                <w:highlight w:val="none"/>
                <w:lang w:eastAsia="zh-CN"/>
                <w14:textFill>
                  <w14:solidFill>
                    <w14:schemeClr w14:val="tx1"/>
                  </w14:solidFill>
                </w14:textFill>
              </w:rPr>
              <w:t>列入严重违法失信名单（黑名单）信息；将拒绝其参加本次招标活动</w:t>
            </w:r>
            <w:r>
              <w:rPr>
                <w:rFonts w:hint="eastAsia" w:ascii="宋体" w:hAnsi="宋体" w:eastAsia="宋体" w:cs="宋体"/>
                <w:color w:val="000000" w:themeColor="text1"/>
                <w:spacing w:val="-2"/>
                <w:szCs w:val="21"/>
                <w:highlight w:val="none"/>
                <w14:textFill>
                  <w14:solidFill>
                    <w14:schemeClr w14:val="tx1"/>
                  </w14:solidFill>
                </w14:textFill>
              </w:rPr>
              <w:t>；（</w:t>
            </w:r>
            <w:r>
              <w:rPr>
                <w:rFonts w:hint="eastAsia" w:ascii="宋体" w:hAnsi="宋体" w:cs="宋体"/>
                <w:color w:val="000000" w:themeColor="text1"/>
                <w:spacing w:val="-2"/>
                <w:szCs w:val="21"/>
                <w:highlight w:val="none"/>
                <w:lang w:eastAsia="zh-CN"/>
                <w14:textFill>
                  <w14:solidFill>
                    <w14:schemeClr w14:val="tx1"/>
                  </w14:solidFill>
                </w14:textFill>
              </w:rPr>
              <w:t>以采购代理机构或采购人查询为准</w:t>
            </w:r>
            <w:r>
              <w:rPr>
                <w:rFonts w:hint="eastAsia" w:ascii="宋体" w:hAnsi="宋体" w:eastAsia="宋体" w:cs="宋体"/>
                <w:color w:val="000000" w:themeColor="text1"/>
                <w:spacing w:val="-2"/>
                <w:szCs w:val="21"/>
                <w:highlight w:val="none"/>
                <w14:textFill>
                  <w14:solidFill>
                    <w14:schemeClr w14:val="tx1"/>
                  </w14:solidFill>
                </w14:textFill>
              </w:rPr>
              <w:t>）；</w:t>
            </w:r>
          </w:p>
        </w:tc>
        <w:tc>
          <w:tcPr>
            <w:tcW w:w="372"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6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highlight w:val="none"/>
                <w:lang w:val="en-US" w:eastAsia="zh-CN"/>
                <w14:textFill>
                  <w14:solidFill>
                    <w14:schemeClr w14:val="tx1"/>
                  </w14:solidFill>
                </w14:textFill>
              </w:rPr>
              <w:t>8</w:t>
            </w:r>
          </w:p>
        </w:tc>
        <w:tc>
          <w:tcPr>
            <w:tcW w:w="36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参与政府采购活动前3年内未被列入失信、重大税收违法案件、财政部门禁止参加政府采购活动的承诺书；</w:t>
            </w:r>
          </w:p>
        </w:tc>
        <w:tc>
          <w:tcPr>
            <w:tcW w:w="372"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6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2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highlight w:val="none"/>
                <w:lang w:val="en-US" w:eastAsia="zh-CN"/>
                <w14:textFill>
                  <w14:solidFill>
                    <w14:schemeClr w14:val="tx1"/>
                  </w14:solidFill>
                </w14:textFill>
              </w:rPr>
              <w:t>9</w:t>
            </w:r>
          </w:p>
        </w:tc>
        <w:tc>
          <w:tcPr>
            <w:tcW w:w="36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提供针对本次项目的《反商业贿赂承诺书》；</w:t>
            </w:r>
          </w:p>
        </w:tc>
        <w:tc>
          <w:tcPr>
            <w:tcW w:w="372"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6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000000" w:themeColor="text1"/>
                <w:spacing w:val="-2"/>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pacing w:val="-2"/>
                <w:kern w:val="2"/>
                <w:sz w:val="18"/>
                <w:szCs w:val="18"/>
                <w:highlight w:val="none"/>
                <w:lang w:val="en-US" w:eastAsia="zh-CN" w:bidi="ar-SA"/>
                <w14:textFill>
                  <w14:solidFill>
                    <w14:schemeClr w14:val="tx1"/>
                  </w14:solidFill>
                </w14:textFill>
              </w:rPr>
              <w:t>10</w:t>
            </w:r>
          </w:p>
        </w:tc>
        <w:tc>
          <w:tcPr>
            <w:tcW w:w="36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缴纳投标保证金的有效凭证</w:t>
            </w:r>
            <w:r>
              <w:rPr>
                <w:rFonts w:hint="eastAsia" w:ascii="宋体" w:hAnsi="宋体" w:cs="宋体"/>
                <w:color w:val="000000" w:themeColor="text1"/>
                <w:spacing w:val="-2"/>
                <w:szCs w:val="21"/>
                <w:highlight w:val="none"/>
                <w:lang w:eastAsia="zh-CN"/>
                <w14:textFill>
                  <w14:solidFill>
                    <w14:schemeClr w14:val="tx1"/>
                  </w14:solidFill>
                </w14:textFill>
              </w:rPr>
              <w:t>；</w:t>
            </w:r>
          </w:p>
        </w:tc>
        <w:tc>
          <w:tcPr>
            <w:tcW w:w="372"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6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2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 w:val="20"/>
                <w:szCs w:val="20"/>
                <w:highlight w:val="none"/>
                <w:lang w:val="en-US" w:eastAsia="zh-CN"/>
                <w14:textFill>
                  <w14:solidFill>
                    <w14:schemeClr w14:val="tx1"/>
                  </w14:solidFill>
                </w14:textFill>
              </w:rPr>
            </w:pPr>
          </w:p>
        </w:tc>
        <w:tc>
          <w:tcPr>
            <w:tcW w:w="36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2"/>
                <w:sz w:val="20"/>
                <w:szCs w:val="20"/>
                <w:highlight w:val="none"/>
                <w:lang w:val="en-US" w:eastAsia="zh-CN"/>
                <w14:textFill>
                  <w14:solidFill>
                    <w14:schemeClr w14:val="tx1"/>
                  </w14:solidFill>
                </w14:textFill>
              </w:rPr>
              <w:t>结论</w:t>
            </w:r>
          </w:p>
        </w:tc>
        <w:tc>
          <w:tcPr>
            <w:tcW w:w="372"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36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0"/>
                <w:szCs w:val="20"/>
                <w:highlight w:val="none"/>
                <w14:textFill>
                  <w14:solidFill>
                    <w14:schemeClr w14:val="tx1"/>
                  </w14:solidFill>
                </w14:textFill>
              </w:rPr>
            </w:pPr>
          </w:p>
        </w:tc>
      </w:tr>
    </w:tbl>
    <w:p>
      <w:pPr>
        <w:spacing w:line="36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未通过资格审查的供应商不进入评标；通过资格审查的供应商少于不足三家的，不得评标。</w:t>
      </w:r>
    </w:p>
    <w:p>
      <w:pPr>
        <w:pStyle w:val="26"/>
        <w:rPr>
          <w:rFonts w:hint="eastAsia" w:ascii="宋体" w:hAnsi="宋体" w:eastAsia="宋体" w:cs="宋体"/>
          <w:b/>
          <w:bCs/>
          <w:color w:val="000000" w:themeColor="text1"/>
          <w:szCs w:val="21"/>
          <w:highlight w:val="none"/>
          <w14:textFill>
            <w14:solidFill>
              <w14:schemeClr w14:val="tx1"/>
            </w14:solidFill>
          </w14:textFill>
        </w:rPr>
      </w:pPr>
    </w:p>
    <w:p>
      <w:pP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bookmarkStart w:id="1299" w:name="_Toc13854"/>
      <w:bookmarkStart w:id="1300" w:name="_Toc8382"/>
      <w:bookmarkStart w:id="1301" w:name="_Toc14007"/>
      <w:bookmarkStart w:id="1302" w:name="_Toc26642"/>
      <w:bookmarkStart w:id="1303" w:name="_Toc12108"/>
      <w:bookmarkStart w:id="1304" w:name="_Toc18094"/>
      <w:bookmarkStart w:id="1305" w:name="_Toc3927"/>
      <w:bookmarkStart w:id="1306" w:name="_Toc10492"/>
      <w:bookmarkStart w:id="1307" w:name="_Toc3062"/>
      <w:bookmarkStart w:id="1308" w:name="_Toc27246"/>
      <w:bookmarkStart w:id="1309" w:name="_Toc28858"/>
      <w:bookmarkStart w:id="1310" w:name="_Toc31983"/>
      <w:bookmarkStart w:id="1311" w:name="_Toc16022"/>
      <w:bookmarkStart w:id="1312" w:name="_Toc30395"/>
      <w:bookmarkStart w:id="1313" w:name="_Toc273"/>
      <w:bookmarkStart w:id="1314" w:name="_Toc8255"/>
      <w:bookmarkStart w:id="1315" w:name="_Toc21850"/>
      <w:r>
        <w:rPr>
          <w:rFonts w:hint="eastAsia" w:ascii="宋体" w:hAnsi="宋体" w:eastAsia="宋体" w:cs="宋体"/>
          <w:color w:val="000000" w:themeColor="text1"/>
          <w:highlight w:val="none"/>
          <w14:textFill>
            <w14:solidFill>
              <w14:schemeClr w14:val="tx1"/>
            </w14:solidFill>
          </w14:textFill>
        </w:rPr>
        <w:br w:type="page"/>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pPr>
        <w:pStyle w:val="3"/>
        <w:rPr>
          <w:rFonts w:hint="eastAsia" w:ascii="宋体" w:hAnsi="宋体" w:eastAsia="宋体" w:cs="宋体"/>
          <w:color w:val="000000" w:themeColor="text1"/>
          <w:highlight w:val="none"/>
          <w14:textFill>
            <w14:solidFill>
              <w14:schemeClr w14:val="tx1"/>
            </w14:solidFill>
          </w14:textFill>
        </w:rPr>
      </w:pPr>
      <w:bookmarkStart w:id="1316" w:name="_Toc23310"/>
      <w:r>
        <w:rPr>
          <w:rFonts w:hint="eastAsia" w:ascii="宋体" w:hAnsi="宋体" w:eastAsia="宋体" w:cs="宋体"/>
          <w:color w:val="000000" w:themeColor="text1"/>
          <w:highlight w:val="none"/>
          <w14:textFill>
            <w14:solidFill>
              <w14:schemeClr w14:val="tx1"/>
            </w14:solidFill>
          </w14:textFill>
        </w:rPr>
        <w:t>初步评审—符合性审查表</w:t>
      </w:r>
      <w:bookmarkEnd w:id="1316"/>
    </w:p>
    <w:tbl>
      <w:tblPr>
        <w:tblStyle w:val="33"/>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7602"/>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75" w:type="pct"/>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评审内容</w:t>
            </w:r>
          </w:p>
        </w:tc>
        <w:tc>
          <w:tcPr>
            <w:tcW w:w="42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419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pacing w:val="-2"/>
                <w:szCs w:val="21"/>
                <w:highlight w:val="none"/>
                <w14:textFill>
                  <w14:solidFill>
                    <w14:schemeClr w14:val="tx1"/>
                  </w14:solidFill>
                </w14:textFill>
              </w:rPr>
            </w:pPr>
          </w:p>
        </w:tc>
        <w:tc>
          <w:tcPr>
            <w:tcW w:w="42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1</w:t>
            </w:r>
          </w:p>
        </w:tc>
        <w:tc>
          <w:tcPr>
            <w:tcW w:w="419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各供应商投标报价未高于预算金额；</w:t>
            </w:r>
          </w:p>
        </w:tc>
        <w:tc>
          <w:tcPr>
            <w:tcW w:w="42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pacing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8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2</w:t>
            </w:r>
          </w:p>
        </w:tc>
        <w:tc>
          <w:tcPr>
            <w:tcW w:w="419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评标委员会认为供应商的报价无明显低于其他通过</w:t>
            </w:r>
            <w:r>
              <w:rPr>
                <w:rFonts w:hint="eastAsia" w:ascii="宋体" w:hAnsi="宋体" w:eastAsia="宋体" w:cs="宋体"/>
                <w:color w:val="000000" w:themeColor="text1"/>
                <w:spacing w:val="-2"/>
                <w:szCs w:val="21"/>
                <w:highlight w:val="none"/>
                <w:lang w:val="en-US" w:eastAsia="zh-CN"/>
                <w14:textFill>
                  <w14:solidFill>
                    <w14:schemeClr w14:val="tx1"/>
                  </w14:solidFill>
                </w14:textFill>
              </w:rPr>
              <w:t>符合</w:t>
            </w:r>
            <w:r>
              <w:rPr>
                <w:rFonts w:hint="eastAsia" w:ascii="宋体" w:hAnsi="宋体" w:eastAsia="宋体" w:cs="宋体"/>
                <w:color w:val="000000" w:themeColor="text1"/>
                <w:spacing w:val="-2"/>
                <w:szCs w:val="21"/>
                <w:highlight w:val="none"/>
                <w14:textFill>
                  <w14:solidFill>
                    <w14:schemeClr w14:val="tx1"/>
                  </w14:solidFill>
                </w14:textFill>
              </w:rPr>
              <w:t>性审查供应商的报价的，供应商的报价不存在异常一致并成规律性的，其报价合理；</w:t>
            </w:r>
          </w:p>
        </w:tc>
        <w:tc>
          <w:tcPr>
            <w:tcW w:w="42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pacing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8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3</w:t>
            </w:r>
          </w:p>
        </w:tc>
        <w:tc>
          <w:tcPr>
            <w:tcW w:w="419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投标文件按照招标文件的规定编制、标记及签署盖章的，法定代表人或其授权代表</w:t>
            </w:r>
            <w:r>
              <w:rPr>
                <w:rFonts w:hint="eastAsia" w:ascii="宋体" w:hAnsi="宋体" w:eastAsia="宋体" w:cs="宋体"/>
                <w:color w:val="000000" w:themeColor="text1"/>
                <w:spacing w:val="-2"/>
                <w:szCs w:val="21"/>
                <w:highlight w:val="none"/>
                <w:lang w:val="en-US" w:eastAsia="zh-CN"/>
                <w14:textFill>
                  <w14:solidFill>
                    <w14:schemeClr w14:val="tx1"/>
                  </w14:solidFill>
                </w14:textFill>
              </w:rPr>
              <w:t>签</w:t>
            </w:r>
            <w:r>
              <w:rPr>
                <w:rFonts w:hint="eastAsia" w:ascii="宋体" w:hAnsi="宋体" w:eastAsia="宋体" w:cs="宋体"/>
                <w:color w:val="000000" w:themeColor="text1"/>
                <w:spacing w:val="-2"/>
                <w:szCs w:val="21"/>
                <w:highlight w:val="none"/>
                <w14:textFill>
                  <w14:solidFill>
                    <w14:schemeClr w14:val="tx1"/>
                  </w14:solidFill>
                </w14:textFill>
              </w:rPr>
              <w:t>章</w:t>
            </w:r>
            <w:r>
              <w:rPr>
                <w:rFonts w:hint="eastAsia" w:ascii="宋体" w:hAnsi="宋体" w:eastAsia="宋体" w:cs="宋体"/>
                <w:color w:val="000000" w:themeColor="text1"/>
                <w:spacing w:val="-2"/>
                <w:szCs w:val="21"/>
                <w:highlight w:val="none"/>
                <w:lang w:eastAsia="zh-CN"/>
                <w14:textFill>
                  <w14:solidFill>
                    <w14:schemeClr w14:val="tx1"/>
                  </w14:solidFill>
                </w14:textFill>
              </w:rPr>
              <w:t>；</w:t>
            </w:r>
          </w:p>
        </w:tc>
        <w:tc>
          <w:tcPr>
            <w:tcW w:w="42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4</w:t>
            </w:r>
          </w:p>
        </w:tc>
        <w:tc>
          <w:tcPr>
            <w:tcW w:w="419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Cs w:val="21"/>
                <w:highlight w:val="none"/>
                <w:lang w:eastAsia="zh-CN"/>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所投产品的设备及数量满足招标文件要求的；</w:t>
            </w:r>
          </w:p>
        </w:tc>
        <w:tc>
          <w:tcPr>
            <w:tcW w:w="42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pacing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5</w:t>
            </w:r>
          </w:p>
        </w:tc>
        <w:tc>
          <w:tcPr>
            <w:tcW w:w="419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按招标文件规定的格式填写，内容</w:t>
            </w:r>
            <w:r>
              <w:rPr>
                <w:rFonts w:hint="eastAsia" w:ascii="宋体" w:hAnsi="宋体" w:eastAsia="宋体" w:cs="宋体"/>
                <w:color w:val="000000" w:themeColor="text1"/>
                <w:spacing w:val="-2"/>
                <w:szCs w:val="21"/>
                <w:highlight w:val="none"/>
                <w:lang w:val="en-US" w:eastAsia="zh-CN"/>
                <w14:textFill>
                  <w14:solidFill>
                    <w14:schemeClr w14:val="tx1"/>
                  </w14:solidFill>
                </w14:textFill>
              </w:rPr>
              <w:t>全面</w:t>
            </w:r>
            <w:r>
              <w:rPr>
                <w:rFonts w:hint="eastAsia" w:ascii="宋体" w:hAnsi="宋体" w:eastAsia="宋体" w:cs="宋体"/>
                <w:color w:val="000000" w:themeColor="text1"/>
                <w:spacing w:val="-2"/>
                <w:szCs w:val="21"/>
                <w:highlight w:val="none"/>
                <w14:textFill>
                  <w14:solidFill>
                    <w14:schemeClr w14:val="tx1"/>
                  </w14:solidFill>
                </w14:textFill>
              </w:rPr>
              <w:t>；</w:t>
            </w:r>
          </w:p>
        </w:tc>
        <w:tc>
          <w:tcPr>
            <w:tcW w:w="42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pacing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6</w:t>
            </w:r>
          </w:p>
        </w:tc>
        <w:tc>
          <w:tcPr>
            <w:tcW w:w="419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lang w:val="en-US" w:eastAsia="zh-CN"/>
                <w14:textFill>
                  <w14:solidFill>
                    <w14:schemeClr w14:val="tx1"/>
                  </w14:solidFill>
                </w14:textFill>
              </w:rPr>
              <w:t>符合招标文件中规定的要求；</w:t>
            </w:r>
            <w:r>
              <w:rPr>
                <w:rFonts w:hint="eastAsia" w:ascii="宋体" w:hAnsi="宋体" w:cs="宋体"/>
                <w:b/>
                <w:bCs/>
                <w:color w:val="000000" w:themeColor="text1"/>
                <w:spacing w:val="-2"/>
                <w:szCs w:val="21"/>
                <w:highlight w:val="none"/>
                <w:lang w:val="en-US" w:eastAsia="zh-CN"/>
                <w14:textFill>
                  <w14:solidFill>
                    <w14:schemeClr w14:val="tx1"/>
                  </w14:solidFill>
                </w14:textFill>
              </w:rPr>
              <w:t>（交货期、质保期）</w:t>
            </w:r>
          </w:p>
        </w:tc>
        <w:tc>
          <w:tcPr>
            <w:tcW w:w="42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pacing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8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7</w:t>
            </w:r>
          </w:p>
        </w:tc>
        <w:tc>
          <w:tcPr>
            <w:tcW w:w="419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宋体" w:hAnsi="宋体" w:eastAsia="宋体" w:cs="宋体"/>
                <w:color w:val="000000" w:themeColor="text1"/>
                <w:spacing w:val="-2"/>
                <w:szCs w:val="21"/>
                <w:highlight w:val="none"/>
                <w:lang w:val="en-US" w:eastAsia="zh-CN"/>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没有采购人不能接受的附加条件的；</w:t>
            </w:r>
          </w:p>
        </w:tc>
        <w:tc>
          <w:tcPr>
            <w:tcW w:w="42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pacing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8</w:t>
            </w:r>
          </w:p>
        </w:tc>
        <w:tc>
          <w:tcPr>
            <w:tcW w:w="419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不同供应商的投标文件没有错漏一致的情况；</w:t>
            </w:r>
          </w:p>
        </w:tc>
        <w:tc>
          <w:tcPr>
            <w:tcW w:w="42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pacing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9</w:t>
            </w:r>
          </w:p>
        </w:tc>
        <w:tc>
          <w:tcPr>
            <w:tcW w:w="419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pacing w:val="-2"/>
                <w:szCs w:val="21"/>
                <w:highlight w:val="none"/>
                <w:lang w:eastAsia="zh-CN"/>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供应商附有详细地址、联系人、电话标明的</w:t>
            </w:r>
            <w:r>
              <w:rPr>
                <w:rFonts w:hint="eastAsia" w:ascii="宋体" w:hAnsi="宋体" w:cs="宋体"/>
                <w:color w:val="000000" w:themeColor="text1"/>
                <w:spacing w:val="-2"/>
                <w:szCs w:val="21"/>
                <w:highlight w:val="none"/>
                <w:lang w:eastAsia="zh-CN"/>
                <w14:textFill>
                  <w14:solidFill>
                    <w14:schemeClr w14:val="tx1"/>
                  </w14:solidFill>
                </w14:textFill>
              </w:rPr>
              <w:t>。</w:t>
            </w:r>
          </w:p>
        </w:tc>
        <w:tc>
          <w:tcPr>
            <w:tcW w:w="42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pacing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75"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结论：通过评审打“√”，未通过评审打“×”</w:t>
            </w:r>
          </w:p>
        </w:tc>
        <w:tc>
          <w:tcPr>
            <w:tcW w:w="424" w:type="pct"/>
            <w:vAlign w:val="center"/>
          </w:tcPr>
          <w:p>
            <w:pPr>
              <w:keepNext w:val="0"/>
              <w:keepLines w:val="0"/>
              <w:suppressLineNumbers w:val="0"/>
              <w:spacing w:before="0" w:beforeAutospacing="0" w:after="0" w:afterAutospacing="0" w:line="400" w:lineRule="exact"/>
              <w:ind w:left="0" w:right="0" w:firstLine="370" w:firstLineChars="180"/>
              <w:jc w:val="center"/>
              <w:rPr>
                <w:rFonts w:hint="eastAsia" w:ascii="宋体" w:hAnsi="宋体" w:eastAsia="宋体" w:cs="宋体"/>
                <w:color w:val="000000" w:themeColor="text1"/>
                <w:spacing w:val="-2"/>
                <w:szCs w:val="21"/>
                <w:highlight w:val="none"/>
                <w14:textFill>
                  <w14:solidFill>
                    <w14:schemeClr w14:val="tx1"/>
                  </w14:solidFill>
                </w14:textFill>
              </w:rPr>
            </w:pPr>
          </w:p>
        </w:tc>
      </w:tr>
    </w:tbl>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（1）上述各项中用“√”表示合格，“×”表示不合格；</w:t>
      </w:r>
    </w:p>
    <w:p>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（2）上述各项中如有一项为“×”，则结论为“×”，表示该投标文件中存在重大偏差，不能通过初步评审；评委对某一分项评审认为不合格时，必须要写明原因。</w:t>
      </w:r>
    </w:p>
    <w:p>
      <w:pPr>
        <w:pStyle w:val="5"/>
        <w:keepNext w:val="0"/>
        <w:keepLines w:val="0"/>
        <w:pageBreakBefore w:val="0"/>
        <w:widowControl w:val="0"/>
        <w:kinsoku/>
        <w:wordWrap/>
        <w:overflowPunct/>
        <w:topLinePunct w:val="0"/>
        <w:bidi w:val="0"/>
        <w:snapToGrid/>
        <w:spacing w:line="400" w:lineRule="exact"/>
        <w:ind w:firstLine="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（3）投标文件最终合格与否，以所有评委的评审意见中少数服从多数为原则定论。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未通过资格审查的供应商不进入评标；通过资格审查的供应商少于不足三家的，不得评标。</w:t>
      </w:r>
    </w:p>
    <w:p>
      <w:pPr>
        <w:pStyle w:val="6"/>
        <w:ind w:left="0" w:leftChars="0" w:firstLine="0" w:firstLineChars="0"/>
        <w:outlineLvl w:val="9"/>
        <w:rPr>
          <w:rFonts w:hint="eastAsia" w:ascii="宋体" w:hAnsi="宋体" w:eastAsia="宋体" w:cs="宋体"/>
          <w:color w:val="000000" w:themeColor="text1"/>
          <w:highlight w:val="none"/>
          <w14:textFill>
            <w14:solidFill>
              <w14:schemeClr w14:val="tx1"/>
            </w14:solidFill>
          </w14:textFill>
        </w:rPr>
      </w:pPr>
    </w:p>
    <w:p>
      <w:pPr>
        <w:outlineLvl w:val="9"/>
        <w:rPr>
          <w:rFonts w:hint="eastAsia" w:ascii="宋体" w:hAnsi="宋体" w:eastAsia="宋体" w:cs="宋体"/>
          <w:color w:val="000000" w:themeColor="text1"/>
          <w:highlight w:val="none"/>
          <w14:textFill>
            <w14:solidFill>
              <w14:schemeClr w14:val="tx1"/>
            </w14:solidFill>
          </w14:textFill>
        </w:rPr>
      </w:pPr>
    </w:p>
    <w:p>
      <w:pPr>
        <w:pStyle w:val="32"/>
        <w:outlineLvl w:val="9"/>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spacing w:line="300" w:lineRule="auto"/>
        <w:jc w:val="center"/>
        <w:outlineLvl w:val="1"/>
        <w:rPr>
          <w:rFonts w:hint="eastAsia" w:ascii="宋体" w:hAnsi="宋体" w:eastAsia="宋体" w:cs="宋体"/>
          <w:b/>
          <w:color w:val="000000" w:themeColor="text1"/>
          <w:kern w:val="0"/>
          <w:sz w:val="30"/>
          <w:szCs w:val="20"/>
          <w:highlight w:val="none"/>
          <w:lang w:val="en-US" w:eastAsia="zh-CN" w:bidi="ar-SA"/>
          <w14:textFill>
            <w14:solidFill>
              <w14:schemeClr w14:val="tx1"/>
            </w14:solidFill>
          </w14:textFill>
        </w:rPr>
      </w:pPr>
      <w:r>
        <w:rPr>
          <w:rFonts w:hint="eastAsia" w:ascii="宋体" w:hAnsi="宋体" w:eastAsia="宋体" w:cs="宋体"/>
          <w:b/>
          <w:color w:val="000000" w:themeColor="text1"/>
          <w:kern w:val="0"/>
          <w:sz w:val="30"/>
          <w:szCs w:val="20"/>
          <w:highlight w:val="none"/>
          <w:lang w:val="en-US" w:eastAsia="zh-CN" w:bidi="ar-SA"/>
          <w14:textFill>
            <w14:solidFill>
              <w14:schemeClr w14:val="tx1"/>
            </w14:solidFill>
          </w14:textFill>
        </w:rPr>
        <w:t>综合评分表（</w:t>
      </w:r>
      <w:r>
        <w:rPr>
          <w:rFonts w:hint="eastAsia" w:ascii="宋体" w:hAnsi="宋体" w:cs="宋体"/>
          <w:b/>
          <w:color w:val="000000" w:themeColor="text1"/>
          <w:kern w:val="0"/>
          <w:sz w:val="30"/>
          <w:szCs w:val="20"/>
          <w:highlight w:val="none"/>
          <w:lang w:val="en-US" w:eastAsia="zh-CN" w:bidi="ar-SA"/>
          <w14:textFill>
            <w14:solidFill>
              <w14:schemeClr w14:val="tx1"/>
            </w14:solidFill>
          </w14:textFill>
        </w:rPr>
        <w:t>第九包、</w:t>
      </w:r>
      <w:r>
        <w:rPr>
          <w:rFonts w:hint="eastAsia" w:ascii="宋体" w:hAnsi="宋体" w:eastAsia="宋体" w:cs="宋体"/>
          <w:b/>
          <w:color w:val="000000" w:themeColor="text1"/>
          <w:kern w:val="0"/>
          <w:sz w:val="30"/>
          <w:szCs w:val="20"/>
          <w:highlight w:val="none"/>
          <w:lang w:val="en-US" w:eastAsia="zh-CN" w:bidi="ar-SA"/>
          <w14:textFill>
            <w14:solidFill>
              <w14:schemeClr w14:val="tx1"/>
            </w14:solidFill>
          </w14:textFill>
        </w:rPr>
        <w:t>第</w:t>
      </w:r>
      <w:r>
        <w:rPr>
          <w:rFonts w:hint="eastAsia" w:ascii="宋体" w:hAnsi="宋体" w:cs="宋体"/>
          <w:b/>
          <w:color w:val="000000" w:themeColor="text1"/>
          <w:kern w:val="0"/>
          <w:sz w:val="30"/>
          <w:szCs w:val="20"/>
          <w:highlight w:val="none"/>
          <w:lang w:val="en-US" w:eastAsia="zh-CN" w:bidi="ar-SA"/>
          <w14:textFill>
            <w14:solidFill>
              <w14:schemeClr w14:val="tx1"/>
            </w14:solidFill>
          </w14:textFill>
        </w:rPr>
        <w:t>十二</w:t>
      </w:r>
      <w:r>
        <w:rPr>
          <w:rFonts w:hint="eastAsia" w:ascii="宋体" w:hAnsi="宋体" w:eastAsia="宋体" w:cs="宋体"/>
          <w:b/>
          <w:color w:val="000000" w:themeColor="text1"/>
          <w:kern w:val="0"/>
          <w:sz w:val="30"/>
          <w:szCs w:val="20"/>
          <w:highlight w:val="none"/>
          <w:lang w:val="en-US" w:eastAsia="zh-CN" w:bidi="ar-SA"/>
          <w14:textFill>
            <w14:solidFill>
              <w14:schemeClr w14:val="tx1"/>
            </w14:solidFill>
          </w14:textFill>
        </w:rPr>
        <w:t>包）</w:t>
      </w:r>
    </w:p>
    <w:tbl>
      <w:tblPr>
        <w:tblStyle w:val="33"/>
        <w:tblpPr w:leftFromText="180" w:rightFromText="180" w:vertAnchor="text" w:horzAnchor="page" w:tblpX="1316" w:tblpY="349"/>
        <w:tblOverlap w:val="never"/>
        <w:tblW w:w="58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722"/>
        <w:gridCol w:w="7270"/>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41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28"/>
              <w:jc w:val="center"/>
              <w:textAlignment w:val="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default" w:ascii="宋体" w:hAnsi="宋体" w:eastAsia="宋体" w:cs="宋体"/>
                <w:b/>
                <w:color w:val="000000" w:themeColor="text1"/>
                <w:sz w:val="21"/>
                <w:szCs w:val="21"/>
                <w:highlight w:val="none"/>
                <w:lang w:val="en-US" w:eastAsia="zh-CN"/>
                <w14:textFill>
                  <w14:solidFill>
                    <w14:schemeClr w14:val="tx1"/>
                  </w14:solidFill>
                </w14:textFill>
              </w:rPr>
              <w:t>类型</w:t>
            </w:r>
          </w:p>
        </w:tc>
        <w:tc>
          <w:tcPr>
            <w:tcW w:w="3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28"/>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分值</w:t>
            </w:r>
          </w:p>
        </w:tc>
        <w:tc>
          <w:tcPr>
            <w:tcW w:w="36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28"/>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28"/>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价格：30分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商务：</w:t>
            </w: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 xml:space="preserve">分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技术：</w:t>
            </w:r>
            <w:r>
              <w:rPr>
                <w:rFonts w:hint="eastAsia" w:ascii="宋体" w:hAnsi="宋体" w:cs="宋体"/>
                <w:color w:val="000000" w:themeColor="text1"/>
                <w:sz w:val="21"/>
                <w:szCs w:val="21"/>
                <w:highlight w:val="none"/>
                <w:lang w:val="en-US" w:eastAsia="zh-CN"/>
                <w14:textFill>
                  <w14:solidFill>
                    <w14:schemeClr w14:val="tx1"/>
                  </w14:solidFill>
                </w14:textFill>
              </w:rPr>
              <w:t>56</w:t>
            </w:r>
            <w:r>
              <w:rPr>
                <w:rFonts w:hint="eastAsia" w:ascii="宋体" w:hAnsi="宋体" w:eastAsia="宋体" w:cs="宋体"/>
                <w:color w:val="000000" w:themeColor="text1"/>
                <w:sz w:val="21"/>
                <w:szCs w:val="21"/>
                <w:highlight w:val="none"/>
                <w14:textFill>
                  <w14:solidFill>
                    <w14:schemeClr w14:val="tx1"/>
                  </w14:solidFill>
                </w14:textFill>
              </w:rPr>
              <w:t xml:space="preserve">分              </w:t>
            </w:r>
          </w:p>
        </w:tc>
        <w:tc>
          <w:tcPr>
            <w:tcW w:w="58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41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价格评分标准</w:t>
            </w:r>
          </w:p>
        </w:tc>
        <w:tc>
          <w:tcPr>
            <w:tcW w:w="3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w:t>
            </w:r>
          </w:p>
        </w:tc>
        <w:tc>
          <w:tcPr>
            <w:tcW w:w="36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30分。（备注：对满足价格扣除条件且在投标文件中提交了《</w:t>
            </w:r>
            <w:r>
              <w:rPr>
                <w:rFonts w:hint="eastAsia" w:ascii="宋体" w:hAnsi="宋体" w:cs="宋体"/>
                <w:color w:val="000000" w:themeColor="text1"/>
                <w:sz w:val="21"/>
                <w:szCs w:val="21"/>
                <w:highlight w:val="none"/>
                <w:lang w:val="en-US" w:eastAsia="zh-CN"/>
                <w14:textFill>
                  <w14:solidFill>
                    <w14:schemeClr w14:val="tx1"/>
                  </w14:solidFill>
                </w14:textFill>
              </w:rPr>
              <w:t>中小企业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t>声明函》</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《残疾人福利性单位声明函》或省级以上监狱管理局、戒毒管理局（含新疆生产建设兵团）出具的属于监狱企业的证明文件的投标人，其投标报价扣除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后参与评审。对于同时属于小微企业、监狱企业或残疾人福利性单位的，不重复进行投标报价扣除。）</w:t>
            </w:r>
          </w:p>
        </w:tc>
        <w:tc>
          <w:tcPr>
            <w:tcW w:w="58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41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商务评分标准</w:t>
            </w:r>
          </w:p>
        </w:tc>
        <w:tc>
          <w:tcPr>
            <w:tcW w:w="3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36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业绩：投标供应商提供近三年内</w:t>
            </w:r>
            <w:r>
              <w:rPr>
                <w:rFonts w:hint="eastAsia" w:ascii="宋体" w:hAnsi="宋体" w:cs="宋体"/>
                <w:color w:val="000000" w:themeColor="text1"/>
                <w:sz w:val="21"/>
                <w:szCs w:val="21"/>
                <w:highlight w:val="none"/>
                <w:lang w:val="en-US" w:eastAsia="zh-CN"/>
                <w14:textFill>
                  <w14:solidFill>
                    <w14:schemeClr w14:val="tx1"/>
                  </w14:solidFill>
                </w14:textFill>
              </w:rPr>
              <w:t>（2020年01月至今）</w:t>
            </w:r>
            <w:r>
              <w:rPr>
                <w:rFonts w:hint="eastAsia" w:ascii="宋体" w:hAnsi="宋体" w:eastAsia="宋体" w:cs="宋体"/>
                <w:color w:val="000000" w:themeColor="text1"/>
                <w:sz w:val="21"/>
                <w:szCs w:val="21"/>
                <w:highlight w:val="none"/>
                <w:lang w:val="en-US" w:eastAsia="zh-CN"/>
                <w14:textFill>
                  <w14:solidFill>
                    <w14:schemeClr w14:val="tx1"/>
                  </w14:solidFill>
                </w14:textFill>
              </w:rPr>
              <w:t>类似业绩证明材料（</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投标文件内附中标/成交通知书及合同扫描件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，每提供一个得</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分，未提供的不得分。</w:t>
            </w:r>
          </w:p>
        </w:tc>
        <w:tc>
          <w:tcPr>
            <w:tcW w:w="58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41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36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以利于临床工作需要为前提，根据设备配置符合程度综合评判：所投产品①配置齐全，②便于用户临床使用，③操作简便，④便于维护。以上符合一项得 1 分， 不符合不得分。</w:t>
            </w:r>
          </w:p>
        </w:tc>
        <w:tc>
          <w:tcPr>
            <w:tcW w:w="58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41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36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有实质性优于招标文件要求的条款，满足招标文件要求质保年限每增加 1 年得 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分，此项最高得 </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分。</w:t>
            </w:r>
            <w:r>
              <w:rPr>
                <w:rFonts w:hint="eastAsia" w:ascii="宋体" w:hAnsi="宋体" w:cs="宋体"/>
                <w:b/>
                <w:bCs/>
                <w:color w:val="000000" w:themeColor="text1"/>
                <w:sz w:val="21"/>
                <w:szCs w:val="21"/>
                <w:highlight w:val="none"/>
                <w:lang w:val="en-US" w:eastAsia="zh-CN"/>
                <w14:textFill>
                  <w14:solidFill>
                    <w14:schemeClr w14:val="tx1"/>
                  </w14:solidFill>
                </w14:textFill>
              </w:rPr>
              <w:t>(此处所指质保年限为整个标项质保年限，非采购清单里某一单项设备质保期大于所在标项质保年限的)</w:t>
            </w:r>
          </w:p>
        </w:tc>
        <w:tc>
          <w:tcPr>
            <w:tcW w:w="58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41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36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bCs/>
                <w:color w:val="000000" w:themeColor="text1"/>
                <w:sz w:val="21"/>
                <w:szCs w:val="21"/>
                <w:lang w:val="en-US" w:eastAsia="zh-CN"/>
                <w14:textFill>
                  <w14:solidFill>
                    <w14:schemeClr w14:val="tx1"/>
                  </w14:solidFill>
                </w14:textFill>
              </w:rPr>
              <w:t>项目组人员（包括实施及售后人员）专业配置完整，职责明确，类似项目工作经验丰富，完全满足项目实施需要的得3分，每出现一处不满足或负偏离的根据偏离情况扣1分，扣完为止。</w:t>
            </w:r>
          </w:p>
        </w:tc>
        <w:tc>
          <w:tcPr>
            <w:tcW w:w="58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41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36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s="宋体"/>
                <w:bCs/>
                <w:color w:val="000000" w:themeColor="text1"/>
                <w:sz w:val="21"/>
                <w:szCs w:val="21"/>
                <w:lang w:val="en-US" w:eastAsia="zh-CN"/>
                <w14:textFill>
                  <w14:solidFill>
                    <w14:schemeClr w14:val="tx1"/>
                  </w14:solidFill>
                </w14:textFill>
              </w:rPr>
            </w:pPr>
            <w:r>
              <w:rPr>
                <w:rFonts w:hint="eastAsia" w:eastAsia="宋体" w:cs="宋体"/>
                <w:bCs/>
                <w:color w:val="000000" w:themeColor="text1"/>
                <w:sz w:val="21"/>
                <w:szCs w:val="21"/>
                <w:lang w:val="en-US" w:eastAsia="zh-CN"/>
                <w14:textFill>
                  <w14:solidFill>
                    <w14:schemeClr w14:val="tx1"/>
                  </w14:solidFill>
                </w14:textFill>
              </w:rPr>
              <w:t>投标文件是否①编制完整②格式规范③内容齐全④条理清晰⑤表述明确，根据投标人编制的投标文件的制作情况及资料提供情况进行打分，每有一项不满足扣0.2分，扣完为止；</w:t>
            </w:r>
          </w:p>
        </w:tc>
        <w:tc>
          <w:tcPr>
            <w:tcW w:w="58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41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技术评分标准</w:t>
            </w:r>
          </w:p>
        </w:tc>
        <w:tc>
          <w:tcPr>
            <w:tcW w:w="3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35</w:t>
            </w:r>
          </w:p>
        </w:tc>
        <w:tc>
          <w:tcPr>
            <w:tcW w:w="36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default" w:ascii="Calibri" w:hAnsi="Calibri" w:cs="Calibri"/>
                <w:color w:val="000000" w:themeColor="text1"/>
                <w:sz w:val="21"/>
                <w:szCs w:val="21"/>
                <w:highlight w:val="none"/>
                <w:lang w:val="en-US" w:eastAsia="zh-CN"/>
                <w14:textFill>
                  <w14:solidFill>
                    <w14:schemeClr w14:val="tx1"/>
                  </w14:solidFill>
                </w14:textFill>
              </w:rPr>
              <w:t>①</w:t>
            </w:r>
            <w:r>
              <w:rPr>
                <w:rFonts w:hint="eastAsia" w:ascii="宋体" w:hAnsi="宋体" w:cs="宋体"/>
                <w:color w:val="000000" w:themeColor="text1"/>
                <w:sz w:val="21"/>
                <w:szCs w:val="21"/>
                <w:highlight w:val="none"/>
                <w:lang w:val="en-US" w:eastAsia="zh-CN"/>
                <w14:textFill>
                  <w14:solidFill>
                    <w14:schemeClr w14:val="tx1"/>
                  </w14:solidFill>
                </w14:textFill>
              </w:rPr>
              <w:t>基本分：满足招标文件全部实质性要求的，得基本分30分；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default" w:ascii="Calibri" w:hAnsi="Calibri" w:eastAsia="宋体" w:cs="Calibri"/>
                <w:color w:val="000000" w:themeColor="text1"/>
                <w:sz w:val="21"/>
                <w:szCs w:val="21"/>
                <w:highlight w:val="none"/>
                <w:lang w:val="en-US" w:eastAsia="zh-CN"/>
                <w14:textFill>
                  <w14:solidFill>
                    <w14:schemeClr w14:val="tx1"/>
                  </w14:solidFill>
                </w14:textFill>
              </w:rPr>
              <w:t>②</w:t>
            </w:r>
            <w:r>
              <w:rPr>
                <w:rFonts w:hint="eastAsia" w:cs="Calibri"/>
                <w:color w:val="000000" w:themeColor="text1"/>
                <w:sz w:val="21"/>
                <w:szCs w:val="21"/>
                <w:highlight w:val="none"/>
                <w:lang w:val="en-US" w:eastAsia="zh-CN"/>
                <w14:textFill>
                  <w14:solidFill>
                    <w14:schemeClr w14:val="tx1"/>
                  </w14:solidFill>
                </w14:textFill>
              </w:rPr>
              <w:t>负偏离扣分：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标注“</w:t>
            </w:r>
            <w:r>
              <w:rPr>
                <w:rFonts w:hint="eastAsia" w:ascii="宋体" w:hAnsi="宋体" w:eastAsia="宋体" w:cs="宋体"/>
                <w:color w:val="000000"/>
                <w:kern w:val="2"/>
                <w:sz w:val="24"/>
                <w:szCs w:val="24"/>
                <w:lang w:val="en-US" w:eastAsia="zh-CN" w:bidi="ar"/>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”的参数为</w:t>
            </w:r>
            <w:r>
              <w:rPr>
                <w:rFonts w:hint="eastAsia" w:ascii="宋体" w:hAnsi="宋体" w:cs="宋体"/>
                <w:color w:val="000000" w:themeColor="text1"/>
                <w:sz w:val="21"/>
                <w:szCs w:val="21"/>
                <w:highlight w:val="none"/>
                <w:lang w:val="en-US" w:eastAsia="zh-CN"/>
                <w14:textFill>
                  <w14:solidFill>
                    <w14:schemeClr w14:val="tx1"/>
                  </w14:solidFill>
                </w14:textFill>
              </w:rPr>
              <w:t>重要</w:t>
            </w:r>
            <w:r>
              <w:rPr>
                <w:rFonts w:hint="eastAsia" w:ascii="宋体" w:hAnsi="宋体" w:eastAsia="宋体" w:cs="宋体"/>
                <w:color w:val="000000" w:themeColor="text1"/>
                <w:sz w:val="21"/>
                <w:szCs w:val="21"/>
                <w:highlight w:val="none"/>
                <w:lang w:val="en-US" w:eastAsia="zh-CN"/>
                <w14:textFill>
                  <w14:solidFill>
                    <w14:schemeClr w14:val="tx1"/>
                  </w14:solidFill>
                </w14:textFill>
              </w:rPr>
              <w:t>参数，按每项 3分抵扣，扣完为止；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其余</w:t>
            </w:r>
            <w:r>
              <w:rPr>
                <w:rFonts w:hint="eastAsia" w:ascii="宋体" w:hAnsi="宋体" w:eastAsia="宋体" w:cs="宋体"/>
                <w:color w:val="000000" w:themeColor="text1"/>
                <w:sz w:val="21"/>
                <w:szCs w:val="21"/>
                <w:highlight w:val="none"/>
                <w:lang w:val="en-US" w:eastAsia="zh-CN"/>
                <w14:textFill>
                  <w14:solidFill>
                    <w14:schemeClr w14:val="tx1"/>
                  </w14:solidFill>
                </w14:textFill>
              </w:rPr>
              <w:t>参数为一般参数，如不满足，按每项 1 分抵扣，扣完为止。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default" w:ascii="Calibri" w:hAnsi="Calibri" w:eastAsia="宋体" w:cs="Calibri"/>
                <w:color w:val="000000" w:themeColor="text1"/>
                <w:sz w:val="21"/>
                <w:szCs w:val="21"/>
                <w:highlight w:val="none"/>
                <w:lang w:val="en-US" w:eastAsia="zh-CN"/>
                <w14:textFill>
                  <w14:solidFill>
                    <w14:schemeClr w14:val="tx1"/>
                  </w14:solidFill>
                </w14:textFill>
              </w:rPr>
              <w:t>③</w:t>
            </w:r>
            <w:r>
              <w:rPr>
                <w:rFonts w:hint="eastAsia" w:ascii="宋体" w:hAnsi="宋体" w:cs="宋体"/>
                <w:color w:val="000000" w:themeColor="text1"/>
                <w:sz w:val="21"/>
                <w:szCs w:val="21"/>
                <w:highlight w:val="none"/>
                <w:lang w:val="en-US" w:eastAsia="zh-CN"/>
                <w14:textFill>
                  <w14:solidFill>
                    <w14:schemeClr w14:val="tx1"/>
                  </w14:solidFill>
                </w14:textFill>
              </w:rPr>
              <w:t>正偏离加分：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标注“</w:t>
            </w:r>
            <w:r>
              <w:rPr>
                <w:rFonts w:hint="eastAsia" w:ascii="宋体" w:hAnsi="宋体" w:eastAsia="宋体" w:cs="宋体"/>
                <w:color w:val="000000"/>
                <w:kern w:val="2"/>
                <w:sz w:val="24"/>
                <w:szCs w:val="24"/>
                <w:lang w:val="en-US" w:eastAsia="zh-CN" w:bidi="ar"/>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”的参数</w:t>
            </w:r>
            <w:r>
              <w:rPr>
                <w:rFonts w:hint="eastAsia" w:ascii="宋体" w:hAnsi="宋体" w:cs="宋体"/>
                <w:color w:val="000000" w:themeColor="text1"/>
                <w:sz w:val="21"/>
                <w:szCs w:val="21"/>
                <w:highlight w:val="none"/>
                <w:lang w:val="en-US" w:eastAsia="zh-CN"/>
                <w14:textFill>
                  <w14:solidFill>
                    <w14:schemeClr w14:val="tx1"/>
                  </w14:solidFill>
                </w14:textFill>
              </w:rPr>
              <w:t>优于招标文件参数的，每项加0.5分，最多加5分；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注：投标文件对技术需求发生偏离情况为“正偏离”时，应于“技术</w:t>
            </w:r>
            <w:r>
              <w:rPr>
                <w:rFonts w:hint="eastAsia" w:ascii="宋体" w:hAnsi="宋体" w:cs="宋体"/>
                <w:b/>
                <w:bCs/>
                <w:color w:val="000000" w:themeColor="text1"/>
                <w:sz w:val="21"/>
                <w:szCs w:val="21"/>
                <w:highlight w:val="none"/>
                <w:lang w:val="en-US" w:eastAsia="zh-CN"/>
                <w14:textFill>
                  <w14:solidFill>
                    <w14:schemeClr w14:val="tx1"/>
                  </w14:solidFill>
                </w14:textFill>
              </w:rPr>
              <w:t>规格</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偏离表”中详细填写偏离情况说明并提供相应有效证明材料（包括但不限于产品彩页或</w:t>
            </w:r>
            <w:r>
              <w:rPr>
                <w:rFonts w:hint="eastAsia" w:ascii="宋体" w:hAnsi="宋体" w:cs="宋体"/>
                <w:b/>
                <w:bCs/>
                <w:color w:val="000000" w:themeColor="text1"/>
                <w:sz w:val="21"/>
                <w:szCs w:val="21"/>
                <w:highlight w:val="none"/>
                <w:lang w:val="en-US" w:eastAsia="zh-CN"/>
                <w14:textFill>
                  <w14:solidFill>
                    <w14:schemeClr w14:val="tx1"/>
                  </w14:solidFill>
                </w14:textFill>
              </w:rPr>
              <w:t>生产</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厂家出具的加盖生产厂家公章的对应产品的白皮书或由国家认可的第三方检测机构出具的检测报告复印件），否则，评委将不予认可。</w:t>
            </w:r>
          </w:p>
        </w:tc>
        <w:tc>
          <w:tcPr>
            <w:tcW w:w="58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41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36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根据产品的维修维护成本、配套耗材价格（投标人需提供备品备件价目表，配套耗材价目表等；未提供此项不得分）等方面进行综合评价。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所提供产品备品备件价目表，配套耗材项目齐全且维修维护成本低得 2 分，项目不全或产品的维修维护成本高得 1 分，未提供不得分。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注：并承诺质保期后的维修仍然按照备品备件设备分项报价表内价格收取费用（提供承诺函，未提供承诺函不得分）</w:t>
            </w:r>
          </w:p>
        </w:tc>
        <w:tc>
          <w:tcPr>
            <w:tcW w:w="58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trPr>
        <w:tc>
          <w:tcPr>
            <w:tcW w:w="41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36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实施方案：①实施方案中质量保障措施、送货安装调试方案、项目实施期间安全保障措施、突发事件应急处理预案、按期交货的各环节时间进度安排完全满足项目实际要求的得</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分；方案描述不清晰或有缺失内容的每一项扣1分，扣完为止；未提供的不得分。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②项目安装、调试、测试方案合理且操作性较强，完全满足项目实际要求的得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分；方案描述不清晰或有缺失内容的每一项扣1分，扣完为止；未提供的不得分。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③有明确的项目质量管理方案和制度，项目管理机构人员配备及职责分配合理，符合项目实际，具有操作性；完全满足项目实际要求的得</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分；方案描述不清晰或</w:t>
            </w:r>
            <w:r>
              <w:rPr>
                <w:rFonts w:hint="eastAsia" w:ascii="宋体" w:hAnsi="宋体" w:cs="宋体"/>
                <w:color w:val="000000" w:themeColor="text1"/>
                <w:kern w:val="0"/>
                <w:sz w:val="21"/>
                <w:szCs w:val="21"/>
                <w:highlight w:val="none"/>
                <w:lang w:val="en-US" w:eastAsia="zh-CN"/>
                <w14:textFill>
                  <w14:solidFill>
                    <w14:schemeClr w14:val="tx1"/>
                  </w14:solidFill>
                </w14:textFill>
              </w:rPr>
              <w:t>可行性低</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的每一项扣1分，扣完为止；未提供的不得分。</w:t>
            </w:r>
          </w:p>
        </w:tc>
        <w:tc>
          <w:tcPr>
            <w:tcW w:w="58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41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36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培训方案：培训计划情况，应含详细合理的培训方案（包含：①培训时间；②培训地点；③培训产品基本原理、④操作使用和保养维修；⑤培训方式</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培训方案中包含以上每项内容，且方案切实可行，满足采购方需求得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分，每有一项内容缺失的扣</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分，每有一项内容阐述不全面、不符合项目实际情况</w:t>
            </w:r>
            <w:r>
              <w:rPr>
                <w:rFonts w:hint="eastAsia" w:ascii="宋体" w:hAnsi="宋体" w:cs="宋体"/>
                <w:color w:val="000000" w:themeColor="text1"/>
                <w:sz w:val="21"/>
                <w:szCs w:val="21"/>
                <w:highlight w:val="none"/>
                <w:lang w:val="en-US" w:eastAsia="zh-CN"/>
                <w14:textFill>
                  <w14:solidFill>
                    <w14:schemeClr w14:val="tx1"/>
                  </w14:solidFill>
                </w14:textFill>
              </w:rPr>
              <w:t>、无法满足采购需求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的扣</w:t>
            </w:r>
            <w:r>
              <w:rPr>
                <w:rFonts w:hint="eastAsia" w:ascii="宋体" w:hAnsi="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分，扣完为止。</w:t>
            </w:r>
          </w:p>
        </w:tc>
        <w:tc>
          <w:tcPr>
            <w:tcW w:w="58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trPr>
        <w:tc>
          <w:tcPr>
            <w:tcW w:w="41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363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质量保证及售后服务：</w:t>
            </w:r>
            <w:r>
              <w:rPr>
                <w:rFonts w:hint="eastAsia" w:ascii="宋体" w:hAnsi="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供应商根据本项目的采购需求制定售后方案，包括售后维保、技术人员技术支持及咨询服务。方案完整，逻辑清晰，贴合采购需求，可行性高的得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分；方案</w:t>
            </w:r>
            <w:r>
              <w:rPr>
                <w:rFonts w:hint="eastAsia" w:ascii="宋体" w:hAnsi="宋体" w:cs="宋体"/>
                <w:color w:val="000000" w:themeColor="text1"/>
                <w:sz w:val="21"/>
                <w:szCs w:val="21"/>
                <w:highlight w:val="none"/>
                <w:lang w:val="en-US" w:eastAsia="zh-CN"/>
                <w14:textFill>
                  <w14:solidFill>
                    <w14:schemeClr w14:val="tx1"/>
                  </w14:solidFill>
                </w14:textFill>
              </w:rPr>
              <w:t>较为</w:t>
            </w:r>
            <w:r>
              <w:rPr>
                <w:rFonts w:hint="eastAsia" w:ascii="宋体" w:hAnsi="宋体" w:eastAsia="宋体" w:cs="宋体"/>
                <w:color w:val="000000" w:themeColor="text1"/>
                <w:sz w:val="21"/>
                <w:szCs w:val="21"/>
                <w:highlight w:val="none"/>
                <w:lang w:val="en-US" w:eastAsia="zh-CN"/>
                <w14:textFill>
                  <w14:solidFill>
                    <w14:schemeClr w14:val="tx1"/>
                  </w14:solidFill>
                </w14:textFill>
              </w:rPr>
              <w:t>合理，可行性</w:t>
            </w:r>
            <w:r>
              <w:rPr>
                <w:rFonts w:hint="eastAsia" w:ascii="宋体" w:hAnsi="宋体" w:cs="宋体"/>
                <w:color w:val="000000" w:themeColor="text1"/>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sz w:val="21"/>
                <w:szCs w:val="21"/>
                <w:highlight w:val="none"/>
                <w:lang w:val="en-US" w:eastAsia="zh-CN"/>
                <w14:textFill>
                  <w14:solidFill>
                    <w14:schemeClr w14:val="tx1"/>
                  </w14:solidFill>
                </w14:textFill>
              </w:rPr>
              <w:t>高的得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分；方案结构混乱，不贴合本项目的采购需求得1分；未提供不得分。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供应商设有正规完善的售后维修服务机构，有至少2名的专职工程师，提供</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小时故障响应，12小时之内工程师修</w:t>
            </w:r>
            <w:r>
              <w:rPr>
                <w:rFonts w:hint="eastAsia"/>
                <w:color w:val="000000" w:themeColor="text1"/>
                <w:highlight w:val="none"/>
                <w:lang w:val="en-US" w:eastAsia="zh-CN"/>
                <w14:textFill>
                  <w14:solidFill>
                    <w14:schemeClr w14:val="tx1"/>
                  </w14:solidFill>
                </w14:textFill>
              </w:rPr>
              <w:t>复</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并排除故障的应急抢修方案</w:t>
            </w:r>
            <w:r>
              <w:rPr>
                <w:rFonts w:hint="eastAsia"/>
                <w:color w:val="000000" w:themeColor="text1"/>
                <w:highlight w:val="none"/>
                <w:lang w:val="en-US" w:eastAsia="zh-CN"/>
                <w14:textFill>
                  <w14:solidFill>
                    <w14:schemeClr w14:val="tx1"/>
                  </w14:solidFill>
                </w14:textFill>
              </w:rPr>
              <w:t>，省</w:t>
            </w:r>
            <w:r>
              <w:rPr>
                <w:rFonts w:hint="eastAsia"/>
                <w:color w:val="000000" w:themeColor="text1"/>
                <w:highlight w:val="none"/>
                <w14:textFill>
                  <w14:solidFill>
                    <w14:schemeClr w14:val="tx1"/>
                  </w14:solidFill>
                </w14:textFill>
              </w:rPr>
              <w:t>内常备配件库房</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color w:val="000000" w:themeColor="text1"/>
                <w:highlight w:val="none"/>
                <w14:textFill>
                  <w14:solidFill>
                    <w14:schemeClr w14:val="tx1"/>
                  </w14:solidFill>
                </w14:textFill>
              </w:rPr>
              <w:t>配件库房</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维修</w:t>
            </w:r>
            <w:r>
              <w:rPr>
                <w:rFonts w:hint="eastAsia" w:ascii="宋体" w:hAnsi="宋体" w:eastAsia="宋体" w:cs="宋体"/>
                <w:color w:val="000000" w:themeColor="text1"/>
                <w:sz w:val="21"/>
                <w:szCs w:val="21"/>
                <w:highlight w:val="none"/>
                <w:lang w:val="en-US" w:eastAsia="zh-CN"/>
                <w14:textFill>
                  <w14:solidFill>
                    <w14:schemeClr w14:val="tx1"/>
                  </w14:solidFill>
                </w14:textFill>
              </w:rPr>
              <w:t>详细地址及维修工程师姓名、联系电话、设备维修工程师资格证书及身份证、近三个月</w:t>
            </w:r>
            <w:r>
              <w:rPr>
                <w:rFonts w:hint="eastAsia" w:ascii="宋体" w:hAnsi="宋体" w:cs="宋体"/>
                <w:color w:val="000000" w:themeColor="text1"/>
                <w:sz w:val="21"/>
                <w:szCs w:val="21"/>
                <w:highlight w:val="none"/>
                <w:lang w:val="en-US" w:eastAsia="zh-CN"/>
                <w14:textFill>
                  <w14:solidFill>
                    <w14:schemeClr w14:val="tx1"/>
                  </w14:solidFill>
                </w14:textFill>
              </w:rPr>
              <w:t>中任意一个月</w:t>
            </w:r>
            <w:r>
              <w:rPr>
                <w:rFonts w:hint="eastAsia" w:ascii="宋体" w:hAnsi="宋体" w:eastAsia="宋体" w:cs="宋体"/>
                <w:color w:val="000000" w:themeColor="text1"/>
                <w:sz w:val="21"/>
                <w:szCs w:val="21"/>
                <w:highlight w:val="none"/>
                <w:lang w:val="en-US" w:eastAsia="zh-CN"/>
                <w14:textFill>
                  <w14:solidFill>
                    <w14:schemeClr w14:val="tx1"/>
                  </w14:solidFill>
                </w14:textFill>
              </w:rPr>
              <w:t>社保证明复印件。人员要求资料齐全、方案合理可行得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分；人员要求资料较齐全、方案较合理可行得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分；人员要求资料不齐全、方案不合理可行得1分；未提供不得分。</w:t>
            </w:r>
          </w:p>
        </w:tc>
        <w:tc>
          <w:tcPr>
            <w:tcW w:w="58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hint="default" w:ascii="宋体" w:hAnsi="宋体" w:eastAsia="宋体" w:cs="宋体"/>
          <w:color w:val="000000" w:themeColor="text1"/>
          <w:highlight w:val="none"/>
          <w:lang w:val="en-US" w:eastAsia="zh-CN"/>
          <w14:textFill>
            <w14:solidFill>
              <w14:schemeClr w14:val="tx1"/>
            </w14:solidFill>
          </w14:textFill>
        </w:rPr>
      </w:pPr>
    </w:p>
    <w:p>
      <w:pPr>
        <w:pStyle w:val="6"/>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备注：如有正偏离，请于“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技术</w:t>
      </w:r>
      <w:r>
        <w:rPr>
          <w:rFonts w:hint="eastAsia" w:ascii="宋体" w:hAnsi="宋体" w:cs="宋体"/>
          <w:b/>
          <w:bCs/>
          <w:color w:val="000000" w:themeColor="text1"/>
          <w:sz w:val="21"/>
          <w:szCs w:val="21"/>
          <w:highlight w:val="none"/>
          <w:lang w:val="en-US" w:eastAsia="zh-CN"/>
          <w14:textFill>
            <w14:solidFill>
              <w14:schemeClr w14:val="tx1"/>
            </w14:solidFill>
          </w14:textFill>
        </w:rPr>
        <w:t>规格</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偏离表</w:t>
      </w:r>
      <w:r>
        <w:rPr>
          <w:rFonts w:hint="eastAsia" w:ascii="宋体" w:hAnsi="宋体" w:cs="宋体"/>
          <w:color w:val="000000" w:themeColor="text1"/>
          <w:sz w:val="21"/>
          <w:szCs w:val="21"/>
          <w:highlight w:val="none"/>
          <w:lang w:val="en-US" w:eastAsia="zh-CN"/>
          <w14:textFill>
            <w14:solidFill>
              <w14:schemeClr w14:val="tx1"/>
            </w14:solidFill>
          </w14:textFill>
        </w:rPr>
        <w:t>”中“</w:t>
      </w:r>
      <w:r>
        <w:rPr>
          <w:rFonts w:hint="eastAsia" w:ascii="宋体" w:hAnsi="宋体" w:cs="宋体"/>
          <w:b/>
          <w:bCs/>
          <w:color w:val="000000" w:themeColor="text1"/>
          <w:sz w:val="21"/>
          <w:szCs w:val="21"/>
          <w:highlight w:val="none"/>
          <w:lang w:val="en-US" w:eastAsia="zh-CN"/>
          <w14:textFill>
            <w14:solidFill>
              <w14:schemeClr w14:val="tx1"/>
            </w14:solidFill>
          </w14:textFill>
        </w:rPr>
        <w:t>偏离</w:t>
      </w:r>
      <w:r>
        <w:rPr>
          <w:rFonts w:hint="eastAsia" w:ascii="宋体" w:hAnsi="宋体" w:cs="宋体"/>
          <w:color w:val="000000" w:themeColor="text1"/>
          <w:sz w:val="21"/>
          <w:szCs w:val="21"/>
          <w:highlight w:val="none"/>
          <w:lang w:val="en-US" w:eastAsia="zh-CN"/>
          <w14:textFill>
            <w14:solidFill>
              <w14:schemeClr w14:val="tx1"/>
            </w14:solidFill>
          </w14:textFill>
        </w:rPr>
        <w:t>”列以醒目加粗字体载明，并于“</w:t>
      </w:r>
      <w:r>
        <w:rPr>
          <w:rFonts w:hint="eastAsia" w:ascii="宋体" w:hAnsi="宋体" w:cs="宋体"/>
          <w:b/>
          <w:bCs/>
          <w:color w:val="000000" w:themeColor="text1"/>
          <w:sz w:val="21"/>
          <w:szCs w:val="21"/>
          <w:highlight w:val="none"/>
          <w:lang w:val="en-US" w:eastAsia="zh-CN"/>
          <w14:textFill>
            <w14:solidFill>
              <w14:schemeClr w14:val="tx1"/>
            </w14:solidFill>
          </w14:textFill>
        </w:rPr>
        <w:t>说明</w:t>
      </w:r>
      <w:r>
        <w:rPr>
          <w:rFonts w:hint="eastAsia" w:ascii="宋体" w:hAnsi="宋体" w:cs="宋体"/>
          <w:color w:val="000000" w:themeColor="text1"/>
          <w:sz w:val="21"/>
          <w:szCs w:val="21"/>
          <w:highlight w:val="none"/>
          <w:lang w:val="en-US" w:eastAsia="zh-CN"/>
          <w14:textFill>
            <w14:solidFill>
              <w14:schemeClr w14:val="tx1"/>
            </w14:solidFill>
          </w14:textFill>
        </w:rPr>
        <w:t>”列载明证明材料所在页码区域和简要描述正偏离的合理性（简要描述可另页描述，格式内容自拟，合理性描述的原则为“在没有使采购需求中其他功能效用变差的前提下，使得该项功能、效用变得更好”）</w:t>
      </w:r>
    </w:p>
    <w:p>
      <w:pPr>
        <w:pStyle w:val="6"/>
        <w:rPr>
          <w:rFonts w:hint="default"/>
          <w:color w:val="000000" w:themeColor="text1"/>
          <w:lang w:val="en-US" w:eastAsia="zh-CN"/>
          <w14:textFill>
            <w14:solidFill>
              <w14:schemeClr w14:val="tx1"/>
            </w14:solidFill>
          </w14:textFill>
        </w:rPr>
      </w:pPr>
    </w:p>
    <w:p>
      <w:pPr>
        <w:spacing w:line="240" w:lineRule="atLeast"/>
        <w:jc w:val="center"/>
        <w:rPr>
          <w:rFonts w:hint="eastAsia" w:ascii="宋体" w:hAnsi="宋体" w:eastAsia="宋体" w:cs="宋体"/>
          <w:b/>
          <w:color w:val="000000" w:themeColor="text1"/>
          <w:sz w:val="44"/>
          <w:szCs w:val="44"/>
          <w:highlight w:val="none"/>
          <w14:textFill>
            <w14:solidFill>
              <w14:schemeClr w14:val="tx1"/>
            </w14:solidFill>
          </w14:textFill>
        </w:rPr>
      </w:pPr>
    </w:p>
    <w:p>
      <w:pPr>
        <w:spacing w:line="240" w:lineRule="atLeast"/>
        <w:jc w:val="center"/>
        <w:rPr>
          <w:rFonts w:hint="eastAsia" w:ascii="宋体" w:hAnsi="宋体" w:eastAsia="宋体" w:cs="宋体"/>
          <w:b/>
          <w:color w:val="000000" w:themeColor="text1"/>
          <w:sz w:val="44"/>
          <w:szCs w:val="44"/>
          <w:highlight w:val="none"/>
          <w14:textFill>
            <w14:solidFill>
              <w14:schemeClr w14:val="tx1"/>
            </w14:solidFill>
          </w14:textFill>
        </w:rPr>
      </w:pPr>
    </w:p>
    <w:p>
      <w:pPr>
        <w:spacing w:line="240" w:lineRule="atLeast"/>
        <w:jc w:val="center"/>
        <w:rPr>
          <w:rFonts w:hint="eastAsia" w:ascii="宋体" w:hAnsi="宋体" w:eastAsia="宋体" w:cs="宋体"/>
          <w:b/>
          <w:color w:val="000000" w:themeColor="text1"/>
          <w:sz w:val="44"/>
          <w:szCs w:val="44"/>
          <w:highlight w:val="none"/>
          <w14:textFill>
            <w14:solidFill>
              <w14:schemeClr w14:val="tx1"/>
            </w14:solidFill>
          </w14:textFill>
        </w:rPr>
      </w:pPr>
    </w:p>
    <w:p>
      <w:pPr>
        <w:spacing w:line="240" w:lineRule="atLeast"/>
        <w:jc w:val="center"/>
        <w:rPr>
          <w:rFonts w:hint="eastAsia" w:ascii="宋体" w:hAnsi="宋体" w:eastAsia="宋体" w:cs="宋体"/>
          <w:b/>
          <w:color w:val="000000" w:themeColor="text1"/>
          <w:sz w:val="44"/>
          <w:szCs w:val="44"/>
          <w:highlight w:val="none"/>
          <w14:textFill>
            <w14:solidFill>
              <w14:schemeClr w14:val="tx1"/>
            </w14:solidFill>
          </w14:textFill>
        </w:rPr>
      </w:pPr>
    </w:p>
    <w:p>
      <w:pPr>
        <w:spacing w:line="240" w:lineRule="atLeast"/>
        <w:jc w:val="center"/>
        <w:rPr>
          <w:rFonts w:hint="eastAsia" w:ascii="宋体" w:hAnsi="宋体" w:eastAsia="宋体" w:cs="宋体"/>
          <w:b/>
          <w:color w:val="000000" w:themeColor="text1"/>
          <w:sz w:val="44"/>
          <w:szCs w:val="44"/>
          <w:highlight w:val="none"/>
          <w14:textFill>
            <w14:solidFill>
              <w14:schemeClr w14:val="tx1"/>
            </w14:solidFill>
          </w14:textFill>
        </w:rPr>
      </w:pPr>
    </w:p>
    <w:p>
      <w:pPr>
        <w:spacing w:line="240" w:lineRule="atLeast"/>
        <w:jc w:val="center"/>
        <w:rPr>
          <w:rFonts w:hint="eastAsia" w:ascii="宋体" w:hAnsi="宋体" w:eastAsia="宋体" w:cs="宋体"/>
          <w:b/>
          <w:color w:val="000000" w:themeColor="text1"/>
          <w:sz w:val="44"/>
          <w:szCs w:val="44"/>
          <w:highlight w:val="none"/>
          <w14:textFill>
            <w14:solidFill>
              <w14:schemeClr w14:val="tx1"/>
            </w14:solidFill>
          </w14:textFill>
        </w:rPr>
      </w:pPr>
    </w:p>
    <w:p>
      <w:pPr>
        <w:spacing w:line="240" w:lineRule="atLeas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招 标 文 件</w:t>
      </w:r>
    </w:p>
    <w:p>
      <w:pPr>
        <w:pStyle w:val="4"/>
        <w:rPr>
          <w:rFonts w:hint="eastAsia"/>
          <w:color w:val="000000" w:themeColor="text1"/>
          <w14:textFill>
            <w14:solidFill>
              <w14:schemeClr w14:val="tx1"/>
            </w14:solidFill>
          </w14:textFill>
        </w:rPr>
      </w:pPr>
    </w:p>
    <w:p>
      <w:pPr>
        <w:spacing w:line="240" w:lineRule="atLeast"/>
        <w:jc w:val="center"/>
        <w:rPr>
          <w:rFonts w:hint="eastAsia" w:ascii="宋体" w:hAnsi="宋体" w:eastAsia="宋体" w:cs="宋体"/>
          <w:b/>
          <w:color w:val="000000" w:themeColor="text1"/>
          <w:sz w:val="40"/>
          <w:szCs w:val="40"/>
          <w:highlight w:val="none"/>
          <w14:textFill>
            <w14:solidFill>
              <w14:schemeClr w14:val="tx1"/>
            </w14:solidFill>
          </w14:textFill>
        </w:rPr>
      </w:pPr>
    </w:p>
    <w:p>
      <w:pPr>
        <w:spacing w:line="240" w:lineRule="atLeast"/>
        <w:jc w:val="center"/>
        <w:rPr>
          <w:rFonts w:hint="default" w:ascii="宋体" w:hAnsi="宋体" w:cs="宋体"/>
          <w:b/>
          <w:color w:val="000000" w:themeColor="text1"/>
          <w:sz w:val="40"/>
          <w:szCs w:val="40"/>
          <w:highlight w:val="none"/>
          <w:lang w:val="en-US" w:eastAsia="zh-CN"/>
          <w14:textFill>
            <w14:solidFill>
              <w14:schemeClr w14:val="tx1"/>
            </w14:solidFill>
          </w14:textFill>
        </w:rPr>
      </w:pPr>
      <w:bookmarkStart w:id="1317" w:name="_Toc13284_WPSOffice_Level2"/>
      <w:r>
        <w:rPr>
          <w:rFonts w:hint="eastAsia" w:ascii="宋体" w:hAnsi="宋体" w:eastAsia="宋体" w:cs="宋体"/>
          <w:b/>
          <w:color w:val="000000" w:themeColor="text1"/>
          <w:sz w:val="40"/>
          <w:szCs w:val="40"/>
          <w:highlight w:val="none"/>
          <w14:textFill>
            <w14:solidFill>
              <w14:schemeClr w14:val="tx1"/>
            </w14:solidFill>
          </w14:textFill>
        </w:rPr>
        <w:t>项目编号：</w:t>
      </w:r>
      <w:bookmarkEnd w:id="1317"/>
      <w:r>
        <w:rPr>
          <w:rFonts w:hint="eastAsia" w:ascii="宋体" w:hAnsi="宋体" w:cs="宋体"/>
          <w:b/>
          <w:color w:val="000000" w:themeColor="text1"/>
          <w:sz w:val="40"/>
          <w:szCs w:val="40"/>
          <w:highlight w:val="none"/>
          <w:lang w:eastAsia="zh-CN"/>
          <w14:textFill>
            <w14:solidFill>
              <w14:schemeClr w14:val="tx1"/>
            </w14:solidFill>
          </w14:textFill>
        </w:rPr>
        <w:t>XBZB(GK)-23003</w:t>
      </w:r>
      <w:r>
        <w:rPr>
          <w:rFonts w:hint="eastAsia" w:ascii="宋体" w:hAnsi="宋体" w:cs="宋体"/>
          <w:b/>
          <w:color w:val="000000" w:themeColor="text1"/>
          <w:sz w:val="40"/>
          <w:szCs w:val="40"/>
          <w:highlight w:val="none"/>
          <w:lang w:val="en-US" w:eastAsia="zh-CN"/>
          <w14:textFill>
            <w14:solidFill>
              <w14:schemeClr w14:val="tx1"/>
            </w14:solidFill>
          </w14:textFill>
        </w:rPr>
        <w:t>-1</w:t>
      </w:r>
    </w:p>
    <w:p>
      <w:pPr>
        <w:pStyle w:val="4"/>
        <w:rPr>
          <w:rFonts w:hint="default"/>
          <w:color w:val="000000" w:themeColor="text1"/>
          <w:lang w:val="en-US" w:eastAsia="zh-CN"/>
          <w14:textFill>
            <w14:solidFill>
              <w14:schemeClr w14:val="tx1"/>
            </w14:solidFill>
          </w14:textFill>
        </w:rPr>
      </w:pPr>
    </w:p>
    <w:p>
      <w:pPr>
        <w:pStyle w:val="32"/>
        <w:ind w:firstLine="480"/>
        <w:rPr>
          <w:rFonts w:hint="eastAsia" w:ascii="宋体" w:hAnsi="宋体" w:eastAsia="宋体" w:cs="宋体"/>
          <w:color w:val="000000" w:themeColor="text1"/>
          <w:highlight w:val="none"/>
          <w14:textFill>
            <w14:solidFill>
              <w14:schemeClr w14:val="tx1"/>
            </w14:solidFill>
          </w14:textFill>
        </w:rPr>
      </w:pPr>
    </w:p>
    <w:p>
      <w:pPr>
        <w:spacing w:line="240" w:lineRule="atLeast"/>
        <w:jc w:val="center"/>
        <w:rPr>
          <w:rFonts w:hint="eastAsia" w:ascii="宋体" w:hAnsi="宋体" w:eastAsia="宋体" w:cs="宋体"/>
          <w:b/>
          <w:color w:val="000000" w:themeColor="text1"/>
          <w:sz w:val="40"/>
          <w:szCs w:val="40"/>
          <w:highlight w:val="none"/>
          <w14:textFill>
            <w14:solidFill>
              <w14:schemeClr w14:val="tx1"/>
            </w14:solidFill>
          </w14:textFill>
        </w:rPr>
      </w:pPr>
      <w:r>
        <w:rPr>
          <w:rFonts w:hint="eastAsia" w:ascii="宋体" w:hAnsi="宋体" w:eastAsia="宋体" w:cs="宋体"/>
          <w:b/>
          <w:color w:val="000000" w:themeColor="text1"/>
          <w:sz w:val="40"/>
          <w:szCs w:val="40"/>
          <w:highlight w:val="none"/>
          <w14:textFill>
            <w14:solidFill>
              <w14:schemeClr w14:val="tx1"/>
            </w14:solidFill>
          </w14:textFill>
        </w:rPr>
        <w:t>第 三 册</w:t>
      </w:r>
    </w:p>
    <w:p>
      <w:pPr>
        <w:spacing w:line="240" w:lineRule="atLeast"/>
        <w:jc w:val="center"/>
        <w:rPr>
          <w:rFonts w:hint="eastAsia" w:ascii="宋体" w:hAnsi="宋体" w:eastAsia="宋体" w:cs="宋体"/>
          <w:b/>
          <w:color w:val="000000" w:themeColor="text1"/>
          <w:sz w:val="32"/>
          <w:highlight w:val="none"/>
          <w14:textFill>
            <w14:solidFill>
              <w14:schemeClr w14:val="tx1"/>
            </w14:solidFill>
          </w14:textFill>
        </w:rPr>
      </w:pPr>
    </w:p>
    <w:p>
      <w:pPr>
        <w:spacing w:line="240" w:lineRule="atLeast"/>
        <w:ind w:left="1080" w:leftChars="257" w:hanging="540"/>
        <w:jc w:val="center"/>
        <w:rPr>
          <w:rFonts w:hint="eastAsia" w:ascii="宋体" w:hAnsi="宋体" w:eastAsia="宋体" w:cs="宋体"/>
          <w:b/>
          <w:color w:val="000000" w:themeColor="text1"/>
          <w:sz w:val="52"/>
          <w:highlight w:val="none"/>
          <w14:textFill>
            <w14:solidFill>
              <w14:schemeClr w14:val="tx1"/>
            </w14:solidFill>
          </w14:textFill>
        </w:rPr>
      </w:pPr>
    </w:p>
    <w:p>
      <w:pPr>
        <w:pStyle w:val="32"/>
        <w:rPr>
          <w:rFonts w:hint="eastAsia" w:ascii="宋体" w:hAnsi="宋体" w:eastAsia="宋体" w:cs="宋体"/>
          <w:b/>
          <w:color w:val="000000" w:themeColor="text1"/>
          <w:sz w:val="52"/>
          <w:highlight w:val="none"/>
          <w14:textFill>
            <w14:solidFill>
              <w14:schemeClr w14:val="tx1"/>
            </w14:solidFill>
          </w14:textFill>
        </w:rPr>
      </w:pPr>
    </w:p>
    <w:p>
      <w:pPr>
        <w:pStyle w:val="32"/>
        <w:rPr>
          <w:rFonts w:hint="eastAsia" w:ascii="宋体" w:hAnsi="宋体" w:eastAsia="宋体" w:cs="宋体"/>
          <w:b/>
          <w:color w:val="000000" w:themeColor="text1"/>
          <w:sz w:val="52"/>
          <w:highlight w:val="none"/>
          <w14:textFill>
            <w14:solidFill>
              <w14:schemeClr w14:val="tx1"/>
            </w14:solidFill>
          </w14:textFill>
        </w:rPr>
      </w:pPr>
    </w:p>
    <w:p>
      <w:pPr>
        <w:pStyle w:val="32"/>
        <w:rPr>
          <w:rFonts w:hint="eastAsia" w:ascii="宋体" w:hAnsi="宋体" w:eastAsia="宋体" w:cs="宋体"/>
          <w:b/>
          <w:color w:val="000000" w:themeColor="text1"/>
          <w:sz w:val="5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bookmarkStart w:id="1318" w:name="_Toc6865"/>
      <w:bookmarkStart w:id="1319" w:name="_Toc28085"/>
      <w:bookmarkStart w:id="1320" w:name="_Toc23920"/>
      <w:bookmarkStart w:id="1321" w:name="_Toc515647833"/>
      <w:bookmarkStart w:id="1322" w:name="_Toc4796"/>
      <w:r>
        <w:rPr>
          <w:rFonts w:hint="eastAsia" w:ascii="宋体" w:hAnsi="宋体" w:eastAsia="宋体" w:cs="宋体"/>
          <w:color w:val="000000" w:themeColor="text1"/>
          <w:highlight w:val="none"/>
          <w14:textFill>
            <w14:solidFill>
              <w14:schemeClr w14:val="tx1"/>
            </w14:solidFill>
          </w14:textFill>
        </w:rPr>
        <w:br w:type="page"/>
      </w:r>
    </w:p>
    <w:bookmarkEnd w:id="1318"/>
    <w:bookmarkEnd w:id="1319"/>
    <w:bookmarkEnd w:id="1320"/>
    <w:bookmarkEnd w:id="1321"/>
    <w:bookmarkEnd w:id="1322"/>
    <w:p>
      <w:pPr>
        <w:widowControl/>
        <w:spacing w:line="440" w:lineRule="exact"/>
        <w:jc w:val="center"/>
        <w:outlineLvl w:val="0"/>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pPr>
      <w:bookmarkStart w:id="1323" w:name="_Toc4781"/>
      <w:bookmarkStart w:id="1324" w:name="_Toc14631"/>
      <w:r>
        <w:rPr>
          <w:rFonts w:hint="eastAsia" w:ascii="宋体" w:hAnsi="宋体" w:eastAsia="宋体" w:cs="宋体"/>
          <w:b/>
          <w:bCs/>
          <w:color w:val="000000" w:themeColor="text1"/>
          <w:kern w:val="0"/>
          <w:sz w:val="32"/>
          <w:szCs w:val="32"/>
          <w:highlight w:val="none"/>
          <w:lang w:val="en-US" w:eastAsia="zh-CN" w:bidi="ar-SA"/>
          <w14:textFill>
            <w14:solidFill>
              <w14:schemeClr w14:val="tx1"/>
            </w14:solidFill>
          </w14:textFill>
        </w:rPr>
        <w:t>第7章  政府采购合同</w:t>
      </w:r>
      <w:bookmarkEnd w:id="1323"/>
      <w:bookmarkEnd w:id="1324"/>
      <w:bookmarkStart w:id="1325" w:name="_Hlt487972895"/>
      <w:bookmarkEnd w:id="1325"/>
      <w:bookmarkStart w:id="1326" w:name="_Toc216513788"/>
      <w:bookmarkEnd w:id="1326"/>
      <w:bookmarkStart w:id="1327" w:name="_Toc487900382"/>
      <w:bookmarkEnd w:id="1327"/>
    </w:p>
    <w:p>
      <w:pP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合同编号：   </w:t>
      </w:r>
      <w:r>
        <w:rPr>
          <w:rFonts w:hint="eastAsia" w:ascii="宋体" w:hAnsi="宋体" w:eastAsia="宋体" w:cs="宋体"/>
          <w:color w:val="000000" w:themeColor="text1"/>
          <w:highlight w:val="none"/>
          <w14:textFill>
            <w14:solidFill>
              <w14:schemeClr w14:val="tx1"/>
            </w14:solidFill>
          </w14:textFill>
        </w:rPr>
        <w:t xml:space="preserve">        </w:t>
      </w:r>
    </w:p>
    <w:p>
      <w:pPr>
        <w:outlineLvl w:val="9"/>
        <w:rPr>
          <w:rFonts w:hint="eastAsia" w:ascii="宋体" w:hAnsi="宋体" w:eastAsia="宋体" w:cs="宋体"/>
          <w:color w:val="000000" w:themeColor="text1"/>
          <w:highlight w:val="none"/>
          <w14:textFill>
            <w14:solidFill>
              <w14:schemeClr w14:val="tx1"/>
            </w14:solidFill>
          </w14:textFill>
        </w:rPr>
      </w:pPr>
    </w:p>
    <w:p>
      <w:pPr>
        <w:outlineLvl w:val="9"/>
        <w:rPr>
          <w:rFonts w:hint="eastAsia" w:ascii="宋体" w:hAnsi="宋体" w:eastAsia="宋体" w:cs="宋体"/>
          <w:color w:val="000000" w:themeColor="text1"/>
          <w:highlight w:val="none"/>
          <w14:textFill>
            <w14:solidFill>
              <w14:schemeClr w14:val="tx1"/>
            </w14:solidFill>
          </w14:textFill>
        </w:rPr>
      </w:pPr>
    </w:p>
    <w:p>
      <w:pPr>
        <w:outlineLvl w:val="9"/>
        <w:rPr>
          <w:rFonts w:hint="eastAsia" w:ascii="宋体" w:hAnsi="宋体" w:eastAsia="宋体" w:cs="宋体"/>
          <w:color w:val="000000" w:themeColor="text1"/>
          <w:highlight w:val="none"/>
          <w14:textFill>
            <w14:solidFill>
              <w14:schemeClr w14:val="tx1"/>
            </w14:solidFill>
          </w14:textFill>
        </w:rPr>
      </w:pPr>
    </w:p>
    <w:p>
      <w:pPr>
        <w:spacing w:line="500" w:lineRule="exact"/>
        <w:jc w:val="center"/>
        <w:outlineLvl w:val="9"/>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政府采购合同参考范本</w:t>
      </w:r>
    </w:p>
    <w:p>
      <w:pPr>
        <w:spacing w:line="500" w:lineRule="exact"/>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（货物类）</w:t>
      </w:r>
    </w:p>
    <w:p>
      <w:pPr>
        <w:outlineLvl w:val="9"/>
        <w:rPr>
          <w:rFonts w:hint="eastAsia" w:ascii="宋体" w:hAnsi="宋体" w:eastAsia="宋体" w:cs="宋体"/>
          <w:color w:val="000000" w:themeColor="text1"/>
          <w:highlight w:val="none"/>
          <w14:textFill>
            <w14:solidFill>
              <w14:schemeClr w14:val="tx1"/>
            </w14:solidFill>
          </w14:textFill>
        </w:rPr>
      </w:pPr>
    </w:p>
    <w:p>
      <w:pPr>
        <w:outlineLvl w:val="9"/>
        <w:rPr>
          <w:rFonts w:hint="eastAsia" w:ascii="宋体" w:hAnsi="宋体" w:eastAsia="宋体" w:cs="宋体"/>
          <w:color w:val="000000" w:themeColor="text1"/>
          <w:highlight w:val="none"/>
          <w14:textFill>
            <w14:solidFill>
              <w14:schemeClr w14:val="tx1"/>
            </w14:solidFill>
          </w14:textFill>
        </w:rPr>
      </w:pPr>
    </w:p>
    <w:p>
      <w:pPr>
        <w:pStyle w:val="113"/>
        <w:spacing w:line="360" w:lineRule="exact"/>
        <w:ind w:firstLine="0"/>
        <w:jc w:val="center"/>
        <w:outlineLvl w:val="9"/>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第一部分 合同书</w:t>
      </w:r>
    </w:p>
    <w:p>
      <w:pPr>
        <w:outlineLvl w:val="9"/>
        <w:rPr>
          <w:rFonts w:hint="eastAsia" w:ascii="宋体" w:hAnsi="宋体" w:eastAsia="宋体" w:cs="宋体"/>
          <w:color w:val="000000" w:themeColor="text1"/>
          <w:highlight w:val="none"/>
          <w14:textFill>
            <w14:solidFill>
              <w14:schemeClr w14:val="tx1"/>
            </w14:solidFill>
          </w14:textFill>
        </w:rPr>
      </w:pPr>
    </w:p>
    <w:p>
      <w:pPr>
        <w:spacing w:before="120" w:line="360" w:lineRule="exact"/>
        <w:ind w:left="96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114"/>
        <w:spacing w:before="120" w:line="360" w:lineRule="exact"/>
        <w:outlineLvl w:val="9"/>
        <w:rPr>
          <w:rFonts w:hint="eastAsia" w:ascii="宋体" w:hAnsi="宋体" w:eastAsia="宋体" w:cs="宋体"/>
          <w:color w:val="000000" w:themeColor="text1"/>
          <w:highlight w:val="none"/>
          <w14:textFill>
            <w14:solidFill>
              <w14:schemeClr w14:val="tx1"/>
            </w14:solidFill>
          </w14:textFill>
        </w:rPr>
      </w:pPr>
    </w:p>
    <w:p>
      <w:pPr>
        <w:pStyle w:val="114"/>
        <w:spacing w:before="120" w:line="360" w:lineRule="exact"/>
        <w:outlineLvl w:val="9"/>
        <w:rPr>
          <w:rFonts w:hint="eastAsia" w:ascii="宋体" w:hAnsi="宋体" w:eastAsia="宋体" w:cs="宋体"/>
          <w:color w:val="000000" w:themeColor="text1"/>
          <w:highlight w:val="none"/>
          <w14:textFill>
            <w14:solidFill>
              <w14:schemeClr w14:val="tx1"/>
            </w14:solidFill>
          </w14:textFill>
        </w:rPr>
      </w:pPr>
    </w:p>
    <w:p>
      <w:pPr>
        <w:spacing w:line="360" w:lineRule="exact"/>
        <w:outlineLvl w:val="9"/>
        <w:rPr>
          <w:rFonts w:hint="eastAsia" w:ascii="宋体" w:hAnsi="宋体" w:eastAsia="宋体" w:cs="宋体"/>
          <w:color w:val="000000" w:themeColor="text1"/>
          <w:highlight w:val="none"/>
          <w14:textFill>
            <w14:solidFill>
              <w14:schemeClr w14:val="tx1"/>
            </w14:solidFill>
          </w14:textFill>
        </w:rPr>
      </w:pPr>
    </w:p>
    <w:p>
      <w:pPr>
        <w:spacing w:before="120" w:line="360" w:lineRule="exact"/>
        <w:ind w:left="96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before="120" w:line="360" w:lineRule="exact"/>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before="120" w:line="360" w:lineRule="exact"/>
        <w:ind w:left="96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before="120" w:line="360" w:lineRule="exact"/>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before="120" w:line="360" w:lineRule="exact"/>
        <w:ind w:firstLine="960" w:firstLineChars="40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before="120" w:line="360" w:lineRule="exact"/>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before="120" w:line="360" w:lineRule="exact"/>
        <w:ind w:firstLine="960" w:firstLineChars="40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pPr>
        <w:autoSpaceDE w:val="0"/>
        <w:autoSpaceDN w:val="0"/>
        <w:adjustRightInd w:val="0"/>
        <w:spacing w:line="360" w:lineRule="exact"/>
        <w:ind w:firstLine="640"/>
        <w:jc w:val="center"/>
        <w:outlineLvl w:val="9"/>
        <w:rPr>
          <w:rFonts w:hint="eastAsia" w:ascii="宋体" w:hAnsi="宋体" w:eastAsia="宋体" w:cs="宋体"/>
          <w:color w:val="000000" w:themeColor="text1"/>
          <w:sz w:val="24"/>
          <w:szCs w:val="24"/>
          <w:highlight w:val="none"/>
          <w14:textFill>
            <w14:solidFill>
              <w14:schemeClr w14:val="tx1"/>
            </w14:solidFill>
          </w14:textFill>
        </w:rPr>
        <w:sectPr>
          <w:pgSz w:w="11905" w:h="16838"/>
          <w:pgMar w:top="1440" w:right="1797" w:bottom="1440" w:left="1797" w:header="851" w:footer="992" w:gutter="0"/>
          <w:pgNumType w:fmt="decimal"/>
          <w:cols w:space="0" w:num="1"/>
          <w:rtlGutter w:val="0"/>
          <w:docGrid w:linePitch="462" w:charSpace="0"/>
        </w:sectPr>
      </w:pP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1328" w:name="_Toc3029"/>
      <w:bookmarkStart w:id="1329" w:name="_Toc26721"/>
      <w:bookmarkStart w:id="1330" w:name="_Toc2232"/>
      <w:bookmarkStart w:id="1331" w:name="_Toc2659"/>
      <w:bookmarkStart w:id="1332" w:name="_Toc1846"/>
      <w:bookmarkStart w:id="1333" w:name="_Toc24059"/>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年</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月</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（采购人名称）   </w:t>
      </w:r>
      <w:r>
        <w:rPr>
          <w:rFonts w:hint="eastAsia" w:ascii="宋体" w:hAnsi="宋体" w:eastAsia="宋体" w:cs="宋体"/>
          <w:color w:val="000000" w:themeColor="text1"/>
          <w:sz w:val="24"/>
          <w:szCs w:val="24"/>
          <w:highlight w:val="none"/>
          <w14:textFill>
            <w14:solidFill>
              <w14:schemeClr w14:val="tx1"/>
            </w14:solidFill>
          </w14:textFill>
        </w:rPr>
        <w:t>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（政府采购方式）  </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（同前页项目名称）   </w:t>
      </w:r>
      <w:r>
        <w:rPr>
          <w:rFonts w:hint="eastAsia" w:ascii="宋体" w:hAnsi="宋体" w:eastAsia="宋体" w:cs="宋体"/>
          <w:color w:val="000000" w:themeColor="text1"/>
          <w:sz w:val="24"/>
          <w:szCs w:val="24"/>
          <w:highlight w:val="none"/>
          <w14:textFill>
            <w14:solidFill>
              <w14:schemeClr w14:val="tx1"/>
            </w14:solidFill>
          </w14:textFill>
        </w:rPr>
        <w:t>项目进行了采购。经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（相关评定主体名称）   </w:t>
      </w:r>
      <w:r>
        <w:rPr>
          <w:rFonts w:hint="eastAsia" w:ascii="宋体" w:hAnsi="宋体" w:eastAsia="宋体" w:cs="宋体"/>
          <w:color w:val="000000" w:themeColor="text1"/>
          <w:sz w:val="24"/>
          <w:szCs w:val="24"/>
          <w:highlight w:val="none"/>
          <w14:textFill>
            <w14:solidFill>
              <w14:schemeClr w14:val="tx1"/>
            </w14:solidFill>
          </w14:textFill>
        </w:rPr>
        <w:t>评定，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（中标供应商名称）</w:t>
      </w:r>
      <w:r>
        <w:rPr>
          <w:rFonts w:hint="eastAsia" w:ascii="宋体" w:hAnsi="宋体" w:eastAsia="宋体" w:cs="宋体"/>
          <w:color w:val="000000" w:themeColor="text1"/>
          <w:sz w:val="24"/>
          <w:szCs w:val="24"/>
          <w:highlight w:val="none"/>
          <w14:textFill>
            <w14:solidFill>
              <w14:schemeClr w14:val="tx1"/>
            </w14:solidFill>
          </w14:textFill>
        </w:rPr>
        <w:t>为该项目中标供应商。现于中标通知书发出之日起三十日内，按照采购文件确定的事项签订本合同。</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（采购人名称）   </w:t>
      </w:r>
      <w:r>
        <w:rPr>
          <w:rFonts w:hint="eastAsia" w:ascii="宋体" w:hAnsi="宋体" w:eastAsia="宋体" w:cs="宋体"/>
          <w:color w:val="000000" w:themeColor="text1"/>
          <w:sz w:val="24"/>
          <w:szCs w:val="24"/>
          <w:highlight w:val="none"/>
          <w:lang w:val="zh-CN"/>
          <w14:textFill>
            <w14:solidFill>
              <w14:schemeClr w14:val="tx1"/>
            </w14:solidFill>
          </w14:textFill>
        </w:rPr>
        <w:t>(以下简称：甲方)和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（中标供应商名称）   </w:t>
      </w:r>
      <w:r>
        <w:rPr>
          <w:rFonts w:hint="eastAsia" w:ascii="宋体" w:hAnsi="宋体" w:eastAsia="宋体" w:cs="宋体"/>
          <w:color w:val="000000" w:themeColor="text1"/>
          <w:sz w:val="24"/>
          <w:szCs w:val="24"/>
          <w:highlight w:val="none"/>
          <w:lang w:val="zh-CN"/>
          <w14:textFill>
            <w14:solidFill>
              <w14:schemeClr w14:val="tx1"/>
            </w14:solidFill>
          </w14:textFill>
        </w:rPr>
        <w:t>(以下简称：乙方)协商一致，约定以下合同</w:t>
      </w:r>
      <w:r>
        <w:rPr>
          <w:rFonts w:hint="eastAsia" w:ascii="宋体" w:hAnsi="宋体" w:eastAsia="宋体" w:cs="宋体"/>
          <w:color w:val="000000" w:themeColor="text1"/>
          <w:sz w:val="24"/>
          <w:szCs w:val="24"/>
          <w:highlight w:val="none"/>
          <w14:textFill>
            <w14:solidFill>
              <w14:schemeClr w14:val="tx1"/>
            </w14:solidFill>
          </w14:textFill>
        </w:rPr>
        <w:t>条款，以兹共同遵守、全面履行。</w:t>
      </w:r>
    </w:p>
    <w:bookmarkEnd w:id="1328"/>
    <w:bookmarkEnd w:id="1329"/>
    <w:bookmarkEnd w:id="1330"/>
    <w:bookmarkEnd w:id="1331"/>
    <w:bookmarkEnd w:id="1332"/>
    <w:bookmarkEnd w:id="1333"/>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334" w:name="_Toc18534"/>
      <w:bookmarkStart w:id="1335" w:name="_Toc27963"/>
      <w:bookmarkStart w:id="1336" w:name="_Toc6038"/>
      <w:bookmarkStart w:id="1337" w:name="_Toc26943"/>
      <w:bookmarkStart w:id="1338" w:name="_Toc14766"/>
      <w:bookmarkStart w:id="1339" w:name="_Toc4498"/>
      <w:bookmarkStart w:id="1340" w:name="_Toc967"/>
      <w:bookmarkStart w:id="1341" w:name="_Toc28090"/>
      <w:bookmarkStart w:id="1342" w:name="_Toc18247"/>
      <w:bookmarkStart w:id="1343" w:name="_Toc24186"/>
      <w:bookmarkStart w:id="1344" w:name="_Toc2616"/>
      <w:bookmarkStart w:id="1345" w:name="_Toc14493"/>
      <w:bookmarkStart w:id="1346" w:name="_Toc27428"/>
      <w:bookmarkStart w:id="1347" w:name="_Toc30575"/>
      <w:bookmarkStart w:id="1348" w:name="_Toc2992"/>
      <w:bookmarkStart w:id="1349" w:name="_Toc25352"/>
      <w:bookmarkStart w:id="1350" w:name="_Toc2048"/>
      <w:bookmarkStart w:id="1351" w:name="_Toc5475"/>
      <w:bookmarkStart w:id="1352" w:name="_Toc8683"/>
      <w:bookmarkStart w:id="1353" w:name="_Toc16230"/>
      <w:bookmarkStart w:id="1354" w:name="_Toc15305"/>
      <w:bookmarkStart w:id="1355" w:name="_Toc4751"/>
      <w:bookmarkStart w:id="1356" w:name="_Toc21386"/>
      <w:bookmarkStart w:id="1357" w:name="_Toc7850"/>
      <w:bookmarkStart w:id="1358" w:name="_Toc416"/>
      <w:bookmarkStart w:id="1359" w:name="_Toc29751"/>
      <w:bookmarkStart w:id="1360" w:name="_Toc14324"/>
      <w:bookmarkStart w:id="1361" w:name="_Toc17622"/>
      <w:r>
        <w:rPr>
          <w:rFonts w:hint="eastAsia" w:ascii="宋体" w:hAnsi="宋体" w:eastAsia="宋体" w:cs="宋体"/>
          <w:b/>
          <w:bCs/>
          <w:color w:val="000000" w:themeColor="text1"/>
          <w:sz w:val="24"/>
          <w:szCs w:val="24"/>
          <w:highlight w:val="none"/>
          <w14:textFill>
            <w14:solidFill>
              <w14:schemeClr w14:val="tx1"/>
            </w14:solidFill>
          </w14:textFill>
        </w:rPr>
        <w:t>1.1 合同组成部分</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本合同及其补充合同、变更协议；</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 中标通知书；</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 投标文件（含澄清或者说明文件）；</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1.1.4 招标文件（含澄清或者修改文件）；</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1.1.5 其他相关采购文件。</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362" w:name="_Toc21217"/>
      <w:bookmarkStart w:id="1363" w:name="_Toc13138"/>
      <w:bookmarkStart w:id="1364" w:name="_Toc14235"/>
      <w:bookmarkStart w:id="1365" w:name="_Toc20136"/>
      <w:bookmarkStart w:id="1366" w:name="_Toc25735"/>
      <w:bookmarkStart w:id="1367" w:name="_Toc21295"/>
      <w:bookmarkStart w:id="1368" w:name="_Toc19432"/>
      <w:bookmarkStart w:id="1369" w:name="_Toc31632"/>
      <w:bookmarkStart w:id="1370" w:name="_Toc24887"/>
      <w:bookmarkStart w:id="1371" w:name="_Toc9006"/>
      <w:bookmarkStart w:id="1372" w:name="_Toc1446"/>
      <w:bookmarkStart w:id="1373" w:name="_Toc11238"/>
      <w:bookmarkStart w:id="1374" w:name="_Toc24003"/>
      <w:bookmarkStart w:id="1375" w:name="_Toc12394"/>
      <w:bookmarkStart w:id="1376" w:name="_Toc21690"/>
      <w:bookmarkStart w:id="1377" w:name="_Toc27318"/>
      <w:bookmarkStart w:id="1378" w:name="_Toc24300"/>
      <w:bookmarkStart w:id="1379" w:name="_Toc7541"/>
      <w:bookmarkStart w:id="1380" w:name="_Toc16583"/>
      <w:bookmarkStart w:id="1381" w:name="_Toc31638"/>
      <w:bookmarkStart w:id="1382" w:name="_Toc22461"/>
      <w:bookmarkStart w:id="1383" w:name="_Toc2579"/>
      <w:bookmarkStart w:id="1384" w:name="_Toc1295"/>
      <w:bookmarkStart w:id="1385" w:name="_Toc5906"/>
      <w:bookmarkStart w:id="1386" w:name="_Toc25402"/>
      <w:bookmarkStart w:id="1387" w:name="_Toc11506"/>
      <w:bookmarkStart w:id="1388" w:name="_Toc27126"/>
      <w:bookmarkStart w:id="1389" w:name="_Toc7977"/>
      <w:bookmarkStart w:id="1390" w:name="_Toc25665"/>
      <w:bookmarkStart w:id="1391" w:name="_Toc4735"/>
      <w:bookmarkStart w:id="1392" w:name="_Toc32674"/>
      <w:bookmarkStart w:id="1393" w:name="_Toc15345"/>
      <w:bookmarkStart w:id="1394" w:name="_Toc8631"/>
      <w:bookmarkStart w:id="1395" w:name="_Toc24413"/>
      <w:r>
        <w:rPr>
          <w:rFonts w:hint="eastAsia" w:ascii="宋体" w:hAnsi="宋体" w:eastAsia="宋体" w:cs="宋体"/>
          <w:b/>
          <w:bCs/>
          <w:color w:val="000000" w:themeColor="text1"/>
          <w:sz w:val="24"/>
          <w:szCs w:val="24"/>
          <w:highlight w:val="none"/>
          <w14:textFill>
            <w14:solidFill>
              <w14:schemeClr w14:val="tx1"/>
            </w14:solidFill>
          </w14:textFill>
        </w:rPr>
        <w:t>1.2 货物</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pPr>
        <w:spacing w:line="360" w:lineRule="exact"/>
        <w:ind w:firstLine="480" w:firstLineChars="20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货物名称：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exact"/>
        <w:ind w:firstLine="480" w:firstLineChars="20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 货物数量：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 货物质量：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396" w:name="_Toc18204"/>
      <w:bookmarkStart w:id="1397" w:name="_Toc25180"/>
      <w:bookmarkStart w:id="1398" w:name="_Toc11045"/>
      <w:bookmarkStart w:id="1399" w:name="_Toc16487"/>
      <w:bookmarkStart w:id="1400" w:name="_Toc6581"/>
      <w:bookmarkStart w:id="1401" w:name="_Toc9364"/>
      <w:bookmarkStart w:id="1402" w:name="_Toc10942"/>
      <w:bookmarkStart w:id="1403" w:name="_Toc9579"/>
      <w:bookmarkStart w:id="1404" w:name="_Toc27282"/>
      <w:bookmarkStart w:id="1405" w:name="_Toc23292"/>
      <w:bookmarkStart w:id="1406" w:name="_Toc21631"/>
      <w:bookmarkStart w:id="1407" w:name="_Toc29608"/>
      <w:bookmarkStart w:id="1408" w:name="_Toc30667"/>
      <w:bookmarkStart w:id="1409" w:name="_Toc19682"/>
      <w:bookmarkStart w:id="1410" w:name="_Toc8386"/>
      <w:bookmarkStart w:id="1411" w:name="_Toc2897"/>
      <w:bookmarkStart w:id="1412" w:name="_Toc25368"/>
      <w:bookmarkStart w:id="1413" w:name="_Toc29469"/>
      <w:bookmarkStart w:id="1414" w:name="_Toc21040"/>
      <w:bookmarkStart w:id="1415" w:name="_Toc30755"/>
      <w:bookmarkStart w:id="1416" w:name="_Toc31994"/>
      <w:bookmarkStart w:id="1417" w:name="_Toc9271"/>
      <w:bookmarkStart w:id="1418" w:name="_Toc12266"/>
      <w:bookmarkStart w:id="1419" w:name="_Toc633"/>
      <w:bookmarkStart w:id="1420" w:name="_Toc31650"/>
      <w:bookmarkStart w:id="1421" w:name="_Toc13898"/>
      <w:bookmarkStart w:id="1422" w:name="_Toc6258"/>
      <w:bookmarkStart w:id="1423" w:name="_Toc28886"/>
      <w:bookmarkStart w:id="1424" w:name="_Toc1528"/>
      <w:bookmarkStart w:id="1425" w:name="_Toc1267"/>
      <w:bookmarkStart w:id="1426" w:name="_Toc21551"/>
      <w:bookmarkStart w:id="1427" w:name="_Toc26807"/>
      <w:bookmarkStart w:id="1428" w:name="_Toc29540"/>
      <w:r>
        <w:rPr>
          <w:rFonts w:hint="eastAsia" w:ascii="宋体" w:hAnsi="宋体" w:eastAsia="宋体" w:cs="宋体"/>
          <w:b/>
          <w:bCs/>
          <w:color w:val="000000" w:themeColor="text1"/>
          <w:sz w:val="24"/>
          <w:szCs w:val="24"/>
          <w:highlight w:val="none"/>
          <w14:textFill>
            <w14:solidFill>
              <w14:schemeClr w14:val="tx1"/>
            </w14:solidFill>
          </w14:textFill>
        </w:rPr>
        <w:t>1.3 价款</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本合同总价为：￥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元人民币）。</w:t>
      </w:r>
    </w:p>
    <w:p>
      <w:pPr>
        <w:spacing w:line="360" w:lineRule="exact"/>
        <w:ind w:firstLine="480" w:firstLineChars="20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分项价格：</w:t>
      </w:r>
    </w:p>
    <w:tbl>
      <w:tblPr>
        <w:tblStyle w:val="33"/>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115"/>
              <w:keepNext w:val="0"/>
              <w:keepLines w:val="0"/>
              <w:suppressLineNumbers w:val="0"/>
              <w:spacing w:before="0" w:beforeAutospacing="0" w:after="0" w:afterAutospacing="0" w:line="360" w:lineRule="exact"/>
              <w:ind w:left="0" w:right="0"/>
              <w:jc w:val="center"/>
              <w:outlineLvl w:val="9"/>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序号</w:t>
            </w:r>
          </w:p>
        </w:tc>
        <w:tc>
          <w:tcPr>
            <w:tcW w:w="3738" w:type="dxa"/>
            <w:vAlign w:val="center"/>
          </w:tcPr>
          <w:p>
            <w:pPr>
              <w:pStyle w:val="115"/>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分项名称</w:t>
            </w:r>
          </w:p>
        </w:tc>
        <w:tc>
          <w:tcPr>
            <w:tcW w:w="2803" w:type="dxa"/>
            <w:vAlign w:val="center"/>
          </w:tcPr>
          <w:p>
            <w:pPr>
              <w:pStyle w:val="115"/>
              <w:keepNext w:val="0"/>
              <w:keepLines w:val="0"/>
              <w:suppressLineNumbers w:val="0"/>
              <w:spacing w:before="0" w:beforeAutospacing="0" w:after="0" w:afterAutospacing="0" w:line="360" w:lineRule="exact"/>
              <w:ind w:left="0" w:right="0"/>
              <w:jc w:val="center"/>
              <w:outlineLvl w:val="9"/>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115"/>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000000" w:themeColor="text1"/>
                <w:kern w:val="2"/>
                <w:sz w:val="24"/>
                <w:szCs w:val="24"/>
                <w:highlight w:val="none"/>
                <w14:textFill>
                  <w14:solidFill>
                    <w14:schemeClr w14:val="tx1"/>
                  </w14:solidFill>
                </w14:textFill>
              </w:rPr>
            </w:pPr>
          </w:p>
        </w:tc>
        <w:tc>
          <w:tcPr>
            <w:tcW w:w="3738" w:type="dxa"/>
            <w:vAlign w:val="center"/>
          </w:tcPr>
          <w:p>
            <w:pPr>
              <w:pStyle w:val="115"/>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000000" w:themeColor="text1"/>
                <w:kern w:val="2"/>
                <w:sz w:val="24"/>
                <w:szCs w:val="24"/>
                <w:highlight w:val="none"/>
                <w14:textFill>
                  <w14:solidFill>
                    <w14:schemeClr w14:val="tx1"/>
                  </w14:solidFill>
                </w14:textFill>
              </w:rPr>
            </w:pPr>
          </w:p>
        </w:tc>
        <w:tc>
          <w:tcPr>
            <w:tcW w:w="2803" w:type="dxa"/>
            <w:vAlign w:val="center"/>
          </w:tcPr>
          <w:p>
            <w:pPr>
              <w:pStyle w:val="115"/>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115"/>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000000" w:themeColor="text1"/>
                <w:kern w:val="2"/>
                <w:sz w:val="24"/>
                <w:szCs w:val="24"/>
                <w:highlight w:val="none"/>
                <w14:textFill>
                  <w14:solidFill>
                    <w14:schemeClr w14:val="tx1"/>
                  </w14:solidFill>
                </w14:textFill>
              </w:rPr>
            </w:pPr>
          </w:p>
        </w:tc>
        <w:tc>
          <w:tcPr>
            <w:tcW w:w="3738" w:type="dxa"/>
            <w:vAlign w:val="center"/>
          </w:tcPr>
          <w:p>
            <w:pPr>
              <w:pStyle w:val="115"/>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000000" w:themeColor="text1"/>
                <w:kern w:val="2"/>
                <w:sz w:val="24"/>
                <w:szCs w:val="24"/>
                <w:highlight w:val="none"/>
                <w14:textFill>
                  <w14:solidFill>
                    <w14:schemeClr w14:val="tx1"/>
                  </w14:solidFill>
                </w14:textFill>
              </w:rPr>
            </w:pPr>
          </w:p>
        </w:tc>
        <w:tc>
          <w:tcPr>
            <w:tcW w:w="2803" w:type="dxa"/>
            <w:vAlign w:val="center"/>
          </w:tcPr>
          <w:p>
            <w:pPr>
              <w:pStyle w:val="115"/>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115"/>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总价</w:t>
            </w:r>
          </w:p>
        </w:tc>
        <w:tc>
          <w:tcPr>
            <w:tcW w:w="2803" w:type="dxa"/>
            <w:vAlign w:val="center"/>
          </w:tcPr>
          <w:p>
            <w:pPr>
              <w:pStyle w:val="115"/>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000000" w:themeColor="text1"/>
                <w:kern w:val="2"/>
                <w:sz w:val="24"/>
                <w:szCs w:val="24"/>
                <w:highlight w:val="none"/>
                <w14:textFill>
                  <w14:solidFill>
                    <w14:schemeClr w14:val="tx1"/>
                  </w14:solidFill>
                </w14:textFill>
              </w:rPr>
            </w:pPr>
          </w:p>
        </w:tc>
      </w:tr>
    </w:tbl>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429" w:name="_Toc24781"/>
      <w:bookmarkStart w:id="1430" w:name="_Toc30643"/>
      <w:bookmarkStart w:id="1431" w:name="_Toc28773"/>
      <w:bookmarkStart w:id="1432" w:name="_Toc10340"/>
      <w:bookmarkStart w:id="1433" w:name="_Toc11737"/>
      <w:bookmarkStart w:id="1434" w:name="_Toc5736"/>
      <w:bookmarkStart w:id="1435" w:name="_Toc8276"/>
      <w:bookmarkStart w:id="1436" w:name="_Toc4585"/>
      <w:bookmarkStart w:id="1437" w:name="_Toc6614"/>
      <w:bookmarkStart w:id="1438" w:name="_Toc6274"/>
      <w:bookmarkStart w:id="1439" w:name="_Toc8933"/>
      <w:bookmarkStart w:id="1440" w:name="_Toc25914"/>
      <w:bookmarkStart w:id="1441" w:name="_Toc10086"/>
      <w:bookmarkStart w:id="1442" w:name="_Toc27908"/>
      <w:bookmarkStart w:id="1443" w:name="_Toc28499"/>
      <w:bookmarkStart w:id="1444" w:name="_Toc26112"/>
      <w:bookmarkStart w:id="1445" w:name="_Toc7801"/>
      <w:bookmarkStart w:id="1446" w:name="_Toc27654"/>
      <w:bookmarkStart w:id="1447" w:name="_Toc21349"/>
      <w:bookmarkStart w:id="1448" w:name="_Toc44"/>
      <w:bookmarkStart w:id="1449" w:name="_Toc1814"/>
      <w:bookmarkStart w:id="1450" w:name="_Toc11775"/>
      <w:bookmarkStart w:id="1451" w:name="_Toc26470"/>
      <w:bookmarkStart w:id="1452" w:name="_Toc7458"/>
      <w:bookmarkStart w:id="1453" w:name="_Toc23603"/>
      <w:bookmarkStart w:id="1454" w:name="_Toc5065"/>
      <w:bookmarkStart w:id="1455" w:name="_Toc2285"/>
      <w:bookmarkStart w:id="1456" w:name="_Toc27817"/>
      <w:bookmarkStart w:id="1457" w:name="_Toc30507"/>
      <w:bookmarkStart w:id="1458" w:name="_Toc16769"/>
      <w:bookmarkStart w:id="1459" w:name="_Toc673"/>
      <w:r>
        <w:rPr>
          <w:rFonts w:hint="eastAsia" w:ascii="宋体" w:hAnsi="宋体" w:eastAsia="宋体" w:cs="宋体"/>
          <w:b/>
          <w:bCs/>
          <w:color w:val="000000" w:themeColor="text1"/>
          <w:sz w:val="24"/>
          <w:szCs w:val="24"/>
          <w:highlight w:val="none"/>
          <w14:textFill>
            <w14:solidFill>
              <w14:schemeClr w14:val="tx1"/>
            </w14:solidFill>
          </w14:textFill>
        </w:rPr>
        <w:t>1.4 付款方式和发票开具方式</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付款方式：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发票开具方式：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460" w:name="_Toc30894"/>
      <w:bookmarkStart w:id="1461" w:name="_Toc2750"/>
      <w:bookmarkStart w:id="1462" w:name="_Toc30563"/>
      <w:bookmarkStart w:id="1463" w:name="_Toc29557"/>
      <w:bookmarkStart w:id="1464" w:name="_Toc11682"/>
      <w:bookmarkStart w:id="1465" w:name="_Toc16823"/>
      <w:bookmarkStart w:id="1466" w:name="_Toc2083"/>
      <w:bookmarkStart w:id="1467" w:name="_Toc26187"/>
      <w:bookmarkStart w:id="1468" w:name="_Toc17179"/>
      <w:bookmarkStart w:id="1469" w:name="_Toc30447"/>
      <w:bookmarkStart w:id="1470" w:name="_Toc2852"/>
      <w:bookmarkStart w:id="1471" w:name="_Toc32071"/>
      <w:bookmarkStart w:id="1472" w:name="_Toc23862"/>
      <w:bookmarkStart w:id="1473" w:name="_Toc15376"/>
      <w:bookmarkStart w:id="1474" w:name="_Toc32641"/>
      <w:bookmarkStart w:id="1475" w:name="_Toc17448"/>
      <w:bookmarkStart w:id="1476" w:name="_Toc19304"/>
      <w:bookmarkStart w:id="1477" w:name="_Toc26681"/>
      <w:bookmarkStart w:id="1478" w:name="_Toc8997"/>
      <w:bookmarkStart w:id="1479" w:name="_Toc17060"/>
      <w:bookmarkStart w:id="1480" w:name="_Toc8167"/>
      <w:bookmarkStart w:id="1481" w:name="_Toc2846"/>
      <w:bookmarkStart w:id="1482" w:name="_Toc4058"/>
      <w:bookmarkStart w:id="1483" w:name="_Toc29863"/>
      <w:bookmarkStart w:id="1484" w:name="_Toc22861"/>
      <w:bookmarkStart w:id="1485" w:name="_Toc4501"/>
      <w:bookmarkStart w:id="1486" w:name="_Toc4377"/>
      <w:bookmarkStart w:id="1487" w:name="_Toc28343"/>
      <w:bookmarkStart w:id="1488" w:name="_Toc6106"/>
      <w:bookmarkStart w:id="1489" w:name="_Toc25278"/>
      <w:bookmarkStart w:id="1490" w:name="_Toc5673"/>
      <w:bookmarkStart w:id="1491" w:name="_Toc10276"/>
      <w:bookmarkStart w:id="1492" w:name="_Toc4651"/>
      <w:bookmarkStart w:id="1493" w:name="_Toc9478"/>
      <w:bookmarkStart w:id="1494" w:name="_Toc25427"/>
      <w:r>
        <w:rPr>
          <w:rFonts w:hint="eastAsia" w:ascii="宋体" w:hAnsi="宋体" w:eastAsia="宋体" w:cs="宋体"/>
          <w:b/>
          <w:bCs/>
          <w:color w:val="000000" w:themeColor="text1"/>
          <w:sz w:val="24"/>
          <w:szCs w:val="24"/>
          <w:highlight w:val="none"/>
          <w14:textFill>
            <w14:solidFill>
              <w14:schemeClr w14:val="tx1"/>
            </w14:solidFill>
          </w14:textFill>
        </w:rPr>
        <w:t>1.5 货物交付期限、地点和方式</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p>
    <w:p>
      <w:pPr>
        <w:spacing w:line="360" w:lineRule="exact"/>
        <w:ind w:firstLine="480" w:firstLineChars="20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 交付期限：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 交付地点：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交付方式：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495" w:name="_Toc19923"/>
      <w:bookmarkStart w:id="1496" w:name="_Toc15668"/>
      <w:bookmarkStart w:id="1497" w:name="_Toc29769"/>
      <w:bookmarkStart w:id="1498" w:name="_Toc10321"/>
      <w:bookmarkStart w:id="1499" w:name="_Toc21406"/>
      <w:bookmarkStart w:id="1500" w:name="_Toc8569"/>
      <w:bookmarkStart w:id="1501" w:name="_Toc12424"/>
      <w:bookmarkStart w:id="1502" w:name="_Toc28455"/>
      <w:bookmarkStart w:id="1503" w:name="_Toc8754"/>
      <w:bookmarkStart w:id="1504" w:name="_Toc12629"/>
      <w:bookmarkStart w:id="1505" w:name="_Toc12753"/>
      <w:bookmarkStart w:id="1506" w:name="_Toc15865"/>
      <w:bookmarkStart w:id="1507" w:name="_Toc4190"/>
      <w:bookmarkStart w:id="1508" w:name="_Toc23854"/>
      <w:bookmarkStart w:id="1509" w:name="_Toc32387"/>
      <w:bookmarkStart w:id="1510" w:name="_Toc22802"/>
      <w:bookmarkStart w:id="1511" w:name="_Toc11237"/>
      <w:bookmarkStart w:id="1512" w:name="_Toc21423"/>
      <w:bookmarkStart w:id="1513" w:name="_Toc5694"/>
      <w:bookmarkStart w:id="1514" w:name="_Toc13799"/>
      <w:bookmarkStart w:id="1515" w:name="_Toc3320"/>
      <w:bookmarkStart w:id="1516" w:name="_Toc13569"/>
      <w:bookmarkStart w:id="1517" w:name="_Toc10320"/>
      <w:bookmarkStart w:id="1518" w:name="_Toc19554"/>
      <w:bookmarkStart w:id="1519" w:name="_Toc1835"/>
      <w:bookmarkStart w:id="1520" w:name="_Toc12988"/>
      <w:bookmarkStart w:id="1521" w:name="_Toc6841"/>
      <w:bookmarkStart w:id="1522" w:name="_Toc27247"/>
      <w:bookmarkStart w:id="1523" w:name="_Toc25694"/>
      <w:bookmarkStart w:id="1524" w:name="_Toc12679"/>
      <w:bookmarkStart w:id="1525" w:name="_Toc26850"/>
      <w:bookmarkStart w:id="1526" w:name="_Toc27250"/>
      <w:bookmarkStart w:id="1527" w:name="_Toc7978"/>
      <w:r>
        <w:rPr>
          <w:rFonts w:hint="eastAsia" w:ascii="宋体" w:hAnsi="宋体" w:eastAsia="宋体" w:cs="宋体"/>
          <w:b/>
          <w:bCs/>
          <w:color w:val="000000" w:themeColor="text1"/>
          <w:sz w:val="24"/>
          <w:szCs w:val="24"/>
          <w:highlight w:val="none"/>
          <w14:textFill>
            <w14:solidFill>
              <w14:schemeClr w14:val="tx1"/>
            </w14:solidFill>
          </w14:textFill>
        </w:rPr>
        <w:t>1.6 违约责任</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%；迟延交付货物的违约金计算数额达到前述最高限额之日起，甲方有权在要求乙方支付违约金的同时，书面通知乙方解除本合同；</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%；迟延付款的违约金计算数额达到前述最高限额之日起，乙方有权在要求甲方支付违约金的同时，书面通知甲方解除本合同；</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528" w:name="_Toc27762"/>
      <w:bookmarkStart w:id="1529" w:name="_Toc3403"/>
      <w:bookmarkStart w:id="1530" w:name="_Toc13284"/>
      <w:bookmarkStart w:id="1531" w:name="_Toc6344"/>
      <w:bookmarkStart w:id="1532" w:name="_Toc12769"/>
      <w:bookmarkStart w:id="1533" w:name="_Toc27927"/>
      <w:bookmarkStart w:id="1534" w:name="_Toc1244"/>
      <w:bookmarkStart w:id="1535" w:name="_Toc29447"/>
      <w:bookmarkStart w:id="1536" w:name="_Toc19011"/>
      <w:bookmarkStart w:id="1537" w:name="_Toc4900"/>
      <w:bookmarkStart w:id="1538" w:name="_Toc23654"/>
      <w:bookmarkStart w:id="1539" w:name="_Toc20610"/>
      <w:bookmarkStart w:id="1540" w:name="_Toc21643"/>
      <w:bookmarkStart w:id="1541" w:name="_Toc31145"/>
      <w:bookmarkStart w:id="1542" w:name="_Toc9069"/>
      <w:bookmarkStart w:id="1543" w:name="_Toc8914"/>
      <w:bookmarkStart w:id="1544" w:name="_Toc7216"/>
      <w:bookmarkStart w:id="1545" w:name="_Toc16341"/>
      <w:bookmarkStart w:id="1546" w:name="_Toc30551"/>
      <w:bookmarkStart w:id="1547" w:name="_Toc9202"/>
      <w:bookmarkStart w:id="1548" w:name="_Toc2053"/>
      <w:bookmarkStart w:id="1549" w:name="_Toc24393"/>
      <w:bookmarkStart w:id="1550" w:name="_Toc15583"/>
      <w:bookmarkStart w:id="1551" w:name="_Toc17508"/>
      <w:bookmarkStart w:id="1552" w:name="_Toc25915"/>
      <w:bookmarkStart w:id="1553" w:name="_Toc12021"/>
      <w:bookmarkStart w:id="1554" w:name="_Toc12178"/>
      <w:bookmarkStart w:id="1555" w:name="_Toc29338"/>
      <w:bookmarkStart w:id="1556" w:name="_Toc20497"/>
      <w:bookmarkStart w:id="1557" w:name="_Toc28375"/>
      <w:bookmarkStart w:id="1558" w:name="_Toc2369"/>
      <w:bookmarkStart w:id="1559" w:name="_Toc22341"/>
      <w:bookmarkStart w:id="1560" w:name="_Toc5482"/>
      <w:bookmarkStart w:id="1561" w:name="_Toc16021"/>
      <w:r>
        <w:rPr>
          <w:rFonts w:hint="eastAsia" w:ascii="宋体" w:hAnsi="宋体" w:eastAsia="宋体" w:cs="宋体"/>
          <w:b/>
          <w:bCs/>
          <w:color w:val="000000" w:themeColor="text1"/>
          <w:sz w:val="24"/>
          <w:szCs w:val="24"/>
          <w:highlight w:val="none"/>
          <w14:textFill>
            <w14:solidFill>
              <w14:schemeClr w14:val="tx1"/>
            </w14:solidFill>
          </w14:textFill>
        </w:rPr>
        <w:t>1.7 合同争议的解决</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种方式解决：</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 将争议提交</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仲裁委员会依申请仲裁时其现行有效的仲裁规则裁决；</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宋体" w:hAnsi="宋体" w:eastAsia="宋体" w:cs="宋体"/>
          <w:color w:val="000000" w:themeColor="text1"/>
          <w:sz w:val="24"/>
          <w:szCs w:val="24"/>
          <w:highlight w:val="none"/>
          <w14:textFill>
            <w14:solidFill>
              <w14:schemeClr w14:val="tx1"/>
            </w14:solidFill>
          </w14:textFill>
        </w:rPr>
        <w:t>人民法院起诉。</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562" w:name="_Toc20305"/>
      <w:bookmarkStart w:id="1563" w:name="_Toc21408"/>
      <w:bookmarkStart w:id="1564" w:name="_Toc1647"/>
      <w:bookmarkStart w:id="1565" w:name="_Toc32578"/>
      <w:bookmarkStart w:id="1566" w:name="_Toc32374"/>
      <w:bookmarkStart w:id="1567" w:name="_Toc2894"/>
      <w:bookmarkStart w:id="1568" w:name="_Toc8975"/>
      <w:bookmarkStart w:id="1569" w:name="_Toc2901"/>
      <w:bookmarkStart w:id="1570" w:name="_Toc30260"/>
      <w:bookmarkStart w:id="1571" w:name="_Toc28492"/>
      <w:bookmarkStart w:id="1572" w:name="_Toc12946"/>
      <w:bookmarkStart w:id="1573" w:name="_Toc14796"/>
      <w:bookmarkStart w:id="1574" w:name="_Toc518"/>
      <w:bookmarkStart w:id="1575" w:name="_Toc9329"/>
      <w:bookmarkStart w:id="1576" w:name="_Toc7245"/>
      <w:bookmarkStart w:id="1577" w:name="_Toc6411"/>
      <w:bookmarkStart w:id="1578" w:name="_Toc17113"/>
      <w:bookmarkStart w:id="1579" w:name="_Toc20192"/>
      <w:bookmarkStart w:id="1580" w:name="_Toc10255"/>
      <w:bookmarkStart w:id="1581" w:name="_Toc26464"/>
      <w:bookmarkStart w:id="1582" w:name="_Toc12054"/>
      <w:bookmarkStart w:id="1583" w:name="_Toc5077"/>
      <w:bookmarkStart w:id="1584" w:name="_Toc31964"/>
      <w:bookmarkStart w:id="1585" w:name="_Toc20501"/>
      <w:bookmarkStart w:id="1586" w:name="_Toc11173"/>
      <w:bookmarkStart w:id="1587" w:name="_Toc17196"/>
      <w:bookmarkStart w:id="1588" w:name="_Toc30340"/>
      <w:bookmarkStart w:id="1589" w:name="_Toc10043"/>
      <w:bookmarkStart w:id="1590" w:name="_Toc4516"/>
      <w:bookmarkStart w:id="1591" w:name="_Toc10429"/>
      <w:bookmarkStart w:id="1592" w:name="_Toc4338"/>
      <w:bookmarkStart w:id="1593" w:name="_Toc16410"/>
      <w:bookmarkStart w:id="1594" w:name="_Toc15322"/>
      <w:bookmarkStart w:id="1595" w:name="_Toc19138"/>
      <w:r>
        <w:rPr>
          <w:rFonts w:hint="eastAsia" w:ascii="宋体" w:hAnsi="宋体" w:eastAsia="宋体" w:cs="宋体"/>
          <w:b/>
          <w:bCs/>
          <w:color w:val="000000" w:themeColor="text1"/>
          <w:sz w:val="24"/>
          <w:szCs w:val="24"/>
          <w:highlight w:val="none"/>
          <w14:textFill>
            <w14:solidFill>
              <w14:schemeClr w14:val="tx1"/>
            </w14:solidFill>
          </w14:textFill>
        </w:rPr>
        <w:t>1.8 合同生效</w:t>
      </w:r>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p>
    <w:p>
      <w:pPr>
        <w:spacing w:line="360" w:lineRule="exact"/>
        <w:ind w:firstLine="480"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本合同自双方当事人盖章或者签字时生效。</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lang w:val="zh-CN"/>
          <w14:textFill>
            <w14:solidFill>
              <w14:schemeClr w14:val="tx1"/>
            </w14:solidFill>
          </w14:textFill>
        </w:rPr>
      </w:pP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甲方</w:t>
      </w:r>
      <w:r>
        <w:rPr>
          <w:rFonts w:hint="eastAsia"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val="zh-CN"/>
          <w14:textFill>
            <w14:solidFill>
              <w14:schemeClr w14:val="tx1"/>
            </w14:solidFill>
          </w14:textFill>
        </w:rPr>
        <w:t xml:space="preserve">      乙方</w:t>
      </w:r>
      <w:r>
        <w:rPr>
          <w:rFonts w:hint="eastAsia" w:ascii="宋体" w:hAnsi="宋体" w:eastAsia="宋体" w:cs="宋体"/>
          <w:color w:val="000000" w:themeColor="text1"/>
          <w:sz w:val="24"/>
          <w:szCs w:val="24"/>
          <w:highlight w:val="none"/>
          <w:lang w:val="zh-CN"/>
          <w14:textFill>
            <w14:solidFill>
              <w14:schemeClr w14:val="tx1"/>
            </w14:solidFill>
          </w14:textFill>
        </w:rPr>
        <w:t>：</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统一社会信用代码：                        统一社会信用代码或身份证号码：</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lang w:val="zh-CN"/>
          <w14:textFill>
            <w14:solidFill>
              <w14:schemeClr w14:val="tx1"/>
            </w14:solidFill>
          </w14:textFill>
        </w:rPr>
      </w:pP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住所：                                   住所：</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法定代表人或                             法定代表人</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授权代表（签字）：                       或授权代表（签字）: </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联系人：                                 联系人：</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约定送达地址：                           约定送达地址：</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邮政编码：                               邮政编码：</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电话:                                    电话: </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传真:                                    传真:</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电子邮箱：                               电子邮箱：</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开户银行：                               开户银行： </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开户名称：                               开户名称： </w:t>
      </w:r>
    </w:p>
    <w:p>
      <w:pPr>
        <w:autoSpaceDE w:val="0"/>
        <w:autoSpaceDN w:val="0"/>
        <w:adjustRightInd w:val="0"/>
        <w:spacing w:line="360" w:lineRule="exac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开户账号：</w:t>
      </w:r>
      <w:r>
        <w:rPr>
          <w:rFonts w:hint="eastAsia"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开户账号：</w:t>
      </w:r>
    </w:p>
    <w:p>
      <w:pPr>
        <w:widowControl/>
        <w:spacing w:line="360" w:lineRule="exact"/>
        <w:jc w:val="left"/>
        <w:outlineLvl w:val="9"/>
        <w:rPr>
          <w:rFonts w:hint="eastAsia" w:ascii="宋体" w:hAnsi="宋体" w:eastAsia="宋体" w:cs="宋体"/>
          <w:b/>
          <w:bCs/>
          <w:color w:val="000000" w:themeColor="text1"/>
          <w:highlight w:val="none"/>
          <w14:textFill>
            <w14:solidFill>
              <w14:schemeClr w14:val="tx1"/>
            </w14:solidFill>
          </w14:textFill>
        </w:rPr>
      </w:pPr>
      <w:bookmarkStart w:id="1596" w:name="_Toc331685783"/>
    </w:p>
    <w:p>
      <w:pPr>
        <w:widowControl/>
        <w:spacing w:line="360" w:lineRule="exact"/>
        <w:jc w:val="left"/>
        <w:outlineLvl w:val="9"/>
        <w:rPr>
          <w:rFonts w:hint="eastAsia" w:ascii="宋体" w:hAnsi="宋体" w:eastAsia="宋体" w:cs="宋体"/>
          <w:b/>
          <w:bCs/>
          <w:color w:val="000000" w:themeColor="text1"/>
          <w:highlight w:val="none"/>
          <w14:textFill>
            <w14:solidFill>
              <w14:schemeClr w14:val="tx1"/>
            </w14:solidFill>
          </w14:textFill>
        </w:rPr>
      </w:pPr>
    </w:p>
    <w:p>
      <w:pPr>
        <w:pStyle w:val="113"/>
        <w:spacing w:line="360" w:lineRule="exact"/>
        <w:ind w:firstLine="200"/>
        <w:jc w:val="center"/>
        <w:outlineLvl w:val="9"/>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第二部分 合同一般条款</w:t>
      </w:r>
      <w:bookmarkEnd w:id="1596"/>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597" w:name="_Toc26936"/>
      <w:bookmarkStart w:id="1598" w:name="_Ref467379101"/>
      <w:bookmarkStart w:id="1599" w:name="_Toc23094"/>
      <w:bookmarkStart w:id="1600" w:name="_Toc10245"/>
      <w:bookmarkStart w:id="1601" w:name="_Ref467378404"/>
      <w:bookmarkStart w:id="1602" w:name="_Toc24677"/>
      <w:bookmarkStart w:id="1603" w:name="_Toc279701240"/>
      <w:bookmarkStart w:id="1604" w:name="_Toc18085"/>
      <w:bookmarkStart w:id="1605" w:name="_Toc3091"/>
      <w:bookmarkStart w:id="1606" w:name="_Toc25035"/>
      <w:bookmarkStart w:id="1607" w:name="_Toc25100"/>
      <w:bookmarkStart w:id="1608" w:name="_Toc2854"/>
      <w:bookmarkStart w:id="1609" w:name="_Toc23427"/>
      <w:bookmarkStart w:id="1610" w:name="_Toc5579"/>
      <w:bookmarkStart w:id="1611" w:name="_Toc487900349"/>
      <w:bookmarkStart w:id="1612" w:name="_Toc2034"/>
      <w:bookmarkStart w:id="1613" w:name="_Toc14827"/>
      <w:bookmarkStart w:id="1614" w:name="_Ref467379214"/>
      <w:bookmarkStart w:id="1615" w:name="_Toc28763"/>
      <w:bookmarkStart w:id="1616" w:name="_Ref467379195"/>
      <w:bookmarkStart w:id="1617" w:name="_Toc29659"/>
      <w:bookmarkStart w:id="1618" w:name="_Toc6788"/>
      <w:bookmarkStart w:id="1619" w:name="_Toc15647"/>
      <w:bookmarkStart w:id="1620" w:name="_Toc17226"/>
      <w:bookmarkStart w:id="1621" w:name="_Toc28865"/>
      <w:bookmarkStart w:id="1622" w:name="_Ref467379109"/>
      <w:bookmarkStart w:id="1623" w:name="_Toc28547"/>
      <w:bookmarkStart w:id="1624" w:name="_Toc24453"/>
      <w:bookmarkStart w:id="1625" w:name="_Toc26415"/>
      <w:bookmarkStart w:id="1626" w:name="_Toc24879"/>
      <w:bookmarkStart w:id="1627" w:name="_Ref467379225"/>
      <w:bookmarkStart w:id="1628" w:name="_Toc32624"/>
      <w:bookmarkStart w:id="1629" w:name="_Toc20709"/>
      <w:bookmarkStart w:id="1630" w:name="_Toc17718"/>
      <w:bookmarkStart w:id="1631" w:name="_Toc31417"/>
      <w:bookmarkStart w:id="1632" w:name="_Toc510"/>
      <w:bookmarkStart w:id="1633" w:name="_Ref467379205"/>
      <w:bookmarkStart w:id="1634" w:name="_Toc259093669"/>
      <w:bookmarkStart w:id="1635" w:name="_Toc16917"/>
      <w:bookmarkStart w:id="1636" w:name="_Ref467378463"/>
      <w:bookmarkStart w:id="1637" w:name="_Toc19614"/>
      <w:bookmarkStart w:id="1638" w:name="_Toc18089"/>
      <w:bookmarkStart w:id="1639" w:name="_Ref467379094"/>
      <w:bookmarkStart w:id="1640" w:name="_Ref467378499"/>
      <w:bookmarkStart w:id="1641" w:name="_Toc25554"/>
      <w:bookmarkStart w:id="1642" w:name="_Toc26015"/>
      <w:bookmarkStart w:id="1643" w:name="_Toc7464"/>
      <w:r>
        <w:rPr>
          <w:rFonts w:hint="eastAsia" w:ascii="宋体" w:hAnsi="宋体" w:eastAsia="宋体" w:cs="宋体"/>
          <w:b/>
          <w:bCs/>
          <w:color w:val="000000" w:themeColor="text1"/>
          <w:sz w:val="24"/>
          <w:szCs w:val="24"/>
          <w:highlight w:val="none"/>
          <w14:textFill>
            <w14:solidFill>
              <w14:schemeClr w14:val="tx1"/>
            </w14:solidFill>
          </w14:textFill>
        </w:rPr>
        <w:t>2.1 定义</w:t>
      </w:r>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本合同中的下列词语应按以下内容进行解释：</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 “合同”系指采购人和中标供应商签订的载明双方当事人所达成的协议，并包括所有的附件、附录和构成合同的其他文件。</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 “合同价”系指根据合同约定，中标供应商在完全履行合同义务后，采购人应支付给中标供应商的价格。</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 “货物”系指中标供应商根据合同约定应向采购人交付的一切各种形态和种类的物品，包括原材料、燃料、设备、机械、仪表、备件、计算机软件、产品等，并包括工具、手册等其他相关资料。</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1644" w:name="_Ref467378840"/>
      <w:r>
        <w:rPr>
          <w:rFonts w:hint="eastAsia" w:ascii="宋体" w:hAnsi="宋体" w:eastAsia="宋体" w:cs="宋体"/>
          <w:color w:val="000000" w:themeColor="text1"/>
          <w:sz w:val="24"/>
          <w:szCs w:val="24"/>
          <w:highlight w:val="none"/>
          <w14:textFill>
            <w14:solidFill>
              <w14:schemeClr w14:val="tx1"/>
            </w14:solidFill>
          </w14:textFill>
        </w:rPr>
        <w:t>2.1.4 “甲方”系指与中标供应商签署合同的采购人</w:t>
      </w:r>
      <w:bookmarkEnd w:id="1644"/>
      <w:r>
        <w:rPr>
          <w:rFonts w:hint="eastAsia" w:ascii="宋体" w:hAnsi="宋体" w:eastAsia="宋体" w:cs="宋体"/>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1645" w:name="_Ref467379400"/>
      <w:r>
        <w:rPr>
          <w:rFonts w:hint="eastAsia" w:ascii="宋体" w:hAnsi="宋体" w:eastAsia="宋体" w:cs="宋体"/>
          <w:color w:val="000000" w:themeColor="text1"/>
          <w:sz w:val="24"/>
          <w:szCs w:val="24"/>
          <w:highlight w:val="none"/>
          <w14:textFill>
            <w14:solidFill>
              <w14:schemeClr w14:val="tx1"/>
            </w14:solidFill>
          </w14:textFill>
        </w:rPr>
        <w:t>2.1.5 “乙方”系指根据合同约定交付货物的中标供应商</w:t>
      </w:r>
      <w:bookmarkEnd w:id="1645"/>
      <w:r>
        <w:rPr>
          <w:rFonts w:hint="eastAsia" w:ascii="宋体" w:hAnsi="宋体" w:eastAsia="宋体" w:cs="宋体"/>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1646" w:name="_Ref467379436"/>
      <w:r>
        <w:rPr>
          <w:rFonts w:hint="eastAsia" w:ascii="宋体" w:hAnsi="宋体" w:eastAsia="宋体" w:cs="宋体"/>
          <w:color w:val="000000" w:themeColor="text1"/>
          <w:sz w:val="24"/>
          <w:szCs w:val="24"/>
          <w:highlight w:val="none"/>
          <w14:textFill>
            <w14:solidFill>
              <w14:schemeClr w14:val="tx1"/>
            </w14:solidFill>
          </w14:textFill>
        </w:rPr>
        <w:t>2.1.6 “现场”系指合同约定货物将要运至或者安装的地点。</w:t>
      </w:r>
      <w:bookmarkEnd w:id="1646"/>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647" w:name="_Toc25958"/>
      <w:bookmarkStart w:id="1648" w:name="_Toc5592"/>
      <w:bookmarkStart w:id="1649" w:name="_Toc3949"/>
      <w:bookmarkStart w:id="1650" w:name="_Toc259093670"/>
      <w:bookmarkStart w:id="1651" w:name="_Toc22769"/>
      <w:bookmarkStart w:id="1652" w:name="_Toc11142"/>
      <w:bookmarkStart w:id="1653" w:name="_Toc1447"/>
      <w:bookmarkStart w:id="1654" w:name="_Toc24792"/>
      <w:bookmarkStart w:id="1655" w:name="_Toc10950"/>
      <w:bookmarkStart w:id="1656" w:name="_Toc1183"/>
      <w:bookmarkStart w:id="1657" w:name="_Toc1865"/>
      <w:bookmarkStart w:id="1658" w:name="_Toc32504"/>
      <w:bookmarkStart w:id="1659" w:name="_Toc279701241"/>
      <w:bookmarkStart w:id="1660" w:name="_Toc23689"/>
      <w:bookmarkStart w:id="1661" w:name="_Toc7416"/>
      <w:bookmarkStart w:id="1662" w:name="_Toc24322"/>
      <w:bookmarkStart w:id="1663" w:name="_Toc1002"/>
      <w:bookmarkStart w:id="1664" w:name="_Toc19892"/>
      <w:bookmarkStart w:id="1665" w:name="_Toc32570"/>
      <w:bookmarkStart w:id="1666" w:name="_Toc1352"/>
      <w:bookmarkStart w:id="1667" w:name="_Toc30246"/>
      <w:bookmarkStart w:id="1668" w:name="_Toc22122"/>
      <w:bookmarkStart w:id="1669" w:name="_Toc17151"/>
      <w:bookmarkStart w:id="1670" w:name="_Toc13336"/>
      <w:bookmarkStart w:id="1671" w:name="_Toc24523"/>
      <w:bookmarkStart w:id="1672" w:name="_Toc27635"/>
      <w:bookmarkStart w:id="1673" w:name="_Toc7048"/>
      <w:bookmarkStart w:id="1674" w:name="_Toc487900350"/>
      <w:bookmarkStart w:id="1675" w:name="_Toc18137"/>
      <w:bookmarkStart w:id="1676" w:name="_Toc18471"/>
      <w:bookmarkStart w:id="1677" w:name="_Toc25266"/>
      <w:bookmarkStart w:id="1678" w:name="_Toc6595"/>
      <w:bookmarkStart w:id="1679" w:name="_Toc16405"/>
      <w:bookmarkStart w:id="1680" w:name="_Toc25269"/>
      <w:bookmarkStart w:id="1681" w:name="_Toc22131"/>
      <w:bookmarkStart w:id="1682" w:name="_Toc1221"/>
      <w:bookmarkStart w:id="1683" w:name="_Toc22104"/>
      <w:bookmarkStart w:id="1684" w:name="_Toc3193"/>
      <w:r>
        <w:rPr>
          <w:rFonts w:hint="eastAsia" w:ascii="宋体" w:hAnsi="宋体" w:eastAsia="宋体" w:cs="宋体"/>
          <w:b/>
          <w:bCs/>
          <w:color w:val="000000" w:themeColor="text1"/>
          <w:sz w:val="24"/>
          <w:szCs w:val="24"/>
          <w:highlight w:val="none"/>
          <w14:textFill>
            <w14:solidFill>
              <w14:schemeClr w14:val="tx1"/>
            </w14:solidFill>
          </w14:textFill>
        </w:rPr>
        <w:t>2.2 技术规范</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685" w:name="_Toc259093671"/>
      <w:bookmarkStart w:id="1686" w:name="_Toc30700"/>
      <w:bookmarkStart w:id="1687" w:name="_Toc9829"/>
      <w:bookmarkStart w:id="1688" w:name="_Toc32048"/>
      <w:bookmarkStart w:id="1689" w:name="_Toc2878"/>
      <w:bookmarkStart w:id="1690" w:name="_Toc4916"/>
      <w:bookmarkStart w:id="1691" w:name="_Toc3879"/>
      <w:bookmarkStart w:id="1692" w:name="_Toc10999"/>
      <w:bookmarkStart w:id="1693" w:name="_Toc17383"/>
      <w:bookmarkStart w:id="1694" w:name="_Toc14632"/>
      <w:bookmarkStart w:id="1695" w:name="_Toc1649"/>
      <w:bookmarkStart w:id="1696" w:name="_Toc4029"/>
      <w:bookmarkStart w:id="1697" w:name="_Toc7722"/>
      <w:bookmarkStart w:id="1698" w:name="_Toc6121"/>
      <w:bookmarkStart w:id="1699" w:name="_Toc27853"/>
      <w:bookmarkStart w:id="1700" w:name="_Toc975"/>
      <w:bookmarkStart w:id="1701" w:name="_Toc28662"/>
      <w:bookmarkStart w:id="1702" w:name="_Toc31634"/>
      <w:bookmarkStart w:id="1703" w:name="_Toc18092"/>
      <w:bookmarkStart w:id="1704" w:name="_Toc15733"/>
      <w:bookmarkStart w:id="1705" w:name="_Toc24537"/>
      <w:bookmarkStart w:id="1706" w:name="_Toc20130"/>
      <w:bookmarkStart w:id="1707" w:name="_Toc24588"/>
      <w:bookmarkStart w:id="1708" w:name="_Toc18332"/>
      <w:bookmarkStart w:id="1709" w:name="_Toc18486"/>
      <w:bookmarkStart w:id="1710" w:name="_Toc11837"/>
      <w:bookmarkStart w:id="1711" w:name="_Toc8958"/>
      <w:bookmarkStart w:id="1712" w:name="_Toc6835"/>
      <w:bookmarkStart w:id="1713" w:name="_Toc23791"/>
      <w:bookmarkStart w:id="1714" w:name="_Toc10461"/>
      <w:bookmarkStart w:id="1715" w:name="_Toc3854"/>
      <w:bookmarkStart w:id="1716" w:name="_Toc15099"/>
      <w:bookmarkStart w:id="1717" w:name="_Toc30552"/>
      <w:bookmarkStart w:id="1718" w:name="_Toc23649"/>
      <w:bookmarkStart w:id="1719" w:name="_Toc279701242"/>
      <w:bookmarkStart w:id="1720" w:name="_Toc28946"/>
      <w:bookmarkStart w:id="1721" w:name="_Toc487900351"/>
      <w:r>
        <w:rPr>
          <w:rFonts w:hint="eastAsia" w:ascii="宋体" w:hAnsi="宋体" w:eastAsia="宋体" w:cs="宋体"/>
          <w:b/>
          <w:bCs/>
          <w:color w:val="000000" w:themeColor="text1"/>
          <w:sz w:val="24"/>
          <w:szCs w:val="24"/>
          <w:highlight w:val="none"/>
          <w14:textFill>
            <w14:solidFill>
              <w14:schemeClr w14:val="tx1"/>
            </w14:solidFill>
          </w14:textFill>
        </w:rPr>
        <w:t>2.3 知识产权</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2.3.2具有知识产权的计算机软件等货物的知识产权归属，详见</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722" w:name="_Toc20620"/>
      <w:bookmarkStart w:id="1723" w:name="_Toc28170"/>
      <w:bookmarkStart w:id="1724" w:name="_Toc2585"/>
      <w:bookmarkStart w:id="1725" w:name="_Toc27243"/>
      <w:bookmarkStart w:id="1726" w:name="_Toc9741"/>
      <w:bookmarkStart w:id="1727" w:name="_Toc25767"/>
      <w:bookmarkStart w:id="1728" w:name="_Toc455"/>
      <w:bookmarkStart w:id="1729" w:name="_Toc23105"/>
      <w:bookmarkStart w:id="1730" w:name="_Toc4194"/>
      <w:bookmarkStart w:id="1731" w:name="_Toc684"/>
      <w:bookmarkStart w:id="1732" w:name="_Toc19842"/>
      <w:bookmarkStart w:id="1733" w:name="_Toc5395"/>
      <w:bookmarkStart w:id="1734" w:name="_Toc9470"/>
      <w:bookmarkStart w:id="1735" w:name="_Toc24384"/>
      <w:bookmarkStart w:id="1736" w:name="_Toc6562"/>
      <w:bookmarkStart w:id="1737" w:name="_Toc15409"/>
      <w:bookmarkStart w:id="1738" w:name="_Toc27108"/>
      <w:bookmarkStart w:id="1739" w:name="_Toc11932"/>
      <w:bookmarkStart w:id="1740" w:name="_Toc29149"/>
      <w:bookmarkStart w:id="1741" w:name="_Toc30542"/>
      <w:bookmarkStart w:id="1742" w:name="_Toc18554"/>
      <w:bookmarkStart w:id="1743" w:name="_Toc6781"/>
      <w:bookmarkStart w:id="1744" w:name="_Toc18533"/>
      <w:bookmarkStart w:id="1745" w:name="_Toc17080"/>
      <w:bookmarkStart w:id="1746" w:name="_Toc12219"/>
      <w:bookmarkStart w:id="1747" w:name="_Toc10970"/>
      <w:bookmarkStart w:id="1748" w:name="_Toc3486"/>
      <w:bookmarkStart w:id="1749" w:name="_Toc836"/>
      <w:bookmarkStart w:id="1750" w:name="_Toc28714"/>
      <w:bookmarkStart w:id="1751" w:name="_Toc10546"/>
      <w:bookmarkStart w:id="1752" w:name="_Toc8795"/>
      <w:bookmarkStart w:id="1753" w:name="_Toc26731"/>
      <w:bookmarkStart w:id="1754" w:name="_Toc1877"/>
      <w:bookmarkStart w:id="1755" w:name="_Toc19638"/>
      <w:r>
        <w:rPr>
          <w:rFonts w:hint="eastAsia" w:ascii="宋体" w:hAnsi="宋体" w:eastAsia="宋体" w:cs="宋体"/>
          <w:b/>
          <w:bCs/>
          <w:color w:val="000000" w:themeColor="text1"/>
          <w:sz w:val="24"/>
          <w:szCs w:val="24"/>
          <w:highlight w:val="none"/>
          <w14:textFill>
            <w14:solidFill>
              <w14:schemeClr w14:val="tx1"/>
            </w14:solidFill>
          </w14:textFill>
        </w:rPr>
        <w:t>2.4 包装和装运</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2.4.1除</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2.4.2 装运货物的要求和通知，详见</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756" w:name="_Toc259093674"/>
      <w:bookmarkStart w:id="1757" w:name="_Toc487900354"/>
      <w:bookmarkStart w:id="1758" w:name="_Toc279701245"/>
      <w:bookmarkStart w:id="1759" w:name="_Ref467378541"/>
      <w:bookmarkStart w:id="1760" w:name="_Ref467378591"/>
      <w:bookmarkStart w:id="1761" w:name="_Ref467379542"/>
      <w:bookmarkStart w:id="1762" w:name="_Ref467379536"/>
      <w:bookmarkStart w:id="1763" w:name="_Ref467379527"/>
      <w:bookmarkStart w:id="1764" w:name="_Toc26182"/>
      <w:bookmarkStart w:id="1765" w:name="_Toc31437"/>
      <w:bookmarkStart w:id="1766" w:name="_Toc24299"/>
      <w:bookmarkStart w:id="1767" w:name="_Toc21410"/>
      <w:bookmarkStart w:id="1768" w:name="_Toc14100"/>
      <w:bookmarkStart w:id="1769" w:name="_Toc1580"/>
      <w:bookmarkStart w:id="1770" w:name="_Toc4831"/>
      <w:bookmarkStart w:id="1771" w:name="_Toc10071"/>
      <w:bookmarkStart w:id="1772" w:name="_Toc28324"/>
      <w:bookmarkStart w:id="1773" w:name="_Toc24935"/>
      <w:bookmarkStart w:id="1774" w:name="_Toc4396"/>
      <w:bookmarkStart w:id="1775" w:name="_Toc3408"/>
      <w:bookmarkStart w:id="1776" w:name="_Toc2815"/>
      <w:bookmarkStart w:id="1777" w:name="_Toc28582"/>
      <w:bookmarkStart w:id="1778" w:name="_Toc19993"/>
      <w:bookmarkStart w:id="1779" w:name="_Toc7299"/>
      <w:bookmarkStart w:id="1780" w:name="_Toc30516"/>
      <w:bookmarkStart w:id="1781" w:name="_Toc12428"/>
      <w:bookmarkStart w:id="1782" w:name="_Toc10209"/>
      <w:bookmarkStart w:id="1783" w:name="_Toc30272"/>
      <w:bookmarkStart w:id="1784" w:name="_Toc5927"/>
      <w:bookmarkStart w:id="1785" w:name="_Toc23561"/>
      <w:bookmarkStart w:id="1786" w:name="_Toc15512"/>
      <w:bookmarkStart w:id="1787" w:name="_Toc28937"/>
      <w:bookmarkStart w:id="1788" w:name="_Toc28658"/>
      <w:bookmarkStart w:id="1789" w:name="_Toc2174"/>
      <w:bookmarkStart w:id="1790" w:name="_Toc18307"/>
      <w:bookmarkStart w:id="1791" w:name="_Toc7379"/>
      <w:bookmarkStart w:id="1792" w:name="_Toc21198"/>
      <w:bookmarkStart w:id="1793" w:name="_Toc30291"/>
      <w:bookmarkStart w:id="1794" w:name="_Toc4153"/>
      <w:bookmarkStart w:id="1795" w:name="_Toc30610"/>
      <w:bookmarkStart w:id="1796" w:name="_Toc4182"/>
      <w:bookmarkStart w:id="1797" w:name="_Toc19074"/>
      <w:r>
        <w:rPr>
          <w:rFonts w:hint="eastAsia" w:ascii="宋体" w:hAnsi="宋体" w:eastAsia="宋体" w:cs="宋体"/>
          <w:b/>
          <w:bCs/>
          <w:color w:val="000000" w:themeColor="text1"/>
          <w:sz w:val="24"/>
          <w:szCs w:val="24"/>
          <w:highlight w:val="none"/>
          <w14:textFill>
            <w14:solidFill>
              <w14:schemeClr w14:val="tx1"/>
            </w14:solidFill>
          </w14:textFill>
        </w:rPr>
        <w:t>2.</w:t>
      </w:r>
      <w:bookmarkEnd w:id="1756"/>
      <w:bookmarkEnd w:id="1757"/>
      <w:bookmarkEnd w:id="1758"/>
      <w:bookmarkEnd w:id="1759"/>
      <w:bookmarkEnd w:id="1760"/>
      <w:bookmarkEnd w:id="1761"/>
      <w:bookmarkEnd w:id="1762"/>
      <w:bookmarkEnd w:id="1763"/>
      <w:r>
        <w:rPr>
          <w:rFonts w:hint="eastAsia" w:ascii="宋体" w:hAnsi="宋体" w:eastAsia="宋体" w:cs="宋体"/>
          <w:b/>
          <w:bCs/>
          <w:color w:val="000000" w:themeColor="text1"/>
          <w:sz w:val="24"/>
          <w:szCs w:val="24"/>
          <w:highlight w:val="none"/>
          <w14:textFill>
            <w14:solidFill>
              <w14:schemeClr w14:val="tx1"/>
            </w14:solidFill>
          </w14:textFill>
        </w:rPr>
        <w:t>5 履约检查和问题反馈</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1798" w:name="_Ref467379657"/>
      <w:r>
        <w:rPr>
          <w:rFonts w:hint="eastAsia" w:ascii="宋体" w:hAnsi="宋体" w:eastAsia="宋体" w:cs="宋体"/>
          <w:color w:val="000000" w:themeColor="text1"/>
          <w:sz w:val="24"/>
          <w:szCs w:val="24"/>
          <w:highlight w:val="none"/>
          <w14:textFill>
            <w14:solidFill>
              <w14:schemeClr w14:val="tx1"/>
            </w14:solidFill>
          </w14:textFill>
        </w:rPr>
        <w:t>2.5.1</w:t>
      </w:r>
      <w:bookmarkEnd w:id="1798"/>
      <w:bookmarkStart w:id="1799" w:name="_Toc186431854"/>
      <w:bookmarkStart w:id="1800" w:name="_Toc259093676"/>
      <w:bookmarkStart w:id="1801" w:name="_Toc279701247"/>
      <w:bookmarkStart w:id="1802" w:name="_Ref467379807"/>
      <w:bookmarkStart w:id="1803" w:name="_Ref467379793"/>
      <w:bookmarkStart w:id="1804" w:name="_Toc487900357"/>
      <w:r>
        <w:rPr>
          <w:rFonts w:hint="eastAsia" w:ascii="宋体" w:hAnsi="宋体" w:eastAsia="宋体" w:cs="宋体"/>
          <w:color w:val="000000" w:themeColor="text1"/>
          <w:sz w:val="24"/>
          <w:szCs w:val="24"/>
          <w:highlight w:val="none"/>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2.5.2 合同履行期间，甲方有权将履行过程中出现的问题反馈给乙方，双方当事人应以书面形式约定需要完善和改进的内容</w:t>
      </w:r>
      <w:bookmarkEnd w:id="1799"/>
      <w:bookmarkStart w:id="1805" w:name="_Toc186431855"/>
      <w:r>
        <w:rPr>
          <w:rFonts w:hint="eastAsia" w:ascii="宋体" w:hAnsi="宋体" w:eastAsia="宋体" w:cs="宋体"/>
          <w:color w:val="000000" w:themeColor="text1"/>
          <w:sz w:val="24"/>
          <w:szCs w:val="24"/>
          <w:highlight w:val="none"/>
          <w14:textFill>
            <w14:solidFill>
              <w14:schemeClr w14:val="tx1"/>
            </w14:solidFill>
          </w14:textFill>
        </w:rPr>
        <w:t>。</w:t>
      </w:r>
    </w:p>
    <w:bookmarkEnd w:id="1805"/>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806" w:name="_Toc18842"/>
      <w:bookmarkStart w:id="1807" w:name="_Toc10470"/>
      <w:bookmarkStart w:id="1808" w:name="_Toc5304"/>
      <w:bookmarkStart w:id="1809" w:name="_Toc10980"/>
      <w:bookmarkStart w:id="1810" w:name="_Toc2067"/>
      <w:bookmarkStart w:id="1811" w:name="_Toc28083"/>
      <w:bookmarkStart w:id="1812" w:name="_Toc28451"/>
      <w:bookmarkStart w:id="1813" w:name="_Toc234"/>
      <w:bookmarkStart w:id="1814" w:name="_Toc23261"/>
      <w:bookmarkStart w:id="1815" w:name="_Toc11522"/>
      <w:bookmarkStart w:id="1816" w:name="_Toc9092"/>
      <w:bookmarkStart w:id="1817" w:name="_Toc7752"/>
      <w:bookmarkStart w:id="1818" w:name="_Toc5363"/>
      <w:bookmarkStart w:id="1819" w:name="_Toc26232"/>
      <w:bookmarkStart w:id="1820" w:name="_Toc17283"/>
      <w:bookmarkStart w:id="1821" w:name="_Toc3057"/>
      <w:bookmarkStart w:id="1822" w:name="_Toc7836"/>
      <w:bookmarkStart w:id="1823" w:name="_Toc31520"/>
      <w:bookmarkStart w:id="1824" w:name="_Toc12360"/>
      <w:bookmarkStart w:id="1825" w:name="_Toc26298"/>
      <w:bookmarkStart w:id="1826" w:name="_Toc14286"/>
      <w:bookmarkStart w:id="1827" w:name="_Toc8058"/>
      <w:bookmarkStart w:id="1828" w:name="_Toc27251"/>
      <w:bookmarkStart w:id="1829" w:name="_Toc26245"/>
      <w:bookmarkStart w:id="1830" w:name="_Toc15712"/>
      <w:bookmarkStart w:id="1831" w:name="_Toc795"/>
      <w:bookmarkStart w:id="1832" w:name="_Toc9241"/>
      <w:bookmarkStart w:id="1833" w:name="_Toc582"/>
      <w:bookmarkStart w:id="1834" w:name="_Toc12377"/>
      <w:bookmarkStart w:id="1835" w:name="_Toc22032"/>
      <w:bookmarkStart w:id="1836" w:name="_Toc22499"/>
      <w:bookmarkStart w:id="1837" w:name="_Toc15854"/>
      <w:bookmarkStart w:id="1838" w:name="_Toc19219"/>
      <w:r>
        <w:rPr>
          <w:rFonts w:hint="eastAsia" w:ascii="宋体" w:hAnsi="宋体" w:eastAsia="宋体" w:cs="宋体"/>
          <w:b/>
          <w:bCs/>
          <w:color w:val="000000" w:themeColor="text1"/>
          <w:sz w:val="24"/>
          <w:szCs w:val="24"/>
          <w:highlight w:val="none"/>
          <w14:textFill>
            <w14:solidFill>
              <w14:schemeClr w14:val="tx1"/>
            </w14:solidFill>
          </w14:textFill>
        </w:rPr>
        <w:t>2.6 结算方式和付款条件</w:t>
      </w:r>
      <w:bookmarkEnd w:id="1800"/>
      <w:bookmarkEnd w:id="1801"/>
      <w:bookmarkEnd w:id="1802"/>
      <w:bookmarkEnd w:id="1803"/>
      <w:bookmarkEnd w:id="1804"/>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839" w:name="_Ref467379923"/>
      <w:bookmarkStart w:id="1840" w:name="_Toc259093677"/>
      <w:bookmarkStart w:id="1841" w:name="_Toc279701248"/>
      <w:bookmarkStart w:id="1842" w:name="_Ref467379852"/>
      <w:bookmarkStart w:id="1843" w:name="_Ref467379863"/>
      <w:bookmarkStart w:id="1844" w:name="_Toc487900358"/>
      <w:bookmarkStart w:id="1845" w:name="_Toc14341"/>
      <w:bookmarkStart w:id="1846" w:name="_Toc11236"/>
      <w:bookmarkStart w:id="1847" w:name="_Toc31305"/>
      <w:bookmarkStart w:id="1848" w:name="_Toc17051"/>
      <w:bookmarkStart w:id="1849" w:name="_Toc2051"/>
      <w:bookmarkStart w:id="1850" w:name="_Toc14491"/>
      <w:bookmarkStart w:id="1851" w:name="_Toc31971"/>
      <w:bookmarkStart w:id="1852" w:name="_Toc11937"/>
      <w:bookmarkStart w:id="1853" w:name="_Toc13023"/>
      <w:bookmarkStart w:id="1854" w:name="_Toc1963"/>
      <w:bookmarkStart w:id="1855" w:name="_Toc14432"/>
      <w:bookmarkStart w:id="1856" w:name="_Toc16303"/>
      <w:bookmarkStart w:id="1857" w:name="_Toc9845"/>
      <w:bookmarkStart w:id="1858" w:name="_Toc10114"/>
      <w:bookmarkStart w:id="1859" w:name="_Toc12537"/>
      <w:bookmarkStart w:id="1860" w:name="_Toc7000"/>
      <w:bookmarkStart w:id="1861" w:name="_Toc8272"/>
      <w:bookmarkStart w:id="1862" w:name="_Toc3225"/>
      <w:bookmarkStart w:id="1863" w:name="_Toc6635"/>
      <w:bookmarkStart w:id="1864" w:name="_Toc24083"/>
      <w:bookmarkStart w:id="1865" w:name="_Toc17607"/>
      <w:bookmarkStart w:id="1866" w:name="_Toc17136"/>
      <w:bookmarkStart w:id="1867" w:name="_Toc14801"/>
      <w:bookmarkStart w:id="1868" w:name="_Toc774"/>
      <w:bookmarkStart w:id="1869" w:name="_Toc5846"/>
      <w:bookmarkStart w:id="1870" w:name="_Toc20160"/>
      <w:bookmarkStart w:id="1871" w:name="_Toc29616"/>
      <w:bookmarkStart w:id="1872" w:name="_Toc29030"/>
      <w:bookmarkStart w:id="1873" w:name="_Toc1200"/>
      <w:bookmarkStart w:id="1874" w:name="_Toc11615"/>
      <w:bookmarkStart w:id="1875" w:name="_Toc16110"/>
      <w:bookmarkStart w:id="1876" w:name="_Toc25277"/>
      <w:bookmarkStart w:id="1877" w:name="_Toc15067"/>
      <w:bookmarkStart w:id="1878" w:name="_Toc28781"/>
      <w:bookmarkStart w:id="1879" w:name="_Toc26147"/>
      <w:r>
        <w:rPr>
          <w:rFonts w:hint="eastAsia" w:ascii="宋体" w:hAnsi="宋体" w:eastAsia="宋体" w:cs="宋体"/>
          <w:b/>
          <w:bCs/>
          <w:color w:val="000000" w:themeColor="text1"/>
          <w:sz w:val="24"/>
          <w:szCs w:val="24"/>
          <w:highlight w:val="none"/>
          <w14:textFill>
            <w14:solidFill>
              <w14:schemeClr w14:val="tx1"/>
            </w14:solidFill>
          </w14:textFill>
        </w:rPr>
        <w:t>2.7 技术资料</w:t>
      </w:r>
      <w:bookmarkEnd w:id="1839"/>
      <w:bookmarkEnd w:id="1840"/>
      <w:bookmarkEnd w:id="1841"/>
      <w:bookmarkEnd w:id="1842"/>
      <w:bookmarkEnd w:id="1843"/>
      <w:bookmarkEnd w:id="1844"/>
      <w:r>
        <w:rPr>
          <w:rFonts w:hint="eastAsia" w:ascii="宋体" w:hAnsi="宋体" w:eastAsia="宋体" w:cs="宋体"/>
          <w:b/>
          <w:bCs/>
          <w:color w:val="000000" w:themeColor="text1"/>
          <w:sz w:val="24"/>
          <w:szCs w:val="24"/>
          <w:highlight w:val="none"/>
          <w14:textFill>
            <w14:solidFill>
              <w14:schemeClr w14:val="tx1"/>
            </w14:solidFill>
          </w14:textFill>
        </w:rPr>
        <w:t>和保密义务</w:t>
      </w:r>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2.7.1 乙方有权依据合同约定和项目需要，向甲方了解有关情况，调阅有关资料等，甲方应予积极配合；</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2.7.2 乙方有义务妥善保管和保护由甲方提供的前款信息和资料等；</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880" w:name="_Toc16190"/>
      <w:bookmarkStart w:id="1881" w:name="_Toc27453"/>
      <w:bookmarkStart w:id="1882" w:name="_Toc10249"/>
      <w:bookmarkStart w:id="1883" w:name="_Toc10326"/>
      <w:bookmarkStart w:id="1884" w:name="_Toc18551"/>
      <w:bookmarkStart w:id="1885" w:name="_Toc30503"/>
      <w:bookmarkStart w:id="1886" w:name="_Toc26725"/>
      <w:bookmarkStart w:id="1887" w:name="_Toc28998"/>
      <w:bookmarkStart w:id="1888" w:name="_Toc30477"/>
      <w:bookmarkStart w:id="1889" w:name="_Toc3156"/>
      <w:bookmarkStart w:id="1890" w:name="_Toc21267"/>
      <w:bookmarkStart w:id="1891" w:name="_Toc31224"/>
      <w:bookmarkStart w:id="1892" w:name="_Toc23081"/>
      <w:bookmarkStart w:id="1893" w:name="_Toc18231"/>
      <w:bookmarkStart w:id="1894" w:name="_Toc11530"/>
      <w:bookmarkStart w:id="1895" w:name="_Toc25999"/>
      <w:bookmarkStart w:id="1896" w:name="_Toc8288"/>
      <w:bookmarkStart w:id="1897" w:name="_Toc4873"/>
      <w:bookmarkStart w:id="1898" w:name="_Toc26425"/>
      <w:bookmarkStart w:id="1899" w:name="_Toc4779"/>
      <w:bookmarkStart w:id="1900" w:name="_Toc25751"/>
      <w:bookmarkStart w:id="1901" w:name="_Toc5556"/>
      <w:bookmarkStart w:id="1902" w:name="_Toc13819"/>
      <w:bookmarkStart w:id="1903" w:name="_Toc122"/>
      <w:bookmarkStart w:id="1904" w:name="_Toc5200"/>
      <w:bookmarkStart w:id="1905" w:name="_Toc11328"/>
      <w:bookmarkStart w:id="1906" w:name="_Toc29383"/>
      <w:bookmarkStart w:id="1907" w:name="_Toc14045"/>
      <w:bookmarkStart w:id="1908" w:name="_Toc16827"/>
      <w:bookmarkStart w:id="1909" w:name="_Toc7860"/>
      <w:bookmarkStart w:id="1910" w:name="_Toc25676"/>
      <w:r>
        <w:rPr>
          <w:rFonts w:hint="eastAsia" w:ascii="宋体" w:hAnsi="宋体" w:eastAsia="宋体" w:cs="宋体"/>
          <w:b/>
          <w:bCs/>
          <w:color w:val="000000" w:themeColor="text1"/>
          <w:sz w:val="24"/>
          <w:szCs w:val="24"/>
          <w:highlight w:val="none"/>
          <w14:textFill>
            <w14:solidFill>
              <w14:schemeClr w14:val="tx1"/>
            </w14:solidFill>
          </w14:textFill>
        </w:rPr>
        <w:t>2.8 质量保证</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2.8.1 乙方应建立和完善履行合同的内部质量保证体系，并提供相关内部规章制度给甲方，以便甲方进行监督检查；</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2.8.2 乙方应保证履行合同的人员数量和素质、软件和硬件设备的配置、场地、环境和设施等满足全面履行合同的要求，并应接受甲方的监督检查。</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911" w:name="_Toc27234"/>
      <w:bookmarkStart w:id="1912" w:name="_Toc15929"/>
      <w:bookmarkStart w:id="1913" w:name="_Toc23172"/>
      <w:bookmarkStart w:id="1914" w:name="_Toc26555"/>
      <w:bookmarkStart w:id="1915" w:name="_Toc14663"/>
      <w:bookmarkStart w:id="1916" w:name="_Toc13812"/>
      <w:bookmarkStart w:id="1917" w:name="_Toc22016"/>
      <w:bookmarkStart w:id="1918" w:name="_Toc15408"/>
      <w:bookmarkStart w:id="1919" w:name="_Toc20021"/>
      <w:bookmarkStart w:id="1920" w:name="_Toc12966"/>
      <w:bookmarkStart w:id="1921" w:name="_Toc11176"/>
      <w:bookmarkStart w:id="1922" w:name="_Toc28147"/>
      <w:bookmarkStart w:id="1923" w:name="_Toc27238"/>
      <w:bookmarkStart w:id="1924" w:name="_Toc11638"/>
      <w:bookmarkStart w:id="1925" w:name="_Toc25101"/>
      <w:bookmarkStart w:id="1926" w:name="_Toc20506"/>
      <w:bookmarkStart w:id="1927" w:name="_Toc25529"/>
      <w:bookmarkStart w:id="1928" w:name="_Toc18729"/>
      <w:bookmarkStart w:id="1929" w:name="_Toc14596"/>
      <w:bookmarkStart w:id="1930" w:name="_Toc27381"/>
      <w:bookmarkStart w:id="1931" w:name="_Toc12408"/>
      <w:bookmarkStart w:id="1932" w:name="_Toc31920"/>
      <w:bookmarkStart w:id="1933" w:name="_Toc17030"/>
      <w:bookmarkStart w:id="1934" w:name="_Toc28753"/>
      <w:bookmarkStart w:id="1935" w:name="_Toc10571"/>
      <w:bookmarkStart w:id="1936" w:name="_Toc30593"/>
      <w:bookmarkStart w:id="1937" w:name="_Toc17497"/>
      <w:bookmarkStart w:id="1938" w:name="_Toc812"/>
      <w:bookmarkStart w:id="1939" w:name="_Toc12010"/>
      <w:bookmarkStart w:id="1940" w:name="_Toc3300"/>
      <w:bookmarkStart w:id="1941" w:name="_Toc18046"/>
      <w:bookmarkStart w:id="1942" w:name="_Toc17244"/>
      <w:bookmarkStart w:id="1943" w:name="_Toc259093681"/>
      <w:bookmarkStart w:id="1944" w:name="_Toc487900362"/>
      <w:bookmarkStart w:id="1945" w:name="_Toc279701252"/>
      <w:r>
        <w:rPr>
          <w:rFonts w:hint="eastAsia" w:ascii="宋体" w:hAnsi="宋体" w:eastAsia="宋体" w:cs="宋体"/>
          <w:b/>
          <w:bCs/>
          <w:color w:val="000000" w:themeColor="text1"/>
          <w:sz w:val="24"/>
          <w:szCs w:val="24"/>
          <w:highlight w:val="none"/>
          <w14:textFill>
            <w14:solidFill>
              <w14:schemeClr w14:val="tx1"/>
            </w14:solidFill>
          </w14:textFill>
        </w:rPr>
        <w:t>2.9 货物的风险负担</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spacing w:line="360" w:lineRule="exact"/>
        <w:ind w:firstLine="480"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货物或者在途货物或者交付给第一承运人后的货物毁损、灭失的风险负担详见</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946" w:name="_Toc3191"/>
      <w:bookmarkStart w:id="1947" w:name="_Toc29192"/>
      <w:bookmarkStart w:id="1948" w:name="_Toc5196"/>
      <w:bookmarkStart w:id="1949" w:name="_Toc26567"/>
      <w:bookmarkStart w:id="1950" w:name="_Toc27988"/>
      <w:bookmarkStart w:id="1951" w:name="_Toc15112"/>
      <w:bookmarkStart w:id="1952" w:name="_Toc12464"/>
      <w:bookmarkStart w:id="1953" w:name="_Toc16001"/>
      <w:bookmarkStart w:id="1954" w:name="_Toc23512"/>
      <w:bookmarkStart w:id="1955" w:name="_Toc22674"/>
      <w:bookmarkStart w:id="1956" w:name="_Toc23732"/>
      <w:bookmarkStart w:id="1957" w:name="_Toc25663"/>
      <w:bookmarkStart w:id="1958" w:name="_Toc6602"/>
      <w:bookmarkStart w:id="1959" w:name="_Toc7986"/>
      <w:bookmarkStart w:id="1960" w:name="_Toc17555"/>
      <w:bookmarkStart w:id="1961" w:name="_Toc19684"/>
      <w:bookmarkStart w:id="1962" w:name="_Toc6054"/>
      <w:bookmarkStart w:id="1963" w:name="_Toc20457"/>
      <w:bookmarkStart w:id="1964" w:name="_Toc1494"/>
      <w:bookmarkStart w:id="1965" w:name="_Toc19541"/>
      <w:bookmarkStart w:id="1966" w:name="_Toc14055"/>
      <w:bookmarkStart w:id="1967" w:name="_Toc1299"/>
      <w:bookmarkStart w:id="1968" w:name="_Toc20938"/>
      <w:bookmarkStart w:id="1969" w:name="_Toc11963"/>
      <w:bookmarkStart w:id="1970" w:name="_Toc14698"/>
      <w:bookmarkStart w:id="1971" w:name="_Toc2"/>
      <w:bookmarkStart w:id="1972" w:name="_Toc21842"/>
      <w:bookmarkStart w:id="1973" w:name="_Toc15465"/>
      <w:bookmarkStart w:id="1974" w:name="_Toc1108"/>
      <w:bookmarkStart w:id="1975" w:name="_Toc15972"/>
      <w:bookmarkStart w:id="1976" w:name="_Toc10918"/>
      <w:bookmarkStart w:id="1977" w:name="_Toc29837"/>
      <w:bookmarkStart w:id="1978" w:name="_Toc31334"/>
      <w:r>
        <w:rPr>
          <w:rFonts w:hint="eastAsia" w:ascii="宋体" w:hAnsi="宋体" w:eastAsia="宋体" w:cs="宋体"/>
          <w:b/>
          <w:bCs/>
          <w:color w:val="000000" w:themeColor="text1"/>
          <w:sz w:val="24"/>
          <w:szCs w:val="24"/>
          <w:highlight w:val="none"/>
          <w14:textFill>
            <w14:solidFill>
              <w14:schemeClr w14:val="tx1"/>
            </w14:solidFill>
          </w14:textFill>
        </w:rPr>
        <w:t>2.10 延迟交货</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979" w:name="_Toc23198"/>
      <w:bookmarkStart w:id="1980" w:name="_Toc16528"/>
      <w:bookmarkStart w:id="1981" w:name="_Toc16810"/>
      <w:bookmarkStart w:id="1982" w:name="_Toc18704"/>
      <w:bookmarkStart w:id="1983" w:name="_Toc8441"/>
      <w:bookmarkStart w:id="1984" w:name="_Toc12175"/>
      <w:bookmarkStart w:id="1985" w:name="_Toc8126"/>
      <w:bookmarkStart w:id="1986" w:name="_Toc17237"/>
      <w:bookmarkStart w:id="1987" w:name="_Toc29075"/>
      <w:bookmarkStart w:id="1988" w:name="_Toc2860"/>
      <w:bookmarkStart w:id="1989" w:name="_Toc10956"/>
      <w:bookmarkStart w:id="1990" w:name="_Toc3064"/>
      <w:bookmarkStart w:id="1991" w:name="_Toc21173"/>
      <w:bookmarkStart w:id="1992" w:name="_Toc4586"/>
      <w:bookmarkStart w:id="1993" w:name="_Toc7502"/>
      <w:bookmarkStart w:id="1994" w:name="_Toc16267"/>
      <w:bookmarkStart w:id="1995" w:name="_Toc28850"/>
      <w:bookmarkStart w:id="1996" w:name="_Toc31555"/>
      <w:bookmarkStart w:id="1997" w:name="_Toc29666"/>
      <w:bookmarkStart w:id="1998" w:name="_Toc5999"/>
      <w:bookmarkStart w:id="1999" w:name="_Toc31403"/>
      <w:bookmarkStart w:id="2000" w:name="_Toc25592"/>
      <w:bookmarkStart w:id="2001" w:name="_Toc9194"/>
      <w:bookmarkStart w:id="2002" w:name="_Toc25717"/>
      <w:bookmarkStart w:id="2003" w:name="_Toc507"/>
      <w:bookmarkStart w:id="2004" w:name="_Toc6627"/>
      <w:bookmarkStart w:id="2005" w:name="_Toc2323"/>
      <w:bookmarkStart w:id="2006" w:name="_Toc28327"/>
      <w:bookmarkStart w:id="2007" w:name="_Toc14851"/>
      <w:bookmarkStart w:id="2008" w:name="_Toc9706"/>
      <w:bookmarkStart w:id="2009" w:name="_Toc15143"/>
      <w:bookmarkStart w:id="2010" w:name="_Toc7444"/>
      <w:bookmarkStart w:id="2011" w:name="_Toc259093683"/>
      <w:bookmarkStart w:id="2012" w:name="_Ref467378121"/>
      <w:bookmarkStart w:id="2013" w:name="_Toc279701254"/>
      <w:bookmarkStart w:id="2014" w:name="_Toc487900364"/>
      <w:r>
        <w:rPr>
          <w:rFonts w:hint="eastAsia" w:ascii="宋体" w:hAnsi="宋体" w:eastAsia="宋体" w:cs="宋体"/>
          <w:b/>
          <w:bCs/>
          <w:color w:val="000000" w:themeColor="text1"/>
          <w:sz w:val="24"/>
          <w:szCs w:val="24"/>
          <w:highlight w:val="none"/>
          <w14:textFill>
            <w14:solidFill>
              <w14:schemeClr w14:val="tx1"/>
            </w14:solidFill>
          </w14:textFill>
        </w:rPr>
        <w:t>2.11 合同变更</w:t>
      </w:r>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2015" w:name="_Toc259093688"/>
      <w:bookmarkStart w:id="2016" w:name="_Toc487900369"/>
      <w:bookmarkStart w:id="2017" w:name="_Toc279701259"/>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2018" w:name="_Toc18316"/>
      <w:bookmarkStart w:id="2019" w:name="_Toc8679"/>
      <w:bookmarkStart w:id="2020" w:name="_Toc3484"/>
      <w:bookmarkStart w:id="2021" w:name="_Toc23079"/>
      <w:bookmarkStart w:id="2022" w:name="_Toc20978"/>
      <w:bookmarkStart w:id="2023" w:name="_Toc25508"/>
      <w:bookmarkStart w:id="2024" w:name="_Toc6051"/>
      <w:bookmarkStart w:id="2025" w:name="_Toc26553"/>
      <w:bookmarkStart w:id="2026" w:name="_Toc14895"/>
      <w:bookmarkStart w:id="2027" w:name="_Toc27772"/>
      <w:bookmarkStart w:id="2028" w:name="_Toc15237"/>
      <w:bookmarkStart w:id="2029" w:name="_Toc6176"/>
      <w:bookmarkStart w:id="2030" w:name="_Toc1813"/>
      <w:bookmarkStart w:id="2031" w:name="_Toc11626"/>
      <w:bookmarkStart w:id="2032" w:name="_Toc10537"/>
      <w:bookmarkStart w:id="2033" w:name="_Toc3825"/>
      <w:bookmarkStart w:id="2034" w:name="_Toc25498"/>
      <w:bookmarkStart w:id="2035" w:name="_Toc19380"/>
      <w:bookmarkStart w:id="2036" w:name="_Toc3931"/>
      <w:bookmarkStart w:id="2037" w:name="_Toc3928"/>
      <w:bookmarkStart w:id="2038" w:name="_Toc26864"/>
      <w:bookmarkStart w:id="2039" w:name="_Toc26224"/>
      <w:bookmarkStart w:id="2040" w:name="_Toc4789"/>
      <w:bookmarkStart w:id="2041" w:name="_Toc9543"/>
      <w:bookmarkStart w:id="2042" w:name="_Toc6334"/>
      <w:bookmarkStart w:id="2043" w:name="_Toc21753"/>
      <w:bookmarkStart w:id="2044" w:name="_Toc32309"/>
      <w:bookmarkStart w:id="2045" w:name="_Toc22955"/>
      <w:bookmarkStart w:id="2046" w:name="_Toc24511"/>
      <w:bookmarkStart w:id="2047" w:name="_Toc2157"/>
      <w:bookmarkStart w:id="2048" w:name="_Toc32581"/>
      <w:bookmarkStart w:id="2049" w:name="_Toc10313"/>
      <w:bookmarkStart w:id="2050" w:name="_Toc23779"/>
      <w:r>
        <w:rPr>
          <w:rFonts w:hint="eastAsia" w:ascii="宋体" w:hAnsi="宋体" w:eastAsia="宋体" w:cs="宋体"/>
          <w:b/>
          <w:bCs/>
          <w:color w:val="000000" w:themeColor="text1"/>
          <w:sz w:val="24"/>
          <w:szCs w:val="24"/>
          <w:highlight w:val="none"/>
          <w14:textFill>
            <w14:solidFill>
              <w14:schemeClr w14:val="tx1"/>
            </w14:solidFill>
          </w14:textFill>
        </w:rPr>
        <w:t>2.12 合同转让</w:t>
      </w:r>
      <w:bookmarkEnd w:id="2015"/>
      <w:bookmarkEnd w:id="2016"/>
      <w:bookmarkEnd w:id="2017"/>
      <w:r>
        <w:rPr>
          <w:rFonts w:hint="eastAsia" w:ascii="宋体" w:hAnsi="宋体" w:eastAsia="宋体" w:cs="宋体"/>
          <w:b/>
          <w:bCs/>
          <w:color w:val="000000" w:themeColor="text1"/>
          <w:sz w:val="24"/>
          <w:szCs w:val="24"/>
          <w:highlight w:val="none"/>
          <w14:textFill>
            <w14:solidFill>
              <w14:schemeClr w14:val="tx1"/>
            </w14:solidFill>
          </w14:textFill>
        </w:rPr>
        <w:t>和分包</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2051" w:name="_Toc9855"/>
      <w:bookmarkStart w:id="2052" w:name="_Toc134"/>
      <w:bookmarkStart w:id="2053" w:name="_Toc15741"/>
      <w:bookmarkStart w:id="2054" w:name="_Toc12165"/>
      <w:bookmarkStart w:id="2055" w:name="_Toc17498"/>
      <w:bookmarkStart w:id="2056" w:name="_Toc4540"/>
      <w:bookmarkStart w:id="2057" w:name="_Toc219"/>
      <w:bookmarkStart w:id="2058" w:name="_Toc13557"/>
      <w:bookmarkStart w:id="2059" w:name="_Toc2586"/>
      <w:bookmarkStart w:id="2060" w:name="_Toc24457"/>
      <w:bookmarkStart w:id="2061" w:name="_Toc31984"/>
      <w:bookmarkStart w:id="2062" w:name="_Toc3533"/>
      <w:bookmarkStart w:id="2063" w:name="_Toc19750"/>
      <w:bookmarkStart w:id="2064" w:name="_Toc14752"/>
      <w:bookmarkStart w:id="2065" w:name="_Toc16508"/>
      <w:bookmarkStart w:id="2066" w:name="_Toc29366"/>
      <w:bookmarkStart w:id="2067" w:name="_Toc11104"/>
      <w:bookmarkStart w:id="2068" w:name="_Toc20647"/>
      <w:bookmarkStart w:id="2069" w:name="_Toc8114"/>
      <w:bookmarkStart w:id="2070" w:name="_Toc7608"/>
      <w:bookmarkStart w:id="2071" w:name="_Toc12809"/>
      <w:bookmarkStart w:id="2072" w:name="_Toc9493"/>
      <w:bookmarkStart w:id="2073" w:name="_Toc14063"/>
      <w:bookmarkStart w:id="2074" w:name="_Toc14564"/>
      <w:bookmarkStart w:id="2075" w:name="_Toc14066"/>
      <w:bookmarkStart w:id="2076" w:name="_Toc9374"/>
      <w:bookmarkStart w:id="2077" w:name="_Toc5484"/>
      <w:bookmarkStart w:id="2078" w:name="_Toc24741"/>
      <w:bookmarkStart w:id="2079" w:name="_Toc3177"/>
      <w:bookmarkStart w:id="2080" w:name="_Toc32515"/>
      <w:bookmarkStart w:id="2081" w:name="_Toc32426"/>
      <w:bookmarkStart w:id="2082" w:name="_Toc22326"/>
      <w:bookmarkStart w:id="2083" w:name="_Toc16893"/>
      <w:r>
        <w:rPr>
          <w:rFonts w:hint="eastAsia" w:ascii="宋体" w:hAnsi="宋体" w:eastAsia="宋体" w:cs="宋体"/>
          <w:b/>
          <w:bCs/>
          <w:color w:val="000000" w:themeColor="text1"/>
          <w:sz w:val="24"/>
          <w:szCs w:val="24"/>
          <w:highlight w:val="none"/>
          <w14:textFill>
            <w14:solidFill>
              <w14:schemeClr w14:val="tx1"/>
            </w14:solidFill>
          </w14:textFill>
        </w:rPr>
        <w:t>2.13 不可抗力</w:t>
      </w:r>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2.13.1如果任何一方遭遇法律规定的不可抗力，致使合同履行受阻时，履行合同的期限应予延长，延长的期限应相当于不可抗力所影响的时间；</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2.13.2 因不可抗力致使不能实现合同目的的，当事人可以解除合同；</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2.13.3 因不可抗力致使合同有变更必要的，双方当事人应在</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约定时间内以书面形式变更合同；</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2.13.4受不可抗力影响的一方在不可抗力发生后，应在</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约定时间内以书面形式通知对方当事人，并在</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约定时间内，将有关部门出具的证明文件送达对方当事人。</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2084" w:name="_Toc7175"/>
      <w:bookmarkStart w:id="2085" w:name="_Toc18785"/>
      <w:bookmarkStart w:id="2086" w:name="_Toc6676"/>
      <w:bookmarkStart w:id="2087" w:name="_Toc19677"/>
      <w:bookmarkStart w:id="2088" w:name="_Toc4006"/>
      <w:bookmarkStart w:id="2089" w:name="_Toc1584"/>
      <w:bookmarkStart w:id="2090" w:name="_Toc6047"/>
      <w:bookmarkStart w:id="2091" w:name="_Toc6969"/>
      <w:bookmarkStart w:id="2092" w:name="_Toc7145"/>
      <w:bookmarkStart w:id="2093" w:name="_Toc28340"/>
      <w:bookmarkStart w:id="2094" w:name="_Toc8460"/>
      <w:bookmarkStart w:id="2095" w:name="_Toc12959"/>
      <w:bookmarkStart w:id="2096" w:name="_Toc25124"/>
      <w:bookmarkStart w:id="2097" w:name="_Toc28117"/>
      <w:bookmarkStart w:id="2098" w:name="_Toc6308"/>
      <w:bookmarkStart w:id="2099" w:name="_Toc22873"/>
      <w:bookmarkStart w:id="2100" w:name="_Toc487900365"/>
      <w:bookmarkStart w:id="2101" w:name="_Toc17299"/>
      <w:bookmarkStart w:id="2102" w:name="_Toc5015"/>
      <w:bookmarkStart w:id="2103" w:name="_Toc689"/>
      <w:bookmarkStart w:id="2104" w:name="_Toc14748"/>
      <w:bookmarkStart w:id="2105" w:name="_Toc259093684"/>
      <w:bookmarkStart w:id="2106" w:name="_Toc279701255"/>
      <w:bookmarkStart w:id="2107" w:name="_Toc6288"/>
      <w:bookmarkStart w:id="2108" w:name="_Toc5884"/>
      <w:bookmarkStart w:id="2109" w:name="_Toc26085"/>
      <w:bookmarkStart w:id="2110" w:name="_Toc32764"/>
      <w:bookmarkStart w:id="2111" w:name="_Toc13910"/>
      <w:bookmarkStart w:id="2112" w:name="_Toc31597"/>
      <w:bookmarkStart w:id="2113" w:name="_Toc32452"/>
      <w:bookmarkStart w:id="2114" w:name="_Toc30676"/>
      <w:bookmarkStart w:id="2115" w:name="_Toc16229"/>
      <w:bookmarkStart w:id="2116" w:name="_Toc11423"/>
      <w:bookmarkStart w:id="2117" w:name="_Toc10528"/>
      <w:bookmarkStart w:id="2118" w:name="_Toc21260"/>
      <w:bookmarkStart w:id="2119" w:name="_Toc11876"/>
      <w:bookmarkStart w:id="2120" w:name="_Toc2511"/>
      <w:r>
        <w:rPr>
          <w:rFonts w:hint="eastAsia" w:ascii="宋体" w:hAnsi="宋体" w:eastAsia="宋体" w:cs="宋体"/>
          <w:b/>
          <w:bCs/>
          <w:color w:val="000000" w:themeColor="text1"/>
          <w:sz w:val="24"/>
          <w:szCs w:val="24"/>
          <w:highlight w:val="none"/>
          <w14:textFill>
            <w14:solidFill>
              <w14:schemeClr w14:val="tx1"/>
            </w14:solidFill>
          </w14:textFill>
        </w:rPr>
        <w:t>2.14 税费</w:t>
      </w:r>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与合同有关的一切税费，均按照中华人民共和国法律的相关规定。</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2121" w:name="_Toc25260"/>
      <w:bookmarkStart w:id="2122" w:name="_Toc7102"/>
      <w:bookmarkStart w:id="2123" w:name="_Toc11308"/>
      <w:bookmarkStart w:id="2124" w:name="_Toc487900368"/>
      <w:bookmarkStart w:id="2125" w:name="_Toc13626"/>
      <w:bookmarkStart w:id="2126" w:name="_Toc259093687"/>
      <w:bookmarkStart w:id="2127" w:name="_Toc15527"/>
      <w:bookmarkStart w:id="2128" w:name="_Toc23266"/>
      <w:bookmarkStart w:id="2129" w:name="_Toc7572"/>
      <w:bookmarkStart w:id="2130" w:name="_Toc24862"/>
      <w:bookmarkStart w:id="2131" w:name="_Toc22239"/>
      <w:bookmarkStart w:id="2132" w:name="_Toc14463"/>
      <w:bookmarkStart w:id="2133" w:name="_Toc7117"/>
      <w:bookmarkStart w:id="2134" w:name="_Toc279701258"/>
      <w:bookmarkStart w:id="2135" w:name="_Toc5733"/>
      <w:bookmarkStart w:id="2136" w:name="_Toc29869"/>
      <w:bookmarkStart w:id="2137" w:name="_Toc27541"/>
      <w:bookmarkStart w:id="2138" w:name="_Toc17523"/>
      <w:bookmarkStart w:id="2139" w:name="_Toc25055"/>
      <w:bookmarkStart w:id="2140" w:name="_Toc8934"/>
      <w:bookmarkStart w:id="2141" w:name="_Toc24701"/>
      <w:bookmarkStart w:id="2142" w:name="_Toc10359"/>
      <w:bookmarkStart w:id="2143" w:name="_Toc27950"/>
      <w:bookmarkStart w:id="2144" w:name="_Toc13488"/>
      <w:bookmarkStart w:id="2145" w:name="_Toc14403"/>
      <w:bookmarkStart w:id="2146" w:name="_Toc8298"/>
      <w:bookmarkStart w:id="2147" w:name="_Toc20594"/>
      <w:bookmarkStart w:id="2148" w:name="_Toc9909"/>
      <w:bookmarkStart w:id="2149" w:name="_Toc21290"/>
      <w:bookmarkStart w:id="2150" w:name="_Toc7999"/>
      <w:bookmarkStart w:id="2151" w:name="_Toc8420"/>
      <w:bookmarkStart w:id="2152" w:name="_Toc12141"/>
      <w:bookmarkStart w:id="2153" w:name="_Toc4812"/>
      <w:bookmarkStart w:id="2154" w:name="_Toc29993"/>
      <w:bookmarkStart w:id="2155" w:name="_Toc16959"/>
      <w:r>
        <w:rPr>
          <w:rFonts w:hint="eastAsia" w:ascii="宋体" w:hAnsi="宋体" w:eastAsia="宋体" w:cs="宋体"/>
          <w:b/>
          <w:bCs/>
          <w:color w:val="000000" w:themeColor="text1"/>
          <w:sz w:val="24"/>
          <w:szCs w:val="24"/>
          <w:highlight w:val="none"/>
          <w14:textFill>
            <w14:solidFill>
              <w14:schemeClr w14:val="tx1"/>
            </w14:solidFill>
          </w14:textFill>
        </w:rPr>
        <w:t>2.15 乙方破产</w:t>
      </w:r>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2156" w:name="_Toc7009"/>
      <w:bookmarkStart w:id="2157" w:name="_Toc15605"/>
      <w:bookmarkStart w:id="2158" w:name="_Toc3039"/>
      <w:bookmarkStart w:id="2159" w:name="_Toc25273"/>
      <w:bookmarkStart w:id="2160" w:name="_Toc26255"/>
      <w:bookmarkStart w:id="2161" w:name="_Toc29764"/>
      <w:bookmarkStart w:id="2162" w:name="_Toc12606"/>
      <w:bookmarkStart w:id="2163" w:name="_Toc15387"/>
      <w:bookmarkStart w:id="2164" w:name="_Toc4013"/>
      <w:bookmarkStart w:id="2165" w:name="_Toc9318"/>
      <w:bookmarkStart w:id="2166" w:name="_Toc24976"/>
      <w:bookmarkStart w:id="2167" w:name="_Toc11521"/>
      <w:bookmarkStart w:id="2168" w:name="_Toc15445"/>
      <w:bookmarkStart w:id="2169" w:name="_Toc11435"/>
      <w:bookmarkStart w:id="2170" w:name="_Toc26083"/>
      <w:bookmarkStart w:id="2171" w:name="_Toc1942"/>
      <w:bookmarkStart w:id="2172" w:name="_Toc110"/>
      <w:bookmarkStart w:id="2173" w:name="_Toc9361"/>
      <w:bookmarkStart w:id="2174" w:name="_Toc23040"/>
      <w:bookmarkStart w:id="2175" w:name="_Toc30362"/>
      <w:bookmarkStart w:id="2176" w:name="_Toc31639"/>
      <w:bookmarkStart w:id="2177" w:name="_Toc5634"/>
      <w:bookmarkStart w:id="2178" w:name="_Toc16840"/>
      <w:bookmarkStart w:id="2179" w:name="_Toc24066"/>
      <w:bookmarkStart w:id="2180" w:name="_Toc24867"/>
      <w:bookmarkStart w:id="2181" w:name="_Toc12113"/>
      <w:bookmarkStart w:id="2182" w:name="_Toc6134"/>
      <w:bookmarkStart w:id="2183" w:name="_Toc1303"/>
      <w:bookmarkStart w:id="2184" w:name="_Toc818"/>
      <w:bookmarkStart w:id="2185" w:name="_Toc27106"/>
      <w:bookmarkStart w:id="2186" w:name="_Toc11812"/>
      <w:bookmarkStart w:id="2187" w:name="_Toc32508"/>
      <w:bookmarkStart w:id="2188" w:name="_Toc29333"/>
      <w:bookmarkStart w:id="2189" w:name="_Toc12781"/>
      <w:bookmarkStart w:id="2190" w:name="_Toc4227"/>
      <w:r>
        <w:rPr>
          <w:rFonts w:hint="eastAsia" w:ascii="宋体" w:hAnsi="宋体" w:eastAsia="宋体" w:cs="宋体"/>
          <w:b/>
          <w:bCs/>
          <w:color w:val="000000" w:themeColor="text1"/>
          <w:sz w:val="24"/>
          <w:szCs w:val="24"/>
          <w:highlight w:val="none"/>
          <w14:textFill>
            <w14:solidFill>
              <w14:schemeClr w14:val="tx1"/>
            </w14:solidFill>
          </w14:textFill>
        </w:rPr>
        <w:t>2.16 合同中止、终止</w:t>
      </w:r>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2.16.1 双方当事人不得擅自中止或者终止合同；</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2191" w:name="_Toc11352"/>
      <w:bookmarkStart w:id="2192" w:name="_Toc30133"/>
      <w:bookmarkStart w:id="2193" w:name="_Toc19755"/>
      <w:bookmarkStart w:id="2194" w:name="_Toc27311"/>
      <w:bookmarkStart w:id="2195" w:name="_Toc13848"/>
      <w:bookmarkStart w:id="2196" w:name="_Toc14563"/>
      <w:bookmarkStart w:id="2197" w:name="_Toc22335"/>
      <w:bookmarkStart w:id="2198" w:name="_Toc13316"/>
      <w:bookmarkStart w:id="2199" w:name="_Toc14890"/>
      <w:bookmarkStart w:id="2200" w:name="_Toc9310"/>
      <w:bookmarkStart w:id="2201" w:name="_Toc31577"/>
      <w:bookmarkStart w:id="2202" w:name="_Toc1125"/>
      <w:bookmarkStart w:id="2203" w:name="_Toc25710"/>
      <w:bookmarkStart w:id="2204" w:name="_Toc4111"/>
      <w:bookmarkStart w:id="2205" w:name="_Toc25358"/>
      <w:bookmarkStart w:id="2206" w:name="_Toc11995"/>
      <w:bookmarkStart w:id="2207" w:name="_Toc20145"/>
      <w:bookmarkStart w:id="2208" w:name="_Toc11637"/>
      <w:bookmarkStart w:id="2209" w:name="_Toc30958"/>
      <w:bookmarkStart w:id="2210" w:name="_Toc21636"/>
      <w:bookmarkStart w:id="2211" w:name="_Toc12595"/>
      <w:bookmarkStart w:id="2212" w:name="_Toc28047"/>
      <w:bookmarkStart w:id="2213" w:name="_Toc24731"/>
      <w:bookmarkStart w:id="2214" w:name="_Toc11658"/>
      <w:bookmarkStart w:id="2215" w:name="_Toc28303"/>
      <w:bookmarkStart w:id="2216" w:name="_Toc6596"/>
      <w:bookmarkStart w:id="2217" w:name="_Toc29926"/>
      <w:bookmarkStart w:id="2218" w:name="_Toc25230"/>
      <w:bookmarkStart w:id="2219" w:name="_Toc3441"/>
      <w:bookmarkStart w:id="2220" w:name="_Toc24481"/>
      <w:bookmarkStart w:id="2221" w:name="_Toc6704"/>
      <w:bookmarkStart w:id="2222" w:name="_Toc30476"/>
      <w:bookmarkStart w:id="2223" w:name="_Toc13669"/>
      <w:bookmarkStart w:id="2224" w:name="_Toc13150"/>
      <w:r>
        <w:rPr>
          <w:rFonts w:hint="eastAsia" w:ascii="宋体" w:hAnsi="宋体" w:eastAsia="宋体" w:cs="宋体"/>
          <w:b/>
          <w:bCs/>
          <w:color w:val="000000" w:themeColor="text1"/>
          <w:sz w:val="24"/>
          <w:szCs w:val="24"/>
          <w:highlight w:val="none"/>
          <w14:textFill>
            <w14:solidFill>
              <w14:schemeClr w14:val="tx1"/>
            </w14:solidFill>
          </w14:textFill>
        </w:rPr>
        <w:t>2.17 检验和验收</w:t>
      </w:r>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p>
    <w:p>
      <w:pPr>
        <w:tabs>
          <w:tab w:val="left" w:pos="360"/>
          <w:tab w:val="left" w:pos="540"/>
          <w:tab w:val="left" w:pos="1080"/>
        </w:tabs>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2.17.1货物交付前，乙方应对货物的质量、数量等方面进行详细、全面的检验，并向甲方出具证明货物符合合同约定的文件；货物交付时，乙方在</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约定时间内组织验收，并可依法邀请相关方参加，验收应出具验收书。</w:t>
      </w:r>
    </w:p>
    <w:p>
      <w:pPr>
        <w:tabs>
          <w:tab w:val="left" w:pos="360"/>
          <w:tab w:val="left" w:pos="540"/>
          <w:tab w:val="left" w:pos="1080"/>
        </w:tabs>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2.17.3 检验和验收标准、程序等具体内容以及前述验收书的效力详见</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i/>
          <w:iCs/>
          <w:color w:val="000000" w:themeColor="text1"/>
          <w:sz w:val="24"/>
          <w:szCs w:val="24"/>
          <w:highlight w:val="none"/>
          <w14:textFill>
            <w14:solidFill>
              <w14:schemeClr w14:val="tx1"/>
            </w14:solidFill>
          </w14:textFill>
        </w:rPr>
        <w:t>。</w:t>
      </w:r>
    </w:p>
    <w:bookmarkEnd w:id="2011"/>
    <w:bookmarkEnd w:id="2012"/>
    <w:bookmarkEnd w:id="2013"/>
    <w:bookmarkEnd w:id="2014"/>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2225" w:name="_Toc279701261"/>
      <w:bookmarkStart w:id="2226" w:name="_Toc259093690"/>
      <w:bookmarkStart w:id="2227" w:name="_Toc487900371"/>
      <w:bookmarkStart w:id="2228" w:name="_Toc26892"/>
      <w:bookmarkStart w:id="2229" w:name="_Toc725"/>
      <w:bookmarkStart w:id="2230" w:name="_Toc17336"/>
      <w:bookmarkStart w:id="2231" w:name="_Toc15037"/>
      <w:bookmarkStart w:id="2232" w:name="_Toc31945"/>
      <w:bookmarkStart w:id="2233" w:name="_Toc8096"/>
      <w:bookmarkStart w:id="2234" w:name="_Toc29082"/>
      <w:bookmarkStart w:id="2235" w:name="_Toc17270"/>
      <w:bookmarkStart w:id="2236" w:name="_Toc13220"/>
      <w:bookmarkStart w:id="2237" w:name="_Toc8998"/>
      <w:bookmarkStart w:id="2238" w:name="_Toc29267"/>
      <w:bookmarkStart w:id="2239" w:name="_Toc12493"/>
      <w:bookmarkStart w:id="2240" w:name="_Toc17313"/>
      <w:bookmarkStart w:id="2241" w:name="_Toc9266"/>
      <w:bookmarkStart w:id="2242" w:name="_Toc11284"/>
      <w:bookmarkStart w:id="2243" w:name="_Toc20551"/>
      <w:bookmarkStart w:id="2244" w:name="_Toc32473"/>
      <w:bookmarkStart w:id="2245" w:name="_Toc26823"/>
      <w:bookmarkStart w:id="2246" w:name="_Toc32221"/>
      <w:bookmarkStart w:id="2247" w:name="_Toc14193"/>
      <w:bookmarkStart w:id="2248" w:name="_Toc27621"/>
      <w:bookmarkStart w:id="2249" w:name="_Toc7660"/>
      <w:bookmarkStart w:id="2250" w:name="_Toc14665"/>
      <w:bookmarkStart w:id="2251" w:name="_Toc23678"/>
      <w:bookmarkStart w:id="2252" w:name="_Toc21687"/>
      <w:bookmarkStart w:id="2253" w:name="_Toc19604"/>
      <w:bookmarkStart w:id="2254" w:name="_Toc5435"/>
      <w:bookmarkStart w:id="2255" w:name="_Toc10130"/>
      <w:bookmarkStart w:id="2256" w:name="_Toc14242"/>
      <w:bookmarkStart w:id="2257" w:name="_Toc30713"/>
      <w:bookmarkStart w:id="2258" w:name="_Toc8125"/>
      <w:bookmarkStart w:id="2259" w:name="_Toc7641"/>
      <w:bookmarkStart w:id="2260" w:name="_Toc25182"/>
      <w:bookmarkStart w:id="2261" w:name="_Toc4983"/>
      <w:r>
        <w:rPr>
          <w:rFonts w:hint="eastAsia" w:ascii="宋体" w:hAnsi="宋体" w:eastAsia="宋体" w:cs="宋体"/>
          <w:b/>
          <w:bCs/>
          <w:color w:val="000000" w:themeColor="text1"/>
          <w:sz w:val="24"/>
          <w:szCs w:val="24"/>
          <w:highlight w:val="none"/>
          <w14:textFill>
            <w14:solidFill>
              <w14:schemeClr w14:val="tx1"/>
            </w14:solidFill>
          </w14:textFill>
        </w:rPr>
        <w:t>2.18 通知</w:t>
      </w:r>
      <w:bookmarkEnd w:id="2225"/>
      <w:bookmarkEnd w:id="2226"/>
      <w:bookmarkEnd w:id="2227"/>
      <w:r>
        <w:rPr>
          <w:rFonts w:hint="eastAsia" w:ascii="宋体" w:hAnsi="宋体" w:eastAsia="宋体" w:cs="宋体"/>
          <w:b/>
          <w:bCs/>
          <w:color w:val="000000" w:themeColor="text1"/>
          <w:sz w:val="24"/>
          <w:szCs w:val="24"/>
          <w:highlight w:val="none"/>
          <w14:textFill>
            <w14:solidFill>
              <w14:schemeClr w14:val="tx1"/>
            </w14:solidFill>
          </w14:textFill>
        </w:rPr>
        <w:t>和送达</w:t>
      </w:r>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2262" w:name="_Toc3135"/>
      <w:bookmarkStart w:id="2263" w:name="_Toc6698"/>
      <w:bookmarkStart w:id="2264" w:name="_Toc487900372"/>
      <w:bookmarkStart w:id="2265" w:name="_Toc259093691"/>
      <w:bookmarkStart w:id="2266" w:name="_Toc279701262"/>
      <w:r>
        <w:rPr>
          <w:rFonts w:hint="eastAsia" w:ascii="宋体" w:hAnsi="宋体" w:eastAsia="宋体" w:cs="宋体"/>
          <w:color w:val="000000" w:themeColor="text1"/>
          <w:sz w:val="24"/>
          <w:szCs w:val="24"/>
          <w:highlight w:val="none"/>
          <w14:textFill>
            <w14:solidFill>
              <w14:schemeClr w14:val="tx1"/>
            </w14:solidFill>
          </w14:textFill>
        </w:rPr>
        <w:t>2.18.1 任何一方因履行合同而以合同第一部分尾部所列明的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发出的所有通知、文件、材料，均视为已向对方当事人送达；任何一方变更上述送达方式或者地址的，应于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个工作日内书面通知对方当事人，在对方当事人收到有关变更通知之前，变更前的约定送达方式或者地址仍视为有效。</w:t>
      </w:r>
      <w:bookmarkEnd w:id="2262"/>
      <w:bookmarkEnd w:id="2263"/>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2267" w:name="_Toc23294"/>
      <w:bookmarkStart w:id="2268" w:name="_Toc23128"/>
      <w:r>
        <w:rPr>
          <w:rFonts w:hint="eastAsia" w:ascii="宋体" w:hAnsi="宋体" w:eastAsia="宋体" w:cs="宋体"/>
          <w:color w:val="000000" w:themeColor="text1"/>
          <w:sz w:val="24"/>
          <w:szCs w:val="24"/>
          <w:highlight w:val="none"/>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67"/>
      <w:bookmarkEnd w:id="2268"/>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2269" w:name="_Toc31861"/>
      <w:bookmarkStart w:id="2270" w:name="_Toc18540"/>
      <w:bookmarkStart w:id="2271" w:name="_Toc4355"/>
      <w:bookmarkStart w:id="2272" w:name="_Toc2100"/>
      <w:bookmarkStart w:id="2273" w:name="_Toc2439"/>
      <w:bookmarkStart w:id="2274" w:name="_Toc5141"/>
      <w:bookmarkStart w:id="2275" w:name="_Toc3295"/>
      <w:bookmarkStart w:id="2276" w:name="_Toc4747"/>
      <w:bookmarkStart w:id="2277" w:name="_Toc11892"/>
      <w:bookmarkStart w:id="2278" w:name="_Toc9371"/>
      <w:bookmarkStart w:id="2279" w:name="_Toc27038"/>
      <w:bookmarkStart w:id="2280" w:name="_Toc18621"/>
      <w:bookmarkStart w:id="2281" w:name="_Toc20837"/>
      <w:bookmarkStart w:id="2282" w:name="_Toc10954"/>
      <w:bookmarkStart w:id="2283" w:name="_Toc21923"/>
      <w:bookmarkStart w:id="2284" w:name="_Toc1414"/>
      <w:bookmarkStart w:id="2285" w:name="_Toc4241"/>
      <w:bookmarkStart w:id="2286" w:name="_Toc30497"/>
      <w:bookmarkStart w:id="2287" w:name="_Toc596"/>
      <w:bookmarkStart w:id="2288" w:name="_Toc12721"/>
      <w:bookmarkStart w:id="2289" w:name="_Toc14810"/>
      <w:bookmarkStart w:id="2290" w:name="_Toc13466"/>
      <w:bookmarkStart w:id="2291" w:name="_Toc21464"/>
      <w:bookmarkStart w:id="2292" w:name="_Toc20309"/>
      <w:bookmarkStart w:id="2293" w:name="_Toc24062"/>
      <w:bookmarkStart w:id="2294" w:name="_Toc20914"/>
      <w:bookmarkStart w:id="2295" w:name="_Toc15273"/>
      <w:bookmarkStart w:id="2296" w:name="_Toc29312"/>
      <w:bookmarkStart w:id="2297" w:name="_Toc1114"/>
      <w:bookmarkStart w:id="2298" w:name="_Toc10932"/>
      <w:bookmarkStart w:id="2299" w:name="_Toc2986"/>
      <w:bookmarkStart w:id="2300" w:name="_Toc30599"/>
      <w:bookmarkStart w:id="2301" w:name="_Toc20763"/>
      <w:bookmarkStart w:id="2302" w:name="_Toc21034"/>
      <w:r>
        <w:rPr>
          <w:rFonts w:hint="eastAsia" w:ascii="宋体" w:hAnsi="宋体" w:eastAsia="宋体" w:cs="宋体"/>
          <w:b/>
          <w:bCs/>
          <w:color w:val="000000" w:themeColor="text1"/>
          <w:sz w:val="24"/>
          <w:szCs w:val="24"/>
          <w:highlight w:val="none"/>
          <w14:textFill>
            <w14:solidFill>
              <w14:schemeClr w14:val="tx1"/>
            </w14:solidFill>
          </w14:textFill>
        </w:rPr>
        <w:t>2.19 计量单位</w:t>
      </w:r>
      <w:bookmarkEnd w:id="2264"/>
      <w:bookmarkEnd w:id="2265"/>
      <w:bookmarkEnd w:id="2266"/>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除技术规范中另有规定外,合同的计量单位均使用国家法定计量单位。</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2303" w:name="_Toc19522"/>
      <w:bookmarkStart w:id="2304" w:name="_Toc6555"/>
      <w:bookmarkStart w:id="2305" w:name="_Toc10536"/>
      <w:bookmarkStart w:id="2306" w:name="_Toc14099"/>
      <w:bookmarkStart w:id="2307" w:name="_Toc4693"/>
      <w:bookmarkStart w:id="2308" w:name="_Toc9178"/>
      <w:bookmarkStart w:id="2309" w:name="_Toc27589"/>
      <w:bookmarkStart w:id="2310" w:name="_Toc11130"/>
      <w:bookmarkStart w:id="2311" w:name="_Toc16663"/>
      <w:bookmarkStart w:id="2312" w:name="_Toc15261"/>
      <w:bookmarkStart w:id="2313" w:name="_Toc18567"/>
      <w:bookmarkStart w:id="2314" w:name="_Toc5796"/>
      <w:bookmarkStart w:id="2315" w:name="_Toc20624"/>
      <w:bookmarkStart w:id="2316" w:name="_Toc10830"/>
      <w:bookmarkStart w:id="2317" w:name="_Toc30404"/>
      <w:bookmarkStart w:id="2318" w:name="_Toc17517"/>
      <w:bookmarkStart w:id="2319" w:name="_Toc15428"/>
      <w:bookmarkStart w:id="2320" w:name="_Toc9626"/>
      <w:bookmarkStart w:id="2321" w:name="_Toc32583"/>
      <w:bookmarkStart w:id="2322" w:name="_Toc21748"/>
      <w:bookmarkStart w:id="2323" w:name="_Toc15868"/>
      <w:bookmarkStart w:id="2324" w:name="_Toc10330"/>
      <w:bookmarkStart w:id="2325" w:name="_Toc487900373"/>
      <w:bookmarkStart w:id="2326" w:name="_Toc22826"/>
      <w:bookmarkStart w:id="2327" w:name="_Toc26757"/>
      <w:bookmarkStart w:id="2328" w:name="_Toc279701263"/>
      <w:bookmarkStart w:id="2329" w:name="_Toc1728"/>
      <w:bookmarkStart w:id="2330" w:name="_Toc19154"/>
      <w:bookmarkStart w:id="2331" w:name="_Toc776"/>
      <w:bookmarkStart w:id="2332" w:name="_Toc16880"/>
      <w:bookmarkStart w:id="2333" w:name="_Toc28784"/>
      <w:bookmarkStart w:id="2334" w:name="_Toc259093692"/>
      <w:bookmarkStart w:id="2335" w:name="_Toc26158"/>
      <w:bookmarkStart w:id="2336" w:name="_Toc13131"/>
      <w:bookmarkStart w:id="2337" w:name="_Toc24319"/>
      <w:bookmarkStart w:id="2338" w:name="_Toc13041"/>
      <w:bookmarkStart w:id="2339" w:name="_Toc12773"/>
      <w:bookmarkStart w:id="2340" w:name="_Toc18634"/>
      <w:r>
        <w:rPr>
          <w:rFonts w:hint="eastAsia" w:ascii="宋体" w:hAnsi="宋体" w:eastAsia="宋体" w:cs="宋体"/>
          <w:b/>
          <w:bCs/>
          <w:color w:val="000000" w:themeColor="text1"/>
          <w:sz w:val="24"/>
          <w:szCs w:val="24"/>
          <w:highlight w:val="none"/>
          <w14:textFill>
            <w14:solidFill>
              <w14:schemeClr w14:val="tx1"/>
            </w14:solidFill>
          </w14:textFill>
        </w:rPr>
        <w:t>2.20 合同使用的文字和适用的法律</w:t>
      </w:r>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2.20.1 合同使用汉语书就、变更和解释；</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2.20.2 合同适用中华人民共和国法律。</w:t>
      </w:r>
    </w:p>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2341" w:name="_Toc259093693"/>
      <w:bookmarkStart w:id="2342" w:name="_Toc12004"/>
      <w:bookmarkStart w:id="2343" w:name="_Toc18845"/>
      <w:bookmarkStart w:id="2344" w:name="_Toc29455"/>
      <w:bookmarkStart w:id="2345" w:name="_Toc16479"/>
      <w:bookmarkStart w:id="2346" w:name="_Toc26372"/>
      <w:bookmarkStart w:id="2347" w:name="_Toc10811"/>
      <w:bookmarkStart w:id="2348" w:name="_Toc3148"/>
      <w:bookmarkStart w:id="2349" w:name="_Toc15434"/>
      <w:bookmarkStart w:id="2350" w:name="_Toc24883"/>
      <w:bookmarkStart w:id="2351" w:name="_Toc5000"/>
      <w:bookmarkStart w:id="2352" w:name="_Toc29073"/>
      <w:bookmarkStart w:id="2353" w:name="_Toc3838"/>
      <w:bookmarkStart w:id="2354" w:name="_Toc31790"/>
      <w:bookmarkStart w:id="2355" w:name="_Toc11628"/>
      <w:bookmarkStart w:id="2356" w:name="_Toc30675"/>
      <w:bookmarkStart w:id="2357" w:name="_Toc32497"/>
      <w:bookmarkStart w:id="2358" w:name="_Toc15437"/>
      <w:bookmarkStart w:id="2359" w:name="_Toc25551"/>
      <w:bookmarkStart w:id="2360" w:name="_Toc31421"/>
      <w:bookmarkStart w:id="2361" w:name="_Toc22858"/>
      <w:bookmarkStart w:id="2362" w:name="_Toc11201"/>
      <w:bookmarkStart w:id="2363" w:name="_Toc1670"/>
      <w:bookmarkStart w:id="2364" w:name="_Toc4611"/>
      <w:bookmarkStart w:id="2365" w:name="_Toc11254"/>
      <w:bookmarkStart w:id="2366" w:name="_Toc279701264"/>
      <w:bookmarkStart w:id="2367" w:name="_Toc638"/>
      <w:bookmarkStart w:id="2368" w:name="_Toc14964"/>
      <w:bookmarkStart w:id="2369" w:name="_Toc16673"/>
      <w:bookmarkStart w:id="2370" w:name="_Toc30511"/>
      <w:bookmarkStart w:id="2371" w:name="_Toc25929"/>
      <w:bookmarkStart w:id="2372" w:name="_Toc6225"/>
      <w:bookmarkStart w:id="2373" w:name="_Toc8602"/>
      <w:bookmarkStart w:id="2374" w:name="_Toc14308"/>
      <w:bookmarkStart w:id="2375" w:name="_Toc5571"/>
      <w:bookmarkStart w:id="2376" w:name="_Toc20252"/>
      <w:bookmarkStart w:id="2377" w:name="_Toc9739"/>
      <w:bookmarkStart w:id="2378" w:name="_Toc487900374"/>
      <w:r>
        <w:rPr>
          <w:rFonts w:hint="eastAsia" w:ascii="宋体" w:hAnsi="宋体" w:eastAsia="宋体" w:cs="宋体"/>
          <w:b/>
          <w:bCs/>
          <w:color w:val="000000" w:themeColor="text1"/>
          <w:sz w:val="24"/>
          <w:szCs w:val="24"/>
          <w:highlight w:val="none"/>
          <w14:textFill>
            <w14:solidFill>
              <w14:schemeClr w14:val="tx1"/>
            </w14:solidFill>
          </w14:textFill>
        </w:rPr>
        <w:t>2.21 履约保证金</w:t>
      </w:r>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2.21.1 采购文件要求乙方提交履约保证金的，乙方应按</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约定的方式，以支票、汇票、本票或者金融机构、担保机构出具的保函等非现金形式，提交不超过合同价10%的履约保证金；</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2.21.2  履约保证金在</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约定期间内或者货物质量保证期内不予退还或者应完全有效，前述约定期间届满或者货物质量保证期届满之日起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个工作日内，甲方应将履约保证金退还乙方；</w:t>
      </w:r>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378"/>
    <w:p>
      <w:pPr>
        <w:spacing w:line="360" w:lineRule="exact"/>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2379" w:name="_Toc25691"/>
      <w:bookmarkStart w:id="2380" w:name="_Toc4198"/>
      <w:bookmarkStart w:id="2381" w:name="_Toc22821"/>
      <w:bookmarkStart w:id="2382" w:name="_Toc17856"/>
      <w:bookmarkStart w:id="2383" w:name="_Toc17310"/>
      <w:bookmarkStart w:id="2384" w:name="_Toc30847"/>
      <w:bookmarkStart w:id="2385" w:name="_Toc21934"/>
      <w:bookmarkStart w:id="2386" w:name="_Toc30496"/>
      <w:bookmarkStart w:id="2387" w:name="_Toc22496"/>
      <w:bookmarkStart w:id="2388" w:name="_Toc20428"/>
      <w:bookmarkStart w:id="2389" w:name="_Toc24307"/>
      <w:bookmarkStart w:id="2390" w:name="_Toc25049"/>
      <w:bookmarkStart w:id="2391" w:name="_Toc12034"/>
      <w:bookmarkStart w:id="2392" w:name="_Toc24006"/>
      <w:bookmarkStart w:id="2393" w:name="_Toc19890"/>
      <w:bookmarkStart w:id="2394" w:name="_Toc8894"/>
      <w:bookmarkStart w:id="2395" w:name="_Toc16431"/>
      <w:bookmarkStart w:id="2396" w:name="_Toc14001"/>
      <w:bookmarkStart w:id="2397" w:name="_Toc2720"/>
      <w:bookmarkStart w:id="2398" w:name="_Toc16450"/>
      <w:bookmarkStart w:id="2399" w:name="_Toc3038"/>
      <w:bookmarkStart w:id="2400" w:name="_Toc21120"/>
      <w:bookmarkStart w:id="2401" w:name="_Toc32643"/>
      <w:bookmarkStart w:id="2402" w:name="_Toc32408"/>
      <w:bookmarkStart w:id="2403" w:name="_Toc21762"/>
      <w:bookmarkStart w:id="2404" w:name="_Toc20802"/>
      <w:bookmarkStart w:id="2405" w:name="_Toc8495"/>
      <w:bookmarkStart w:id="2406" w:name="_Toc14217"/>
      <w:bookmarkStart w:id="2407" w:name="_Toc10801"/>
      <w:bookmarkStart w:id="2408" w:name="_Toc8867"/>
      <w:bookmarkStart w:id="2409" w:name="_Toc28525"/>
      <w:bookmarkStart w:id="2410" w:name="_Toc11103"/>
      <w:bookmarkStart w:id="2411" w:name="_Toc27563"/>
      <w:r>
        <w:rPr>
          <w:rFonts w:hint="eastAsia" w:ascii="宋体" w:hAnsi="宋体" w:eastAsia="宋体" w:cs="宋体"/>
          <w:b/>
          <w:bCs/>
          <w:color w:val="000000" w:themeColor="text1"/>
          <w:sz w:val="24"/>
          <w:szCs w:val="24"/>
          <w:highlight w:val="none"/>
          <w14:textFill>
            <w14:solidFill>
              <w14:schemeClr w14:val="tx1"/>
            </w14:solidFill>
          </w14:textFill>
        </w:rPr>
        <w:t>2.22 合同份数</w:t>
      </w:r>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合同份数按</w:t>
      </w:r>
      <w:r>
        <w:rPr>
          <w:rFonts w:hint="eastAsia" w:ascii="宋体" w:hAnsi="宋体" w:eastAsia="宋体" w:cs="宋体"/>
          <w:b/>
          <w:bCs/>
          <w:i/>
          <w:iCs/>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规定，每份均具有同等法律效力。</w:t>
      </w:r>
    </w:p>
    <w:p>
      <w:pPr>
        <w:pStyle w:val="113"/>
        <w:spacing w:line="360" w:lineRule="exact"/>
        <w:ind w:firstLine="0"/>
        <w:jc w:val="center"/>
        <w:outlineLvl w:val="9"/>
        <w:rPr>
          <w:rFonts w:hint="eastAsia" w:ascii="宋体" w:hAnsi="宋体" w:eastAsia="宋体" w:cs="宋体"/>
          <w:b/>
          <w:bCs/>
          <w:color w:val="000000" w:themeColor="text1"/>
          <w:highlight w:val="none"/>
          <w14:textFill>
            <w14:solidFill>
              <w14:schemeClr w14:val="tx1"/>
            </w14:solidFill>
          </w14:textFill>
        </w:rPr>
      </w:pPr>
      <w:bookmarkStart w:id="2412" w:name="_Toc331685784"/>
    </w:p>
    <w:p>
      <w:pPr>
        <w:pStyle w:val="113"/>
        <w:spacing w:line="360" w:lineRule="exact"/>
        <w:ind w:firstLine="0"/>
        <w:jc w:val="center"/>
        <w:outlineLvl w:val="9"/>
        <w:rPr>
          <w:rFonts w:hint="eastAsia" w:ascii="宋体" w:hAnsi="宋体" w:eastAsia="宋体" w:cs="宋体"/>
          <w:b/>
          <w:bCs/>
          <w:color w:val="000000" w:themeColor="text1"/>
          <w:highlight w:val="none"/>
          <w14:textFill>
            <w14:solidFill>
              <w14:schemeClr w14:val="tx1"/>
            </w14:solidFill>
          </w14:textFill>
        </w:rPr>
      </w:pPr>
    </w:p>
    <w:p>
      <w:pPr>
        <w:pStyle w:val="113"/>
        <w:spacing w:line="360" w:lineRule="exact"/>
        <w:ind w:firstLine="0"/>
        <w:jc w:val="center"/>
        <w:outlineLvl w:val="9"/>
        <w:rPr>
          <w:rFonts w:hint="eastAsia" w:ascii="宋体" w:hAnsi="宋体" w:eastAsia="宋体" w:cs="宋体"/>
          <w:b/>
          <w:bCs/>
          <w:color w:val="000000" w:themeColor="text1"/>
          <w:highlight w:val="none"/>
          <w14:textFill>
            <w14:solidFill>
              <w14:schemeClr w14:val="tx1"/>
            </w14:solidFill>
          </w14:textFill>
        </w:rPr>
      </w:pPr>
    </w:p>
    <w:p>
      <w:pPr>
        <w:pStyle w:val="113"/>
        <w:spacing w:line="360" w:lineRule="exact"/>
        <w:ind w:firstLine="0"/>
        <w:jc w:val="center"/>
        <w:outlineLvl w:val="9"/>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第三部分  合同专用条款</w:t>
      </w:r>
      <w:bookmarkEnd w:id="2412"/>
    </w:p>
    <w:p>
      <w:pPr>
        <w:spacing w:line="36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条款号</w:t>
            </w:r>
          </w:p>
        </w:tc>
        <w:tc>
          <w:tcPr>
            <w:tcW w:w="7633" w:type="dxa"/>
            <w:vAlign w:val="center"/>
          </w:tcPr>
          <w:p>
            <w:pPr>
              <w:keepNext w:val="0"/>
              <w:keepLines w:val="0"/>
              <w:suppressLineNumbers w:val="0"/>
              <w:spacing w:before="0" w:beforeAutospacing="0" w:after="0" w:afterAutospacing="0" w:line="360" w:lineRule="exact"/>
              <w:ind w:left="0" w:right="0"/>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r>
    </w:tbl>
    <w:p>
      <w:pPr>
        <w:outlineLvl w:val="9"/>
        <w:rPr>
          <w:rFonts w:hint="eastAsia" w:ascii="宋体" w:hAnsi="宋体" w:eastAsia="宋体" w:cs="宋体"/>
          <w:color w:val="000000" w:themeColor="text1"/>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default"/>
          <w:color w:val="000000" w:themeColor="text1"/>
          <w:lang w:val="en-US" w:eastAsia="zh-CN"/>
          <w14:textFill>
            <w14:solidFill>
              <w14:schemeClr w14:val="tx1"/>
            </w14:solidFill>
          </w14:textFill>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eastAsiaTheme="minorEastAsia"/>
        <w:color w:val="FF0000"/>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color w:val="FF0000"/>
      </w:rPr>
      <w:drawing>
        <wp:anchor distT="0" distB="0" distL="114300" distR="114300" simplePos="0" relativeHeight="251666432" behindDoc="1" locked="0" layoutInCell="1" allowOverlap="1">
          <wp:simplePos x="0" y="0"/>
          <wp:positionH relativeFrom="page">
            <wp:posOffset>0</wp:posOffset>
          </wp:positionH>
          <wp:positionV relativeFrom="page">
            <wp:posOffset>9320530</wp:posOffset>
          </wp:positionV>
          <wp:extent cx="7731760" cy="1357630"/>
          <wp:effectExtent l="0" t="0" r="2540" b="1397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flipH="1" flipV="1">
                    <a:off x="0" y="0"/>
                    <a:ext cx="7731760" cy="1357630"/>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hint="eastAsia"/>
        <w:color w:val="FF0000"/>
        <w:lang w:val="en-US" w:eastAsia="zh-CN"/>
      </w:rPr>
      <w:t>Add：喀什经济开发区兵团分区总部大厦B座</w:t>
    </w:r>
    <w:r>
      <w:rPr>
        <w:rFonts w:hint="eastAsia" w:eastAsia="宋体"/>
        <w:color w:val="FF0000"/>
        <w:lang w:val="en-US" w:eastAsia="zh-CN"/>
      </w:rPr>
      <w:t>9楼</w:t>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eastAsiaTheme="minorEastAsia"/>
        <w:color w:val="FF0000"/>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51</w:t>
                    </w:r>
                    <w:r>
                      <w:fldChar w:fldCharType="end"/>
                    </w:r>
                  </w:p>
                </w:txbxContent>
              </v:textbox>
            </v:shape>
          </w:pict>
        </mc:Fallback>
      </mc:AlternateContent>
    </w:r>
    <w:r>
      <w:rPr>
        <w:color w:val="FF0000"/>
      </w:rPr>
      <w:drawing>
        <wp:anchor distT="0" distB="0" distL="114300" distR="114300" simplePos="0" relativeHeight="251667456" behindDoc="1" locked="0" layoutInCell="1" allowOverlap="1">
          <wp:simplePos x="0" y="0"/>
          <wp:positionH relativeFrom="page">
            <wp:posOffset>0</wp:posOffset>
          </wp:positionH>
          <wp:positionV relativeFrom="page">
            <wp:posOffset>9320530</wp:posOffset>
          </wp:positionV>
          <wp:extent cx="7731760" cy="1357630"/>
          <wp:effectExtent l="0" t="0" r="2540" b="1397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
                  <a:stretch>
                    <a:fillRect/>
                  </a:stretch>
                </pic:blipFill>
                <pic:spPr>
                  <a:xfrm flipH="1" flipV="1">
                    <a:off x="0" y="0"/>
                    <a:ext cx="7731760" cy="1357630"/>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hint="eastAsia"/>
        <w:color w:val="FF0000"/>
        <w:lang w:val="en-US" w:eastAsia="zh-CN"/>
      </w:rPr>
      <w:t>Add：喀什经济开发区兵团分区总部大厦B座</w:t>
    </w:r>
    <w:r>
      <w:rPr>
        <w:rFonts w:hint="eastAsia" w:eastAsia="宋体"/>
        <w:color w:val="FF0000"/>
        <w:lang w:val="en-US" w:eastAsia="zh-CN"/>
      </w:rPr>
      <w:t>9楼</w:t>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eastAsiaTheme="minorEastAsia"/>
        <w:color w:val="FF0000"/>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158</w:t>
                    </w:r>
                    <w:r>
                      <w:fldChar w:fldCharType="end"/>
                    </w:r>
                  </w:p>
                </w:txbxContent>
              </v:textbox>
            </v:shape>
          </w:pict>
        </mc:Fallback>
      </mc:AlternateContent>
    </w:r>
    <w:r>
      <w:rPr>
        <w:color w:val="FF0000"/>
      </w:rPr>
      <w:drawing>
        <wp:anchor distT="0" distB="0" distL="114300" distR="114300" simplePos="0" relativeHeight="251660288" behindDoc="1" locked="0" layoutInCell="1" allowOverlap="1">
          <wp:simplePos x="0" y="0"/>
          <wp:positionH relativeFrom="page">
            <wp:align>center</wp:align>
          </wp:positionH>
          <wp:positionV relativeFrom="page">
            <wp:align>bottom</wp:align>
          </wp:positionV>
          <wp:extent cx="7731760" cy="1357630"/>
          <wp:effectExtent l="0" t="0" r="2540" b="139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flipH="1" flipV="1">
                    <a:off x="0" y="0"/>
                    <a:ext cx="7731760" cy="1357630"/>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hint="eastAsia"/>
        <w:color w:val="FF0000"/>
        <w:lang w:val="en-US" w:eastAsia="zh-CN"/>
      </w:rPr>
      <w:t>Add：喀什经济开发区兵团分区总部大厦B座</w:t>
    </w:r>
    <w:r>
      <w:rPr>
        <w:rFonts w:hint="eastAsia" w:eastAsia="宋体"/>
        <w:color w:val="FF0000"/>
        <w:lang w:val="en-US" w:eastAsia="zh-CN"/>
      </w:rPr>
      <w:t>9楼</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center"/>
      <w:rPr>
        <w:rFonts w:hint="eastAsia" w:ascii="华文新魏" w:hAnsi="华文新魏" w:eastAsia="华文新魏" w:cs="华文新魏"/>
        <w:sz w:val="18"/>
        <w:szCs w:val="18"/>
        <w:lang w:val="en-US" w:eastAsia="zh-CN"/>
      </w:rPr>
    </w:pPr>
    <w:r>
      <w:rPr>
        <w:rFonts w:hint="eastAsia" w:ascii="华文新魏" w:hAnsi="华文新魏" w:eastAsia="华文新魏" w:cs="华文新魏"/>
        <w:sz w:val="18"/>
        <w:szCs w:val="18"/>
      </w:rPr>
      <w:drawing>
        <wp:anchor distT="0" distB="0" distL="114300" distR="114300" simplePos="0" relativeHeight="251665408" behindDoc="0" locked="0" layoutInCell="1" allowOverlap="1">
          <wp:simplePos x="0" y="0"/>
          <wp:positionH relativeFrom="column">
            <wp:posOffset>-45085</wp:posOffset>
          </wp:positionH>
          <wp:positionV relativeFrom="paragraph">
            <wp:posOffset>18415</wp:posOffset>
          </wp:positionV>
          <wp:extent cx="360045" cy="352425"/>
          <wp:effectExtent l="0" t="0" r="1905" b="9525"/>
          <wp:wrapSquare wrapText="bothSides"/>
          <wp:docPr id="15" name="图片 15"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strator\Desktop\图片1.png图片1"/>
                  <pic:cNvPicPr>
                    <a:picLocks noChangeAspect="1"/>
                  </pic:cNvPicPr>
                </pic:nvPicPr>
                <pic:blipFill>
                  <a:blip r:embed="rId1"/>
                  <a:srcRect/>
                  <a:stretch>
                    <a:fillRect/>
                  </a:stretch>
                </pic:blipFill>
                <pic:spPr>
                  <a:xfrm>
                    <a:off x="0" y="0"/>
                    <a:ext cx="360045" cy="352425"/>
                  </a:xfrm>
                  <a:prstGeom prst="rect">
                    <a:avLst/>
                  </a:prstGeom>
                </pic:spPr>
              </pic:pic>
            </a:graphicData>
          </a:graphic>
        </wp:anchor>
      </w:drawing>
    </w:r>
    <w:r>
      <w:rPr>
        <w:rFonts w:hint="eastAsia" w:ascii="华文新魏" w:hAnsi="华文新魏" w:eastAsia="华文新魏" w:cs="华文新魏"/>
        <w:sz w:val="18"/>
        <w:szCs w:val="18"/>
        <w:lang w:val="en-US" w:eastAsia="zh-CN"/>
      </w:rPr>
      <w:t>新  疆 西 北 招 标 有  限  公   司</w:t>
    </w:r>
  </w:p>
  <w:p>
    <w:pPr>
      <w:pStyle w:val="24"/>
      <w:pBdr>
        <w:bottom w:val="double" w:color="FF0000" w:sz="8" w:space="1"/>
      </w:pBdr>
      <w:jc w:val="center"/>
      <w:rPr>
        <w:rFonts w:hint="default" w:ascii="华文新魏" w:hAnsi="华文新魏" w:eastAsia="华文新魏" w:cs="华文新魏"/>
        <w:lang w:val="en-US" w:eastAsia="zh-CN"/>
      </w:rPr>
    </w:pPr>
    <w:r>
      <w:rPr>
        <w:rFonts w:hint="eastAsia" w:ascii="华文新魏" w:hAnsi="华文新魏" w:eastAsia="华文新魏" w:cs="华文新魏"/>
        <w:lang w:val="en-US" w:eastAsia="zh-CN"/>
      </w:rPr>
      <w:t xml:space="preserve">                         </w:t>
    </w:r>
    <w:r>
      <w:rPr>
        <w:rFonts w:hint="eastAsia" w:ascii="华文新魏" w:hAnsi="华文新魏" w:eastAsia="华文新魏" w:cs="华文新魏"/>
      </w:rPr>
      <w:t xml:space="preserve">Xinjiang </w:t>
    </w:r>
    <w:r>
      <w:rPr>
        <w:rFonts w:hint="eastAsia" w:ascii="华文新魏" w:hAnsi="华文新魏" w:eastAsia="华文新魏" w:cs="华文新魏"/>
        <w:lang w:val="en-US" w:eastAsia="zh-CN"/>
      </w:rPr>
      <w:t>Northwest Tendering</w:t>
    </w:r>
    <w:r>
      <w:rPr>
        <w:rFonts w:hint="eastAsia" w:ascii="华文新魏" w:hAnsi="华文新魏" w:eastAsia="华文新魏" w:cs="华文新魏"/>
      </w:rPr>
      <w:t xml:space="preserve"> Co., Ltd</w:t>
    </w:r>
    <w:r>
      <w:rPr>
        <w:rFonts w:hint="eastAsia" w:ascii="华文新魏" w:hAnsi="华文新魏" w:eastAsia="华文新魏" w:cs="华文新魏"/>
        <w:lang w:val="en-US" w:eastAsia="zh-CN"/>
      </w:rPr>
      <w:t xml:space="preserve">           tel：18799505112</w:t>
    </w:r>
  </w:p>
  <w:p>
    <w:pPr>
      <w:pStyle w:val="24"/>
      <w:pBdr>
        <w:bottom w:val="none" w:color="auto" w:sz="0" w:space="0"/>
      </w:pBdr>
      <w:jc w:val="left"/>
    </w:pPr>
    <w:r>
      <w:rPr>
        <w:rFonts w:hint="eastAsia" w:ascii="华文新魏" w:hAnsi="华文新魏" w:eastAsia="华文新魏" w:cs="华文新魏"/>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7731760" cy="909955"/>
          <wp:effectExtent l="0" t="0" r="2540" b="444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
                  <a:stretch>
                    <a:fillRect/>
                  </a:stretch>
                </pic:blipFill>
                <pic:spPr>
                  <a:xfrm>
                    <a:off x="0" y="0"/>
                    <a:ext cx="7731760" cy="909955"/>
                  </a:xfrm>
                  <a:prstGeom prst="rect">
                    <a:avLst/>
                  </a:prstGeom>
                  <a:noFill/>
                  <a:ln>
                    <a:noFill/>
                  </a:ln>
                </pic:spPr>
              </pic:pic>
            </a:graphicData>
          </a:graphic>
          <wp14:sizeRelH relativeFrom="page">
            <wp14:pctWidth>100000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center"/>
      <w:rPr>
        <w:rFonts w:hint="eastAsia" w:ascii="华文新魏" w:hAnsi="华文新魏" w:eastAsia="华文新魏" w:cs="华文新魏"/>
        <w:lang w:val="en-US" w:eastAsia="zh-CN"/>
      </w:rPr>
    </w:pPr>
    <w:r>
      <w:rPr>
        <w:rFonts w:hint="eastAsia" w:ascii="华文新魏" w:hAnsi="华文新魏" w:eastAsia="华文新魏" w:cs="华文新魏"/>
      </w:rPr>
      <w:drawing>
        <wp:anchor distT="0" distB="0" distL="114300" distR="114300" simplePos="0" relativeHeight="251663360" behindDoc="0" locked="0" layoutInCell="1" allowOverlap="1">
          <wp:simplePos x="0" y="0"/>
          <wp:positionH relativeFrom="column">
            <wp:posOffset>-45085</wp:posOffset>
          </wp:positionH>
          <wp:positionV relativeFrom="paragraph">
            <wp:posOffset>18415</wp:posOffset>
          </wp:positionV>
          <wp:extent cx="360045" cy="352425"/>
          <wp:effectExtent l="0" t="0" r="1905" b="9525"/>
          <wp:wrapSquare wrapText="bothSides"/>
          <wp:docPr id="7" name="图片 7"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图片1.png图片1"/>
                  <pic:cNvPicPr>
                    <a:picLocks noChangeAspect="1"/>
                  </pic:cNvPicPr>
                </pic:nvPicPr>
                <pic:blipFill>
                  <a:blip r:embed="rId1"/>
                  <a:srcRect/>
                  <a:stretch>
                    <a:fillRect/>
                  </a:stretch>
                </pic:blipFill>
                <pic:spPr>
                  <a:xfrm>
                    <a:off x="0" y="0"/>
                    <a:ext cx="360045" cy="352425"/>
                  </a:xfrm>
                  <a:prstGeom prst="rect">
                    <a:avLst/>
                  </a:prstGeom>
                </pic:spPr>
              </pic:pic>
            </a:graphicData>
          </a:graphic>
        </wp:anchor>
      </w:drawing>
    </w:r>
    <w:r>
      <w:rPr>
        <w:rFonts w:hint="eastAsia" w:ascii="华文新魏" w:hAnsi="华文新魏" w:eastAsia="华文新魏" w:cs="华文新魏"/>
        <w:lang w:val="en-US" w:eastAsia="zh-CN"/>
      </w:rPr>
      <w:t>新  疆  西 北 招 标 有  限  公   司</w:t>
    </w:r>
  </w:p>
  <w:p>
    <w:pPr>
      <w:pStyle w:val="24"/>
      <w:pBdr>
        <w:bottom w:val="double" w:color="FF0000" w:sz="8" w:space="1"/>
      </w:pBdr>
      <w:jc w:val="center"/>
      <w:rPr>
        <w:rFonts w:hint="default" w:ascii="华文新魏" w:hAnsi="华文新魏" w:eastAsia="华文新魏" w:cs="华文新魏"/>
        <w:lang w:val="en-US" w:eastAsia="zh-CN"/>
      </w:rPr>
    </w:pPr>
    <w:r>
      <w:rPr>
        <w:rFonts w:hint="eastAsia" w:ascii="华文新魏" w:hAnsi="华文新魏" w:eastAsia="华文新魏" w:cs="华文新魏"/>
        <w:lang w:val="en-US" w:eastAsia="zh-CN"/>
      </w:rPr>
      <w:t xml:space="preserve">                           </w:t>
    </w:r>
    <w:r>
      <w:rPr>
        <w:rFonts w:hint="eastAsia" w:ascii="华文新魏" w:hAnsi="华文新魏" w:eastAsia="华文新魏" w:cs="华文新魏"/>
      </w:rPr>
      <w:t xml:space="preserve">Xinjiang </w:t>
    </w:r>
    <w:r>
      <w:rPr>
        <w:rFonts w:hint="eastAsia" w:ascii="华文新魏" w:hAnsi="华文新魏" w:eastAsia="华文新魏" w:cs="华文新魏"/>
        <w:lang w:val="en-US" w:eastAsia="zh-CN"/>
      </w:rPr>
      <w:t xml:space="preserve">Northwest Tendering </w:t>
    </w:r>
    <w:r>
      <w:rPr>
        <w:rFonts w:hint="eastAsia" w:ascii="华文新魏" w:hAnsi="华文新魏" w:eastAsia="华文新魏" w:cs="华文新魏"/>
      </w:rPr>
      <w:t xml:space="preserve"> Co., Ltd</w:t>
    </w:r>
    <w:r>
      <w:rPr>
        <w:rFonts w:hint="eastAsia" w:ascii="华文新魏" w:hAnsi="华文新魏" w:eastAsia="华文新魏" w:cs="华文新魏"/>
        <w:lang w:val="en-US" w:eastAsia="zh-CN"/>
      </w:rPr>
      <w:t xml:space="preserve">           tel：18799505112</w:t>
    </w:r>
  </w:p>
  <w:p>
    <w:pPr>
      <w:pStyle w:val="24"/>
      <w:pBdr>
        <w:bottom w:val="none" w:color="auto" w:sz="0" w:space="0"/>
      </w:pBdr>
      <w:jc w:val="left"/>
    </w:pPr>
    <w:r>
      <w:rPr>
        <w:rFonts w:hint="eastAsia" w:ascii="华文新魏" w:hAnsi="华文新魏" w:eastAsia="华文新魏" w:cs="华文新魏"/>
      </w:rPr>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731760" cy="909955"/>
          <wp:effectExtent l="0" t="0" r="2540"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
                  <a:stretch>
                    <a:fillRect/>
                  </a:stretch>
                </pic:blipFill>
                <pic:spPr>
                  <a:xfrm>
                    <a:off x="0" y="0"/>
                    <a:ext cx="7731760" cy="909955"/>
                  </a:xfrm>
                  <a:prstGeom prst="rect">
                    <a:avLst/>
                  </a:prstGeom>
                  <a:noFill/>
                  <a:ln>
                    <a:noFill/>
                  </a:ln>
                </pic:spPr>
              </pic:pic>
            </a:graphicData>
          </a:graphic>
          <wp14:sizeRelH relativeFrom="page">
            <wp14:pctWidth>100000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D0104"/>
    <w:multiLevelType w:val="singleLevel"/>
    <w:tmpl w:val="8B3D0104"/>
    <w:lvl w:ilvl="0" w:tentative="0">
      <w:start w:val="3"/>
      <w:numFmt w:val="decimal"/>
      <w:lvlText w:val="%1."/>
      <w:lvlJc w:val="left"/>
      <w:pPr>
        <w:tabs>
          <w:tab w:val="left" w:pos="312"/>
        </w:tabs>
      </w:pPr>
    </w:lvl>
  </w:abstractNum>
  <w:abstractNum w:abstractNumId="1">
    <w:nsid w:val="AB9FC262"/>
    <w:multiLevelType w:val="singleLevel"/>
    <w:tmpl w:val="AB9FC262"/>
    <w:lvl w:ilvl="0" w:tentative="0">
      <w:start w:val="1"/>
      <w:numFmt w:val="decimal"/>
      <w:suff w:val="nothing"/>
      <w:lvlText w:val="%1、"/>
      <w:lvlJc w:val="left"/>
    </w:lvl>
  </w:abstractNum>
  <w:abstractNum w:abstractNumId="2">
    <w:nsid w:val="00000001"/>
    <w:multiLevelType w:val="multilevel"/>
    <w:tmpl w:val="00000001"/>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645AD98E"/>
    <w:multiLevelType w:val="singleLevel"/>
    <w:tmpl w:val="645AD98E"/>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ZWU3MDJiZjJhYzk5ZDkwZDA2OTMyNmUzMzQ2ZTAifQ=="/>
  </w:docVars>
  <w:rsids>
    <w:rsidRoot w:val="00000000"/>
    <w:rsid w:val="00D66D9E"/>
    <w:rsid w:val="01AD21AF"/>
    <w:rsid w:val="020C3F31"/>
    <w:rsid w:val="02562DC4"/>
    <w:rsid w:val="028A659B"/>
    <w:rsid w:val="02992920"/>
    <w:rsid w:val="035F21B1"/>
    <w:rsid w:val="03885279"/>
    <w:rsid w:val="03B370A4"/>
    <w:rsid w:val="03B4457E"/>
    <w:rsid w:val="046C2029"/>
    <w:rsid w:val="052753E7"/>
    <w:rsid w:val="062F3A9D"/>
    <w:rsid w:val="06817DF9"/>
    <w:rsid w:val="06FC31AA"/>
    <w:rsid w:val="06FD6E19"/>
    <w:rsid w:val="07304FAA"/>
    <w:rsid w:val="07612201"/>
    <w:rsid w:val="08255FDD"/>
    <w:rsid w:val="0831084F"/>
    <w:rsid w:val="08454079"/>
    <w:rsid w:val="08B85BA8"/>
    <w:rsid w:val="09451FC2"/>
    <w:rsid w:val="09AB391D"/>
    <w:rsid w:val="09AF3659"/>
    <w:rsid w:val="09B218E2"/>
    <w:rsid w:val="09FC36B5"/>
    <w:rsid w:val="0A2D4C62"/>
    <w:rsid w:val="0A4C16A0"/>
    <w:rsid w:val="0AD1499D"/>
    <w:rsid w:val="0AD30960"/>
    <w:rsid w:val="0AE60E22"/>
    <w:rsid w:val="0B0179ED"/>
    <w:rsid w:val="0B777220"/>
    <w:rsid w:val="0BBA37E2"/>
    <w:rsid w:val="0BFB189F"/>
    <w:rsid w:val="0CE11C0E"/>
    <w:rsid w:val="0CFE76FC"/>
    <w:rsid w:val="0D0070F9"/>
    <w:rsid w:val="0D1B422F"/>
    <w:rsid w:val="0DDD0895"/>
    <w:rsid w:val="0E534D20"/>
    <w:rsid w:val="0E7346B9"/>
    <w:rsid w:val="0E963B01"/>
    <w:rsid w:val="0EB646D9"/>
    <w:rsid w:val="0F065ABD"/>
    <w:rsid w:val="0F4D3A09"/>
    <w:rsid w:val="0F9374C2"/>
    <w:rsid w:val="0FBD1B63"/>
    <w:rsid w:val="10223C86"/>
    <w:rsid w:val="11CC15E8"/>
    <w:rsid w:val="122745A2"/>
    <w:rsid w:val="125D244E"/>
    <w:rsid w:val="126C009E"/>
    <w:rsid w:val="13127052"/>
    <w:rsid w:val="13300798"/>
    <w:rsid w:val="13602B91"/>
    <w:rsid w:val="137914D7"/>
    <w:rsid w:val="13D21C0B"/>
    <w:rsid w:val="13E61AD9"/>
    <w:rsid w:val="143224B5"/>
    <w:rsid w:val="14A66120"/>
    <w:rsid w:val="14C44E98"/>
    <w:rsid w:val="14EE318B"/>
    <w:rsid w:val="150C3963"/>
    <w:rsid w:val="1525299F"/>
    <w:rsid w:val="15C8392A"/>
    <w:rsid w:val="15DA1999"/>
    <w:rsid w:val="163F34FC"/>
    <w:rsid w:val="170C4E2D"/>
    <w:rsid w:val="177B0796"/>
    <w:rsid w:val="17D825B2"/>
    <w:rsid w:val="183406C1"/>
    <w:rsid w:val="197F260F"/>
    <w:rsid w:val="199770E7"/>
    <w:rsid w:val="19A57061"/>
    <w:rsid w:val="1A676352"/>
    <w:rsid w:val="1AAA2F62"/>
    <w:rsid w:val="1AB81C3F"/>
    <w:rsid w:val="1B293D01"/>
    <w:rsid w:val="1B556EC9"/>
    <w:rsid w:val="1B854CE1"/>
    <w:rsid w:val="1B9F2B30"/>
    <w:rsid w:val="1BC65801"/>
    <w:rsid w:val="1BD52128"/>
    <w:rsid w:val="1C121E92"/>
    <w:rsid w:val="1CA56DAA"/>
    <w:rsid w:val="1D507B50"/>
    <w:rsid w:val="1D7D0A2E"/>
    <w:rsid w:val="1DEC3986"/>
    <w:rsid w:val="1E866C4C"/>
    <w:rsid w:val="1ED53213"/>
    <w:rsid w:val="1EE61F3B"/>
    <w:rsid w:val="1F8D23B7"/>
    <w:rsid w:val="1FCE507A"/>
    <w:rsid w:val="2012533C"/>
    <w:rsid w:val="2050688E"/>
    <w:rsid w:val="207A1336"/>
    <w:rsid w:val="2091747D"/>
    <w:rsid w:val="20D65E86"/>
    <w:rsid w:val="20DE4D14"/>
    <w:rsid w:val="20FB0D9A"/>
    <w:rsid w:val="21843C8D"/>
    <w:rsid w:val="219C338A"/>
    <w:rsid w:val="21ED4154"/>
    <w:rsid w:val="21F87385"/>
    <w:rsid w:val="22455E6D"/>
    <w:rsid w:val="22AB1B3E"/>
    <w:rsid w:val="22D06040"/>
    <w:rsid w:val="24125A49"/>
    <w:rsid w:val="24577437"/>
    <w:rsid w:val="247F764F"/>
    <w:rsid w:val="24CF18EF"/>
    <w:rsid w:val="2543391C"/>
    <w:rsid w:val="254968D9"/>
    <w:rsid w:val="25AF576B"/>
    <w:rsid w:val="25D85D6A"/>
    <w:rsid w:val="26003524"/>
    <w:rsid w:val="260310B0"/>
    <w:rsid w:val="26731409"/>
    <w:rsid w:val="26F71263"/>
    <w:rsid w:val="270C1A9C"/>
    <w:rsid w:val="28190CD6"/>
    <w:rsid w:val="282C1AD1"/>
    <w:rsid w:val="283800B0"/>
    <w:rsid w:val="28456613"/>
    <w:rsid w:val="28583F24"/>
    <w:rsid w:val="28C130D1"/>
    <w:rsid w:val="295A3C8A"/>
    <w:rsid w:val="29A71906"/>
    <w:rsid w:val="2AC11D59"/>
    <w:rsid w:val="2AF52C74"/>
    <w:rsid w:val="2BCE6216"/>
    <w:rsid w:val="2BFE4B23"/>
    <w:rsid w:val="2C053467"/>
    <w:rsid w:val="2C097269"/>
    <w:rsid w:val="2C3F395C"/>
    <w:rsid w:val="2C7D17B3"/>
    <w:rsid w:val="2CDD48D7"/>
    <w:rsid w:val="2D2470C7"/>
    <w:rsid w:val="2E163727"/>
    <w:rsid w:val="2EFE2B87"/>
    <w:rsid w:val="2F3B2F8F"/>
    <w:rsid w:val="2F5C3B34"/>
    <w:rsid w:val="2F6A2714"/>
    <w:rsid w:val="30D378B3"/>
    <w:rsid w:val="30DA0EB0"/>
    <w:rsid w:val="30EE74B1"/>
    <w:rsid w:val="31B02B51"/>
    <w:rsid w:val="31D446AE"/>
    <w:rsid w:val="32325201"/>
    <w:rsid w:val="32832F57"/>
    <w:rsid w:val="32DB76EC"/>
    <w:rsid w:val="32FB46A0"/>
    <w:rsid w:val="337D5EB4"/>
    <w:rsid w:val="34167BE1"/>
    <w:rsid w:val="347B4A7C"/>
    <w:rsid w:val="348A601A"/>
    <w:rsid w:val="35140B0A"/>
    <w:rsid w:val="351E2716"/>
    <w:rsid w:val="352177C3"/>
    <w:rsid w:val="35842899"/>
    <w:rsid w:val="35A43FA5"/>
    <w:rsid w:val="35FC1A59"/>
    <w:rsid w:val="365851B9"/>
    <w:rsid w:val="367C1987"/>
    <w:rsid w:val="36B03E09"/>
    <w:rsid w:val="378F0E79"/>
    <w:rsid w:val="37C6539B"/>
    <w:rsid w:val="3929260F"/>
    <w:rsid w:val="39B4620C"/>
    <w:rsid w:val="39E97B3E"/>
    <w:rsid w:val="3A3F0AF6"/>
    <w:rsid w:val="3AE62426"/>
    <w:rsid w:val="3B0956D7"/>
    <w:rsid w:val="3B0E6141"/>
    <w:rsid w:val="3B2D1CE1"/>
    <w:rsid w:val="3B306F93"/>
    <w:rsid w:val="3B3459FC"/>
    <w:rsid w:val="3B63272D"/>
    <w:rsid w:val="3B6745BF"/>
    <w:rsid w:val="3BA71E9A"/>
    <w:rsid w:val="3BC66D85"/>
    <w:rsid w:val="3C2B1C7D"/>
    <w:rsid w:val="3C680045"/>
    <w:rsid w:val="3D257C7B"/>
    <w:rsid w:val="3DD80C34"/>
    <w:rsid w:val="3DF7053C"/>
    <w:rsid w:val="3E021D6A"/>
    <w:rsid w:val="3E157A46"/>
    <w:rsid w:val="3E1F46CA"/>
    <w:rsid w:val="3E4D0A07"/>
    <w:rsid w:val="3E527C0C"/>
    <w:rsid w:val="3E5F540E"/>
    <w:rsid w:val="3E846092"/>
    <w:rsid w:val="3F0044FB"/>
    <w:rsid w:val="3FAA0AEB"/>
    <w:rsid w:val="40134EB5"/>
    <w:rsid w:val="40196395"/>
    <w:rsid w:val="40624EF6"/>
    <w:rsid w:val="4093008C"/>
    <w:rsid w:val="41377F7D"/>
    <w:rsid w:val="41A5138A"/>
    <w:rsid w:val="41C06A73"/>
    <w:rsid w:val="41FC6135"/>
    <w:rsid w:val="42991B9E"/>
    <w:rsid w:val="42B334B9"/>
    <w:rsid w:val="42BB4851"/>
    <w:rsid w:val="430976F7"/>
    <w:rsid w:val="43B8757B"/>
    <w:rsid w:val="43FE1D30"/>
    <w:rsid w:val="445403D5"/>
    <w:rsid w:val="44C646ED"/>
    <w:rsid w:val="45302363"/>
    <w:rsid w:val="467352F7"/>
    <w:rsid w:val="46A827AD"/>
    <w:rsid w:val="472A33AD"/>
    <w:rsid w:val="47CB0F98"/>
    <w:rsid w:val="47CD163B"/>
    <w:rsid w:val="47CD78D6"/>
    <w:rsid w:val="482C1D90"/>
    <w:rsid w:val="484C69E2"/>
    <w:rsid w:val="487723E9"/>
    <w:rsid w:val="491339E7"/>
    <w:rsid w:val="492D77F3"/>
    <w:rsid w:val="49AF7EC6"/>
    <w:rsid w:val="4A20307B"/>
    <w:rsid w:val="4A7813B3"/>
    <w:rsid w:val="4A9429C3"/>
    <w:rsid w:val="4AD3032F"/>
    <w:rsid w:val="4B393D46"/>
    <w:rsid w:val="4B44669E"/>
    <w:rsid w:val="4C043151"/>
    <w:rsid w:val="4C0E51DA"/>
    <w:rsid w:val="4C137B05"/>
    <w:rsid w:val="4C321FC4"/>
    <w:rsid w:val="4C85574F"/>
    <w:rsid w:val="4CD32BE7"/>
    <w:rsid w:val="4CD75C22"/>
    <w:rsid w:val="4D3444E8"/>
    <w:rsid w:val="4D955394"/>
    <w:rsid w:val="4E7B0FEB"/>
    <w:rsid w:val="4E9859F6"/>
    <w:rsid w:val="4EC75EEA"/>
    <w:rsid w:val="4EE77910"/>
    <w:rsid w:val="4F261E08"/>
    <w:rsid w:val="4F9017BC"/>
    <w:rsid w:val="4FA8589D"/>
    <w:rsid w:val="4FBA6948"/>
    <w:rsid w:val="4FE305A5"/>
    <w:rsid w:val="500749C1"/>
    <w:rsid w:val="503E30D6"/>
    <w:rsid w:val="505B3258"/>
    <w:rsid w:val="50FE035F"/>
    <w:rsid w:val="512B13C8"/>
    <w:rsid w:val="51700341"/>
    <w:rsid w:val="518E1E3B"/>
    <w:rsid w:val="519774B0"/>
    <w:rsid w:val="519D0803"/>
    <w:rsid w:val="51C83196"/>
    <w:rsid w:val="52175A01"/>
    <w:rsid w:val="52384A5B"/>
    <w:rsid w:val="523E00E0"/>
    <w:rsid w:val="52DC06E7"/>
    <w:rsid w:val="52F061DD"/>
    <w:rsid w:val="530A5299"/>
    <w:rsid w:val="533707C6"/>
    <w:rsid w:val="536055AB"/>
    <w:rsid w:val="53CE0B73"/>
    <w:rsid w:val="54547399"/>
    <w:rsid w:val="54565C9B"/>
    <w:rsid w:val="54643C58"/>
    <w:rsid w:val="546D3D3A"/>
    <w:rsid w:val="5564240B"/>
    <w:rsid w:val="5581691D"/>
    <w:rsid w:val="55820A42"/>
    <w:rsid w:val="55A57753"/>
    <w:rsid w:val="55FF50B5"/>
    <w:rsid w:val="56055225"/>
    <w:rsid w:val="56073F81"/>
    <w:rsid w:val="56A46336"/>
    <w:rsid w:val="576452DD"/>
    <w:rsid w:val="577E200A"/>
    <w:rsid w:val="58780C5B"/>
    <w:rsid w:val="593024F6"/>
    <w:rsid w:val="5A4100FB"/>
    <w:rsid w:val="5C8C6914"/>
    <w:rsid w:val="5CC758AC"/>
    <w:rsid w:val="5CE10752"/>
    <w:rsid w:val="5DCC7F73"/>
    <w:rsid w:val="5E196F30"/>
    <w:rsid w:val="5EC2367F"/>
    <w:rsid w:val="5EDE2E4E"/>
    <w:rsid w:val="5EFF1C82"/>
    <w:rsid w:val="5F0757AD"/>
    <w:rsid w:val="5F175A0B"/>
    <w:rsid w:val="5FC43533"/>
    <w:rsid w:val="5FEF1CF6"/>
    <w:rsid w:val="603505A0"/>
    <w:rsid w:val="61241E74"/>
    <w:rsid w:val="61461DEA"/>
    <w:rsid w:val="615640F5"/>
    <w:rsid w:val="628C5836"/>
    <w:rsid w:val="63322E92"/>
    <w:rsid w:val="64974D6B"/>
    <w:rsid w:val="66AD2284"/>
    <w:rsid w:val="677B288A"/>
    <w:rsid w:val="67851993"/>
    <w:rsid w:val="68154BB3"/>
    <w:rsid w:val="683A77F4"/>
    <w:rsid w:val="68970A5A"/>
    <w:rsid w:val="68C06926"/>
    <w:rsid w:val="68C93802"/>
    <w:rsid w:val="68E407A5"/>
    <w:rsid w:val="68E550D8"/>
    <w:rsid w:val="691F327F"/>
    <w:rsid w:val="697A5D98"/>
    <w:rsid w:val="6985191D"/>
    <w:rsid w:val="69BC7D42"/>
    <w:rsid w:val="6B71609C"/>
    <w:rsid w:val="6B7E5C45"/>
    <w:rsid w:val="6BE51A82"/>
    <w:rsid w:val="6CD429A0"/>
    <w:rsid w:val="6D197310"/>
    <w:rsid w:val="6D8F730E"/>
    <w:rsid w:val="6DA35DD4"/>
    <w:rsid w:val="6E1D7FF6"/>
    <w:rsid w:val="6EEE0887"/>
    <w:rsid w:val="6F537EE3"/>
    <w:rsid w:val="6FA44486"/>
    <w:rsid w:val="6FC2653E"/>
    <w:rsid w:val="6FDD0E4C"/>
    <w:rsid w:val="708E10B8"/>
    <w:rsid w:val="716A3323"/>
    <w:rsid w:val="719F7BC4"/>
    <w:rsid w:val="71B1450E"/>
    <w:rsid w:val="71D303BB"/>
    <w:rsid w:val="721C436A"/>
    <w:rsid w:val="7235279B"/>
    <w:rsid w:val="732F1553"/>
    <w:rsid w:val="733C7DF5"/>
    <w:rsid w:val="73794EEC"/>
    <w:rsid w:val="73A3438C"/>
    <w:rsid w:val="74C035F4"/>
    <w:rsid w:val="7547144D"/>
    <w:rsid w:val="761838AC"/>
    <w:rsid w:val="771B28D2"/>
    <w:rsid w:val="781867AB"/>
    <w:rsid w:val="78845845"/>
    <w:rsid w:val="796D191F"/>
    <w:rsid w:val="79DF2761"/>
    <w:rsid w:val="79E05138"/>
    <w:rsid w:val="7A02539F"/>
    <w:rsid w:val="7A570C36"/>
    <w:rsid w:val="7A8A6D94"/>
    <w:rsid w:val="7C0D298C"/>
    <w:rsid w:val="7C2032A6"/>
    <w:rsid w:val="7C2B43D3"/>
    <w:rsid w:val="7CA155C2"/>
    <w:rsid w:val="7CD92DD5"/>
    <w:rsid w:val="7D44607C"/>
    <w:rsid w:val="7D733B0F"/>
    <w:rsid w:val="7E024A8C"/>
    <w:rsid w:val="7EE86027"/>
    <w:rsid w:val="7F172149"/>
    <w:rsid w:val="7F590AE3"/>
    <w:rsid w:val="7FC16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7"/>
    <w:qFormat/>
    <w:uiPriority w:val="0"/>
    <w:pPr>
      <w:keepNext/>
      <w:keepLines/>
      <w:spacing w:line="360" w:lineRule="auto"/>
      <w:outlineLvl w:val="0"/>
    </w:pPr>
    <w:rPr>
      <w:rFonts w:eastAsiaTheme="majorEastAsia"/>
      <w:kern w:val="44"/>
      <w:sz w:val="32"/>
    </w:rPr>
  </w:style>
  <w:style w:type="paragraph" w:styleId="3">
    <w:name w:val="heading 2"/>
    <w:basedOn w:val="1"/>
    <w:next w:val="1"/>
    <w:link w:val="78"/>
    <w:qFormat/>
    <w:uiPriority w:val="0"/>
    <w:pPr>
      <w:keepNext/>
      <w:keepLines/>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4">
    <w:name w:val="heading 3"/>
    <w:basedOn w:val="1"/>
    <w:next w:val="5"/>
    <w:link w:val="66"/>
    <w:qFormat/>
    <w:uiPriority w:val="0"/>
    <w:pPr>
      <w:keepNext/>
      <w:keepLines/>
      <w:adjustRightInd w:val="0"/>
      <w:spacing w:before="260" w:beforeLines="0" w:after="260" w:afterLines="0" w:line="416" w:lineRule="atLeast"/>
      <w:textAlignment w:val="baseline"/>
      <w:outlineLvl w:val="2"/>
    </w:pPr>
    <w:rPr>
      <w:b/>
      <w:kern w:val="0"/>
      <w:sz w:val="32"/>
      <w:szCs w:val="20"/>
    </w:rPr>
  </w:style>
  <w:style w:type="paragraph" w:styleId="7">
    <w:name w:val="heading 4"/>
    <w:basedOn w:val="1"/>
    <w:next w:val="1"/>
    <w:link w:val="59"/>
    <w:semiHidden/>
    <w:unhideWhenUsed/>
    <w:qFormat/>
    <w:uiPriority w:val="0"/>
    <w:pPr>
      <w:keepNext/>
      <w:keepLines/>
      <w:widowControl w:val="0"/>
      <w:suppressLineNumbers w:val="0"/>
      <w:spacing w:before="280" w:beforeAutospacing="0" w:after="290" w:afterAutospacing="0" w:line="374" w:lineRule="auto"/>
      <w:ind w:left="0" w:right="0"/>
      <w:jc w:val="both"/>
      <w:outlineLvl w:val="3"/>
    </w:pPr>
    <w:rPr>
      <w:rFonts w:hint="default" w:ascii="Cambria" w:hAnsi="Cambria" w:eastAsia="宋体" w:cs="Times New Roman"/>
      <w:b/>
      <w:bCs/>
      <w:kern w:val="2"/>
      <w:sz w:val="28"/>
      <w:szCs w:val="28"/>
      <w:lang w:val="en-US" w:eastAsia="zh-CN" w:bidi="ar"/>
    </w:rPr>
  </w:style>
  <w:style w:type="paragraph" w:styleId="8">
    <w:name w:val="heading 5"/>
    <w:basedOn w:val="1"/>
    <w:next w:val="1"/>
    <w:link w:val="62"/>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9">
    <w:name w:val="heading 6"/>
    <w:basedOn w:val="1"/>
    <w:next w:val="1"/>
    <w:link w:val="55"/>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0">
    <w:name w:val="heading 7"/>
    <w:basedOn w:val="1"/>
    <w:next w:val="1"/>
    <w:link w:val="63"/>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1">
    <w:name w:val="heading 8"/>
    <w:basedOn w:val="1"/>
    <w:next w:val="1"/>
    <w:link w:val="53"/>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2">
    <w:name w:val="heading 9"/>
    <w:basedOn w:val="1"/>
    <w:next w:val="1"/>
    <w:link w:val="64"/>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5">
    <w:name w:val="Default Paragraph Font"/>
    <w:semiHidden/>
    <w:qFormat/>
    <w:uiPriority w:val="0"/>
  </w:style>
  <w:style w:type="table" w:default="1" w:styleId="3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qFormat/>
    <w:uiPriority w:val="0"/>
    <w:pPr>
      <w:adjustRightInd w:val="0"/>
      <w:spacing w:line="312" w:lineRule="atLeast"/>
      <w:ind w:firstLine="420"/>
      <w:textAlignment w:val="baseline"/>
    </w:pPr>
    <w:rPr>
      <w:kern w:val="0"/>
      <w:szCs w:val="20"/>
    </w:rPr>
  </w:style>
  <w:style w:type="paragraph" w:styleId="6">
    <w:name w:val="toa heading"/>
    <w:basedOn w:val="1"/>
    <w:next w:val="1"/>
    <w:qFormat/>
    <w:uiPriority w:val="0"/>
    <w:pPr>
      <w:spacing w:before="120"/>
    </w:pPr>
    <w:rPr>
      <w:rFonts w:ascii="Cambria" w:hAnsi="Cambria" w:eastAsia="宋体" w:cs="Times New Roman"/>
      <w:sz w:val="24"/>
      <w:szCs w:val="24"/>
    </w:rPr>
  </w:style>
  <w:style w:type="paragraph" w:styleId="13">
    <w:name w:val="index 6"/>
    <w:basedOn w:val="1"/>
    <w:next w:val="1"/>
    <w:qFormat/>
    <w:uiPriority w:val="99"/>
    <w:pPr>
      <w:ind w:left="2100"/>
    </w:pPr>
  </w:style>
  <w:style w:type="paragraph" w:styleId="14">
    <w:name w:val="Body Text"/>
    <w:basedOn w:val="1"/>
    <w:next w:val="15"/>
    <w:link w:val="68"/>
    <w:qFormat/>
    <w:uiPriority w:val="0"/>
    <w:pPr>
      <w:spacing w:after="120"/>
    </w:pPr>
  </w:style>
  <w:style w:type="paragraph" w:styleId="15">
    <w:name w:val="Body Text First Indent"/>
    <w:basedOn w:val="14"/>
    <w:next w:val="1"/>
    <w:qFormat/>
    <w:uiPriority w:val="0"/>
    <w:pPr>
      <w:spacing w:after="120"/>
      <w:ind w:firstLine="420" w:firstLineChars="100"/>
    </w:pPr>
    <w:rPr>
      <w:sz w:val="22"/>
      <w:szCs w:val="22"/>
    </w:rPr>
  </w:style>
  <w:style w:type="paragraph" w:styleId="16">
    <w:name w:val="Body Text Indent"/>
    <w:basedOn w:val="1"/>
    <w:link w:val="72"/>
    <w:qFormat/>
    <w:uiPriority w:val="0"/>
    <w:pPr>
      <w:spacing w:line="400" w:lineRule="atLeast"/>
      <w:ind w:firstLine="432"/>
    </w:pPr>
    <w:rPr>
      <w:sz w:val="24"/>
    </w:rPr>
  </w:style>
  <w:style w:type="paragraph" w:styleId="17">
    <w:name w:val="List 2"/>
    <w:basedOn w:val="1"/>
    <w:qFormat/>
    <w:uiPriority w:val="0"/>
    <w:pPr>
      <w:ind w:left="100" w:leftChars="200" w:hanging="200" w:hangingChars="200"/>
      <w:contextualSpacing/>
    </w:pPr>
  </w:style>
  <w:style w:type="paragraph" w:styleId="18">
    <w:name w:val="toc 3"/>
    <w:basedOn w:val="1"/>
    <w:next w:val="1"/>
    <w:qFormat/>
    <w:uiPriority w:val="0"/>
    <w:pPr>
      <w:ind w:left="840" w:leftChars="400"/>
    </w:pPr>
  </w:style>
  <w:style w:type="paragraph" w:styleId="19">
    <w:name w:val="Plain Text"/>
    <w:basedOn w:val="1"/>
    <w:next w:val="20"/>
    <w:link w:val="93"/>
    <w:qFormat/>
    <w:uiPriority w:val="0"/>
    <w:rPr>
      <w:rFonts w:ascii="宋体" w:hAnsi="Courier New"/>
      <w:szCs w:val="20"/>
    </w:rPr>
  </w:style>
  <w:style w:type="paragraph" w:styleId="20">
    <w:name w:val="index 7"/>
    <w:basedOn w:val="1"/>
    <w:next w:val="1"/>
    <w:qFormat/>
    <w:uiPriority w:val="0"/>
    <w:pPr>
      <w:autoSpaceDE/>
      <w:autoSpaceDN/>
      <w:adjustRightInd/>
      <w:ind w:left="1200" w:leftChars="1200"/>
    </w:pPr>
    <w:rPr>
      <w:color w:val="auto"/>
      <w:kern w:val="2"/>
      <w:szCs w:val="24"/>
    </w:rPr>
  </w:style>
  <w:style w:type="paragraph" w:styleId="21">
    <w:name w:val="Date"/>
    <w:basedOn w:val="1"/>
    <w:next w:val="1"/>
    <w:qFormat/>
    <w:uiPriority w:val="0"/>
    <w:pPr>
      <w:ind w:left="100"/>
    </w:pPr>
    <w:rPr>
      <w:sz w:val="24"/>
      <w:szCs w:val="20"/>
    </w:rPr>
  </w:style>
  <w:style w:type="paragraph" w:styleId="22">
    <w:name w:val="footer"/>
    <w:basedOn w:val="1"/>
    <w:link w:val="79"/>
    <w:qFormat/>
    <w:uiPriority w:val="0"/>
    <w:pPr>
      <w:tabs>
        <w:tab w:val="center" w:pos="4153"/>
        <w:tab w:val="right" w:pos="8306"/>
      </w:tabs>
      <w:snapToGrid w:val="0"/>
      <w:jc w:val="left"/>
    </w:pPr>
    <w:rPr>
      <w:sz w:val="18"/>
    </w:rPr>
  </w:style>
  <w:style w:type="paragraph" w:styleId="23">
    <w:name w:val="envelope return"/>
    <w:basedOn w:val="1"/>
    <w:qFormat/>
    <w:uiPriority w:val="0"/>
    <w:pPr>
      <w:snapToGrid w:val="0"/>
    </w:pPr>
    <w:rPr>
      <w:rFonts w:ascii="Arial" w:hAnsi="Arial"/>
    </w:rPr>
  </w:style>
  <w:style w:type="paragraph" w:styleId="24">
    <w:name w:val="header"/>
    <w:basedOn w:val="1"/>
    <w:link w:val="7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5">
    <w:name w:val="toc 1"/>
    <w:basedOn w:val="1"/>
    <w:next w:val="1"/>
    <w:qFormat/>
    <w:uiPriority w:val="39"/>
    <w:pPr>
      <w:spacing w:before="120" w:after="120"/>
      <w:jc w:val="left"/>
    </w:pPr>
    <w:rPr>
      <w:rFonts w:ascii="Arial" w:hAnsi="Arial" w:eastAsia="仿宋"/>
      <w:b/>
      <w:bCs/>
      <w:caps/>
      <w:sz w:val="28"/>
      <w:szCs w:val="20"/>
    </w:rPr>
  </w:style>
  <w:style w:type="paragraph" w:styleId="26">
    <w:name w:val="footnote text"/>
    <w:basedOn w:val="1"/>
    <w:next w:val="14"/>
    <w:link w:val="71"/>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27">
    <w:name w:val="Body Text Indent 3"/>
    <w:basedOn w:val="1"/>
    <w:link w:val="90"/>
    <w:qFormat/>
    <w:uiPriority w:val="0"/>
    <w:pPr>
      <w:keepNext w:val="0"/>
      <w:keepLines w:val="0"/>
      <w:widowControl w:val="0"/>
      <w:suppressLineNumbers w:val="0"/>
      <w:spacing w:before="0" w:beforeAutospacing="0" w:after="120" w:afterAutospacing="0" w:line="440" w:lineRule="exact"/>
      <w:ind w:left="200" w:leftChars="200" w:right="0" w:firstLine="480" w:firstLineChars="200"/>
      <w:jc w:val="both"/>
    </w:pPr>
    <w:rPr>
      <w:rFonts w:hint="default" w:ascii="Times New Roman" w:hAnsi="Times New Roman" w:eastAsia="微软雅黑" w:cs="Arial"/>
      <w:kern w:val="2"/>
      <w:sz w:val="16"/>
      <w:szCs w:val="16"/>
      <w:lang w:val="en-US" w:eastAsia="zh-CN" w:bidi="ar"/>
    </w:rPr>
  </w:style>
  <w:style w:type="paragraph" w:styleId="28">
    <w:name w:val="toc 2"/>
    <w:basedOn w:val="1"/>
    <w:next w:val="1"/>
    <w:qFormat/>
    <w:uiPriority w:val="0"/>
    <w:pPr>
      <w:ind w:left="420" w:leftChars="200"/>
    </w:pPr>
    <w:rPr>
      <w:rFonts w:ascii="Times New Roman" w:hAnsi="Times New Roman"/>
    </w:rPr>
  </w:style>
  <w:style w:type="paragraph" w:styleId="29">
    <w:name w:val="Body Text 2"/>
    <w:basedOn w:val="1"/>
    <w:link w:val="74"/>
    <w:qFormat/>
    <w:uiPriority w:val="0"/>
    <w:pPr>
      <w:tabs>
        <w:tab w:val="left" w:pos="0"/>
      </w:tabs>
      <w:spacing w:line="400" w:lineRule="atLeast"/>
    </w:pPr>
    <w:rPr>
      <w:rFonts w:ascii="Arial" w:hAnsi="Arial"/>
      <w:color w:val="000000"/>
    </w:rPr>
  </w:style>
  <w:style w:type="paragraph" w:styleId="3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1">
    <w:name w:val="Title"/>
    <w:basedOn w:val="17"/>
    <w:next w:val="1"/>
    <w:qFormat/>
    <w:uiPriority w:val="10"/>
    <w:pPr>
      <w:spacing w:before="240" w:after="60"/>
      <w:jc w:val="center"/>
      <w:outlineLvl w:val="0"/>
    </w:pPr>
    <w:rPr>
      <w:rFonts w:ascii="Calibri Light" w:hAnsi="Calibri Light" w:eastAsia="宋体" w:cs="宋体"/>
      <w:b/>
      <w:bCs/>
      <w:sz w:val="32"/>
      <w:szCs w:val="32"/>
    </w:rPr>
  </w:style>
  <w:style w:type="paragraph" w:styleId="32">
    <w:name w:val="Body Text First Indent 2"/>
    <w:basedOn w:val="16"/>
    <w:next w:val="5"/>
    <w:link w:val="56"/>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2"/>
      <w:lang w:val="en-US" w:eastAsia="zh-CN" w:bidi="ar"/>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bCs/>
    </w:rPr>
  </w:style>
  <w:style w:type="character" w:styleId="37">
    <w:name w:val="page number"/>
    <w:qFormat/>
    <w:uiPriority w:val="0"/>
  </w:style>
  <w:style w:type="character" w:styleId="38">
    <w:name w:val="FollowedHyperlink"/>
    <w:basedOn w:val="35"/>
    <w:qFormat/>
    <w:uiPriority w:val="0"/>
    <w:rPr>
      <w:color w:val="954F72"/>
      <w:u w:val="single"/>
    </w:rPr>
  </w:style>
  <w:style w:type="character" w:styleId="39">
    <w:name w:val="Hyperlink"/>
    <w:basedOn w:val="35"/>
    <w:qFormat/>
    <w:uiPriority w:val="0"/>
    <w:rPr>
      <w:color w:val="2D64B3"/>
      <w:szCs w:val="21"/>
      <w:u w:val="none"/>
    </w:rPr>
  </w:style>
  <w:style w:type="character" w:styleId="40">
    <w:name w:val="footnote reference"/>
    <w:basedOn w:val="35"/>
    <w:qFormat/>
    <w:uiPriority w:val="0"/>
    <w:rPr>
      <w:vertAlign w:val="superscript"/>
    </w:rPr>
  </w:style>
  <w:style w:type="character" w:styleId="41">
    <w:name w:val="HTML Sample"/>
    <w:basedOn w:val="35"/>
    <w:qFormat/>
    <w:uiPriority w:val="0"/>
    <w:rPr>
      <w:rFonts w:ascii="Courier New" w:hAnsi="Courier New"/>
    </w:rPr>
  </w:style>
  <w:style w:type="paragraph" w:customStyle="1" w:styleId="42">
    <w:name w:val="样式 样式 左侧:  2 字符 + 左侧:  0.85 厘米 首行缩进:  2 字符1"/>
    <w:basedOn w:val="1"/>
    <w:qFormat/>
    <w:uiPriority w:val="0"/>
    <w:pPr>
      <w:ind w:left="482" w:firstLine="200" w:firstLineChars="200"/>
    </w:pPr>
    <w:rPr>
      <w:rFonts w:cs="宋体"/>
      <w:szCs w:val="20"/>
    </w:rPr>
  </w:style>
  <w:style w:type="paragraph" w:customStyle="1" w:styleId="4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列出段落1"/>
    <w:basedOn w:val="1"/>
    <w:qFormat/>
    <w:uiPriority w:val="99"/>
    <w:pPr>
      <w:ind w:firstLine="420" w:firstLineChars="200"/>
    </w:pPr>
  </w:style>
  <w:style w:type="paragraph" w:customStyle="1" w:styleId="45">
    <w:name w:val="可研正文"/>
    <w:basedOn w:val="1"/>
    <w:qFormat/>
    <w:uiPriority w:val="0"/>
    <w:pPr>
      <w:widowControl w:val="0"/>
      <w:adjustRightInd w:val="0"/>
      <w:snapToGrid w:val="0"/>
      <w:spacing w:after="0"/>
      <w:ind w:firstLine="560" w:firstLineChars="200"/>
      <w:jc w:val="both"/>
    </w:pPr>
    <w:rPr>
      <w:rFonts w:ascii="仿宋_GB2312" w:hAnsi="宋体" w:eastAsia="仿宋_GB2312"/>
      <w:sz w:val="28"/>
    </w:rPr>
  </w:style>
  <w:style w:type="paragraph" w:customStyle="1" w:styleId="46">
    <w:name w:val="_Style 2"/>
    <w:basedOn w:val="1"/>
    <w:qFormat/>
    <w:uiPriority w:val="34"/>
    <w:pPr>
      <w:ind w:firstLine="420" w:firstLineChars="200"/>
    </w:pPr>
  </w:style>
  <w:style w:type="paragraph" w:customStyle="1" w:styleId="47">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8">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49">
    <w:name w:val="样式 左侧:  0 厘米 悬挂缩进: 2.5 字符"/>
    <w:basedOn w:val="1"/>
    <w:qFormat/>
    <w:uiPriority w:val="0"/>
    <w:pPr>
      <w:ind w:left="525" w:hanging="525" w:hangingChars="250"/>
    </w:pPr>
    <w:rPr>
      <w:szCs w:val="20"/>
    </w:rPr>
  </w:style>
  <w:style w:type="character" w:customStyle="1" w:styleId="50">
    <w:name w:val="标题 3 Char"/>
    <w:basedOn w:val="35"/>
    <w:link w:val="4"/>
    <w:qFormat/>
    <w:uiPriority w:val="0"/>
    <w:rPr>
      <w:rFonts w:hint="default" w:ascii="Calibri" w:hAnsi="Calibri" w:eastAsia="宋体" w:cs="Times New Roman"/>
      <w:b/>
      <w:bCs/>
      <w:kern w:val="2"/>
      <w:sz w:val="32"/>
      <w:szCs w:val="32"/>
    </w:rPr>
  </w:style>
  <w:style w:type="character" w:customStyle="1" w:styleId="51">
    <w:name w:val="NormalCharacter"/>
    <w:basedOn w:val="35"/>
    <w:qFormat/>
    <w:uiPriority w:val="0"/>
  </w:style>
  <w:style w:type="character" w:customStyle="1" w:styleId="52">
    <w:name w:val="脚注文本 Char"/>
    <w:basedOn w:val="35"/>
    <w:link w:val="26"/>
    <w:qFormat/>
    <w:uiPriority w:val="0"/>
    <w:rPr>
      <w:kern w:val="2"/>
      <w:sz w:val="18"/>
      <w:szCs w:val="24"/>
    </w:rPr>
  </w:style>
  <w:style w:type="character" w:customStyle="1" w:styleId="53">
    <w:name w:val="标题 8 Char"/>
    <w:basedOn w:val="35"/>
    <w:link w:val="11"/>
    <w:qFormat/>
    <w:uiPriority w:val="0"/>
    <w:rPr>
      <w:rFonts w:hint="default" w:ascii="Cambria" w:hAnsi="Cambria" w:eastAsia="宋体" w:cs="Times New Roman"/>
      <w:kern w:val="2"/>
      <w:sz w:val="24"/>
      <w:szCs w:val="24"/>
    </w:rPr>
  </w:style>
  <w:style w:type="paragraph" w:customStyle="1" w:styleId="54">
    <w:name w:val="Paragraph2"/>
    <w:basedOn w:val="1"/>
    <w:qFormat/>
    <w:uiPriority w:val="0"/>
    <w:pPr>
      <w:keepNext w:val="0"/>
      <w:keepLines w:val="0"/>
      <w:widowControl w:val="0"/>
      <w:suppressLineNumbers w:val="0"/>
      <w:overflowPunct w:val="0"/>
      <w:autoSpaceDE w:val="0"/>
      <w:autoSpaceDN w:val="0"/>
      <w:adjustRightInd w:val="0"/>
      <w:spacing w:before="20" w:beforeAutospacing="0" w:after="120" w:afterAutospacing="0" w:line="360" w:lineRule="auto"/>
      <w:ind w:left="0" w:right="0"/>
      <w:jc w:val="both"/>
    </w:pPr>
    <w:rPr>
      <w:rFonts w:hint="default" w:ascii="Calibri" w:hAnsi="Calibri" w:eastAsia="楷体_GB2312" w:cs="Times New Roman"/>
      <w:kern w:val="0"/>
      <w:sz w:val="24"/>
      <w:szCs w:val="20"/>
      <w:lang w:val="en-US" w:eastAsia="zh-CN" w:bidi="ar"/>
    </w:rPr>
  </w:style>
  <w:style w:type="character" w:customStyle="1" w:styleId="55">
    <w:name w:val="标题 6 Char"/>
    <w:basedOn w:val="35"/>
    <w:link w:val="9"/>
    <w:qFormat/>
    <w:uiPriority w:val="0"/>
    <w:rPr>
      <w:rFonts w:hint="default" w:ascii="Cambria" w:hAnsi="Cambria" w:eastAsia="宋体" w:cs="Times New Roman"/>
      <w:b/>
      <w:bCs/>
      <w:kern w:val="2"/>
      <w:sz w:val="24"/>
      <w:szCs w:val="24"/>
    </w:rPr>
  </w:style>
  <w:style w:type="character" w:customStyle="1" w:styleId="56">
    <w:name w:val="正文首行缩进 2 Char"/>
    <w:basedOn w:val="57"/>
    <w:link w:val="32"/>
    <w:qFormat/>
    <w:uiPriority w:val="0"/>
    <w:rPr>
      <w:rFonts w:hint="default" w:ascii="Calibri" w:hAnsi="Calibri" w:eastAsia="宋体" w:cs="Times New Roman"/>
      <w:kern w:val="2"/>
      <w:sz w:val="21"/>
      <w:szCs w:val="22"/>
    </w:rPr>
  </w:style>
  <w:style w:type="character" w:customStyle="1" w:styleId="57">
    <w:name w:val="正文文本缩进 Char"/>
    <w:basedOn w:val="35"/>
    <w:link w:val="16"/>
    <w:qFormat/>
    <w:uiPriority w:val="0"/>
    <w:rPr>
      <w:rFonts w:hint="default" w:ascii="Calibri" w:hAnsi="Calibri" w:eastAsia="宋体" w:cs="Times New Roman"/>
      <w:kern w:val="2"/>
      <w:sz w:val="21"/>
      <w:szCs w:val="22"/>
    </w:rPr>
  </w:style>
  <w:style w:type="character" w:customStyle="1" w:styleId="58">
    <w:name w:val="标题 2 Char"/>
    <w:basedOn w:val="35"/>
    <w:link w:val="3"/>
    <w:qFormat/>
    <w:uiPriority w:val="0"/>
    <w:rPr>
      <w:rFonts w:hint="default" w:ascii="Cambria" w:hAnsi="Cambria" w:eastAsia="宋体" w:cs="Times New Roman"/>
      <w:b/>
      <w:bCs/>
      <w:kern w:val="2"/>
      <w:sz w:val="32"/>
      <w:szCs w:val="32"/>
    </w:rPr>
  </w:style>
  <w:style w:type="character" w:customStyle="1" w:styleId="59">
    <w:name w:val="标题 4 Char"/>
    <w:basedOn w:val="35"/>
    <w:link w:val="7"/>
    <w:qFormat/>
    <w:uiPriority w:val="0"/>
    <w:rPr>
      <w:rFonts w:hint="default" w:ascii="Cambria" w:hAnsi="Cambria" w:eastAsia="宋体" w:cs="Times New Roman"/>
      <w:b/>
      <w:bCs/>
      <w:kern w:val="2"/>
      <w:sz w:val="28"/>
      <w:szCs w:val="28"/>
    </w:rPr>
  </w:style>
  <w:style w:type="paragraph" w:customStyle="1" w:styleId="6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61">
    <w:name w:val="标题 1 Char"/>
    <w:basedOn w:val="35"/>
    <w:link w:val="2"/>
    <w:qFormat/>
    <w:uiPriority w:val="0"/>
    <w:rPr>
      <w:rFonts w:hint="default" w:ascii="Calibri" w:hAnsi="Calibri" w:eastAsia="宋体" w:cs="Times New Roman"/>
      <w:b/>
      <w:bCs/>
      <w:kern w:val="44"/>
      <w:sz w:val="44"/>
      <w:szCs w:val="44"/>
    </w:rPr>
  </w:style>
  <w:style w:type="character" w:customStyle="1" w:styleId="62">
    <w:name w:val="标题 5 Char"/>
    <w:basedOn w:val="35"/>
    <w:link w:val="8"/>
    <w:qFormat/>
    <w:uiPriority w:val="0"/>
    <w:rPr>
      <w:rFonts w:hint="default" w:ascii="Calibri" w:hAnsi="Calibri" w:eastAsia="宋体" w:cs="Times New Roman"/>
      <w:b/>
      <w:bCs/>
      <w:kern w:val="2"/>
      <w:sz w:val="28"/>
      <w:szCs w:val="28"/>
    </w:rPr>
  </w:style>
  <w:style w:type="character" w:customStyle="1" w:styleId="63">
    <w:name w:val="标题 7 Char"/>
    <w:basedOn w:val="35"/>
    <w:link w:val="10"/>
    <w:qFormat/>
    <w:uiPriority w:val="0"/>
    <w:rPr>
      <w:rFonts w:hint="default" w:ascii="Calibri" w:hAnsi="Calibri" w:eastAsia="宋体" w:cs="Times New Roman"/>
      <w:b/>
      <w:bCs/>
      <w:kern w:val="2"/>
      <w:sz w:val="24"/>
      <w:szCs w:val="24"/>
    </w:rPr>
  </w:style>
  <w:style w:type="character" w:customStyle="1" w:styleId="64">
    <w:name w:val="标题 9 Char"/>
    <w:basedOn w:val="35"/>
    <w:link w:val="12"/>
    <w:qFormat/>
    <w:uiPriority w:val="0"/>
    <w:rPr>
      <w:rFonts w:hint="default" w:ascii="Cambria" w:hAnsi="Cambria" w:eastAsia="宋体" w:cs="Times New Roman"/>
      <w:kern w:val="2"/>
      <w:sz w:val="21"/>
      <w:szCs w:val="21"/>
    </w:rPr>
  </w:style>
  <w:style w:type="paragraph" w:customStyle="1" w:styleId="65">
    <w:name w:val="表格文字"/>
    <w:basedOn w:val="1"/>
    <w:qFormat/>
    <w:uiPriority w:val="0"/>
    <w:pPr>
      <w:keepNext w:val="0"/>
      <w:keepLines w:val="0"/>
      <w:widowControl w:val="0"/>
      <w:suppressLineNumbers w:val="0"/>
      <w:spacing w:before="25" w:beforeAutospacing="0" w:after="25" w:afterAutospacing="0"/>
      <w:ind w:left="0" w:right="0"/>
      <w:jc w:val="left"/>
    </w:pPr>
    <w:rPr>
      <w:rFonts w:hint="default" w:ascii="Calibri" w:hAnsi="Calibri" w:eastAsia="宋体" w:cs="Times New Roman"/>
      <w:bCs/>
      <w:spacing w:val="10"/>
      <w:kern w:val="0"/>
      <w:sz w:val="24"/>
      <w:szCs w:val="20"/>
      <w:lang w:val="en-US" w:eastAsia="zh-CN" w:bidi="ar"/>
    </w:rPr>
  </w:style>
  <w:style w:type="character" w:customStyle="1" w:styleId="66">
    <w:name w:val="标题 3 字符"/>
    <w:basedOn w:val="35"/>
    <w:link w:val="4"/>
    <w:qFormat/>
    <w:uiPriority w:val="0"/>
    <w:rPr>
      <w:rFonts w:hint="default" w:ascii="Times New Roman" w:hAnsi="Times New Roman" w:eastAsia="Times New Roman" w:cs="Times New Roman"/>
      <w:b/>
      <w:bCs/>
      <w:color w:val="000000"/>
      <w:sz w:val="32"/>
      <w:szCs w:val="32"/>
      <w:lang w:eastAsia="en-US" w:bidi="en-US"/>
    </w:rPr>
  </w:style>
  <w:style w:type="character" w:customStyle="1" w:styleId="67">
    <w:name w:val="标题 1 字符"/>
    <w:basedOn w:val="35"/>
    <w:link w:val="2"/>
    <w:qFormat/>
    <w:uiPriority w:val="0"/>
    <w:rPr>
      <w:rFonts w:hint="default" w:ascii="Times New Roman" w:hAnsi="Times New Roman" w:eastAsia="Times New Roman" w:cs="Times New Roman"/>
      <w:b/>
      <w:bCs/>
      <w:color w:val="000000"/>
      <w:kern w:val="44"/>
      <w:sz w:val="44"/>
      <w:szCs w:val="44"/>
      <w:lang w:eastAsia="en-US" w:bidi="en-US"/>
    </w:rPr>
  </w:style>
  <w:style w:type="character" w:customStyle="1" w:styleId="68">
    <w:name w:val="正文文本 字符"/>
    <w:basedOn w:val="35"/>
    <w:link w:val="14"/>
    <w:qFormat/>
    <w:uiPriority w:val="0"/>
    <w:rPr>
      <w:rFonts w:hint="eastAsia" w:ascii="黑体" w:hAnsi="宋体" w:eastAsia="黑体" w:cs="黑体"/>
      <w:color w:val="000000"/>
      <w:sz w:val="22"/>
      <w:szCs w:val="24"/>
      <w:lang w:eastAsia="en-US" w:bidi="en-US"/>
    </w:rPr>
  </w:style>
  <w:style w:type="paragraph" w:customStyle="1" w:styleId="69">
    <w:name w:val="Heading #2|1"/>
    <w:basedOn w:val="1"/>
    <w:qFormat/>
    <w:uiPriority w:val="0"/>
    <w:pPr>
      <w:keepNext w:val="0"/>
      <w:keepLines w:val="0"/>
      <w:widowControl w:val="0"/>
      <w:suppressLineNumbers w:val="0"/>
      <w:spacing w:before="60" w:beforeAutospacing="0" w:after="270" w:afterAutospacing="0"/>
      <w:ind w:left="0" w:right="0"/>
      <w:jc w:val="center"/>
      <w:outlineLvl w:val="1"/>
    </w:pPr>
    <w:rPr>
      <w:rFonts w:hint="eastAsia" w:ascii="宋体" w:hAnsi="宋体" w:eastAsia="宋体" w:cs="宋体"/>
      <w:color w:val="000000"/>
      <w:kern w:val="0"/>
      <w:sz w:val="36"/>
      <w:szCs w:val="36"/>
      <w:lang w:val="en-US" w:eastAsia="zh-CN" w:bidi="ar"/>
    </w:rPr>
  </w:style>
  <w:style w:type="paragraph" w:customStyle="1" w:styleId="70">
    <w:name w:val="Body text|2"/>
    <w:basedOn w:val="1"/>
    <w:qFormat/>
    <w:uiPriority w:val="0"/>
    <w:pPr>
      <w:keepNext w:val="0"/>
      <w:keepLines w:val="0"/>
      <w:widowControl w:val="0"/>
      <w:suppressLineNumbers w:val="0"/>
      <w:spacing w:before="0" w:beforeAutospacing="0" w:after="260" w:afterAutospacing="0"/>
      <w:ind w:left="0" w:right="0" w:firstLine="140"/>
      <w:jc w:val="left"/>
    </w:pPr>
    <w:rPr>
      <w:rFonts w:hint="eastAsia" w:ascii="宋体" w:hAnsi="宋体" w:eastAsia="宋体" w:cs="宋体"/>
      <w:color w:val="000000"/>
      <w:kern w:val="0"/>
      <w:sz w:val="30"/>
      <w:szCs w:val="30"/>
      <w:lang w:val="en-US" w:eastAsia="zh-CN" w:bidi="ar"/>
    </w:rPr>
  </w:style>
  <w:style w:type="character" w:customStyle="1" w:styleId="71">
    <w:name w:val="脚注文本 字符"/>
    <w:basedOn w:val="35"/>
    <w:link w:val="26"/>
    <w:qFormat/>
    <w:uiPriority w:val="0"/>
    <w:rPr>
      <w:rFonts w:hint="default" w:ascii="Times New Roman" w:hAnsi="Times New Roman" w:eastAsia="Times New Roman" w:cs="Times New Roman"/>
      <w:color w:val="000000"/>
      <w:sz w:val="18"/>
      <w:szCs w:val="18"/>
      <w:lang w:eastAsia="en-US" w:bidi="en-US"/>
    </w:rPr>
  </w:style>
  <w:style w:type="character" w:customStyle="1" w:styleId="72">
    <w:name w:val="正文文本缩进 字符"/>
    <w:basedOn w:val="35"/>
    <w:link w:val="16"/>
    <w:qFormat/>
    <w:uiPriority w:val="0"/>
    <w:rPr>
      <w:rFonts w:hint="default" w:ascii="Times New Roman" w:hAnsi="Times New Roman" w:eastAsia="Times New Roman" w:cs="Times New Roman"/>
      <w:color w:val="000000"/>
      <w:sz w:val="24"/>
      <w:szCs w:val="24"/>
      <w:lang w:eastAsia="en-US" w:bidi="en-US"/>
    </w:rPr>
  </w:style>
  <w:style w:type="character" w:customStyle="1" w:styleId="73">
    <w:name w:val="纯文本 字符"/>
    <w:basedOn w:val="35"/>
    <w:link w:val="19"/>
    <w:qFormat/>
    <w:uiPriority w:val="0"/>
    <w:rPr>
      <w:rFonts w:hint="eastAsia" w:ascii="宋体" w:hAnsi="宋体" w:eastAsia="Times New Roman" w:cs="宋体"/>
      <w:color w:val="000000"/>
      <w:sz w:val="24"/>
      <w:u w:color="000000"/>
      <w:lang w:eastAsia="en-US" w:bidi="en-US"/>
    </w:rPr>
  </w:style>
  <w:style w:type="character" w:customStyle="1" w:styleId="74">
    <w:name w:val="正文文本 2 字符"/>
    <w:basedOn w:val="35"/>
    <w:link w:val="29"/>
    <w:qFormat/>
    <w:uiPriority w:val="0"/>
    <w:rPr>
      <w:rFonts w:hint="default" w:ascii="Arial" w:hAnsi="Arial" w:eastAsia="Times New Roman" w:cs="Arial"/>
      <w:color w:val="000000"/>
      <w:sz w:val="24"/>
      <w:szCs w:val="24"/>
      <w:lang w:eastAsia="en-US" w:bidi="en-US"/>
    </w:rPr>
  </w:style>
  <w:style w:type="paragraph" w:customStyle="1" w:styleId="75">
    <w:name w:val="图例"/>
    <w:basedOn w:val="1"/>
    <w:qFormat/>
    <w:uiPriority w:val="0"/>
    <w:pPr>
      <w:keepNext w:val="0"/>
      <w:keepLines w:val="0"/>
      <w:widowControl w:val="0"/>
      <w:suppressLineNumbers w:val="0"/>
      <w:spacing w:before="120" w:beforeAutospacing="0" w:after="120" w:afterAutospacing="0" w:line="360" w:lineRule="auto"/>
      <w:ind w:left="0" w:right="0"/>
      <w:jc w:val="center"/>
    </w:pPr>
    <w:rPr>
      <w:rFonts w:hint="default" w:ascii="Times New Roman" w:hAnsi="Times New Roman" w:eastAsia="仿宋_GB2312" w:cs="Times New Roman"/>
      <w:b/>
      <w:color w:val="000000"/>
      <w:kern w:val="0"/>
      <w:sz w:val="24"/>
      <w:szCs w:val="24"/>
      <w:lang w:val="en-US" w:eastAsia="zh-CN" w:bidi="ar"/>
    </w:rPr>
  </w:style>
  <w:style w:type="character" w:customStyle="1" w:styleId="76">
    <w:name w:val="font11"/>
    <w:basedOn w:val="35"/>
    <w:qFormat/>
    <w:uiPriority w:val="0"/>
    <w:rPr>
      <w:rFonts w:hint="default" w:ascii="Calibri" w:hAnsi="Calibri" w:cs="Calibri"/>
      <w:color w:val="000000"/>
      <w:sz w:val="20"/>
      <w:szCs w:val="20"/>
      <w:u w:val="none"/>
    </w:rPr>
  </w:style>
  <w:style w:type="character" w:customStyle="1" w:styleId="77">
    <w:name w:val="页眉 字符"/>
    <w:basedOn w:val="35"/>
    <w:link w:val="24"/>
    <w:qFormat/>
    <w:uiPriority w:val="0"/>
    <w:rPr>
      <w:rFonts w:hint="default" w:ascii="Times New Roman" w:hAnsi="Times New Roman" w:eastAsia="Times New Roman" w:cs="Times New Roman"/>
      <w:color w:val="000000"/>
      <w:sz w:val="18"/>
      <w:szCs w:val="24"/>
      <w:lang w:eastAsia="en-US" w:bidi="en-US"/>
    </w:rPr>
  </w:style>
  <w:style w:type="character" w:customStyle="1" w:styleId="78">
    <w:name w:val="标题 2 字符"/>
    <w:basedOn w:val="35"/>
    <w:link w:val="3"/>
    <w:qFormat/>
    <w:uiPriority w:val="0"/>
    <w:rPr>
      <w:rFonts w:hint="default" w:ascii="Arial" w:hAnsi="Arial" w:eastAsia="Times New Roman" w:cs="Arial"/>
      <w:b/>
      <w:color w:val="000000"/>
      <w:sz w:val="28"/>
      <w:lang w:eastAsia="en-US" w:bidi="en-US"/>
    </w:rPr>
  </w:style>
  <w:style w:type="character" w:customStyle="1" w:styleId="79">
    <w:name w:val="页脚 字符"/>
    <w:basedOn w:val="35"/>
    <w:link w:val="22"/>
    <w:qFormat/>
    <w:uiPriority w:val="0"/>
    <w:rPr>
      <w:rFonts w:hint="default" w:ascii="Times New Roman" w:hAnsi="Times New Roman" w:eastAsia="Times New Roman" w:cs="Times New Roman"/>
      <w:color w:val="000000"/>
      <w:sz w:val="18"/>
      <w:szCs w:val="24"/>
      <w:lang w:eastAsia="en-US" w:bidi="en-US"/>
    </w:rPr>
  </w:style>
  <w:style w:type="character" w:customStyle="1" w:styleId="80">
    <w:name w:val="font61"/>
    <w:basedOn w:val="35"/>
    <w:qFormat/>
    <w:uiPriority w:val="0"/>
    <w:rPr>
      <w:rFonts w:hint="eastAsia" w:ascii="宋体" w:hAnsi="宋体" w:eastAsia="宋体" w:cs="宋体"/>
      <w:color w:val="000000"/>
      <w:sz w:val="24"/>
      <w:szCs w:val="24"/>
      <w:u w:val="none"/>
    </w:rPr>
  </w:style>
  <w:style w:type="character" w:customStyle="1" w:styleId="81">
    <w:name w:val="正文文本首行缩进 2 字符"/>
    <w:qFormat/>
    <w:uiPriority w:val="0"/>
    <w:rPr>
      <w:rFonts w:hint="default" w:ascii="Times New Roman" w:hAnsi="Times New Roman" w:eastAsia="Times New Roman" w:cs="Times New Roman"/>
      <w:color w:val="000000"/>
      <w:sz w:val="24"/>
      <w:szCs w:val="24"/>
      <w:lang w:eastAsia="en-US" w:bidi="en-US"/>
    </w:rPr>
  </w:style>
  <w:style w:type="character" w:customStyle="1" w:styleId="82">
    <w:name w:val="font51"/>
    <w:basedOn w:val="35"/>
    <w:qFormat/>
    <w:uiPriority w:val="0"/>
    <w:rPr>
      <w:rFonts w:hint="eastAsia" w:ascii="宋体" w:hAnsi="宋体" w:eastAsia="宋体" w:cs="宋体"/>
      <w:color w:val="000000"/>
      <w:sz w:val="22"/>
      <w:szCs w:val="22"/>
      <w:u w:val="none"/>
    </w:rPr>
  </w:style>
  <w:style w:type="character" w:customStyle="1" w:styleId="83">
    <w:name w:val="font31"/>
    <w:basedOn w:val="35"/>
    <w:qFormat/>
    <w:uiPriority w:val="0"/>
    <w:rPr>
      <w:rFonts w:hint="eastAsia" w:ascii="宋体" w:hAnsi="宋体" w:eastAsia="宋体" w:cs="宋体"/>
      <w:color w:val="000000"/>
      <w:sz w:val="21"/>
      <w:szCs w:val="21"/>
      <w:u w:val="none"/>
    </w:rPr>
  </w:style>
  <w:style w:type="character" w:customStyle="1" w:styleId="84">
    <w:name w:val="font91"/>
    <w:basedOn w:val="35"/>
    <w:qFormat/>
    <w:uiPriority w:val="0"/>
    <w:rPr>
      <w:rFonts w:hint="default" w:ascii="Verdana" w:hAnsi="Verdana" w:cs="Verdana"/>
      <w:color w:val="000000"/>
      <w:sz w:val="24"/>
      <w:szCs w:val="24"/>
      <w:u w:val="none"/>
    </w:rPr>
  </w:style>
  <w:style w:type="character" w:customStyle="1" w:styleId="85">
    <w:name w:val="font01"/>
    <w:basedOn w:val="35"/>
    <w:qFormat/>
    <w:uiPriority w:val="0"/>
    <w:rPr>
      <w:rFonts w:hint="eastAsia" w:ascii="宋体" w:hAnsi="宋体" w:eastAsia="宋体" w:cs="宋体"/>
      <w:color w:val="000000"/>
      <w:sz w:val="22"/>
      <w:szCs w:val="22"/>
      <w:u w:val="none"/>
    </w:rPr>
  </w:style>
  <w:style w:type="paragraph" w:customStyle="1" w:styleId="86">
    <w:name w:val="Body text|1"/>
    <w:basedOn w:val="1"/>
    <w:qFormat/>
    <w:uiPriority w:val="0"/>
    <w:pPr>
      <w:keepNext w:val="0"/>
      <w:keepLines w:val="0"/>
      <w:widowControl w:val="0"/>
      <w:suppressLineNumbers w:val="0"/>
      <w:spacing w:before="0" w:beforeAutospacing="0" w:after="0" w:afterAutospacing="0" w:line="453" w:lineRule="auto"/>
      <w:ind w:left="0" w:right="0" w:firstLine="140"/>
      <w:jc w:val="left"/>
    </w:pPr>
    <w:rPr>
      <w:rFonts w:hint="eastAsia" w:ascii="宋体" w:hAnsi="宋体" w:eastAsia="宋体" w:cs="宋体"/>
      <w:color w:val="000000"/>
      <w:kern w:val="0"/>
      <w:sz w:val="22"/>
      <w:szCs w:val="22"/>
      <w:lang w:val="en-US" w:eastAsia="zh-CN" w:bidi="ar"/>
    </w:rPr>
  </w:style>
  <w:style w:type="paragraph" w:customStyle="1" w:styleId="87">
    <w:name w:val="Other|1"/>
    <w:basedOn w:val="1"/>
    <w:qFormat/>
    <w:uiPriority w:val="0"/>
    <w:pPr>
      <w:keepNext w:val="0"/>
      <w:keepLines w:val="0"/>
      <w:widowControl w:val="0"/>
      <w:suppressLineNumbers w:val="0"/>
      <w:spacing w:before="0" w:beforeAutospacing="0" w:after="0" w:afterAutospacing="0" w:line="453" w:lineRule="auto"/>
      <w:ind w:left="0" w:right="0" w:firstLine="140"/>
      <w:jc w:val="left"/>
    </w:pPr>
    <w:rPr>
      <w:rFonts w:hint="eastAsia" w:ascii="宋体" w:hAnsi="宋体" w:eastAsia="宋体" w:cs="宋体"/>
      <w:color w:val="000000"/>
      <w:kern w:val="0"/>
      <w:sz w:val="22"/>
      <w:szCs w:val="22"/>
      <w:lang w:val="en-US" w:eastAsia="zh-CN" w:bidi="ar"/>
    </w:rPr>
  </w:style>
  <w:style w:type="paragraph" w:customStyle="1" w:styleId="88">
    <w:name w:val="Table caption|1"/>
    <w:basedOn w:val="1"/>
    <w:qFormat/>
    <w:uiPriority w:val="0"/>
    <w:pPr>
      <w:keepNext w:val="0"/>
      <w:keepLines w:val="0"/>
      <w:widowControl w:val="0"/>
      <w:suppressLineNumbers w:val="0"/>
      <w:spacing w:before="0" w:beforeAutospacing="0" w:after="0" w:afterAutospacing="0"/>
      <w:ind w:left="0" w:right="0"/>
      <w:jc w:val="left"/>
    </w:pPr>
    <w:rPr>
      <w:rFonts w:hint="eastAsia" w:ascii="宋体" w:hAnsi="宋体" w:eastAsia="宋体" w:cs="宋体"/>
      <w:color w:val="000000"/>
      <w:kern w:val="0"/>
      <w:sz w:val="22"/>
      <w:szCs w:val="22"/>
      <w:lang w:val="en-US" w:eastAsia="zh-CN" w:bidi="ar"/>
    </w:rPr>
  </w:style>
  <w:style w:type="paragraph" w:customStyle="1" w:styleId="89">
    <w:name w:val="Table Paragraph"/>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Times New Roman" w:hAnsi="Times New Roman" w:eastAsia="宋体" w:cs="Times New Roman"/>
      <w:color w:val="000000"/>
      <w:kern w:val="0"/>
      <w:sz w:val="24"/>
      <w:szCs w:val="24"/>
      <w:lang w:val="en-US" w:eastAsia="zh-CN" w:bidi="ar"/>
    </w:rPr>
  </w:style>
  <w:style w:type="character" w:customStyle="1" w:styleId="90">
    <w:name w:val="正文文本缩进 3 字符"/>
    <w:basedOn w:val="35"/>
    <w:link w:val="27"/>
    <w:qFormat/>
    <w:uiPriority w:val="0"/>
    <w:rPr>
      <w:rFonts w:hint="eastAsia" w:ascii="微软雅黑" w:hAnsi="微软雅黑" w:eastAsia="微软雅黑" w:cs="Arial"/>
      <w:kern w:val="2"/>
      <w:sz w:val="16"/>
      <w:szCs w:val="16"/>
    </w:rPr>
  </w:style>
  <w:style w:type="paragraph" w:styleId="91">
    <w:name w:val="List Paragraph"/>
    <w:basedOn w:val="1"/>
    <w:next w:val="1"/>
    <w:qFormat/>
    <w:uiPriority w:val="99"/>
    <w:pPr>
      <w:ind w:firstLine="420" w:firstLineChars="200"/>
    </w:pPr>
  </w:style>
  <w:style w:type="character" w:customStyle="1" w:styleId="92">
    <w:name w:val="font41"/>
    <w:basedOn w:val="35"/>
    <w:qFormat/>
    <w:uiPriority w:val="0"/>
    <w:rPr>
      <w:rFonts w:hint="eastAsia" w:ascii="宋体" w:hAnsi="宋体" w:eastAsia="宋体" w:cs="宋体"/>
      <w:color w:val="000000"/>
      <w:sz w:val="21"/>
      <w:szCs w:val="21"/>
      <w:u w:val="none"/>
    </w:rPr>
  </w:style>
  <w:style w:type="character" w:customStyle="1" w:styleId="93">
    <w:name w:val="纯文本 Char"/>
    <w:basedOn w:val="35"/>
    <w:link w:val="19"/>
    <w:qFormat/>
    <w:uiPriority w:val="0"/>
    <w:rPr>
      <w:rFonts w:hint="eastAsia" w:ascii="宋体" w:hAnsi="Courier New" w:eastAsia="宋体" w:cs="Courier New"/>
      <w:kern w:val="2"/>
      <w:sz w:val="21"/>
      <w:szCs w:val="21"/>
    </w:rPr>
  </w:style>
  <w:style w:type="paragraph" w:customStyle="1" w:styleId="94">
    <w:name w:val="常用正文文本"/>
    <w:basedOn w:val="1"/>
    <w:qFormat/>
    <w:uiPriority w:val="0"/>
    <w:pPr>
      <w:spacing w:before="120" w:after="120"/>
      <w:ind w:firstLine="480"/>
    </w:pPr>
    <w:rPr>
      <w:rFonts w:ascii="宋体" w:hAnsi="宋体" w:eastAsia="宋体"/>
      <w:color w:val="000000"/>
      <w:sz w:val="24"/>
      <w:szCs w:val="24"/>
    </w:rPr>
  </w:style>
  <w:style w:type="paragraph" w:customStyle="1" w:styleId="95">
    <w:name w:val="四号正文"/>
    <w:basedOn w:val="1"/>
    <w:qFormat/>
    <w:uiPriority w:val="0"/>
    <w:pPr>
      <w:ind w:firstLine="560" w:firstLineChars="200"/>
    </w:pPr>
    <w:rPr>
      <w:rFonts w:ascii="Times New Roman" w:hAnsi="Times New Roman"/>
      <w:sz w:val="28"/>
      <w:szCs w:val="28"/>
    </w:rPr>
  </w:style>
  <w:style w:type="paragraph" w:customStyle="1" w:styleId="96">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paragraph" w:customStyle="1" w:styleId="97">
    <w:name w:val="正文-无缩进"/>
    <w:basedOn w:val="1"/>
    <w:qFormat/>
    <w:uiPriority w:val="0"/>
    <w:pPr>
      <w:spacing w:beforeLines="50"/>
    </w:pPr>
    <w:rPr>
      <w:rFonts w:ascii="等线" w:hAnsi="等线"/>
      <w:szCs w:val="22"/>
    </w:rPr>
  </w:style>
  <w:style w:type="paragraph" w:customStyle="1" w:styleId="98">
    <w:name w:val="列表段落1"/>
    <w:basedOn w:val="1"/>
    <w:qFormat/>
    <w:uiPriority w:val="34"/>
    <w:pPr>
      <w:ind w:firstLine="200" w:firstLineChars="200"/>
    </w:pPr>
    <w:rPr>
      <w:szCs w:val="20"/>
    </w:rPr>
  </w:style>
  <w:style w:type="paragraph" w:customStyle="1" w:styleId="99">
    <w:name w:val="!我的正文 Ctr+Q"/>
    <w:basedOn w:val="1"/>
    <w:qFormat/>
    <w:uiPriority w:val="0"/>
    <w:pPr>
      <w:adjustRightInd w:val="0"/>
      <w:snapToGrid w:val="0"/>
      <w:spacing w:line="360" w:lineRule="auto"/>
      <w:ind w:firstLine="480" w:firstLineChars="200"/>
    </w:pPr>
    <w:rPr>
      <w:rFonts w:ascii="Arial" w:hAnsi="Arial"/>
      <w:sz w:val="24"/>
      <w:szCs w:val="21"/>
    </w:rPr>
  </w:style>
  <w:style w:type="paragraph" w:customStyle="1" w:styleId="100">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101">
    <w:name w:val="_Style 4"/>
    <w:basedOn w:val="1"/>
    <w:qFormat/>
    <w:uiPriority w:val="34"/>
    <w:pPr>
      <w:ind w:firstLine="420" w:firstLineChars="200"/>
    </w:pPr>
  </w:style>
  <w:style w:type="paragraph" w:customStyle="1" w:styleId="102">
    <w:name w:val="p0"/>
    <w:basedOn w:val="1"/>
    <w:qFormat/>
    <w:uiPriority w:val="0"/>
    <w:pPr>
      <w:widowControl/>
    </w:pPr>
    <w:rPr>
      <w:rFonts w:ascii="Times New Roman" w:hAnsi="Times New Roman" w:eastAsia="宋体" w:cs="Times New Roman"/>
      <w:kern w:val="0"/>
      <w:szCs w:val="20"/>
    </w:rPr>
  </w:style>
  <w:style w:type="character" w:customStyle="1" w:styleId="103">
    <w:name w:val="font71"/>
    <w:basedOn w:val="35"/>
    <w:qFormat/>
    <w:uiPriority w:val="0"/>
    <w:rPr>
      <w:rFonts w:hint="eastAsia" w:ascii="宋体" w:hAnsi="宋体" w:eastAsia="宋体" w:cs="宋体"/>
      <w:color w:val="000000"/>
      <w:sz w:val="18"/>
      <w:szCs w:val="18"/>
      <w:u w:val="none"/>
    </w:rPr>
  </w:style>
  <w:style w:type="character" w:customStyle="1" w:styleId="104">
    <w:name w:val="font101"/>
    <w:basedOn w:val="35"/>
    <w:qFormat/>
    <w:uiPriority w:val="0"/>
    <w:rPr>
      <w:rFonts w:hint="eastAsia" w:ascii="宋体" w:hAnsi="宋体" w:eastAsia="宋体" w:cs="宋体"/>
      <w:color w:val="FF0000"/>
      <w:sz w:val="18"/>
      <w:szCs w:val="18"/>
      <w:u w:val="none"/>
    </w:rPr>
  </w:style>
  <w:style w:type="character" w:customStyle="1" w:styleId="105">
    <w:name w:val="font111"/>
    <w:basedOn w:val="35"/>
    <w:qFormat/>
    <w:uiPriority w:val="0"/>
    <w:rPr>
      <w:rFonts w:ascii="微软雅黑" w:hAnsi="微软雅黑" w:eastAsia="微软雅黑" w:cs="微软雅黑"/>
      <w:color w:val="000000"/>
      <w:sz w:val="18"/>
      <w:szCs w:val="18"/>
      <w:u w:val="none"/>
    </w:rPr>
  </w:style>
  <w:style w:type="paragraph" w:customStyle="1" w:styleId="106">
    <w:name w:val="彩色列表 - 着色 12"/>
    <w:basedOn w:val="1"/>
    <w:qFormat/>
    <w:uiPriority w:val="34"/>
    <w:pPr>
      <w:ind w:firstLine="420" w:firstLineChars="200"/>
    </w:pPr>
  </w:style>
  <w:style w:type="paragraph" w:customStyle="1" w:styleId="107">
    <w:name w:val="_Style 3"/>
    <w:basedOn w:val="1"/>
    <w:qFormat/>
    <w:uiPriority w:val="99"/>
    <w:pPr>
      <w:widowControl/>
      <w:ind w:firstLine="420" w:firstLineChars="200"/>
      <w:jc w:val="left"/>
    </w:pPr>
    <w:rPr>
      <w:rFonts w:ascii="Calibri" w:hAnsi="Calibri"/>
      <w:snapToGrid w:val="0"/>
      <w:kern w:val="0"/>
      <w:sz w:val="20"/>
    </w:rPr>
  </w:style>
  <w:style w:type="paragraph" w:customStyle="1" w:styleId="108">
    <w:name w:val="标题 11"/>
    <w:basedOn w:val="1"/>
    <w:qFormat/>
    <w:uiPriority w:val="0"/>
    <w:pPr>
      <w:spacing w:before="100" w:beforeAutospacing="1" w:after="100" w:afterAutospacing="1"/>
      <w:jc w:val="left"/>
      <w:outlineLvl w:val="0"/>
    </w:pPr>
    <w:rPr>
      <w:rFonts w:hint="eastAsia" w:ascii="宋体" w:hAnsi="宋体" w:eastAsia="宋体"/>
      <w:b/>
      <w:bCs/>
      <w:kern w:val="44"/>
      <w:sz w:val="48"/>
      <w:szCs w:val="48"/>
      <w:lang w:val="en-US" w:eastAsia="zh-CN" w:bidi="ar"/>
    </w:rPr>
  </w:style>
  <w:style w:type="paragraph" w:customStyle="1" w:styleId="109">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110">
    <w:name w:val="要点1"/>
    <w:basedOn w:val="111"/>
    <w:link w:val="1"/>
    <w:qFormat/>
    <w:uiPriority w:val="0"/>
    <w:rPr>
      <w:rFonts w:ascii="Calibri" w:hAnsi="Calibri" w:eastAsia="宋体" w:cs="Times New Roman"/>
      <w:kern w:val="2"/>
      <w:sz w:val="21"/>
      <w:szCs w:val="24"/>
      <w:lang w:val="en-US" w:eastAsia="zh-CN" w:bidi="ar-SA"/>
    </w:rPr>
  </w:style>
  <w:style w:type="character" w:customStyle="1" w:styleId="111">
    <w:name w:val="默认段落字体1"/>
    <w:link w:val="1"/>
    <w:semiHidden/>
    <w:qFormat/>
    <w:uiPriority w:val="0"/>
  </w:style>
  <w:style w:type="character" w:customStyle="1" w:styleId="112">
    <w:name w:val="HTML 样本1"/>
    <w:basedOn w:val="111"/>
    <w:link w:val="1"/>
    <w:qFormat/>
    <w:uiPriority w:val="0"/>
    <w:rPr>
      <w:rFonts w:ascii="Courier New" w:hAnsi="Courier New"/>
    </w:rPr>
  </w:style>
  <w:style w:type="paragraph" w:customStyle="1" w:styleId="11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14">
    <w:name w:val="索引 11"/>
    <w:basedOn w:val="1"/>
    <w:next w:val="1"/>
    <w:qFormat/>
    <w:uiPriority w:val="0"/>
    <w:pPr>
      <w:spacing w:line="360" w:lineRule="auto"/>
    </w:pPr>
    <w:rPr>
      <w:rFonts w:ascii="仿宋_GB2312" w:eastAsia="仿宋_GB2312"/>
      <w:sz w:val="24"/>
      <w:szCs w:val="20"/>
    </w:rPr>
  </w:style>
  <w:style w:type="paragraph" w:customStyle="1" w:styleId="115">
    <w:name w:val="纯文本1"/>
    <w:basedOn w:val="1"/>
    <w:qFormat/>
    <w:uiPriority w:val="0"/>
    <w:rPr>
      <w:rFonts w:ascii="宋体" w:hAnsi="Courier New"/>
      <w:kern w:val="0"/>
      <w:sz w:val="20"/>
      <w:szCs w:val="20"/>
    </w:rPr>
  </w:style>
  <w:style w:type="character" w:customStyle="1" w:styleId="116">
    <w:name w:val="font21"/>
    <w:basedOn w:val="35"/>
    <w:qFormat/>
    <w:uiPriority w:val="0"/>
    <w:rPr>
      <w:rFonts w:hint="eastAsia" w:ascii="宋体" w:hAnsi="宋体" w:eastAsia="宋体" w:cs="宋体"/>
      <w:color w:val="000000"/>
      <w:sz w:val="21"/>
      <w:szCs w:val="21"/>
      <w:u w:val="none"/>
    </w:rPr>
  </w:style>
  <w:style w:type="paragraph" w:customStyle="1" w:styleId="117">
    <w:name w:val="Normal_16"/>
    <w:qFormat/>
    <w:uiPriority w:val="0"/>
    <w:rPr>
      <w:rFonts w:ascii="黑体" w:hAnsi="黑体" w:eastAsia="黑体" w:cs="Times New Roman"/>
      <w:b/>
      <w:sz w:val="32"/>
      <w:szCs w:val="24"/>
      <w:lang w:val="en-US" w:eastAsia="zh-CN" w:bidi="ar-SA"/>
    </w:rPr>
  </w:style>
  <w:style w:type="paragraph" w:customStyle="1" w:styleId="118">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9">
    <w:name w:val="Normal_26_0"/>
    <w:qFormat/>
    <w:uiPriority w:val="0"/>
    <w:pPr>
      <w:widowControl w:val="0"/>
      <w:jc w:val="both"/>
    </w:pPr>
    <w:rPr>
      <w:rFonts w:ascii="Calibri" w:hAnsi="Calibri" w:eastAsia="宋体" w:cs="Times New Roman"/>
      <w:szCs w:val="24"/>
      <w:lang w:val="en-US" w:eastAsia="zh-CN" w:bidi="ar-SA"/>
    </w:rPr>
  </w:style>
  <w:style w:type="paragraph" w:customStyle="1" w:styleId="120">
    <w:name w:val="Normal_27_0"/>
    <w:qFormat/>
    <w:uiPriority w:val="0"/>
    <w:rPr>
      <w:rFonts w:ascii="Calibri" w:hAnsi="Calibri" w:eastAsia="Times New Roman" w:cs="Times New Roman"/>
      <w:sz w:val="24"/>
      <w:szCs w:val="24"/>
      <w:lang w:val="en-US" w:eastAsia="zh-CN" w:bidi="ar-SA"/>
    </w:rPr>
  </w:style>
  <w:style w:type="paragraph" w:customStyle="1" w:styleId="12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Normal_14"/>
    <w:qFormat/>
    <w:uiPriority w:val="0"/>
    <w:rPr>
      <w:rFonts w:ascii="黑体" w:hAnsi="黑体" w:eastAsia="黑体" w:cs="Times New Roman"/>
      <w:b/>
      <w:sz w:val="32"/>
      <w:szCs w:val="24"/>
      <w:lang w:val="en-US" w:eastAsia="zh-CN" w:bidi="ar-SA"/>
    </w:rPr>
  </w:style>
  <w:style w:type="paragraph" w:customStyle="1" w:styleId="123">
    <w:name w:val="Normal_20_0"/>
    <w:qFormat/>
    <w:uiPriority w:val="0"/>
    <w:pPr>
      <w:widowControl w:val="0"/>
      <w:jc w:val="both"/>
    </w:pPr>
    <w:rPr>
      <w:rFonts w:ascii="Calibri" w:hAnsi="Calibri" w:eastAsia="宋体" w:cs="Times New Roman"/>
      <w:szCs w:val="24"/>
      <w:lang w:val="en-US" w:eastAsia="zh-CN" w:bidi="ar-SA"/>
    </w:rPr>
  </w:style>
  <w:style w:type="paragraph" w:customStyle="1" w:styleId="124">
    <w:name w:val="正文_9"/>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128</Pages>
  <Words>70198</Words>
  <Characters>79006</Characters>
  <Lines>0</Lines>
  <Paragraphs>0</Paragraphs>
  <TotalTime>46</TotalTime>
  <ScaleCrop>false</ScaleCrop>
  <LinksUpToDate>false</LinksUpToDate>
  <CharactersWithSpaces>86140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2022-10-06T07:06:00Z</dcterms:created>
  <dc:creator>Administrator</dc:creator>
  <cp:lastModifiedBy>COCO</cp:lastModifiedBy>
  <cp:lastPrinted>2023-08-01T03:44:00Z</cp:lastPrinted>
  <dcterms:modified xsi:type="dcterms:W3CDTF">2023-08-03T03:27:19Z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E3F2E4C6F12E4A189E58B725D1706EF0</vt:lpwstr>
  </property>
</Properties>
</file>