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8"/>
          <w:szCs w:val="48"/>
          <w:highlight w:val="none"/>
        </w:rPr>
      </w:pPr>
      <w:bookmarkStart w:id="413" w:name="_GoBack"/>
      <w:bookmarkEnd w:id="413"/>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lang w:val="en-US" w:eastAsia="zh-CN"/>
        </w:rPr>
      </w:pPr>
      <w:bookmarkStart w:id="0" w:name="_Toc293326129"/>
      <w:bookmarkStart w:id="1" w:name="_Toc306369294"/>
      <w:r>
        <w:rPr>
          <w:rFonts w:hint="eastAsia" w:ascii="宋体" w:hAnsi="宋体" w:eastAsia="宋体" w:cs="宋体"/>
          <w:b/>
          <w:bCs/>
          <w:color w:val="auto"/>
          <w:sz w:val="36"/>
          <w:szCs w:val="36"/>
          <w:lang w:val="en-US" w:eastAsia="zh-CN"/>
        </w:rPr>
        <w:t>2023年墨玉县京和青少年融情交流营项目-包一（三次）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lang w:val="en-US" w:eastAsia="zh-CN"/>
        </w:rPr>
        <w:t>项目编号：MYXY(GK)2023-006-01-2</w:t>
      </w:r>
    </w:p>
    <w:p>
      <w:pPr>
        <w:pStyle w:val="9"/>
        <w:rPr>
          <w:rFonts w:hint="eastAsia" w:ascii="宋体" w:hAnsi="宋体" w:eastAsia="宋体" w:cs="宋体"/>
          <w:sz w:val="24"/>
        </w:rPr>
      </w:pPr>
    </w:p>
    <w:p>
      <w:pPr>
        <w:rPr>
          <w:rFonts w:hint="eastAsia" w:ascii="宋体" w:hAnsi="宋体" w:eastAsia="宋体" w:cs="宋体"/>
        </w:rPr>
      </w:pPr>
    </w:p>
    <w:p>
      <w:pPr>
        <w:rPr>
          <w:rFonts w:hint="eastAsia" w:ascii="宋体" w:hAnsi="宋体" w:eastAsia="宋体" w:cs="宋体"/>
          <w:sz w:val="24"/>
        </w:rPr>
      </w:pPr>
    </w:p>
    <w:p>
      <w:pPr>
        <w:tabs>
          <w:tab w:val="left" w:pos="7181"/>
        </w:tabs>
        <w:ind w:firstLine="2249" w:firstLineChars="400"/>
        <w:rPr>
          <w:rFonts w:hint="eastAsia" w:ascii="宋体" w:hAnsi="宋体" w:eastAsia="宋体" w:cs="宋体"/>
          <w:b/>
          <w:bCs/>
          <w:sz w:val="56"/>
          <w:szCs w:val="56"/>
          <w:lang w:eastAsia="zh-CN"/>
        </w:rPr>
      </w:pPr>
      <w:r>
        <w:rPr>
          <w:rFonts w:hint="eastAsia" w:ascii="宋体" w:hAnsi="宋体" w:eastAsia="宋体" w:cs="宋体"/>
          <w:b/>
          <w:bCs/>
          <w:sz w:val="56"/>
          <w:szCs w:val="56"/>
          <w:lang w:val="en-US" w:eastAsia="zh-CN"/>
        </w:rPr>
        <w:t>竞争性磋商</w:t>
      </w:r>
      <w:r>
        <w:rPr>
          <w:rFonts w:hint="eastAsia" w:ascii="宋体" w:hAnsi="宋体" w:eastAsia="宋体" w:cs="宋体"/>
          <w:b/>
          <w:bCs/>
          <w:sz w:val="56"/>
          <w:szCs w:val="56"/>
        </w:rPr>
        <w:t>文件</w:t>
      </w:r>
      <w:r>
        <w:rPr>
          <w:rFonts w:hint="eastAsia" w:ascii="宋体" w:hAnsi="宋体" w:eastAsia="宋体" w:cs="宋体"/>
          <w:b/>
          <w:bCs/>
          <w:sz w:val="56"/>
          <w:szCs w:val="56"/>
          <w:lang w:eastAsia="zh-CN"/>
        </w:rPr>
        <w:tab/>
      </w:r>
    </w:p>
    <w:bookmarkEnd w:id="0"/>
    <w:bookmarkEnd w:id="1"/>
    <w:p>
      <w:pPr>
        <w:rPr>
          <w:rFonts w:hint="eastAsia" w:ascii="宋体" w:hAnsi="宋体" w:eastAsia="宋体" w:cs="宋体"/>
          <w:sz w:val="24"/>
        </w:rPr>
      </w:pPr>
    </w:p>
    <w:p>
      <w:pPr>
        <w:pStyle w:val="11"/>
        <w:rPr>
          <w:rFonts w:hint="eastAsia" w:ascii="宋体" w:hAnsi="宋体" w:eastAsia="宋体" w:cs="宋体"/>
        </w:rPr>
      </w:pPr>
    </w:p>
    <w:p>
      <w:pPr>
        <w:pStyle w:val="67"/>
        <w:numPr>
          <w:ilvl w:val="0"/>
          <w:numId w:val="0"/>
        </w:numPr>
        <w:outlineLvl w:val="9"/>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 xml:space="preserve">采购人:墨玉县教育局         </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 xml:space="preserve">联系人： 秦龙          </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 xml:space="preserve">联系电话：0903-6514821 </w:t>
      </w:r>
    </w:p>
    <w:p>
      <w:pPr>
        <w:pStyle w:val="9"/>
        <w:rPr>
          <w:rFonts w:hint="default"/>
          <w:lang w:val="en-US" w:eastAsia="zh-CN"/>
        </w:rPr>
      </w:pPr>
      <w:r>
        <w:rPr>
          <w:rFonts w:hint="eastAsia" w:ascii="宋体" w:hAnsi="宋体" w:eastAsia="宋体" w:cs="宋体"/>
          <w:b/>
          <w:color w:val="auto"/>
          <w:sz w:val="28"/>
          <w:szCs w:val="28"/>
          <w:lang w:val="en-US" w:eastAsia="zh-CN"/>
        </w:rPr>
        <w:t xml:space="preserve">    地址：墨玉县</w:t>
      </w:r>
    </w:p>
    <w:p>
      <w:pPr>
        <w:rPr>
          <w:rFonts w:hint="eastAsia" w:ascii="宋体" w:hAnsi="宋体" w:eastAsia="宋体" w:cs="宋体"/>
          <w:b/>
          <w:color w:val="auto"/>
          <w:sz w:val="28"/>
          <w:szCs w:val="28"/>
          <w:lang w:val="en-US" w:eastAsia="zh-CN"/>
        </w:rPr>
      </w:pPr>
    </w:p>
    <w:p>
      <w:pPr>
        <w:pStyle w:val="11"/>
        <w:rPr>
          <w:rFonts w:hint="eastAsia" w:ascii="宋体" w:hAnsi="宋体" w:eastAsia="宋体" w:cs="宋体"/>
          <w:b/>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551" w:firstLineChars="196"/>
        <w:jc w:val="both"/>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代理机构</w:t>
      </w:r>
      <w:r>
        <w:rPr>
          <w:rFonts w:hint="eastAsia" w:ascii="宋体" w:hAnsi="宋体" w:eastAsia="宋体" w:cs="宋体"/>
          <w:b/>
          <w:color w:val="auto"/>
          <w:sz w:val="28"/>
          <w:szCs w:val="28"/>
        </w:rPr>
        <w:t>：</w:t>
      </w:r>
      <w:r>
        <w:rPr>
          <w:rFonts w:hint="eastAsia" w:ascii="宋体" w:hAnsi="宋体" w:eastAsia="宋体" w:cs="宋体"/>
          <w:b/>
          <w:color w:val="auto"/>
          <w:sz w:val="28"/>
          <w:szCs w:val="28"/>
          <w:lang w:val="en-US" w:eastAsia="zh-CN"/>
        </w:rPr>
        <w:t>新疆宣烨项目管理咨询有限公司</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551" w:firstLineChars="196"/>
        <w:jc w:val="both"/>
        <w:textAlignment w:val="auto"/>
        <w:outlineLvl w:val="9"/>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rPr>
        <w:t>联 系 人：</w:t>
      </w:r>
      <w:r>
        <w:rPr>
          <w:rFonts w:hint="eastAsia" w:ascii="宋体" w:hAnsi="宋体" w:eastAsia="宋体" w:cs="宋体"/>
          <w:b/>
          <w:color w:val="auto"/>
          <w:sz w:val="28"/>
          <w:szCs w:val="28"/>
          <w:lang w:val="en-US" w:eastAsia="zh-CN"/>
        </w:rPr>
        <w:t>阿力亚</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551" w:firstLineChars="196"/>
        <w:jc w:val="both"/>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联系电话：</w:t>
      </w:r>
      <w:r>
        <w:rPr>
          <w:rFonts w:hint="eastAsia" w:ascii="宋体" w:hAnsi="宋体" w:eastAsia="宋体" w:cs="宋体"/>
          <w:b/>
          <w:color w:val="auto"/>
          <w:sz w:val="28"/>
          <w:szCs w:val="28"/>
          <w:lang w:val="en-US" w:eastAsia="zh-CN"/>
        </w:rPr>
        <w:t>0903-2936333</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551" w:firstLineChars="196"/>
        <w:jc w:val="both"/>
        <w:textAlignment w:val="auto"/>
        <w:outlineLvl w:val="9"/>
        <w:rPr>
          <w:rFonts w:hint="default" w:ascii="宋体" w:hAnsi="宋体" w:eastAsia="宋体" w:cs="宋体"/>
          <w:bCs/>
          <w:color w:val="auto"/>
          <w:sz w:val="28"/>
          <w:szCs w:val="28"/>
          <w:lang w:val="en-US" w:eastAsia="zh-CN"/>
        </w:rPr>
      </w:pPr>
      <w:r>
        <w:rPr>
          <w:rFonts w:hint="eastAsia" w:ascii="宋体" w:hAnsi="宋体" w:eastAsia="宋体" w:cs="宋体"/>
          <w:b/>
          <w:color w:val="auto"/>
          <w:sz w:val="28"/>
          <w:szCs w:val="28"/>
        </w:rPr>
        <w:t>地    址：</w:t>
      </w:r>
      <w:r>
        <w:rPr>
          <w:rFonts w:hint="eastAsia" w:ascii="宋体" w:hAnsi="宋体" w:eastAsia="宋体" w:cs="宋体"/>
          <w:b/>
          <w:color w:val="auto"/>
          <w:sz w:val="28"/>
          <w:szCs w:val="28"/>
          <w:lang w:val="en-US" w:eastAsia="zh-CN"/>
        </w:rPr>
        <w:t>和田市人民路第十四师家属院A区1601室</w:t>
      </w:r>
    </w:p>
    <w:p>
      <w:pPr>
        <w:pStyle w:val="4"/>
        <w:outlineLvl w:val="9"/>
        <w:rPr>
          <w:rFonts w:hint="eastAsia" w:ascii="宋体" w:hAnsi="宋体" w:eastAsia="宋体" w:cs="宋体"/>
        </w:rPr>
      </w:pPr>
    </w:p>
    <w:p>
      <w:pPr>
        <w:spacing w:line="360" w:lineRule="auto"/>
        <w:ind w:firstLine="2811" w:firstLineChars="1000"/>
        <w:jc w:val="both"/>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日期：</w:t>
      </w:r>
      <w:r>
        <w:rPr>
          <w:rFonts w:hint="eastAsia" w:ascii="宋体" w:hAnsi="宋体" w:eastAsia="宋体" w:cs="宋体"/>
          <w:b/>
          <w:color w:val="auto"/>
          <w:sz w:val="28"/>
          <w:szCs w:val="28"/>
          <w:lang w:eastAsia="zh-CN"/>
        </w:rPr>
        <w:t>202</w:t>
      </w: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lang w:eastAsia="zh-CN"/>
        </w:rPr>
        <w:t>年</w:t>
      </w:r>
      <w:r>
        <w:rPr>
          <w:rFonts w:hint="eastAsia" w:ascii="宋体" w:hAnsi="宋体" w:eastAsia="宋体" w:cs="宋体"/>
          <w:b/>
          <w:color w:val="auto"/>
          <w:sz w:val="28"/>
          <w:szCs w:val="28"/>
          <w:lang w:val="en-US" w:eastAsia="zh-CN"/>
        </w:rPr>
        <w:t>8</w:t>
      </w:r>
      <w:r>
        <w:rPr>
          <w:rFonts w:hint="eastAsia" w:ascii="宋体" w:hAnsi="宋体" w:eastAsia="宋体" w:cs="宋体"/>
          <w:b/>
          <w:color w:val="auto"/>
          <w:sz w:val="28"/>
          <w:szCs w:val="28"/>
          <w:lang w:eastAsia="zh-CN"/>
        </w:rPr>
        <w:t xml:space="preserve">月 </w:t>
      </w:r>
      <w:r>
        <w:rPr>
          <w:rFonts w:hint="eastAsia" w:ascii="宋体" w:hAnsi="宋体" w:eastAsia="宋体" w:cs="宋体"/>
          <w:b/>
          <w:color w:val="auto"/>
          <w:sz w:val="28"/>
          <w:szCs w:val="28"/>
          <w:lang w:val="en-US" w:eastAsia="zh-CN"/>
        </w:rPr>
        <w:t xml:space="preserve"> </w:t>
      </w:r>
    </w:p>
    <w:p>
      <w:pPr>
        <w:bidi w:val="0"/>
        <w:jc w:val="left"/>
        <w:rPr>
          <w:rFonts w:hint="eastAsia" w:ascii="Times New Roman" w:hAnsi="Times New Roman"/>
          <w:kern w:val="2"/>
          <w:sz w:val="21"/>
          <w:szCs w:val="24"/>
          <w:lang w:val="en-US" w:eastAsia="zh-CN" w:bidi="ar-SA"/>
        </w:rPr>
        <w:sectPr>
          <w:headerReference r:id="rId3" w:type="default"/>
          <w:footerReference r:id="rId4" w:type="default"/>
          <w:pgSz w:w="11907" w:h="16840"/>
          <w:pgMar w:top="1440" w:right="1287" w:bottom="1440" w:left="1758" w:header="851" w:footer="992" w:gutter="0"/>
          <w:pgNumType w:fmt="decimal" w:start="3"/>
          <w:cols w:space="720" w:num="1"/>
          <w:docGrid w:type="lines" w:linePitch="312" w:charSpace="0"/>
        </w:sectPr>
      </w:pPr>
    </w:p>
    <w:p>
      <w:pPr>
        <w:spacing w:before="0" w:beforeLines="0" w:after="0" w:afterLines="0" w:line="240" w:lineRule="auto"/>
        <w:ind w:left="0" w:leftChars="0" w:right="0" w:rightChars="0" w:firstLine="0" w:firstLineChars="0"/>
        <w:jc w:val="center"/>
        <w:outlineLvl w:val="0"/>
        <w:rPr>
          <w:sz w:val="28"/>
          <w:szCs w:val="28"/>
        </w:rPr>
      </w:pPr>
      <w:r>
        <w:rPr>
          <w:rFonts w:ascii="宋体" w:hAnsi="宋体" w:eastAsia="宋体"/>
          <w:sz w:val="28"/>
          <w:szCs w:val="28"/>
        </w:rPr>
        <w:t>目录</w:t>
      </w:r>
    </w:p>
    <w:p>
      <w:pPr>
        <w:pStyle w:val="88"/>
        <w:tabs>
          <w:tab w:val="right" w:leader="dot" w:pos="8300"/>
        </w:tabs>
        <w:outlineLvl w:val="0"/>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TOC \o "1-1" \h \u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_Toc24563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lang w:val="en-US" w:eastAsia="zh-CN"/>
        </w:rPr>
        <w:t>第一章   竞争性磋商公告</w:t>
      </w:r>
      <w:r>
        <w:rPr>
          <w:sz w:val="28"/>
          <w:szCs w:val="28"/>
        </w:rPr>
        <w:tab/>
      </w:r>
      <w:r>
        <w:rPr>
          <w:sz w:val="28"/>
          <w:szCs w:val="28"/>
        </w:rPr>
        <w:fldChar w:fldCharType="begin"/>
      </w:r>
      <w:r>
        <w:rPr>
          <w:sz w:val="28"/>
          <w:szCs w:val="28"/>
        </w:rPr>
        <w:instrText xml:space="preserve"> PAGEREF _Toc24563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lang w:val="en-US" w:eastAsia="zh-CN"/>
        </w:rPr>
        <w:fldChar w:fldCharType="end"/>
      </w:r>
    </w:p>
    <w:p>
      <w:pPr>
        <w:pStyle w:val="88"/>
        <w:tabs>
          <w:tab w:val="right" w:leader="dot" w:pos="8300"/>
        </w:tabs>
        <w:outlineLvl w:val="0"/>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_Toc17773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lang w:val="en-US" w:eastAsia="zh-CN"/>
        </w:rPr>
        <w:t>第二章 供应商须知前附表</w:t>
      </w:r>
      <w:r>
        <w:rPr>
          <w:sz w:val="28"/>
          <w:szCs w:val="28"/>
        </w:rPr>
        <w:tab/>
      </w:r>
      <w:r>
        <w:rPr>
          <w:sz w:val="28"/>
          <w:szCs w:val="28"/>
        </w:rPr>
        <w:fldChar w:fldCharType="begin"/>
      </w:r>
      <w:r>
        <w:rPr>
          <w:sz w:val="28"/>
          <w:szCs w:val="28"/>
        </w:rPr>
        <w:instrText xml:space="preserve"> PAGEREF _Toc17773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lang w:val="en-US" w:eastAsia="zh-CN"/>
        </w:rPr>
        <w:fldChar w:fldCharType="end"/>
      </w:r>
    </w:p>
    <w:p>
      <w:pPr>
        <w:pStyle w:val="88"/>
        <w:tabs>
          <w:tab w:val="right" w:leader="dot" w:pos="8300"/>
        </w:tabs>
        <w:outlineLvl w:val="0"/>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_Toc18627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highlight w:val="none"/>
          <w:lang w:val="en-US" w:eastAsia="zh-CN" w:bidi="ar-SA"/>
        </w:rPr>
        <w:t>第三章 采购需求</w:t>
      </w:r>
      <w:r>
        <w:rPr>
          <w:sz w:val="28"/>
          <w:szCs w:val="28"/>
        </w:rPr>
        <w:tab/>
      </w:r>
      <w:r>
        <w:rPr>
          <w:sz w:val="28"/>
          <w:szCs w:val="28"/>
        </w:rPr>
        <w:fldChar w:fldCharType="begin"/>
      </w:r>
      <w:r>
        <w:rPr>
          <w:sz w:val="28"/>
          <w:szCs w:val="28"/>
        </w:rPr>
        <w:instrText xml:space="preserve"> PAGEREF _Toc18627 \h </w:instrText>
      </w:r>
      <w:r>
        <w:rPr>
          <w:sz w:val="28"/>
          <w:szCs w:val="28"/>
        </w:rPr>
        <w:fldChar w:fldCharType="separate"/>
      </w:r>
      <w:r>
        <w:rPr>
          <w:sz w:val="28"/>
          <w:szCs w:val="28"/>
        </w:rPr>
        <w:t>26</w:t>
      </w:r>
      <w:r>
        <w:rPr>
          <w:sz w:val="28"/>
          <w:szCs w:val="28"/>
        </w:rPr>
        <w:fldChar w:fldCharType="end"/>
      </w:r>
      <w:r>
        <w:rPr>
          <w:rFonts w:hint="eastAsia" w:ascii="宋体" w:hAnsi="宋体" w:eastAsia="宋体" w:cs="宋体"/>
          <w:sz w:val="28"/>
          <w:szCs w:val="28"/>
          <w:lang w:val="en-US" w:eastAsia="zh-CN"/>
        </w:rPr>
        <w:fldChar w:fldCharType="end"/>
      </w:r>
    </w:p>
    <w:p>
      <w:pPr>
        <w:pStyle w:val="88"/>
        <w:tabs>
          <w:tab w:val="right" w:pos="3200"/>
          <w:tab w:val="right" w:leader="dot" w:pos="8300"/>
        </w:tabs>
        <w:outlineLvl w:val="0"/>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_Toc9827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highlight w:val="none"/>
          <w:lang w:val="en-US" w:eastAsia="zh-CN" w:bidi="ar-SA"/>
        </w:rPr>
        <w:t>第四章</w:t>
      </w:r>
      <w:r>
        <w:rPr>
          <w:rFonts w:hint="eastAsia" w:ascii="宋体" w:hAnsi="宋体" w:eastAsia="宋体" w:cs="宋体"/>
          <w:bCs w:val="0"/>
          <w:kern w:val="2"/>
          <w:sz w:val="28"/>
          <w:szCs w:val="28"/>
          <w:highlight w:val="none"/>
          <w:lang w:val="en-US" w:eastAsia="zh-CN" w:bidi="ar-SA"/>
        </w:rPr>
        <w:tab/>
      </w:r>
      <w:r>
        <w:rPr>
          <w:rFonts w:hint="eastAsia" w:ascii="宋体" w:hAnsi="宋体" w:eastAsia="宋体" w:cs="宋体"/>
          <w:bCs w:val="0"/>
          <w:kern w:val="2"/>
          <w:sz w:val="28"/>
          <w:szCs w:val="28"/>
          <w:highlight w:val="none"/>
          <w:lang w:val="en-US" w:eastAsia="zh-CN" w:bidi="ar-SA"/>
        </w:rPr>
        <w:t>合同条款及格式</w:t>
      </w:r>
      <w:r>
        <w:rPr>
          <w:sz w:val="28"/>
          <w:szCs w:val="28"/>
        </w:rPr>
        <w:tab/>
      </w:r>
      <w:r>
        <w:rPr>
          <w:sz w:val="28"/>
          <w:szCs w:val="28"/>
        </w:rPr>
        <w:fldChar w:fldCharType="begin"/>
      </w:r>
      <w:r>
        <w:rPr>
          <w:sz w:val="28"/>
          <w:szCs w:val="28"/>
        </w:rPr>
        <w:instrText xml:space="preserve"> PAGEREF _Toc9827 \h </w:instrText>
      </w:r>
      <w:r>
        <w:rPr>
          <w:sz w:val="28"/>
          <w:szCs w:val="28"/>
        </w:rPr>
        <w:fldChar w:fldCharType="separate"/>
      </w:r>
      <w:r>
        <w:rPr>
          <w:sz w:val="28"/>
          <w:szCs w:val="28"/>
        </w:rPr>
        <w:t>27</w:t>
      </w:r>
      <w:r>
        <w:rPr>
          <w:sz w:val="28"/>
          <w:szCs w:val="28"/>
        </w:rPr>
        <w:fldChar w:fldCharType="end"/>
      </w:r>
      <w:r>
        <w:rPr>
          <w:rFonts w:hint="eastAsia" w:ascii="宋体" w:hAnsi="宋体" w:eastAsia="宋体" w:cs="宋体"/>
          <w:sz w:val="28"/>
          <w:szCs w:val="28"/>
          <w:lang w:val="en-US" w:eastAsia="zh-CN"/>
        </w:rPr>
        <w:fldChar w:fldCharType="end"/>
      </w:r>
    </w:p>
    <w:p>
      <w:pPr>
        <w:pStyle w:val="88"/>
        <w:tabs>
          <w:tab w:val="right" w:leader="dot" w:pos="8300"/>
        </w:tabs>
        <w:outlineLvl w:val="0"/>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_Toc31114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kern w:val="2"/>
          <w:sz w:val="28"/>
          <w:szCs w:val="28"/>
          <w:highlight w:val="none"/>
          <w:lang w:val="en-US" w:eastAsia="zh-CN" w:bidi="ar-SA"/>
        </w:rPr>
        <w:t>第五章 投标文件格式</w:t>
      </w:r>
      <w:r>
        <w:rPr>
          <w:sz w:val="28"/>
          <w:szCs w:val="28"/>
        </w:rPr>
        <w:tab/>
      </w:r>
      <w:r>
        <w:rPr>
          <w:sz w:val="28"/>
          <w:szCs w:val="28"/>
        </w:rPr>
        <w:fldChar w:fldCharType="begin"/>
      </w:r>
      <w:r>
        <w:rPr>
          <w:sz w:val="28"/>
          <w:szCs w:val="28"/>
        </w:rPr>
        <w:instrText xml:space="preserve"> PAGEREF _Toc31114 \h </w:instrText>
      </w:r>
      <w:r>
        <w:rPr>
          <w:sz w:val="28"/>
          <w:szCs w:val="28"/>
        </w:rPr>
        <w:fldChar w:fldCharType="separate"/>
      </w:r>
      <w:r>
        <w:rPr>
          <w:sz w:val="28"/>
          <w:szCs w:val="28"/>
        </w:rPr>
        <w:t>40</w:t>
      </w:r>
      <w:r>
        <w:rPr>
          <w:sz w:val="28"/>
          <w:szCs w:val="28"/>
        </w:rPr>
        <w:fldChar w:fldCharType="end"/>
      </w:r>
      <w:r>
        <w:rPr>
          <w:rFonts w:hint="eastAsia" w:ascii="宋体" w:hAnsi="宋体" w:eastAsia="宋体" w:cs="宋体"/>
          <w:sz w:val="28"/>
          <w:szCs w:val="28"/>
          <w:lang w:val="en-US" w:eastAsia="zh-CN"/>
        </w:rPr>
        <w:fldChar w:fldCharType="end"/>
      </w:r>
    </w:p>
    <w:p>
      <w:pPr>
        <w:pStyle w:val="88"/>
        <w:tabs>
          <w:tab w:val="right" w:leader="dot" w:pos="8300"/>
        </w:tabs>
        <w:outlineLvl w:val="0"/>
        <w:rPr>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_Toc14256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投  标</w:t>
      </w:r>
      <w:r>
        <w:rPr>
          <w:rFonts w:hint="eastAsia" w:ascii="宋体" w:hAnsi="宋体" w:eastAsia="宋体" w:cs="宋体"/>
          <w:sz w:val="28"/>
          <w:szCs w:val="28"/>
        </w:rPr>
        <w:t xml:space="preserve">  文  件</w:t>
      </w:r>
      <w:r>
        <w:rPr>
          <w:sz w:val="28"/>
          <w:szCs w:val="28"/>
        </w:rPr>
        <w:tab/>
      </w:r>
      <w:r>
        <w:rPr>
          <w:sz w:val="28"/>
          <w:szCs w:val="28"/>
        </w:rPr>
        <w:fldChar w:fldCharType="begin"/>
      </w:r>
      <w:r>
        <w:rPr>
          <w:sz w:val="28"/>
          <w:szCs w:val="28"/>
        </w:rPr>
        <w:instrText xml:space="preserve"> PAGEREF _Toc14256 \h </w:instrText>
      </w:r>
      <w:r>
        <w:rPr>
          <w:sz w:val="28"/>
          <w:szCs w:val="28"/>
        </w:rPr>
        <w:fldChar w:fldCharType="separate"/>
      </w:r>
      <w:r>
        <w:rPr>
          <w:sz w:val="28"/>
          <w:szCs w:val="28"/>
        </w:rPr>
        <w:t>40</w:t>
      </w:r>
      <w:r>
        <w:rPr>
          <w:sz w:val="28"/>
          <w:szCs w:val="28"/>
        </w:rPr>
        <w:fldChar w:fldCharType="end"/>
      </w:r>
      <w:r>
        <w:rPr>
          <w:rFonts w:hint="eastAsia" w:ascii="宋体" w:hAnsi="宋体" w:eastAsia="宋体" w:cs="宋体"/>
          <w:sz w:val="28"/>
          <w:szCs w:val="28"/>
          <w:lang w:val="en-US" w:eastAsia="zh-CN"/>
        </w:rPr>
        <w:fldChar w:fldCharType="end"/>
      </w:r>
    </w:p>
    <w:p>
      <w:pPr>
        <w:pStyle w:val="2"/>
        <w:outlineLvl w:val="0"/>
        <w:rPr>
          <w:rFonts w:hint="eastAsia" w:ascii="宋体" w:hAnsi="宋体" w:eastAsia="宋体" w:cs="宋体"/>
          <w:lang w:val="en-US" w:eastAsia="zh-CN"/>
        </w:rPr>
      </w:pPr>
      <w:r>
        <w:rPr>
          <w:rFonts w:hint="eastAsia" w:ascii="宋体" w:hAnsi="宋体" w:eastAsia="宋体" w:cs="宋体"/>
          <w:sz w:val="28"/>
          <w:szCs w:val="28"/>
          <w:lang w:val="en-US" w:eastAsia="zh-CN"/>
        </w:rPr>
        <w:fldChar w:fldCharType="end"/>
      </w:r>
    </w:p>
    <w:p>
      <w:pPr>
        <w:tabs>
          <w:tab w:val="left" w:pos="2752"/>
        </w:tabs>
        <w:ind w:left="-199" w:leftChars="-95" w:firstLine="0" w:firstLineChars="0"/>
        <w:rPr>
          <w:rFonts w:hint="eastAsia" w:ascii="宋体" w:hAnsi="宋体" w:eastAsia="宋体" w:cs="宋体"/>
          <w:b/>
          <w:bCs/>
          <w:lang w:eastAsia="zh-CN"/>
        </w:rPr>
      </w:pPr>
      <w:r>
        <w:rPr>
          <w:rFonts w:hint="eastAsia" w:ascii="宋体" w:hAnsi="宋体" w:eastAsia="宋体" w:cs="宋体"/>
          <w:b/>
          <w:bCs/>
          <w:lang w:eastAsia="zh-CN"/>
        </w:rPr>
        <w:tab/>
      </w:r>
    </w:p>
    <w:p>
      <w:pPr>
        <w:rPr>
          <w:rFonts w:hint="eastAsia" w:ascii="宋体" w:hAnsi="宋体" w:eastAsia="宋体" w:cs="宋体"/>
          <w:b/>
          <w:bCs/>
        </w:rPr>
      </w:pPr>
    </w:p>
    <w:p>
      <w:pPr>
        <w:rPr>
          <w:rFonts w:hint="eastAsia" w:ascii="宋体" w:hAnsi="宋体" w:eastAsia="宋体" w:cs="宋体"/>
        </w:rPr>
      </w:pPr>
    </w:p>
    <w:p>
      <w:pPr>
        <w:ind w:firstLine="902" w:firstLineChars="428"/>
        <w:rPr>
          <w:rFonts w:hint="eastAsia" w:ascii="宋体" w:hAnsi="宋体" w:eastAsia="宋体" w:cs="宋体"/>
          <w:b/>
          <w:bCs/>
        </w:rPr>
      </w:pPr>
    </w:p>
    <w:p>
      <w:pPr>
        <w:rPr>
          <w:rFonts w:hint="eastAsia" w:ascii="宋体" w:hAnsi="宋体" w:eastAsia="宋体" w:cs="宋体"/>
          <w:b/>
          <w:bCs/>
        </w:rPr>
      </w:pPr>
    </w:p>
    <w:p>
      <w:pPr>
        <w:rPr>
          <w:rFonts w:hint="eastAsia" w:ascii="宋体" w:hAnsi="宋体" w:eastAsia="宋体" w:cs="宋体"/>
          <w:b/>
          <w:bCs/>
        </w:rPr>
      </w:pPr>
    </w:p>
    <w:p>
      <w:pPr>
        <w:rPr>
          <w:rFonts w:hint="eastAsia" w:ascii="宋体" w:hAnsi="宋体" w:eastAsia="宋体" w:cs="宋体"/>
          <w:b/>
          <w:bCs/>
        </w:rPr>
      </w:pPr>
    </w:p>
    <w:p>
      <w:pPr>
        <w:rPr>
          <w:rFonts w:hint="eastAsia" w:ascii="宋体" w:hAnsi="宋体" w:eastAsia="宋体" w:cs="宋体"/>
          <w:b/>
          <w:bCs/>
        </w:rPr>
      </w:pPr>
    </w:p>
    <w:p>
      <w:pPr>
        <w:rPr>
          <w:rFonts w:hint="eastAsia" w:ascii="宋体" w:hAnsi="宋体" w:eastAsia="宋体" w:cs="宋体"/>
          <w:b/>
          <w:bCs/>
        </w:rPr>
      </w:pPr>
    </w:p>
    <w:p>
      <w:pPr>
        <w:rPr>
          <w:rFonts w:hint="eastAsia" w:ascii="宋体" w:hAnsi="宋体" w:eastAsia="宋体" w:cs="宋体"/>
          <w:b/>
          <w:bCs/>
        </w:rPr>
      </w:pPr>
    </w:p>
    <w:p>
      <w:pPr>
        <w:rPr>
          <w:rFonts w:hint="eastAsia" w:ascii="宋体" w:hAnsi="宋体" w:eastAsia="宋体" w:cs="宋体"/>
          <w:b/>
          <w:bCs/>
        </w:rPr>
      </w:pPr>
    </w:p>
    <w:p>
      <w:pPr>
        <w:rPr>
          <w:rFonts w:hint="eastAsia" w:ascii="宋体" w:hAnsi="宋体" w:eastAsia="宋体" w:cs="宋体"/>
          <w:b/>
          <w:bCs/>
        </w:rPr>
      </w:pPr>
    </w:p>
    <w:p>
      <w:pPr>
        <w:rPr>
          <w:rFonts w:hint="eastAsia" w:ascii="宋体" w:hAnsi="宋体" w:eastAsia="宋体" w:cs="宋体"/>
          <w:b/>
          <w:bCs/>
        </w:rPr>
      </w:pPr>
    </w:p>
    <w:p>
      <w:pPr>
        <w:rPr>
          <w:rFonts w:hint="eastAsia" w:ascii="宋体" w:hAnsi="宋体" w:eastAsia="宋体" w:cs="宋体"/>
          <w:b/>
          <w:bCs/>
        </w:rPr>
      </w:pPr>
    </w:p>
    <w:p>
      <w:pPr>
        <w:spacing w:line="360" w:lineRule="auto"/>
        <w:rPr>
          <w:rFonts w:hint="eastAsia" w:ascii="宋体" w:hAnsi="宋体" w:eastAsia="宋体" w:cs="宋体"/>
          <w:b/>
          <w:color w:val="auto"/>
          <w:sz w:val="24"/>
          <w:szCs w:val="24"/>
          <w:highlight w:val="none"/>
          <w:lang w:eastAsia="zh-CN"/>
        </w:rPr>
      </w:pPr>
    </w:p>
    <w:p>
      <w:pPr>
        <w:pStyle w:val="67"/>
        <w:rPr>
          <w:rFonts w:hint="eastAsia" w:ascii="宋体" w:hAnsi="宋体" w:eastAsia="宋体" w:cs="宋体"/>
          <w:lang w:eastAsia="zh-CN"/>
        </w:rPr>
      </w:pPr>
    </w:p>
    <w:p>
      <w:pPr>
        <w:pStyle w:val="68"/>
        <w:rPr>
          <w:rFonts w:hint="eastAsia" w:ascii="宋体" w:hAnsi="宋体" w:eastAsia="宋体" w:cs="宋体"/>
          <w:lang w:eastAsia="zh-CN"/>
        </w:rPr>
      </w:pPr>
    </w:p>
    <w:p>
      <w:pPr>
        <w:pStyle w:val="68"/>
        <w:rPr>
          <w:rFonts w:hint="eastAsia" w:ascii="宋体" w:hAnsi="宋体" w:eastAsia="宋体" w:cs="宋体"/>
          <w:lang w:eastAsia="zh-CN"/>
        </w:rPr>
      </w:pPr>
    </w:p>
    <w:p>
      <w:pPr>
        <w:pStyle w:val="68"/>
        <w:rPr>
          <w:rFonts w:hint="eastAsia" w:ascii="宋体" w:hAnsi="宋体" w:eastAsia="宋体" w:cs="宋体"/>
          <w:lang w:eastAsia="zh-CN"/>
        </w:rPr>
      </w:pPr>
    </w:p>
    <w:p>
      <w:pPr>
        <w:pStyle w:val="68"/>
        <w:rPr>
          <w:rFonts w:hint="eastAsia" w:ascii="宋体" w:hAnsi="宋体" w:eastAsia="宋体" w:cs="宋体"/>
          <w:lang w:eastAsia="zh-CN"/>
        </w:rPr>
      </w:pPr>
    </w:p>
    <w:p>
      <w:pPr>
        <w:ind w:firstLine="422" w:firstLineChars="200"/>
        <w:jc w:val="center"/>
        <w:rPr>
          <w:rFonts w:hint="eastAsia" w:ascii="宋体" w:hAnsi="宋体" w:eastAsia="宋体" w:cs="宋体"/>
          <w:b/>
          <w:bCs/>
        </w:rPr>
      </w:pPr>
    </w:p>
    <w:p>
      <w:pPr>
        <w:ind w:firstLine="422" w:firstLineChars="200"/>
        <w:jc w:val="center"/>
        <w:rPr>
          <w:rFonts w:hint="eastAsia" w:ascii="宋体" w:hAnsi="宋体" w:eastAsia="宋体" w:cs="宋体"/>
          <w:b/>
          <w:bCs/>
        </w:rPr>
      </w:pPr>
    </w:p>
    <w:p>
      <w:pPr>
        <w:pStyle w:val="51"/>
        <w:tabs>
          <w:tab w:val="left" w:pos="3462"/>
        </w:tabs>
        <w:rPr>
          <w:rFonts w:hint="eastAsia" w:ascii="宋体" w:hAnsi="宋体" w:eastAsia="宋体" w:cs="宋体"/>
          <w:b/>
          <w:bCs/>
          <w:lang w:eastAsia="zh-CN"/>
        </w:rPr>
      </w:pPr>
      <w:r>
        <w:rPr>
          <w:rFonts w:hint="eastAsia" w:ascii="宋体" w:hAnsi="宋体" w:eastAsia="宋体" w:cs="宋体"/>
          <w:b/>
          <w:bCs/>
          <w:lang w:eastAsia="zh-CN"/>
        </w:rPr>
        <w:tab/>
      </w:r>
    </w:p>
    <w:p>
      <w:pPr>
        <w:pStyle w:val="51"/>
        <w:tabs>
          <w:tab w:val="left" w:pos="3462"/>
        </w:tabs>
        <w:rPr>
          <w:rFonts w:hint="eastAsia" w:ascii="宋体" w:hAnsi="宋体" w:eastAsia="宋体" w:cs="宋体"/>
          <w:b/>
          <w:bCs/>
          <w:lang w:eastAsia="zh-CN"/>
        </w:rPr>
      </w:pPr>
    </w:p>
    <w:p>
      <w:pPr>
        <w:pStyle w:val="51"/>
        <w:tabs>
          <w:tab w:val="left" w:pos="3462"/>
        </w:tabs>
        <w:rPr>
          <w:rFonts w:hint="eastAsia" w:ascii="宋体" w:hAnsi="宋体" w:eastAsia="宋体" w:cs="宋体"/>
          <w:b/>
          <w:bCs/>
          <w:lang w:eastAsia="zh-CN"/>
        </w:rPr>
      </w:pPr>
    </w:p>
    <w:p>
      <w:pPr>
        <w:pStyle w:val="51"/>
        <w:tabs>
          <w:tab w:val="left" w:pos="3462"/>
        </w:tabs>
        <w:rPr>
          <w:rFonts w:hint="eastAsia" w:ascii="宋体" w:hAnsi="宋体" w:eastAsia="宋体" w:cs="宋体"/>
          <w:b/>
          <w:bCs/>
          <w:lang w:eastAsia="zh-CN"/>
        </w:rPr>
      </w:pPr>
    </w:p>
    <w:p>
      <w:pPr>
        <w:pStyle w:val="51"/>
        <w:rPr>
          <w:rFonts w:hint="eastAsia" w:ascii="宋体" w:hAnsi="宋体" w:eastAsia="宋体" w:cs="宋体"/>
          <w:b/>
          <w:bCs/>
        </w:rPr>
      </w:pPr>
    </w:p>
    <w:p>
      <w:pPr>
        <w:spacing w:line="460" w:lineRule="exact"/>
        <w:jc w:val="both"/>
        <w:outlineLvl w:val="9"/>
        <w:rPr>
          <w:rFonts w:hint="eastAsia" w:ascii="宋体" w:hAnsi="宋体" w:eastAsia="宋体" w:cs="宋体"/>
          <w:b/>
          <w:bCs w:val="0"/>
          <w:color w:val="auto"/>
          <w:sz w:val="44"/>
          <w:szCs w:val="44"/>
          <w:highlight w:val="none"/>
          <w:lang w:val="en-US" w:eastAsia="zh-CN"/>
        </w:rPr>
      </w:pPr>
    </w:p>
    <w:p>
      <w:pPr>
        <w:spacing w:line="460" w:lineRule="exact"/>
        <w:jc w:val="center"/>
        <w:outlineLvl w:val="0"/>
        <w:rPr>
          <w:rFonts w:hint="eastAsia" w:ascii="宋体" w:hAnsi="宋体" w:eastAsia="宋体" w:cs="宋体"/>
          <w:b/>
          <w:bCs w:val="0"/>
          <w:color w:val="auto"/>
          <w:sz w:val="32"/>
          <w:szCs w:val="32"/>
          <w:highlight w:val="none"/>
          <w:lang w:eastAsia="zh-CN"/>
        </w:rPr>
      </w:pPr>
      <w:bookmarkStart w:id="2" w:name="_Toc24563"/>
      <w:r>
        <w:rPr>
          <w:rFonts w:hint="eastAsia" w:ascii="宋体" w:hAnsi="宋体" w:eastAsia="宋体" w:cs="宋体"/>
          <w:b/>
          <w:bCs w:val="0"/>
          <w:color w:val="auto"/>
          <w:sz w:val="32"/>
          <w:szCs w:val="32"/>
          <w:highlight w:val="none"/>
          <w:lang w:val="en-US" w:eastAsia="zh-CN"/>
        </w:rPr>
        <w:t xml:space="preserve">第一章   </w:t>
      </w:r>
      <w:bookmarkEnd w:id="2"/>
      <w:r>
        <w:rPr>
          <w:rFonts w:hint="eastAsia" w:ascii="宋体" w:hAnsi="宋体" w:eastAsia="宋体" w:cs="宋体"/>
          <w:b/>
          <w:bCs w:val="0"/>
          <w:color w:val="auto"/>
          <w:sz w:val="32"/>
          <w:szCs w:val="32"/>
          <w:highlight w:val="none"/>
          <w:lang w:val="en-US" w:eastAsia="zh-CN"/>
        </w:rPr>
        <w:t>竞争性磋商公告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lang w:val="en-US" w:eastAsia="zh-CN"/>
        </w:rPr>
        <w:t>2023年墨玉县京和青少年融情交流营项目-包一（三次）</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的潜在</w:t>
      </w:r>
      <w:r>
        <w:rPr>
          <w:rFonts w:hint="eastAsia" w:ascii="宋体" w:hAnsi="宋体" w:eastAsia="宋体" w:cs="宋体"/>
          <w:sz w:val="24"/>
          <w:szCs w:val="24"/>
          <w:u w:val="none"/>
          <w:lang w:eastAsia="zh-CN"/>
        </w:rPr>
        <w:t>供应商</w:t>
      </w:r>
      <w:r>
        <w:rPr>
          <w:rFonts w:hint="eastAsia" w:ascii="宋体" w:hAnsi="宋体" w:eastAsia="宋体" w:cs="宋体"/>
          <w:sz w:val="24"/>
          <w:szCs w:val="24"/>
          <w:u w:val="none"/>
        </w:rPr>
        <w:t>应在</w:t>
      </w:r>
      <w:r>
        <w:rPr>
          <w:rFonts w:hint="eastAsia" w:ascii="宋体" w:hAnsi="宋体" w:eastAsia="宋体" w:cs="宋体"/>
          <w:sz w:val="24"/>
          <w:szCs w:val="24"/>
          <w:u w:val="none"/>
          <w:lang w:val="en-US" w:eastAsia="zh-CN"/>
        </w:rPr>
        <w:t>政采云平台https://www.zcygov.cn/在线申请获取采购文件（进入“项目采购”应用，在获取采购文件菜单中选择项目，申请获取采购文件）</w:t>
      </w:r>
      <w:r>
        <w:rPr>
          <w:rFonts w:hint="eastAsia" w:ascii="宋体" w:hAnsi="宋体" w:eastAsia="宋体" w:cs="宋体"/>
          <w:sz w:val="24"/>
          <w:szCs w:val="24"/>
          <w:u w:val="none"/>
        </w:rPr>
        <w:t>，并于202</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年</w:t>
      </w:r>
      <w:r>
        <w:rPr>
          <w:rFonts w:hint="eastAsia" w:ascii="宋体" w:hAnsi="宋体" w:cs="宋体"/>
          <w:sz w:val="24"/>
          <w:szCs w:val="24"/>
          <w:u w:val="none"/>
          <w:lang w:val="en-US" w:eastAsia="zh-CN"/>
        </w:rPr>
        <w:t>8</w:t>
      </w:r>
      <w:r>
        <w:rPr>
          <w:rFonts w:hint="eastAsia" w:ascii="宋体" w:hAnsi="宋体" w:eastAsia="宋体" w:cs="宋体"/>
          <w:sz w:val="24"/>
          <w:szCs w:val="24"/>
          <w:u w:val="none"/>
        </w:rPr>
        <w:t>月</w:t>
      </w:r>
      <w:r>
        <w:rPr>
          <w:rFonts w:hint="eastAsia" w:ascii="宋体" w:hAnsi="宋体" w:cs="宋体"/>
          <w:sz w:val="24"/>
          <w:szCs w:val="24"/>
          <w:u w:val="none"/>
          <w:lang w:val="en-US" w:eastAsia="zh-CN"/>
        </w:rPr>
        <w:t>25</w:t>
      </w:r>
      <w:r>
        <w:rPr>
          <w:rFonts w:hint="eastAsia" w:ascii="宋体" w:hAnsi="宋体" w:eastAsia="宋体" w:cs="宋体"/>
          <w:sz w:val="24"/>
          <w:szCs w:val="24"/>
          <w:u w:val="none"/>
        </w:rPr>
        <w:t>日</w:t>
      </w:r>
      <w:r>
        <w:rPr>
          <w:rFonts w:hint="eastAsia" w:ascii="宋体" w:hAnsi="宋体" w:eastAsia="宋体" w:cs="宋体"/>
          <w:sz w:val="24"/>
          <w:szCs w:val="24"/>
          <w:u w:val="none"/>
          <w:lang w:val="en-US" w:eastAsia="zh-CN"/>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0</w:t>
      </w:r>
      <w:r>
        <w:rPr>
          <w:rFonts w:hint="eastAsia" w:ascii="宋体" w:hAnsi="宋体" w:eastAsia="宋体" w:cs="宋体"/>
          <w:sz w:val="24"/>
          <w:szCs w:val="24"/>
          <w:u w:val="none"/>
        </w:rPr>
        <w:t>0（北京时间）前</w:t>
      </w:r>
      <w:r>
        <w:rPr>
          <w:rFonts w:hint="eastAsia" w:ascii="宋体" w:hAnsi="宋体" w:eastAsia="宋体" w:cs="宋体"/>
          <w:sz w:val="24"/>
          <w:szCs w:val="24"/>
          <w:u w:val="none"/>
          <w:lang w:eastAsia="zh-CN"/>
        </w:rPr>
        <w:t>提交响应</w:t>
      </w:r>
      <w:r>
        <w:rPr>
          <w:rFonts w:hint="eastAsia" w:ascii="宋体" w:hAnsi="宋体" w:eastAsia="宋体" w:cs="宋体"/>
          <w:sz w:val="24"/>
          <w:szCs w:val="24"/>
          <w:u w:val="none"/>
        </w:rPr>
        <w:t>文件。</w:t>
      </w:r>
    </w:p>
    <w:p>
      <w:pPr>
        <w:pageBreakBefore w:val="0"/>
        <w:kinsoku/>
        <w:wordWrap/>
        <w:overflowPunct/>
        <w:topLinePunct w:val="0"/>
        <w:bidi w:val="0"/>
        <w:snapToGrid/>
        <w:spacing w:line="500" w:lineRule="exact"/>
        <w:ind w:right="0"/>
        <w:rPr>
          <w:rFonts w:hint="eastAsia" w:ascii="宋体" w:hAnsi="宋体" w:eastAsia="宋体" w:cs="宋体"/>
          <w:b/>
          <w:sz w:val="24"/>
          <w:szCs w:val="24"/>
        </w:rPr>
      </w:pPr>
      <w:bookmarkStart w:id="3" w:name="_Toc35393798"/>
      <w:bookmarkStart w:id="4" w:name="_Toc28359012"/>
      <w:bookmarkStart w:id="5" w:name="_Toc35393629"/>
      <w:bookmarkStart w:id="6" w:name="_Toc28359089"/>
      <w:r>
        <w:rPr>
          <w:rFonts w:hint="eastAsia" w:ascii="宋体" w:hAnsi="宋体" w:eastAsia="宋体" w:cs="宋体"/>
          <w:b/>
          <w:sz w:val="24"/>
          <w:szCs w:val="24"/>
        </w:rPr>
        <w:t>一、项目基本情况</w:t>
      </w:r>
      <w:bookmarkEnd w:id="3"/>
      <w:bookmarkEnd w:id="4"/>
      <w:bookmarkEnd w:id="5"/>
      <w:bookmarkEnd w:id="6"/>
    </w:p>
    <w:p>
      <w:pPr>
        <w:pageBreakBefore w:val="0"/>
        <w:kinsoku/>
        <w:wordWrap/>
        <w:overflowPunct/>
        <w:topLinePunct w:val="0"/>
        <w:bidi w:val="0"/>
        <w:snapToGrid/>
        <w:spacing w:line="500" w:lineRule="exact"/>
        <w:ind w:right="0" w:firstLine="480" w:firstLineChars="200"/>
        <w:rPr>
          <w:rFonts w:hint="eastAsia" w:ascii="宋体" w:hAnsi="宋体" w:eastAsia="宋体" w:cs="宋体"/>
          <w:color w:val="0000FF"/>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highlight w:val="none"/>
        </w:rPr>
        <w:t>：MYXY(GK)2023-006-01-</w:t>
      </w:r>
      <w:r>
        <w:rPr>
          <w:rFonts w:hint="eastAsia" w:ascii="宋体" w:hAnsi="宋体" w:eastAsia="宋体" w:cs="宋体"/>
          <w:sz w:val="24"/>
          <w:szCs w:val="24"/>
          <w:highlight w:val="none"/>
          <w:lang w:val="en-US" w:eastAsia="zh-CN"/>
        </w:rPr>
        <w:t>2</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2023年墨玉县京和青少年融情交流营项目-包一（三次）</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采购方式：竞争性磋商</w:t>
      </w:r>
    </w:p>
    <w:p>
      <w:pPr>
        <w:pageBreakBefore w:val="0"/>
        <w:kinsoku/>
        <w:wordWrap/>
        <w:overflowPunct/>
        <w:topLinePunct w:val="0"/>
        <w:bidi w:val="0"/>
        <w:snapToGrid/>
        <w:spacing w:line="500" w:lineRule="exact"/>
        <w:ind w:right="0" w:firstLine="480" w:firstLineChars="200"/>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预</w:t>
      </w:r>
      <w:r>
        <w:rPr>
          <w:rFonts w:hint="eastAsia" w:ascii="宋体" w:hAnsi="宋体" w:eastAsia="宋体" w:cs="宋体"/>
          <w:sz w:val="24"/>
          <w:szCs w:val="24"/>
          <w:highlight w:val="none"/>
          <w:lang w:eastAsia="zh-CN"/>
        </w:rPr>
        <w:t>算金额（元）：</w:t>
      </w:r>
      <w:r>
        <w:rPr>
          <w:rFonts w:hint="eastAsia" w:ascii="宋体" w:hAnsi="宋体" w:eastAsia="宋体" w:cs="宋体"/>
          <w:sz w:val="24"/>
          <w:szCs w:val="24"/>
          <w:highlight w:val="none"/>
          <w:lang w:val="en-US" w:eastAsia="zh-CN"/>
        </w:rPr>
        <w:t>1074220</w:t>
      </w:r>
    </w:p>
    <w:p>
      <w:pPr>
        <w:pageBreakBefore w:val="0"/>
        <w:kinsoku/>
        <w:wordWrap/>
        <w:overflowPunct/>
        <w:topLinePunct w:val="0"/>
        <w:bidi w:val="0"/>
        <w:snapToGrid/>
        <w:spacing w:line="500" w:lineRule="exact"/>
        <w:ind w:right="0"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（元）</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1054220</w:t>
      </w:r>
    </w:p>
    <w:p>
      <w:pPr>
        <w:pStyle w:val="50"/>
        <w:rPr>
          <w:rFonts w:hint="default" w:eastAsia="宋体"/>
          <w:lang w:val="en-US" w:eastAsia="zh-CN"/>
        </w:rPr>
      </w:pPr>
      <w:r>
        <w:rPr>
          <w:rFonts w:hint="eastAsia"/>
          <w:lang w:val="en-US" w:eastAsia="zh-CN"/>
        </w:rPr>
        <w:t xml:space="preserve">   </w:t>
      </w:r>
      <w:r>
        <w:rPr>
          <w:rFonts w:hint="eastAsia" w:ascii="宋体" w:hAnsi="宋体" w:eastAsia="宋体" w:cs="宋体"/>
          <w:kern w:val="2"/>
          <w:sz w:val="24"/>
          <w:szCs w:val="24"/>
          <w:lang w:val="en-US" w:eastAsia="zh-CN" w:bidi="ar-SA"/>
        </w:rPr>
        <w:t xml:space="preserve"> 采购需求：</w:t>
      </w:r>
    </w:p>
    <w:tbl>
      <w:tblPr>
        <w:tblStyle w:val="29"/>
        <w:tblpPr w:leftFromText="180" w:rightFromText="180" w:vertAnchor="text" w:horzAnchor="page" w:tblpXSpec="center" w:tblpY="477"/>
        <w:tblOverlap w:val="never"/>
        <w:tblW w:w="91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29"/>
        <w:gridCol w:w="2190"/>
        <w:gridCol w:w="1357"/>
        <w:gridCol w:w="1136"/>
        <w:gridCol w:w="3131"/>
        <w:gridCol w:w="7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6" w:hRule="exact"/>
          <w:jc w:val="center"/>
        </w:trPr>
        <w:tc>
          <w:tcPr>
            <w:tcW w:w="629"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标项序号</w:t>
            </w:r>
          </w:p>
        </w:tc>
        <w:tc>
          <w:tcPr>
            <w:tcW w:w="2190"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标项名称</w:t>
            </w:r>
          </w:p>
        </w:tc>
        <w:tc>
          <w:tcPr>
            <w:tcW w:w="1357"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数量</w:t>
            </w:r>
          </w:p>
        </w:tc>
        <w:tc>
          <w:tcPr>
            <w:tcW w:w="1136"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center"/>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313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简要规格描述</w:t>
            </w:r>
          </w:p>
        </w:tc>
        <w:tc>
          <w:tcPr>
            <w:tcW w:w="703"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77" w:hRule="exact"/>
          <w:jc w:val="center"/>
        </w:trPr>
        <w:tc>
          <w:tcPr>
            <w:tcW w:w="6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center"/>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19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2023年墨玉县京和青少年融情交流营项目-包一（三次）</w:t>
            </w:r>
          </w:p>
        </w:tc>
        <w:tc>
          <w:tcPr>
            <w:tcW w:w="13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3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center"/>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w:t>
            </w:r>
          </w:p>
        </w:tc>
        <w:tc>
          <w:tcPr>
            <w:tcW w:w="313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center"/>
              <w:textAlignment w:val="auto"/>
              <w:outlineLvl w:val="9"/>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组织100名墨玉县中小学生、2名总领队、5名带队教师赴北京参加夏令营活动，活动周期9天。</w:t>
            </w:r>
          </w:p>
        </w:tc>
        <w:tc>
          <w:tcPr>
            <w:tcW w:w="70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bl>
    <w:p>
      <w:pPr>
        <w:pStyle w:val="26"/>
        <w:pageBreakBefore w:val="0"/>
        <w:widowControl/>
        <w:kinsoku/>
        <w:wordWrap/>
        <w:overflowPunct/>
        <w:topLinePunct w:val="0"/>
        <w:bidi w:val="0"/>
        <w:snapToGrid/>
        <w:spacing w:before="0" w:beforeAutospacing="0" w:after="0" w:afterAutospacing="0" w:line="500" w:lineRule="exact"/>
        <w:ind w:right="0" w:firstLine="480" w:firstLineChars="200"/>
        <w:rPr>
          <w:rFonts w:hint="default" w:ascii="宋体" w:hAnsi="宋体" w:eastAsia="宋体" w:cs="宋体"/>
          <w:sz w:val="24"/>
          <w:szCs w:val="24"/>
          <w:lang w:val="en-US"/>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合同签订后180天（具体时间以签订合同为准）</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不</w:t>
      </w:r>
      <w:r>
        <w:rPr>
          <w:rFonts w:hint="eastAsia" w:ascii="宋体" w:hAnsi="宋体" w:eastAsia="宋体" w:cs="宋体"/>
          <w:sz w:val="24"/>
          <w:szCs w:val="24"/>
        </w:rPr>
        <w:t>接受联合体</w:t>
      </w:r>
      <w:r>
        <w:rPr>
          <w:rFonts w:hint="eastAsia" w:ascii="宋体" w:hAnsi="宋体" w:eastAsia="宋体" w:cs="宋体"/>
          <w:sz w:val="24"/>
          <w:szCs w:val="24"/>
          <w:lang w:eastAsia="zh-CN"/>
        </w:rPr>
        <w:t>投标</w:t>
      </w:r>
      <w:r>
        <w:rPr>
          <w:rFonts w:hint="eastAsia" w:ascii="宋体" w:hAnsi="宋体" w:eastAsia="宋体" w:cs="宋体"/>
          <w:sz w:val="24"/>
          <w:szCs w:val="24"/>
        </w:rPr>
        <w:t>。</w:t>
      </w:r>
    </w:p>
    <w:p>
      <w:pPr>
        <w:pageBreakBefore w:val="0"/>
        <w:widowControl/>
        <w:kinsoku/>
        <w:wordWrap/>
        <w:overflowPunct/>
        <w:topLinePunct w:val="0"/>
        <w:bidi w:val="0"/>
        <w:snapToGrid/>
        <w:spacing w:line="500" w:lineRule="exact"/>
        <w:ind w:right="0" w:firstLine="482" w:firstLineChars="200"/>
        <w:jc w:val="left"/>
        <w:rPr>
          <w:rFonts w:hint="eastAsia" w:ascii="宋体" w:hAnsi="宋体" w:eastAsia="宋体" w:cs="宋体"/>
          <w:b/>
          <w:sz w:val="24"/>
          <w:szCs w:val="24"/>
        </w:rPr>
      </w:pPr>
      <w:bookmarkStart w:id="7" w:name="_Toc28359013"/>
      <w:bookmarkStart w:id="8" w:name="_Toc35393630"/>
      <w:bookmarkStart w:id="9" w:name="_Toc35393799"/>
      <w:bookmarkStart w:id="10" w:name="_Toc28359090"/>
      <w:r>
        <w:rPr>
          <w:rFonts w:hint="eastAsia" w:ascii="宋体" w:hAnsi="宋体" w:eastAsia="宋体" w:cs="宋体"/>
          <w:b/>
          <w:bCs/>
          <w:sz w:val="24"/>
          <w:szCs w:val="24"/>
        </w:rPr>
        <w:t>二、申请人的资格要求</w:t>
      </w:r>
      <w:r>
        <w:rPr>
          <w:rFonts w:hint="eastAsia" w:ascii="宋体" w:hAnsi="宋体" w:eastAsia="宋体" w:cs="宋体"/>
          <w:b/>
          <w:sz w:val="24"/>
          <w:szCs w:val="24"/>
        </w:rPr>
        <w:t>：</w:t>
      </w:r>
      <w:bookmarkEnd w:id="7"/>
      <w:bookmarkEnd w:id="8"/>
      <w:bookmarkEnd w:id="9"/>
      <w:bookmarkEnd w:id="10"/>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eastAsia="zh-CN"/>
        </w:rPr>
      </w:pPr>
      <w:r>
        <w:rPr>
          <w:rFonts w:hint="eastAsia" w:ascii="宋体" w:hAnsi="宋体" w:eastAsia="宋体" w:cs="宋体"/>
          <w:color w:val="333333"/>
          <w:sz w:val="24"/>
          <w:szCs w:val="24"/>
          <w:shd w:val="clear" w:color="auto" w:fill="FFFFFF"/>
          <w:lang w:bidi="ar"/>
        </w:rPr>
        <w:t>1</w:t>
      </w: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val="0"/>
        <w:autoSpaceDN w:val="0"/>
        <w:bidi w:val="0"/>
        <w:adjustRightInd w:val="0"/>
        <w:snapToGrid/>
        <w:spacing w:line="400" w:lineRule="exact"/>
        <w:ind w:right="0" w:firstLine="480" w:firstLineChars="200"/>
        <w:textAlignment w:val="baseline"/>
        <w:rPr>
          <w:rFonts w:hint="default" w:ascii="宋体" w:hAnsi="宋体" w:eastAsia="宋体" w:cs="宋体"/>
          <w:sz w:val="24"/>
          <w:szCs w:val="24"/>
          <w:lang w:val="en-US" w:eastAsia="zh-CN"/>
        </w:rPr>
      </w:pPr>
      <w:bookmarkStart w:id="11" w:name="_Toc28359091"/>
      <w:bookmarkStart w:id="12" w:name="_Toc28359014"/>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w:t>
      </w:r>
      <w:r>
        <w:rPr>
          <w:rFonts w:hint="eastAsia" w:ascii="宋体" w:hAnsi="宋体" w:eastAsia="宋体" w:cs="宋体"/>
          <w:b w:val="0"/>
          <w:bCs w:val="0"/>
          <w:sz w:val="24"/>
          <w:szCs w:val="24"/>
          <w:highlight w:val="none"/>
          <w:lang w:val="en-US" w:eastAsia="zh-CN"/>
        </w:rPr>
        <w:t>中小企业；</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3" w:name="_Toc35393800"/>
      <w:bookmarkStart w:id="14" w:name="_Toc35393631"/>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具有有效的营业执照；投标人具有国家旅游局或旅游行政主管部门颁发的旅行社业务经营许可证。</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 具有良好的商业信誉和健全的财务会计制度需提供2022度财务审计报告，新成立公司提供近6个月财务报表；</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(3)提供税务机关出具近六个月填报日期的完税证明 (新成立公司按实际发生提供) ；</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法定代表人需提供法定代表人证明书及法定代表人身份证，委托代理人需提供法定代表人授权委托书及委托代理人身份证，被委托人必须是投标人法人或正式员工，需提供社保部门出具最少近六个月（2023年2月-7月）的缴纳社保证明（社保缴费凭证或个人明细表）；</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近三年内在“信用中国网站”“中国政府采购网”“国家企业信用信息公示系统” “中国裁判文书网”以上网站如有行政处罚信息、列入经营异常名录信息、重大税收违法黑名单、经营异常的将拒绝其参本次采购活动，以上网站页面查询截图时间应在招标公告日期后并加盖单位公章；</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（6）单位负责人为同一人或者存在直接控股、管理关系的不同投标人，不得参加同一合同项下的政府采购活动。</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（7）履行合同所必需的设备和专业技术能力：提供《投标人资格声明函》；</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三、获取</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bookmarkEnd w:id="11"/>
      <w:bookmarkEnd w:id="12"/>
      <w:bookmarkEnd w:id="13"/>
      <w:bookmarkEnd w:id="14"/>
    </w:p>
    <w:p>
      <w:pPr>
        <w:pageBreakBefore w:val="0"/>
        <w:kinsoku/>
        <w:wordWrap/>
        <w:overflowPunct/>
        <w:topLinePunct w:val="0"/>
        <w:bidi w:val="0"/>
        <w:snapToGrid/>
        <w:spacing w:line="500" w:lineRule="exact"/>
        <w:ind w:right="0" w:firstLine="540"/>
        <w:rPr>
          <w:rFonts w:hint="default" w:ascii="宋体" w:hAnsi="宋体" w:eastAsia="宋体" w:cs="宋体"/>
          <w:sz w:val="24"/>
          <w:szCs w:val="24"/>
          <w:u w:val="none"/>
          <w:lang w:val="en-US"/>
        </w:rPr>
      </w:pPr>
      <w:r>
        <w:rPr>
          <w:rFonts w:hint="eastAsia" w:ascii="宋体" w:hAnsi="宋体" w:eastAsia="宋体" w:cs="宋体"/>
          <w:sz w:val="24"/>
          <w:szCs w:val="24"/>
        </w:rPr>
        <w:t>时间：</w:t>
      </w:r>
      <w:r>
        <w:rPr>
          <w:rFonts w:hint="eastAsia" w:ascii="宋体" w:hAnsi="宋体" w:eastAsia="宋体" w:cs="宋体"/>
          <w:sz w:val="24"/>
          <w:szCs w:val="24"/>
          <w:u w:val="none"/>
        </w:rPr>
        <w:t>202</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年</w:t>
      </w:r>
      <w:r>
        <w:rPr>
          <w:rFonts w:hint="eastAsia" w:ascii="宋体" w:hAnsi="宋体" w:cs="宋体"/>
          <w:sz w:val="24"/>
          <w:szCs w:val="24"/>
          <w:u w:val="none"/>
          <w:lang w:val="en-US" w:eastAsia="zh-CN"/>
        </w:rPr>
        <w:t>8</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15</w:t>
      </w:r>
      <w:r>
        <w:rPr>
          <w:rFonts w:hint="eastAsia" w:ascii="宋体" w:hAnsi="宋体" w:eastAsia="宋体" w:cs="宋体"/>
          <w:sz w:val="24"/>
          <w:szCs w:val="24"/>
          <w:u w:val="none"/>
        </w:rPr>
        <w:t>日至202</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年</w:t>
      </w:r>
      <w:r>
        <w:rPr>
          <w:rFonts w:hint="eastAsia" w:ascii="宋体" w:hAnsi="宋体" w:cs="宋体"/>
          <w:sz w:val="24"/>
          <w:szCs w:val="24"/>
          <w:u w:val="none"/>
          <w:lang w:val="en-US" w:eastAsia="zh-CN"/>
        </w:rPr>
        <w:t>8</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24</w:t>
      </w:r>
      <w:r>
        <w:rPr>
          <w:rFonts w:hint="eastAsia" w:ascii="宋体" w:hAnsi="宋体" w:eastAsia="宋体" w:cs="宋体"/>
          <w:sz w:val="24"/>
          <w:szCs w:val="24"/>
          <w:u w:val="none"/>
        </w:rPr>
        <w:t>日，每天上午</w:t>
      </w:r>
      <w:r>
        <w:rPr>
          <w:rFonts w:hint="eastAsia" w:ascii="宋体" w:hAnsi="宋体" w:eastAsia="宋体" w:cs="宋体"/>
          <w:sz w:val="24"/>
          <w:szCs w:val="24"/>
          <w:u w:val="none"/>
          <w:lang w:val="en-US" w:eastAsia="zh-CN"/>
        </w:rPr>
        <w:t>0</w:t>
      </w:r>
      <w:r>
        <w:rPr>
          <w:rFonts w:hint="eastAsia" w:ascii="宋体" w:hAnsi="宋体" w:eastAsia="宋体" w:cs="宋体"/>
          <w:sz w:val="24"/>
          <w:szCs w:val="24"/>
          <w:u w:val="none"/>
        </w:rPr>
        <w:t>0：00至1</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59</w:t>
      </w:r>
      <w:r>
        <w:rPr>
          <w:rFonts w:hint="eastAsia" w:ascii="宋体" w:hAnsi="宋体" w:eastAsia="宋体" w:cs="宋体"/>
          <w:sz w:val="24"/>
          <w:szCs w:val="24"/>
          <w:u w:val="none"/>
        </w:rPr>
        <w:t>，下午1</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00</w:t>
      </w:r>
      <w:r>
        <w:rPr>
          <w:rFonts w:hint="eastAsia" w:ascii="宋体" w:hAnsi="宋体" w:eastAsia="宋体" w:cs="宋体"/>
          <w:sz w:val="24"/>
          <w:szCs w:val="24"/>
          <w:u w:val="none"/>
        </w:rPr>
        <w:t>至</w:t>
      </w:r>
      <w:r>
        <w:rPr>
          <w:rFonts w:hint="eastAsia" w:ascii="宋体" w:hAnsi="宋体" w:eastAsia="宋体" w:cs="宋体"/>
          <w:sz w:val="24"/>
          <w:szCs w:val="24"/>
          <w:u w:val="none"/>
          <w:lang w:val="en-US" w:eastAsia="zh-CN"/>
        </w:rPr>
        <w:t>23</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59</w:t>
      </w:r>
    </w:p>
    <w:p>
      <w:pPr>
        <w:pageBreakBefore w:val="0"/>
        <w:kinsoku/>
        <w:wordWrap/>
        <w:overflowPunct/>
        <w:topLinePunct w:val="0"/>
        <w:bidi w:val="0"/>
        <w:snapToGrid/>
        <w:spacing w:line="500" w:lineRule="exact"/>
        <w:ind w:right="0" w:firstLine="540"/>
        <w:rPr>
          <w:rFonts w:hint="eastAsia" w:ascii="宋体" w:hAnsi="宋体" w:eastAsia="宋体" w:cs="宋体"/>
          <w:sz w:val="24"/>
          <w:szCs w:val="24"/>
          <w:u w:val="single"/>
        </w:rPr>
      </w:pPr>
      <w:r>
        <w:rPr>
          <w:rFonts w:hint="eastAsia" w:ascii="宋体" w:hAnsi="宋体" w:eastAsia="宋体" w:cs="宋体"/>
          <w:sz w:val="24"/>
          <w:szCs w:val="24"/>
        </w:rPr>
        <w:t>地点：政采云平台 </w:t>
      </w:r>
    </w:p>
    <w:p>
      <w:pPr>
        <w:pageBreakBefore w:val="0"/>
        <w:kinsoku/>
        <w:wordWrap/>
        <w:overflowPunct/>
        <w:topLinePunct w:val="0"/>
        <w:bidi w:val="0"/>
        <w:snapToGrid/>
        <w:spacing w:line="500" w:lineRule="exact"/>
        <w:ind w:right="0" w:firstLine="540"/>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lang w:val="en-US" w:eastAsia="zh-CN"/>
        </w:rPr>
        <w:t>在符合该采购公告供应商资格要求条件的前提下，供应商登录政采云平台https://www.zcygov.cn/在线申请获取采购文件（进入“项目采购”应用，在获取采购文件菜单中选择项目，申请获取采购文件。</w:t>
      </w:r>
    </w:p>
    <w:p>
      <w:pPr>
        <w:pageBreakBefore w:val="0"/>
        <w:tabs>
          <w:tab w:val="left" w:pos="467"/>
        </w:tabs>
        <w:kinsoku/>
        <w:wordWrap/>
        <w:overflowPunct/>
        <w:topLinePunct w:val="0"/>
        <w:bidi w:val="0"/>
        <w:snapToGrid/>
        <w:spacing w:line="500" w:lineRule="exact"/>
        <w:ind w:right="0"/>
        <w:rPr>
          <w:rFonts w:hint="eastAsia" w:ascii="宋体" w:hAnsi="宋体" w:eastAsia="宋体" w:cs="宋体"/>
          <w:b/>
          <w:sz w:val="24"/>
          <w:szCs w:val="24"/>
          <w:lang w:eastAsia="zh-CN"/>
        </w:rPr>
      </w:pPr>
      <w:bookmarkStart w:id="15" w:name="_Toc28359092"/>
      <w:bookmarkStart w:id="16" w:name="_Toc28359015"/>
      <w:bookmarkStart w:id="17" w:name="_Toc35393632"/>
      <w:bookmarkStart w:id="18" w:name="_Toc35393801"/>
      <w:r>
        <w:rPr>
          <w:rFonts w:hint="eastAsia" w:ascii="宋体" w:hAnsi="宋体" w:eastAsia="宋体" w:cs="宋体"/>
          <w:b/>
          <w:sz w:val="24"/>
          <w:szCs w:val="24"/>
        </w:rPr>
        <w:t>四、提交</w:t>
      </w:r>
      <w:bookmarkEnd w:id="15"/>
      <w:bookmarkEnd w:id="16"/>
      <w:bookmarkEnd w:id="17"/>
      <w:bookmarkEnd w:id="18"/>
      <w:r>
        <w:rPr>
          <w:rFonts w:hint="eastAsia" w:ascii="宋体" w:hAnsi="宋体" w:eastAsia="宋体" w:cs="宋体"/>
          <w:b/>
          <w:sz w:val="24"/>
          <w:szCs w:val="24"/>
          <w:lang w:eastAsia="zh-CN"/>
        </w:rPr>
        <w:t>投标文件截止时间、开标时间和地点</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提交投标文件</w:t>
      </w:r>
      <w:r>
        <w:rPr>
          <w:rFonts w:hint="eastAsia" w:ascii="宋体" w:hAnsi="宋体" w:eastAsia="宋体" w:cs="宋体"/>
          <w:sz w:val="24"/>
          <w:szCs w:val="24"/>
        </w:rPr>
        <w:t>截止时间</w:t>
      </w:r>
      <w:r>
        <w:rPr>
          <w:rFonts w:hint="eastAsia" w:ascii="宋体" w:hAnsi="宋体" w:eastAsia="宋体" w:cs="宋体"/>
          <w:sz w:val="24"/>
          <w:szCs w:val="24"/>
          <w:lang w:val="en-US" w:eastAsia="zh-CN"/>
        </w:rPr>
        <w:t>及</w:t>
      </w:r>
      <w:r>
        <w:rPr>
          <w:rFonts w:hint="eastAsia" w:ascii="宋体" w:hAnsi="宋体" w:eastAsia="宋体" w:cs="宋体"/>
          <w:b w:val="0"/>
          <w:bCs/>
          <w:sz w:val="24"/>
          <w:szCs w:val="24"/>
          <w:lang w:val="en-US" w:eastAsia="zh-CN"/>
        </w:rPr>
        <w:t>开标时间</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val="en-US" w:eastAsia="zh-CN"/>
        </w:rPr>
        <w:t xml:space="preserve"> </w:t>
      </w:r>
    </w:p>
    <w:p>
      <w:pPr>
        <w:pageBreakBefore w:val="0"/>
        <w:kinsoku/>
        <w:wordWrap/>
        <w:overflowPunct/>
        <w:topLinePunct w:val="0"/>
        <w:bidi w:val="0"/>
        <w:spacing w:line="4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地点：</w:t>
      </w:r>
      <w:bookmarkStart w:id="19" w:name="_Toc35393802"/>
      <w:bookmarkStart w:id="20" w:name="_Toc28359093"/>
      <w:bookmarkStart w:id="21" w:name="_Toc28359016"/>
      <w:bookmarkStart w:id="22" w:name="_Toc35393633"/>
      <w:r>
        <w:rPr>
          <w:rFonts w:hint="eastAsia" w:ascii="宋体" w:hAnsi="宋体" w:eastAsia="宋体" w:cs="宋体"/>
          <w:b w:val="0"/>
          <w:sz w:val="24"/>
          <w:szCs w:val="24"/>
        </w:rPr>
        <w:t>新疆政府采购网政采云平台https://www.zcygov.cn/</w:t>
      </w:r>
    </w:p>
    <w:bookmarkEnd w:id="19"/>
    <w:bookmarkEnd w:id="20"/>
    <w:bookmarkEnd w:id="21"/>
    <w:bookmarkEnd w:id="22"/>
    <w:p>
      <w:pPr>
        <w:pStyle w:val="3"/>
        <w:pageBreakBefore w:val="0"/>
        <w:kinsoku/>
        <w:wordWrap/>
        <w:overflowPunct/>
        <w:topLinePunct w:val="0"/>
        <w:bidi w:val="0"/>
        <w:snapToGrid/>
        <w:spacing w:before="0" w:after="0" w:line="500" w:lineRule="exact"/>
        <w:ind w:right="0"/>
        <w:rPr>
          <w:rFonts w:hint="eastAsia" w:ascii="宋体" w:hAnsi="宋体" w:eastAsia="宋体" w:cs="宋体"/>
          <w:sz w:val="24"/>
          <w:szCs w:val="24"/>
        </w:rPr>
      </w:pPr>
      <w:bookmarkStart w:id="23" w:name="_Toc28359094"/>
      <w:bookmarkStart w:id="24" w:name="_Toc35393634"/>
      <w:bookmarkStart w:id="25" w:name="_Toc35393803"/>
      <w:bookmarkStart w:id="26" w:name="_Toc28359017"/>
      <w:r>
        <w:rPr>
          <w:rFonts w:hint="eastAsia" w:ascii="宋体" w:hAnsi="宋体" w:eastAsia="宋体" w:cs="宋体"/>
          <w:sz w:val="24"/>
          <w:szCs w:val="24"/>
          <w:lang w:eastAsia="zh-CN"/>
        </w:rPr>
        <w:t>五</w:t>
      </w:r>
      <w:r>
        <w:rPr>
          <w:rFonts w:hint="eastAsia" w:ascii="宋体" w:hAnsi="宋体" w:eastAsia="宋体" w:cs="宋体"/>
          <w:sz w:val="24"/>
          <w:szCs w:val="24"/>
        </w:rPr>
        <w:t>、公告期限</w:t>
      </w:r>
      <w:bookmarkEnd w:id="23"/>
      <w:bookmarkEnd w:id="24"/>
      <w:bookmarkEnd w:id="25"/>
      <w:bookmarkEnd w:id="26"/>
    </w:p>
    <w:p>
      <w:pPr>
        <w:pStyle w:val="3"/>
        <w:pageBreakBefore w:val="0"/>
        <w:kinsoku/>
        <w:wordWrap/>
        <w:overflowPunct/>
        <w:topLinePunct w:val="0"/>
        <w:bidi w:val="0"/>
        <w:snapToGrid/>
        <w:spacing w:before="0" w:after="0" w:line="500" w:lineRule="exact"/>
        <w:ind w:right="0" w:firstLine="480" w:firstLineChars="200"/>
        <w:rPr>
          <w:rFonts w:hint="eastAsia" w:ascii="宋体" w:hAnsi="宋体" w:eastAsia="宋体" w:cs="宋体"/>
          <w:b w:val="0"/>
          <w:sz w:val="24"/>
          <w:szCs w:val="24"/>
        </w:rPr>
      </w:pPr>
      <w:r>
        <w:rPr>
          <w:rFonts w:hint="eastAsia" w:ascii="宋体" w:hAnsi="宋体" w:eastAsia="宋体" w:cs="宋体"/>
          <w:b w:val="0"/>
          <w:sz w:val="24"/>
          <w:szCs w:val="24"/>
        </w:rPr>
        <w:t>自本公告发布之日起</w:t>
      </w:r>
      <w:r>
        <w:rPr>
          <w:rFonts w:hint="eastAsia" w:ascii="宋体" w:hAnsi="宋体" w:eastAsia="宋体" w:cs="宋体"/>
          <w:b w:val="0"/>
          <w:sz w:val="24"/>
          <w:szCs w:val="24"/>
          <w:lang w:val="en-US" w:eastAsia="zh-CN"/>
        </w:rPr>
        <w:t>5</w:t>
      </w:r>
      <w:r>
        <w:rPr>
          <w:rFonts w:hint="eastAsia" w:ascii="宋体" w:hAnsi="宋体" w:eastAsia="宋体" w:cs="宋体"/>
          <w:b w:val="0"/>
          <w:sz w:val="24"/>
          <w:szCs w:val="24"/>
        </w:rPr>
        <w:t>个工作日。</w:t>
      </w:r>
    </w:p>
    <w:p>
      <w:pPr>
        <w:pStyle w:val="3"/>
        <w:pageBreakBefore w:val="0"/>
        <w:numPr>
          <w:ilvl w:val="0"/>
          <w:numId w:val="2"/>
        </w:numPr>
        <w:kinsoku/>
        <w:wordWrap/>
        <w:overflowPunct/>
        <w:topLinePunct w:val="0"/>
        <w:bidi w:val="0"/>
        <w:snapToGrid/>
        <w:spacing w:before="0" w:after="0" w:line="500" w:lineRule="exact"/>
        <w:ind w:right="0"/>
        <w:rPr>
          <w:rFonts w:hint="eastAsia" w:ascii="宋体" w:hAnsi="宋体" w:eastAsia="宋体" w:cs="宋体"/>
          <w:b/>
          <w:color w:val="333333"/>
          <w:sz w:val="24"/>
          <w:szCs w:val="24"/>
          <w:shd w:val="clear" w:color="auto" w:fill="FFFFFF"/>
        </w:rPr>
      </w:pPr>
      <w:bookmarkStart w:id="27" w:name="_Toc35393804"/>
      <w:bookmarkStart w:id="28" w:name="_Toc35393635"/>
      <w:r>
        <w:rPr>
          <w:rFonts w:hint="eastAsia" w:ascii="宋体" w:hAnsi="宋体" w:eastAsia="宋体" w:cs="宋体"/>
          <w:sz w:val="24"/>
          <w:szCs w:val="24"/>
        </w:rPr>
        <w:t>其他补充事宜</w:t>
      </w:r>
      <w:bookmarkEnd w:id="27"/>
      <w:bookmarkEnd w:id="28"/>
      <w:bookmarkStart w:id="29" w:name="_Toc35393806"/>
      <w:bookmarkStart w:id="30" w:name="_Toc35393637"/>
      <w:bookmarkStart w:id="31" w:name="_Toc28359019"/>
      <w:bookmarkStart w:id="32" w:name="_Toc28359096"/>
      <w:r>
        <w:rPr>
          <w:rFonts w:hint="eastAsia" w:ascii="宋体" w:hAnsi="宋体" w:eastAsia="宋体" w:cs="宋体"/>
          <w:sz w:val="24"/>
          <w:szCs w:val="24"/>
          <w:lang w:val="en-US" w:eastAsia="zh-CN"/>
        </w:rPr>
        <w:t xml:space="preserve">     </w:t>
      </w:r>
    </w:p>
    <w:p>
      <w:pPr>
        <w:pStyle w:val="3"/>
        <w:pageBreakBefore w:val="0"/>
        <w:numPr>
          <w:ilvl w:val="0"/>
          <w:numId w:val="3"/>
        </w:numPr>
        <w:kinsoku/>
        <w:wordWrap/>
        <w:overflowPunct/>
        <w:topLinePunct w:val="0"/>
        <w:bidi w:val="0"/>
        <w:snapToGrid/>
        <w:spacing w:before="0" w:after="0" w:line="500" w:lineRule="exact"/>
        <w:ind w:right="0" w:rightChars="0"/>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本项目实行网上投标，采用电子投标文件。若供应商参与投标，自行承担投标一切费用。</w:t>
      </w:r>
      <w:r>
        <w:rPr>
          <w:rFonts w:hint="eastAsia" w:ascii="宋体" w:hAnsi="宋体" w:eastAsia="宋体" w:cs="宋体"/>
          <w:b w:val="0"/>
          <w:sz w:val="24"/>
          <w:szCs w:val="24"/>
          <w:lang w:eastAsia="zh-CN"/>
        </w:rPr>
        <w:br w:type="textWrapping"/>
      </w:r>
      <w:r>
        <w:rPr>
          <w:rFonts w:hint="eastAsia" w:ascii="宋体" w:hAnsi="宋体" w:eastAsia="宋体" w:cs="宋体"/>
          <w:b w:val="0"/>
          <w:sz w:val="24"/>
          <w:szCs w:val="24"/>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宋体" w:hAnsi="宋体" w:eastAsia="宋体" w:cs="宋体"/>
          <w:b w:val="0"/>
          <w:sz w:val="24"/>
          <w:szCs w:val="24"/>
          <w:lang w:eastAsia="zh-CN"/>
        </w:rPr>
        <w:br w:type="textWrapping"/>
      </w:r>
      <w:r>
        <w:rPr>
          <w:rFonts w:hint="eastAsia" w:ascii="宋体" w:hAnsi="宋体" w:eastAsia="宋体" w:cs="宋体"/>
          <w:b w:val="0"/>
          <w:sz w:val="24"/>
          <w:szCs w:val="24"/>
          <w:lang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r>
        <w:rPr>
          <w:rFonts w:hint="eastAsia" w:ascii="宋体" w:hAnsi="宋体" w:eastAsia="宋体" w:cs="宋体"/>
          <w:b w:val="0"/>
          <w:sz w:val="24"/>
          <w:szCs w:val="24"/>
          <w:lang w:eastAsia="zh-CN"/>
        </w:rPr>
        <w:br w:type="textWrapping"/>
      </w:r>
      <w:r>
        <w:rPr>
          <w:rFonts w:hint="eastAsia" w:ascii="宋体" w:hAnsi="宋体" w:eastAsia="宋体" w:cs="宋体"/>
          <w:b w:val="0"/>
          <w:sz w:val="24"/>
          <w:szCs w:val="24"/>
          <w:lang w:eastAsia="zh-CN"/>
        </w:rPr>
        <w:t>4、有意向参与新疆区域电子开评标的供应商，可访问新疆数字证书认证中心官方网站（https://www.xjca.com.cn/）或下载“新疆政务通”APP自行进行申领。如需咨询，请联系新疆CA服务热线0991-2819290</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color w:val="333333"/>
          <w:sz w:val="24"/>
          <w:szCs w:val="24"/>
          <w:shd w:val="clear" w:color="auto" w:fill="FFFFFF"/>
          <w:lang w:val="en-US" w:eastAsia="zh-CN"/>
        </w:rPr>
      </w:pPr>
      <w:r>
        <w:rPr>
          <w:rFonts w:hint="eastAsia" w:ascii="宋体" w:hAnsi="宋体" w:eastAsia="宋体" w:cs="宋体"/>
          <w:b/>
          <w:color w:val="333333"/>
          <w:sz w:val="24"/>
          <w:szCs w:val="24"/>
          <w:shd w:val="clear" w:color="auto" w:fill="FFFFFF"/>
          <w:lang w:eastAsia="zh-CN"/>
        </w:rPr>
        <w:t>七</w:t>
      </w:r>
      <w:r>
        <w:rPr>
          <w:rFonts w:hint="eastAsia" w:ascii="宋体" w:hAnsi="宋体" w:eastAsia="宋体" w:cs="宋体"/>
          <w:b/>
          <w:color w:val="333333"/>
          <w:sz w:val="24"/>
          <w:szCs w:val="24"/>
          <w:shd w:val="clear" w:color="auto" w:fill="FFFFFF"/>
        </w:rPr>
        <w:t>、对本次采购提出询问，请按以下方式联系</w:t>
      </w:r>
      <w:bookmarkEnd w:id="29"/>
      <w:bookmarkEnd w:id="30"/>
      <w:bookmarkEnd w:id="31"/>
      <w:bookmarkEnd w:id="32"/>
      <w:bookmarkStart w:id="33" w:name="_Toc3294"/>
      <w:bookmarkStart w:id="34" w:name="_Toc9402"/>
      <w:bookmarkStart w:id="35" w:name="_Toc3331"/>
      <w:r>
        <w:rPr>
          <w:rFonts w:hint="eastAsia" w:ascii="宋体" w:hAnsi="宋体" w:eastAsia="宋体" w:cs="宋体"/>
          <w:b/>
          <w:color w:val="333333"/>
          <w:sz w:val="24"/>
          <w:szCs w:val="24"/>
          <w:shd w:val="clear" w:color="auto" w:fill="FFFFFF"/>
          <w:lang w:val="en-US" w:eastAsia="zh-CN"/>
        </w:rPr>
        <w:t>七、对本次采购提出询问，请按以下方式联系</w:t>
      </w:r>
      <w:bookmarkEnd w:id="33"/>
      <w:bookmarkEnd w:id="34"/>
      <w:bookmarkEnd w:id="35"/>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1.名称：墨玉县教育局</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地址：墨玉县</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联系方式</w:t>
      </w:r>
      <w:bookmarkStart w:id="36" w:name="_Toc35393807"/>
      <w:bookmarkStart w:id="37" w:name="_Toc35393638"/>
      <w:bookmarkStart w:id="38" w:name="_Toc28359097"/>
      <w:bookmarkStart w:id="39" w:name="_Toc28359020"/>
      <w:r>
        <w:rPr>
          <w:rFonts w:hint="eastAsia" w:ascii="宋体" w:hAnsi="宋体" w:eastAsia="宋体" w:cs="宋体"/>
          <w:b w:val="0"/>
          <w:bCs/>
          <w:color w:val="333333"/>
          <w:sz w:val="24"/>
          <w:szCs w:val="24"/>
          <w:shd w:val="clear" w:color="auto" w:fill="FFFFFF"/>
          <w:lang w:val="en-US" w:eastAsia="zh-CN"/>
        </w:rPr>
        <w:t>：0903-6514821</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2.采购代理机构信息</w:t>
      </w:r>
      <w:bookmarkEnd w:id="36"/>
      <w:bookmarkEnd w:id="37"/>
      <w:bookmarkEnd w:id="38"/>
      <w:bookmarkEnd w:id="39"/>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名称：新疆宣烨项目管理咨询有限公司 </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地址：和田市人民路第十四师家属院A区1601室</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联系方式：</w:t>
      </w:r>
      <w:bookmarkStart w:id="40" w:name="_Toc35393808"/>
      <w:bookmarkStart w:id="41" w:name="_Toc35393639"/>
      <w:bookmarkStart w:id="42" w:name="_Toc28359021"/>
      <w:bookmarkStart w:id="43" w:name="_Toc28359098"/>
      <w:r>
        <w:rPr>
          <w:rFonts w:hint="eastAsia" w:ascii="宋体" w:hAnsi="宋体" w:eastAsia="宋体" w:cs="宋体"/>
          <w:b w:val="0"/>
          <w:bCs/>
          <w:color w:val="333333"/>
          <w:sz w:val="24"/>
          <w:szCs w:val="24"/>
          <w:shd w:val="clear" w:color="auto" w:fill="FFFFFF"/>
          <w:lang w:val="en-US" w:eastAsia="zh-CN"/>
        </w:rPr>
        <w:t>0903-2936333</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3.项目联系方式</w:t>
      </w:r>
      <w:bookmarkEnd w:id="40"/>
      <w:bookmarkEnd w:id="41"/>
      <w:bookmarkEnd w:id="42"/>
      <w:bookmarkEnd w:id="43"/>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项目联系人：阿力亚</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联系方式：0903-2936333</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4.同级财政监管部门</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名称：墨玉县财政局</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地址：墨玉县行政服务中心</w:t>
      </w:r>
    </w:p>
    <w:p>
      <w:pPr>
        <w:pStyle w:val="3"/>
        <w:pageBreakBefore w:val="0"/>
        <w:numPr>
          <w:ilvl w:val="0"/>
          <w:numId w:val="0"/>
        </w:numPr>
        <w:kinsoku/>
        <w:wordWrap/>
        <w:overflowPunct/>
        <w:topLinePunct w:val="0"/>
        <w:bidi w:val="0"/>
        <w:snapToGrid/>
        <w:spacing w:before="0" w:after="0" w:line="500" w:lineRule="exact"/>
        <w:ind w:right="0" w:rightChars="0"/>
        <w:rPr>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b w:val="0"/>
          <w:bCs/>
          <w:color w:val="333333"/>
          <w:sz w:val="24"/>
          <w:szCs w:val="24"/>
          <w:shd w:val="clear" w:color="auto" w:fill="FFFFFF"/>
          <w:lang w:val="en-US" w:eastAsia="zh-CN"/>
        </w:rPr>
        <w:t>联系人：李先生</w:t>
      </w:r>
    </w:p>
    <w:p>
      <w:pPr>
        <w:pStyle w:val="3"/>
        <w:pageBreakBefore w:val="0"/>
        <w:kinsoku/>
        <w:wordWrap/>
        <w:overflowPunct/>
        <w:topLinePunct w:val="0"/>
        <w:bidi w:val="0"/>
        <w:snapToGrid/>
        <w:spacing w:before="0" w:after="0" w:line="500" w:lineRule="exact"/>
        <w:ind w:right="0"/>
        <w:rPr>
          <w:rFonts w:hint="eastAsia" w:ascii="宋体" w:hAnsi="宋体" w:eastAsia="宋体" w:cs="宋体"/>
          <w:b w:val="0"/>
          <w:sz w:val="24"/>
          <w:szCs w:val="24"/>
          <w:u w:val="none"/>
          <w:lang w:val="en-US" w:eastAsia="zh-CN"/>
        </w:rPr>
      </w:pPr>
      <w:r>
        <w:rPr>
          <w:rFonts w:hint="eastAsia" w:ascii="宋体" w:hAnsi="宋体" w:eastAsia="宋体" w:cs="宋体"/>
          <w:b w:val="0"/>
          <w:bCs/>
          <w:color w:val="333333"/>
          <w:sz w:val="24"/>
          <w:szCs w:val="24"/>
          <w:shd w:val="clear" w:color="auto" w:fill="FFFFFF"/>
          <w:lang w:val="en-US" w:eastAsia="zh-CN"/>
        </w:rPr>
        <w:t>联系电话：0903-6565453</w:t>
      </w:r>
    </w:p>
    <w:p>
      <w:pPr>
        <w:spacing w:before="76" w:line="231" w:lineRule="auto"/>
        <w:rPr>
          <w:rFonts w:hint="eastAsia" w:ascii="宋体" w:hAnsi="宋体" w:eastAsia="宋体" w:cs="宋体"/>
          <w:b w:val="0"/>
          <w:kern w:val="2"/>
          <w:sz w:val="24"/>
          <w:szCs w:val="24"/>
          <w:lang w:val="en-US" w:eastAsia="zh-CN" w:bidi="ar-SA"/>
        </w:rPr>
      </w:pPr>
    </w:p>
    <w:p>
      <w:pPr>
        <w:spacing w:before="76" w:line="231" w:lineRule="auto"/>
        <w:ind w:left="11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特别提醒：</w:t>
      </w:r>
    </w:p>
    <w:p>
      <w:pPr>
        <w:spacing w:before="308" w:line="382" w:lineRule="auto"/>
        <w:ind w:left="234" w:right="2" w:hanging="111"/>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1、投标企业采用银行转账或电汇的方式的，投标保证金由投标人账户汇出 (投标保证金需一 笔汇出，分笔汇出银行系统将不予统计) ，投标保证金需在 2023 年 8月 25 日 11：00 (北京 时间) 前到账，超过时间则不予认可。投标人须在汇款单备注栏标明：XXX 项目 XXX 包段 (标 段) 或采购项目编号。该项目不换取保证金收据，由银行出具投标企业保证金缴纳情况。晚 于规定时间缴纳保证金的企业一切责任将由贵公司自行承担。</w:t>
      </w:r>
    </w:p>
    <w:p>
      <w:pPr>
        <w:spacing w:before="2" w:line="346" w:lineRule="auto"/>
        <w:ind w:left="283" w:right="2" w:hanging="175"/>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2、投标企业下载招标文件后请仔细阅读，如对招标文件内容有质疑，投标人应在投标截止 7 日前按招标文件中载明的邮箱：</w:t>
      </w:r>
      <w:r>
        <w:rPr>
          <w:rFonts w:hint="eastAsia" w:ascii="宋体" w:hAnsi="宋体" w:eastAsia="宋体" w:cs="宋体"/>
          <w:b w:val="0"/>
          <w:kern w:val="2"/>
          <w:sz w:val="24"/>
          <w:szCs w:val="24"/>
          <w:lang w:val="en-US" w:eastAsia="zh-CN" w:bidi="ar-SA"/>
        </w:rPr>
        <w:fldChar w:fldCharType="begin"/>
      </w:r>
      <w:r>
        <w:rPr>
          <w:rFonts w:hint="eastAsia" w:ascii="宋体" w:hAnsi="宋体" w:eastAsia="宋体" w:cs="宋体"/>
          <w:b w:val="0"/>
          <w:kern w:val="2"/>
          <w:sz w:val="24"/>
          <w:szCs w:val="24"/>
          <w:lang w:val="en-US" w:eastAsia="zh-CN" w:bidi="ar-SA"/>
        </w:rPr>
        <w:instrText xml:space="preserve"> HYPERLINK "mailto:1275792384@qq.com地址:t" </w:instrText>
      </w:r>
      <w:r>
        <w:rPr>
          <w:rFonts w:hint="eastAsia" w:ascii="宋体" w:hAnsi="宋体" w:eastAsia="宋体" w:cs="宋体"/>
          <w:b w:val="0"/>
          <w:kern w:val="2"/>
          <w:sz w:val="24"/>
          <w:szCs w:val="24"/>
          <w:lang w:val="en-US" w:eastAsia="zh-CN" w:bidi="ar-SA"/>
        </w:rPr>
        <w:fldChar w:fldCharType="separate"/>
      </w:r>
      <w:r>
        <w:rPr>
          <w:rFonts w:hint="eastAsia" w:ascii="宋体" w:hAnsi="宋体" w:eastAsia="宋体" w:cs="宋体"/>
          <w:b w:val="0"/>
          <w:kern w:val="2"/>
          <w:sz w:val="24"/>
          <w:szCs w:val="24"/>
          <w:lang w:val="en-US" w:eastAsia="zh-CN" w:bidi="ar-SA"/>
        </w:rPr>
        <w:t>2318350491@qq.com 地址:和田市人民路第十四师家属院 A</w:t>
      </w:r>
      <w:r>
        <w:rPr>
          <w:rFonts w:hint="eastAsia" w:ascii="宋体" w:hAnsi="宋体" w:eastAsia="宋体" w:cs="宋体"/>
          <w:b w:val="0"/>
          <w:kern w:val="2"/>
          <w:sz w:val="24"/>
          <w:szCs w:val="24"/>
          <w:lang w:val="en-US" w:eastAsia="zh-CN" w:bidi="ar-SA"/>
        </w:rPr>
        <w:fldChar w:fldCharType="end"/>
      </w:r>
    </w:p>
    <w:p>
      <w:pPr>
        <w:spacing w:before="89" w:line="381" w:lineRule="auto"/>
        <w:ind w:left="232" w:firstLine="21"/>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区 1601 ，以书面形式通知招标人。招标人认为必要时，将 (澄清) 修改后的公告发布在新 疆政府采购网，敬请投标企业及时关注。在规定期限内投标企业未提出质疑的视为投标企业 默认招标文件不存在质疑的相关问题。超过招标文件质疑时间将不再接受投标企业所提出的 质疑。</w:t>
      </w:r>
    </w:p>
    <w:p>
      <w:pPr>
        <w:spacing w:before="5" w:line="381" w:lineRule="auto"/>
        <w:ind w:left="234" w:hanging="124"/>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3、为确保投标保证金的及时退还，评标结束后投标企业需提供保证金汇款凭证、开户许可证 复印件、收据并注明开户行行号、联系方式 (加盖公司鲜红公章) 交至和田县行政服务与公 式资源交易中心财务室办理。  (注：废标项目投保证金在后续项目再次招标时银行系统不做 统计，请投标企业及时办理退款) ，中标企业签订政府采购合同后，携带合同原件一份及以 上资料办理退投标保证金事宜。</w:t>
      </w:r>
    </w:p>
    <w:p>
      <w:pPr>
        <w:spacing w:before="4" w:line="384" w:lineRule="auto"/>
        <w:ind w:left="232" w:right="2" w:hanging="128"/>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4.电子保函使用方法：1、登录新疆自治区政府采购网，首页点击“电子保函”直接进入新疆 政府采购电子保函申请页，点击【立即申请】2、依次完善页面显示的投保人信息 (投标人 信息) ，确认您要投保的项目信息，在投标项目选择页面选择您需要投保的项目 (可根据项 目名称或项目保函进行搜索) ，选择投保项目后填写被保险人信息及投保内容。服务热线:400-9039583</w:t>
      </w:r>
    </w:p>
    <w:p>
      <w:pPr>
        <w:spacing w:before="4" w:line="384" w:lineRule="auto"/>
        <w:ind w:left="232" w:right="2" w:hanging="128"/>
        <w:rPr>
          <w:rFonts w:hint="eastAsia" w:ascii="宋体" w:hAnsi="宋体" w:eastAsia="宋体" w:cs="宋体"/>
          <w:b w:val="0"/>
          <w:kern w:val="2"/>
          <w:sz w:val="24"/>
          <w:szCs w:val="24"/>
          <w:lang w:val="en-US" w:eastAsia="zh-CN" w:bidi="ar-SA"/>
        </w:rPr>
        <w:sectPr>
          <w:footerReference r:id="rId5" w:type="default"/>
          <w:pgSz w:w="11905" w:h="16839"/>
          <w:pgMar w:top="1440" w:right="1025" w:bottom="1440" w:left="1092" w:header="0" w:footer="722" w:gutter="0"/>
          <w:cols w:space="720" w:num="1"/>
        </w:sectPr>
      </w:pPr>
    </w:p>
    <w:p>
      <w:pPr>
        <w:jc w:val="center"/>
        <w:outlineLvl w:val="0"/>
        <w:rPr>
          <w:rFonts w:hint="eastAsia" w:ascii="宋体" w:hAnsi="宋体" w:eastAsia="宋体" w:cs="宋体"/>
          <w:b w:val="0"/>
          <w:bCs/>
          <w:color w:val="auto"/>
          <w:sz w:val="44"/>
          <w:szCs w:val="44"/>
        </w:rPr>
      </w:pPr>
      <w:bookmarkStart w:id="44" w:name="_Toc17773"/>
      <w:r>
        <w:rPr>
          <w:rFonts w:hint="eastAsia" w:ascii="宋体" w:hAnsi="宋体" w:eastAsia="宋体" w:cs="宋体"/>
          <w:b/>
          <w:bCs w:val="0"/>
          <w:color w:val="auto"/>
          <w:sz w:val="30"/>
          <w:szCs w:val="30"/>
          <w:highlight w:val="none"/>
          <w:lang w:val="en-US" w:eastAsia="zh-CN"/>
        </w:rPr>
        <w:t>第二章 供应商须知前附表</w:t>
      </w:r>
      <w:bookmarkEnd w:id="44"/>
    </w:p>
    <w:tbl>
      <w:tblPr>
        <w:tblStyle w:val="29"/>
        <w:tblW w:w="9360"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873"/>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采购单位</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采购人：墨玉县教育局</w:t>
            </w:r>
          </w:p>
          <w:p>
            <w:pPr>
              <w:spacing w:line="276"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  址：墨玉县</w:t>
            </w:r>
          </w:p>
          <w:p>
            <w:pPr>
              <w:spacing w:line="276"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联系人：秦龙  </w:t>
            </w:r>
          </w:p>
          <w:p>
            <w:pPr>
              <w:spacing w:line="276"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联系电话：0903-6514821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240" w:hanging="240" w:hangingChars="100"/>
              <w:jc w:val="center"/>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采购代理机构</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名  称：新疆宣烨项目管理咨询有限公司</w:t>
            </w:r>
          </w:p>
          <w:p>
            <w:pPr>
              <w:spacing w:line="276"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地  址：和田市人民路第十四师家属院A区1601</w:t>
            </w:r>
          </w:p>
          <w:p>
            <w:pPr>
              <w:spacing w:line="276"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联系人：阿力亚</w:t>
            </w:r>
          </w:p>
          <w:p>
            <w:pPr>
              <w:spacing w:line="276"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联系电话：0903-2936333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240" w:hanging="240" w:hangingChars="100"/>
              <w:jc w:val="center"/>
              <w:rPr>
                <w:rFonts w:hint="eastAsia" w:ascii="宋体" w:hAnsi="宋体" w:eastAsia="宋体" w:cs="宋体"/>
                <w:sz w:val="24"/>
                <w:szCs w:val="24"/>
                <w:u w:val="none"/>
                <w:lang w:val="zh-CN" w:eastAsia="zh-CN"/>
              </w:rPr>
            </w:pPr>
            <w:r>
              <w:rPr>
                <w:rFonts w:hint="eastAsia" w:ascii="宋体" w:hAnsi="宋体" w:cs="宋体"/>
                <w:color w:val="000000"/>
                <w:sz w:val="24"/>
                <w:lang w:val="en-US" w:eastAsia="zh-CN"/>
              </w:rPr>
              <w:t>采购</w:t>
            </w:r>
            <w:r>
              <w:rPr>
                <w:rFonts w:hint="eastAsia" w:ascii="宋体" w:hAnsi="宋体" w:cs="宋体"/>
                <w:color w:val="000000"/>
                <w:sz w:val="24"/>
              </w:rPr>
              <w:t>项目名称</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pStyle w:val="9"/>
              <w:jc w:val="left"/>
              <w:rPr>
                <w:rFonts w:hint="eastAsia" w:ascii="宋体" w:hAnsi="宋体" w:eastAsia="宋体" w:cs="宋体"/>
                <w:lang w:val="en-US" w:eastAsia="zh-CN"/>
              </w:rPr>
            </w:pPr>
            <w:r>
              <w:rPr>
                <w:rFonts w:hint="eastAsia" w:ascii="宋体" w:hAnsi="宋体" w:eastAsia="宋体" w:cs="宋体"/>
                <w:lang w:val="en-US" w:eastAsia="zh-CN"/>
              </w:rPr>
              <w:t>2023年墨玉县京和青少年融情交流营项目-包一（三次）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4</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240" w:hanging="240" w:hangingChars="100"/>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zh-CN" w:eastAsia="zh-CN"/>
              </w:rPr>
              <w:t>预算最高限价</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最高投标限价：1054220元（此采购预算为最高投标限价、如超过预算价的报价为无效报价)</w:t>
            </w:r>
          </w:p>
          <w:p>
            <w:pPr>
              <w:spacing w:line="276" w:lineRule="auto"/>
              <w:rPr>
                <w:rFonts w:hint="eastAsia" w:ascii="宋体" w:hAnsi="宋体" w:eastAsia="宋体" w:cs="宋体"/>
                <w:sz w:val="24"/>
                <w:szCs w:val="24"/>
                <w:u w:val="none"/>
                <w:lang w:val="en-US" w:eastAsia="zh-CN"/>
              </w:rPr>
            </w:pPr>
            <w:r>
              <w:rPr>
                <w:rFonts w:hint="eastAsia" w:ascii="宋体" w:hAnsi="宋体" w:eastAsia="宋体" w:cs="宋体"/>
                <w:b/>
                <w:bCs/>
                <w:color w:val="auto"/>
                <w:sz w:val="24"/>
                <w:szCs w:val="24"/>
                <w:u w:val="none"/>
                <w:lang w:val="en-US" w:eastAsia="zh-CN"/>
              </w:rPr>
              <w:t>投标报价高于预算限价将做否决投标处理，敬请投标人注意！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招标方式</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北京对口援疆资金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资</w:t>
            </w:r>
            <w:r>
              <w:rPr>
                <w:rFonts w:hint="eastAsia" w:ascii="宋体" w:hAnsi="宋体" w:eastAsia="宋体" w:cs="宋体"/>
                <w:sz w:val="24"/>
                <w:szCs w:val="24"/>
              </w:rPr>
              <w:t>金</w:t>
            </w:r>
            <w:r>
              <w:rPr>
                <w:rFonts w:hint="eastAsia" w:ascii="宋体" w:hAnsi="宋体" w:eastAsia="宋体" w:cs="宋体"/>
                <w:sz w:val="24"/>
                <w:szCs w:val="24"/>
                <w:lang w:val="en-US" w:eastAsia="zh-CN"/>
              </w:rPr>
              <w:t>落实</w:t>
            </w:r>
            <w:r>
              <w:rPr>
                <w:rFonts w:hint="eastAsia" w:ascii="宋体" w:hAnsi="宋体" w:eastAsia="宋体" w:cs="宋体"/>
                <w:sz w:val="24"/>
                <w:szCs w:val="24"/>
              </w:rPr>
              <w:t>情况</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tabs>
                <w:tab w:val="left" w:pos="5190"/>
              </w:tabs>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已</w:t>
            </w:r>
            <w:r>
              <w:rPr>
                <w:rFonts w:hint="eastAsia" w:ascii="宋体" w:hAnsi="宋体" w:eastAsia="宋体" w:cs="宋体"/>
                <w:sz w:val="24"/>
                <w:szCs w:val="24"/>
                <w:lang w:val="en-US"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rPr>
            </w:pPr>
            <w:r>
              <w:rPr>
                <w:rFonts w:hint="eastAsia" w:ascii="宋体" w:hAnsi="宋体" w:eastAsia="宋体" w:cs="宋体"/>
                <w:color w:val="auto"/>
                <w:kern w:val="0"/>
                <w:sz w:val="24"/>
                <w:szCs w:val="24"/>
                <w:highlight w:val="none"/>
              </w:rPr>
              <w:t>是否接受联合体投标</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tabs>
                <w:tab w:val="left" w:pos="5190"/>
              </w:tabs>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投标有效期</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lang w:val="en-US" w:eastAsia="zh-CN"/>
              </w:rPr>
              <w:t>90</w:t>
            </w:r>
            <w:r>
              <w:rPr>
                <w:rFonts w:hint="eastAsia" w:ascii="宋体" w:hAnsi="宋体" w:eastAsia="宋体" w:cs="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rPr>
              <w:t>评标方法</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tabs>
                <w:tab w:val="left" w:pos="5190"/>
              </w:tabs>
              <w:spacing w:line="276"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u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投标保证金</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tabs>
                <w:tab w:val="left" w:pos="5190"/>
              </w:tabs>
              <w:spacing w:line="276" w:lineRule="auto"/>
              <w:rPr>
                <w:rFonts w:hint="eastAsia" w:ascii="Times New Roman" w:hAnsi="Times New Roman"/>
                <w:kern w:val="2"/>
                <w:sz w:val="21"/>
                <w:szCs w:val="24"/>
                <w:lang w:val="en-US" w:eastAsia="zh-CN" w:bidi="ar-SA"/>
              </w:rPr>
            </w:pPr>
            <w:r>
              <w:rPr>
                <w:rFonts w:hint="eastAsia" w:ascii="Times New Roman" w:hAnsi="Times New Roman"/>
                <w:kern w:val="2"/>
                <w:sz w:val="21"/>
                <w:szCs w:val="24"/>
                <w:lang w:val="en-US" w:eastAsia="zh-CN" w:bidi="ar-SA"/>
              </w:rPr>
              <w:t>投标保证金金额：10000元（大写：壹万元整）</w:t>
            </w:r>
          </w:p>
          <w:p>
            <w:pPr>
              <w:tabs>
                <w:tab w:val="left" w:pos="5190"/>
              </w:tabs>
              <w:spacing w:line="276" w:lineRule="auto"/>
              <w:rPr>
                <w:rFonts w:hint="eastAsia" w:ascii="Times New Roman" w:hAnsi="Times New Roman"/>
                <w:kern w:val="2"/>
                <w:sz w:val="21"/>
                <w:szCs w:val="24"/>
                <w:lang w:val="en-US" w:eastAsia="zh-CN" w:bidi="ar-SA"/>
              </w:rPr>
            </w:pPr>
            <w:r>
              <w:rPr>
                <w:rFonts w:hint="eastAsia" w:ascii="Times New Roman" w:hAnsi="Times New Roman"/>
                <w:kern w:val="2"/>
                <w:sz w:val="21"/>
                <w:szCs w:val="24"/>
                <w:lang w:val="en-US" w:eastAsia="zh-CN" w:bidi="ar-SA"/>
              </w:rPr>
              <w:t>投标保证金的形式：转账、电汇、电子保函</w:t>
            </w:r>
          </w:p>
          <w:p>
            <w:pPr>
              <w:tabs>
                <w:tab w:val="left" w:pos="5190"/>
              </w:tabs>
              <w:spacing w:line="276" w:lineRule="auto"/>
              <w:rPr>
                <w:rFonts w:hint="eastAsia" w:ascii="Times New Roman" w:hAnsi="Times New Roman"/>
                <w:kern w:val="2"/>
                <w:sz w:val="21"/>
                <w:szCs w:val="24"/>
                <w:lang w:val="en-US" w:eastAsia="zh-CN" w:bidi="ar-SA"/>
              </w:rPr>
            </w:pPr>
            <w:r>
              <w:rPr>
                <w:rFonts w:hint="eastAsia" w:ascii="Times New Roman" w:hAnsi="Times New Roman"/>
                <w:kern w:val="2"/>
                <w:sz w:val="21"/>
                <w:szCs w:val="24"/>
                <w:lang w:val="en-US" w:eastAsia="zh-CN" w:bidi="ar-SA"/>
              </w:rPr>
              <w:t>开户名称：墨玉县公共资源交易平台中心</w:t>
            </w:r>
          </w:p>
          <w:p>
            <w:pPr>
              <w:tabs>
                <w:tab w:val="left" w:pos="5190"/>
              </w:tabs>
              <w:spacing w:line="276" w:lineRule="auto"/>
              <w:rPr>
                <w:rFonts w:hint="eastAsia" w:ascii="Times New Roman" w:hAnsi="Times New Roman"/>
                <w:kern w:val="2"/>
                <w:sz w:val="21"/>
                <w:szCs w:val="24"/>
                <w:lang w:val="en-US" w:eastAsia="zh-CN" w:bidi="ar-SA"/>
              </w:rPr>
            </w:pPr>
            <w:r>
              <w:rPr>
                <w:rFonts w:hint="eastAsia" w:ascii="Times New Roman" w:hAnsi="Times New Roman"/>
                <w:kern w:val="2"/>
                <w:sz w:val="21"/>
                <w:szCs w:val="24"/>
                <w:lang w:val="en-US" w:eastAsia="zh-CN" w:bidi="ar-SA"/>
              </w:rPr>
              <w:t>开户银行：墨玉县农村信用合作联社</w:t>
            </w:r>
          </w:p>
          <w:p>
            <w:pPr>
              <w:tabs>
                <w:tab w:val="left" w:pos="5190"/>
              </w:tabs>
              <w:spacing w:line="276" w:lineRule="auto"/>
              <w:rPr>
                <w:rFonts w:hint="eastAsia" w:ascii="Times New Roman" w:hAnsi="Times New Roman"/>
                <w:kern w:val="2"/>
                <w:sz w:val="21"/>
                <w:szCs w:val="24"/>
                <w:lang w:val="en-US" w:eastAsia="zh-CN" w:bidi="ar-SA"/>
              </w:rPr>
            </w:pPr>
            <w:r>
              <w:rPr>
                <w:rFonts w:hint="eastAsia" w:ascii="Times New Roman" w:hAnsi="Times New Roman"/>
                <w:kern w:val="2"/>
                <w:sz w:val="21"/>
                <w:szCs w:val="24"/>
                <w:lang w:val="en-US" w:eastAsia="zh-CN" w:bidi="ar-SA"/>
              </w:rPr>
              <w:t xml:space="preserve">帐    号：879010012010178915451 </w:t>
            </w:r>
          </w:p>
          <w:p>
            <w:pPr>
              <w:tabs>
                <w:tab w:val="left" w:pos="5190"/>
              </w:tabs>
              <w:spacing w:line="276" w:lineRule="auto"/>
              <w:rPr>
                <w:rFonts w:hint="eastAsia" w:ascii="Times New Roman" w:hAnsi="Times New Roman"/>
                <w:kern w:val="2"/>
                <w:sz w:val="21"/>
                <w:szCs w:val="24"/>
                <w:lang w:val="en-US" w:eastAsia="zh-CN" w:bidi="ar-SA"/>
              </w:rPr>
            </w:pPr>
            <w:r>
              <w:rPr>
                <w:rFonts w:hint="eastAsia" w:ascii="Times New Roman" w:hAnsi="Times New Roman"/>
                <w:kern w:val="2"/>
                <w:sz w:val="21"/>
                <w:szCs w:val="24"/>
                <w:lang w:val="en-US" w:eastAsia="zh-CN" w:bidi="ar-SA"/>
              </w:rPr>
              <w:t>墨玉县公共资源交易平台中心财务室电话：0903-7863806</w:t>
            </w:r>
          </w:p>
          <w:p>
            <w:pPr>
              <w:tabs>
                <w:tab w:val="left" w:pos="5190"/>
              </w:tabs>
              <w:spacing w:line="276" w:lineRule="auto"/>
              <w:rPr>
                <w:rFonts w:hint="eastAsia" w:ascii="Times New Roman" w:hAnsi="Times New Roman"/>
                <w:kern w:val="2"/>
                <w:sz w:val="21"/>
                <w:szCs w:val="24"/>
                <w:lang w:val="en-US" w:eastAsia="zh-CN" w:bidi="ar-SA"/>
              </w:rPr>
            </w:pPr>
            <w:r>
              <w:rPr>
                <w:rFonts w:hint="eastAsia" w:ascii="Times New Roman" w:hAnsi="Times New Roman"/>
                <w:kern w:val="2"/>
                <w:sz w:val="21"/>
                <w:szCs w:val="24"/>
                <w:lang w:val="en-US" w:eastAsia="zh-CN" w:bidi="ar-SA"/>
              </w:rPr>
              <w:t>注：1.采用银行转账或电汇的方式的，由报名单位基本账户于2023年</w:t>
            </w:r>
            <w:r>
              <w:rPr>
                <w:rFonts w:hint="eastAsia"/>
                <w:kern w:val="2"/>
                <w:sz w:val="21"/>
                <w:szCs w:val="24"/>
                <w:lang w:val="en-US" w:eastAsia="zh-CN" w:bidi="ar-SA"/>
              </w:rPr>
              <w:t>8</w:t>
            </w:r>
            <w:r>
              <w:rPr>
                <w:rFonts w:hint="eastAsia" w:ascii="Times New Roman" w:hAnsi="Times New Roman"/>
                <w:kern w:val="2"/>
                <w:sz w:val="21"/>
                <w:szCs w:val="24"/>
                <w:lang w:val="en-US" w:eastAsia="zh-CN" w:bidi="ar-SA"/>
              </w:rPr>
              <w:t>月2</w:t>
            </w:r>
            <w:r>
              <w:rPr>
                <w:rFonts w:hint="eastAsia"/>
                <w:kern w:val="2"/>
                <w:sz w:val="21"/>
                <w:szCs w:val="24"/>
                <w:lang w:val="en-US" w:eastAsia="zh-CN" w:bidi="ar-SA"/>
              </w:rPr>
              <w:t>5</w:t>
            </w:r>
            <w:r>
              <w:rPr>
                <w:rFonts w:hint="eastAsia" w:ascii="Times New Roman" w:hAnsi="Times New Roman"/>
                <w:kern w:val="2"/>
                <w:sz w:val="21"/>
                <w:szCs w:val="24"/>
                <w:lang w:val="en-US" w:eastAsia="zh-CN" w:bidi="ar-SA"/>
              </w:rPr>
              <w:t>日11：00（北京时间）前汇至墨玉县公共资源交易平台中心专用账户，不得以现金和其他形式缴纳，报名单位在缴纳保证金时，需在进账凭证上明确资金用途、项目名称或项目编号，以便查对核实。投标保证金缴纳截止时间为递交投标文件截止时间，无须换取收据。</w:t>
            </w:r>
          </w:p>
          <w:p>
            <w:pPr>
              <w:tabs>
                <w:tab w:val="left" w:pos="5190"/>
              </w:tabs>
              <w:spacing w:line="276" w:lineRule="auto"/>
              <w:rPr>
                <w:rFonts w:hint="eastAsia" w:ascii="Times New Roman" w:hAnsi="Times New Roman"/>
                <w:kern w:val="2"/>
                <w:sz w:val="21"/>
                <w:szCs w:val="24"/>
                <w:lang w:val="en-US" w:eastAsia="zh-CN" w:bidi="ar-SA"/>
              </w:rPr>
            </w:pPr>
            <w:r>
              <w:rPr>
                <w:rFonts w:hint="eastAsia" w:ascii="Times New Roman" w:hAnsi="Times New Roman"/>
                <w:kern w:val="2"/>
                <w:sz w:val="21"/>
                <w:szCs w:val="24"/>
                <w:lang w:val="en-US" w:eastAsia="zh-CN" w:bidi="ar-SA"/>
              </w:rPr>
              <w:t xml:space="preserve">2.电子保函使用方法：1、登录新疆自治区政府采购网，首页点击“电子保函”直接进入新疆政府采购电子保函申请页，点击【立即申请】2、依次完善页面显示的投保人信息（投标人信息），确认您要投保的项目信息，在投标项目选择页面选择您需要投保的项目（可根据项目名称或项目保函进行搜索），选择投保项目后填写被保险人信息及投保内容。服务热线:400-9039583。         </w:t>
            </w:r>
          </w:p>
          <w:p>
            <w:pPr>
              <w:tabs>
                <w:tab w:val="left" w:pos="5190"/>
              </w:tabs>
              <w:spacing w:line="276" w:lineRule="auto"/>
              <w:rPr>
                <w:rFonts w:hint="eastAsia" w:ascii="Times New Roman" w:hAnsi="Times New Roman"/>
                <w:kern w:val="2"/>
                <w:sz w:val="21"/>
                <w:szCs w:val="24"/>
                <w:lang w:val="en-US" w:eastAsia="zh-CN" w:bidi="ar-SA"/>
              </w:rPr>
            </w:pPr>
            <w:r>
              <w:rPr>
                <w:rFonts w:hint="eastAsia" w:ascii="Times New Roman" w:hAnsi="Times New Roman"/>
                <w:kern w:val="2"/>
                <w:sz w:val="21"/>
                <w:szCs w:val="24"/>
                <w:lang w:val="en-US" w:eastAsia="zh-CN" w:bidi="ar-SA"/>
              </w:rPr>
              <w:t xml:space="preserve">保函承保期限：90日历天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投标文件的份数</w:t>
            </w:r>
            <w:r>
              <w:rPr>
                <w:rFonts w:hint="eastAsia" w:ascii="宋体" w:hAnsi="宋体" w:eastAsia="宋体" w:cs="宋体"/>
                <w:sz w:val="24"/>
                <w:szCs w:val="24"/>
                <w:lang w:val="en-US" w:eastAsia="zh-CN"/>
              </w:rPr>
              <w:t>及其他要求</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pacing w:line="276" w:lineRule="auto"/>
              <w:rPr>
                <w:rFonts w:hint="default"/>
                <w:lang w:val="en-US"/>
              </w:rPr>
            </w:pPr>
            <w:r>
              <w:rPr>
                <w:rFonts w:hint="eastAsia"/>
                <w:lang w:eastAsia="zh-CN"/>
              </w:rPr>
              <w:t>响应文件</w:t>
            </w:r>
            <w:r>
              <w:rPr>
                <w:rFonts w:hint="eastAsia"/>
              </w:rPr>
              <w:t>纸质版：</w:t>
            </w:r>
            <w:r>
              <w:rPr>
                <w:rFonts w:hint="eastAsia"/>
                <w:lang w:val="en-US" w:eastAsia="zh-CN"/>
              </w:rPr>
              <w:t>/</w:t>
            </w:r>
          </w:p>
          <w:p>
            <w:pPr>
              <w:numPr>
                <w:ilvl w:val="0"/>
                <w:numId w:val="0"/>
              </w:numPr>
              <w:overflowPunct w:val="0"/>
              <w:spacing w:line="340" w:lineRule="exact"/>
              <w:ind w:leftChars="0"/>
              <w:rPr>
                <w:rFonts w:hint="eastAsia"/>
                <w:lang w:val="en-US" w:eastAsia="zh-CN"/>
              </w:rPr>
            </w:pPr>
            <w:r>
              <w:rPr>
                <w:rFonts w:hint="eastAsia"/>
                <w:lang w:val="en-US" w:eastAsia="zh-CN"/>
              </w:rPr>
              <w:t>2、</w:t>
            </w:r>
            <w:r>
              <w:rPr>
                <w:rFonts w:hint="eastAsia"/>
              </w:rPr>
              <w:t>电子文档（U盘）</w:t>
            </w:r>
            <w:r>
              <w:rPr>
                <w:rFonts w:hint="eastAsia"/>
                <w:lang w:eastAsia="zh-CN"/>
              </w:rPr>
              <w:t>：</w:t>
            </w:r>
            <w:r>
              <w:rPr>
                <w:rFonts w:hint="eastAsia"/>
                <w:lang w:val="en-US" w:eastAsia="zh-CN"/>
              </w:rPr>
              <w:t>/</w:t>
            </w:r>
          </w:p>
          <w:p>
            <w:pPr>
              <w:tabs>
                <w:tab w:val="left" w:pos="5190"/>
              </w:tabs>
              <w:spacing w:line="276" w:lineRule="auto"/>
              <w:rPr>
                <w:rFonts w:hint="eastAsia"/>
                <w:lang w:val="en-US" w:eastAsia="zh-CN"/>
              </w:rPr>
            </w:pPr>
            <w:r>
              <w:rPr>
                <w:rFonts w:hint="eastAsia"/>
                <w:lang w:val="en-US" w:eastAsia="zh-CN"/>
              </w:rPr>
              <w:t>3、</w:t>
            </w:r>
            <w:r>
              <w:rPr>
                <w:rFonts w:hint="eastAsia"/>
              </w:rPr>
              <w:t>开标一览表；</w:t>
            </w:r>
            <w:r>
              <w:rPr>
                <w:rFonts w:hint="eastAsia"/>
                <w:lang w:val="en-US" w:eastAsia="zh-CN"/>
              </w:rPr>
              <w:t>/</w:t>
            </w:r>
          </w:p>
          <w:p>
            <w:pPr>
              <w:pStyle w:val="49"/>
              <w:ind w:left="0" w:leftChars="0" w:firstLine="0" w:firstLineChars="0"/>
              <w:rPr>
                <w:rFonts w:hint="default"/>
                <w:lang w:val="en-US" w:eastAsia="zh-CN"/>
              </w:rPr>
            </w:pPr>
            <w:r>
              <w:rPr>
                <w:rFonts w:hint="eastAsia" w:ascii="Times New Roman" w:hAnsi="Times New Roman" w:eastAsia="宋体" w:cs="Times New Roman"/>
                <w:b/>
                <w:bCs/>
                <w:kern w:val="2"/>
                <w:sz w:val="21"/>
                <w:szCs w:val="24"/>
                <w:lang w:val="en-US" w:eastAsia="zh-CN" w:bidi="ar-SA"/>
              </w:rPr>
              <w:t>注：中标及未中标的供应商须提供三份纸质版响应文件。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center"/>
              <w:textAlignment w:val="auto"/>
              <w:rPr>
                <w:rFonts w:hint="default" w:ascii="宋体" w:hAnsi="宋体" w:eastAsia="宋体" w:cs="宋体"/>
                <w:kern w:val="1"/>
                <w:sz w:val="24"/>
                <w:szCs w:val="24"/>
                <w:lang w:val="en-US" w:eastAsia="zh-CN" w:bidi="ar-SA"/>
              </w:rPr>
            </w:pPr>
            <w:r>
              <w:rPr>
                <w:rFonts w:hint="eastAsia" w:ascii="宋体" w:hAnsi="宋体" w:eastAsia="宋体" w:cs="宋体"/>
                <w:color w:val="auto"/>
                <w:sz w:val="24"/>
                <w:szCs w:val="24"/>
                <w:highlight w:val="none"/>
                <w:lang w:val="en-US" w:eastAsia="zh-CN"/>
              </w:rPr>
              <w:t>获取招标</w:t>
            </w:r>
            <w:r>
              <w:rPr>
                <w:rFonts w:hint="eastAsia" w:ascii="宋体" w:hAnsi="宋体" w:eastAsia="宋体" w:cs="宋体"/>
                <w:color w:val="auto"/>
                <w:sz w:val="24"/>
                <w:szCs w:val="24"/>
                <w:highlight w:val="none"/>
              </w:rPr>
              <w:t>文件</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napToGrid/>
              <w:spacing w:line="500" w:lineRule="exact"/>
              <w:jc w:val="left"/>
              <w:textAlignment w:val="auto"/>
              <w:rPr>
                <w:rFonts w:hint="eastAsia" w:ascii="宋体" w:hAnsi="宋体" w:eastAsia="宋体" w:cs="宋体"/>
                <w:kern w:val="1"/>
                <w:sz w:val="24"/>
                <w:szCs w:val="24"/>
                <w:lang w:val="en-US" w:eastAsia="zh-CN" w:bidi="ar-SA"/>
              </w:rPr>
            </w:pPr>
            <w:r>
              <w:rPr>
                <w:rFonts w:hint="eastAsia" w:ascii="宋体" w:hAnsi="宋体" w:eastAsia="宋体" w:cs="宋体"/>
                <w:color w:val="auto"/>
                <w:sz w:val="24"/>
                <w:szCs w:val="24"/>
                <w:highlight w:val="none"/>
                <w:lang w:eastAsia="zh-CN"/>
              </w:rPr>
              <w:t>供应单位</w:t>
            </w:r>
            <w:r>
              <w:rPr>
                <w:rFonts w:hint="eastAsia" w:ascii="宋体" w:hAnsi="宋体" w:eastAsia="宋体" w:cs="宋体"/>
                <w:color w:val="auto"/>
                <w:sz w:val="24"/>
                <w:szCs w:val="24"/>
                <w:highlight w:val="none"/>
              </w:rPr>
              <w:t>登陆政采云平台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 </w:instrText>
            </w:r>
            <w:r>
              <w:rPr>
                <w:rFonts w:hint="eastAsia" w:ascii="宋体" w:hAnsi="宋体" w:eastAsia="宋体" w:cs="宋体"/>
                <w:color w:val="auto"/>
                <w:sz w:val="24"/>
                <w:szCs w:val="24"/>
                <w:highlight w:val="none"/>
              </w:rPr>
              <w:fldChar w:fldCharType="separate"/>
            </w:r>
            <w:r>
              <w:rPr>
                <w:rStyle w:val="34"/>
                <w:rFonts w:hint="eastAsia" w:ascii="宋体" w:hAnsi="宋体" w:eastAsia="宋体" w:cs="宋体"/>
                <w:color w:val="auto"/>
                <w:sz w:val="24"/>
                <w:szCs w:val="24"/>
                <w:highlight w:val="none"/>
              </w:rPr>
              <w:t>https://www.zcygov.cn/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在线申请获取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（进入“项目采购”应用，在获取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菜单中选择项目，申请获取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1"/>
                <w:sz w:val="24"/>
                <w:szCs w:val="24"/>
              </w:rPr>
              <w:t>投标文件递交</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both"/>
              <w:rPr>
                <w:rFonts w:hint="default" w:ascii="宋体" w:hAnsi="宋体" w:eastAsia="宋体" w:cs="宋体"/>
                <w:color w:val="000000"/>
                <w:kern w:val="1"/>
                <w:sz w:val="24"/>
                <w:szCs w:val="24"/>
                <w:lang w:val="en-US" w:eastAsia="zh-CN"/>
              </w:rPr>
            </w:pPr>
            <w:r>
              <w:rPr>
                <w:rFonts w:hint="eastAsia" w:ascii="宋体" w:hAnsi="宋体" w:eastAsia="宋体" w:cs="宋体"/>
                <w:color w:val="000000"/>
                <w:kern w:val="1"/>
                <w:sz w:val="24"/>
                <w:szCs w:val="24"/>
              </w:rPr>
              <w:t>截止时间：</w:t>
            </w:r>
            <w:r>
              <w:rPr>
                <w:rFonts w:hint="eastAsia" w:ascii="宋体" w:hAnsi="宋体" w:eastAsia="宋体" w:cs="宋体"/>
                <w:color w:val="000000"/>
                <w:kern w:val="1"/>
                <w:sz w:val="24"/>
                <w:szCs w:val="24"/>
                <w:u w:val="single"/>
              </w:rPr>
              <w:t>20</w:t>
            </w:r>
            <w:r>
              <w:rPr>
                <w:rFonts w:hint="eastAsia" w:ascii="宋体" w:hAnsi="宋体" w:eastAsia="宋体" w:cs="宋体"/>
                <w:color w:val="000000"/>
                <w:kern w:val="1"/>
                <w:sz w:val="24"/>
                <w:szCs w:val="24"/>
                <w:u w:val="single"/>
                <w:lang w:val="en-US" w:eastAsia="zh-CN"/>
              </w:rPr>
              <w:t>23</w:t>
            </w:r>
            <w:r>
              <w:rPr>
                <w:rFonts w:hint="eastAsia" w:ascii="宋体" w:hAnsi="宋体" w:eastAsia="宋体" w:cs="宋体"/>
                <w:color w:val="000000"/>
                <w:kern w:val="1"/>
                <w:sz w:val="24"/>
                <w:szCs w:val="24"/>
                <w:u w:val="single"/>
              </w:rPr>
              <w:t>年</w:t>
            </w:r>
            <w:r>
              <w:rPr>
                <w:rFonts w:hint="eastAsia" w:ascii="宋体" w:hAnsi="宋体" w:eastAsia="宋体" w:cs="宋体"/>
                <w:color w:val="000000"/>
                <w:kern w:val="1"/>
                <w:sz w:val="24"/>
                <w:szCs w:val="24"/>
                <w:u w:val="single"/>
                <w:lang w:val="en-US" w:eastAsia="zh-CN"/>
              </w:rPr>
              <w:t>8月25日</w:t>
            </w:r>
            <w:r>
              <w:rPr>
                <w:rFonts w:hint="eastAsia" w:ascii="宋体" w:hAnsi="宋体" w:eastAsia="宋体" w:cs="宋体"/>
                <w:color w:val="000000"/>
                <w:kern w:val="1"/>
                <w:sz w:val="24"/>
                <w:szCs w:val="24"/>
                <w:u w:val="single"/>
              </w:rPr>
              <w:t>上午1</w:t>
            </w:r>
            <w:r>
              <w:rPr>
                <w:rFonts w:hint="eastAsia" w:ascii="宋体" w:hAnsi="宋体" w:eastAsia="宋体" w:cs="宋体"/>
                <w:color w:val="000000"/>
                <w:kern w:val="1"/>
                <w:sz w:val="24"/>
                <w:szCs w:val="24"/>
                <w:u w:val="single"/>
                <w:lang w:val="en-US" w:eastAsia="zh-CN"/>
              </w:rPr>
              <w:t>1</w:t>
            </w:r>
            <w:r>
              <w:rPr>
                <w:rFonts w:hint="eastAsia" w:ascii="宋体" w:hAnsi="宋体" w:eastAsia="宋体" w:cs="宋体"/>
                <w:color w:val="000000"/>
                <w:kern w:val="1"/>
                <w:sz w:val="24"/>
                <w:szCs w:val="24"/>
                <w:u w:val="single"/>
              </w:rPr>
              <w:t>：00</w:t>
            </w:r>
            <w:r>
              <w:rPr>
                <w:rFonts w:hint="eastAsia" w:ascii="宋体" w:hAnsi="宋体" w:eastAsia="宋体" w:cs="宋体"/>
                <w:color w:val="000000"/>
                <w:kern w:val="1"/>
                <w:sz w:val="24"/>
                <w:szCs w:val="24"/>
                <w:u w:val="single"/>
                <w:lang w:val="en-US" w:eastAsia="zh-CN"/>
              </w:rPr>
              <w:t xml:space="preserve">   </w:t>
            </w:r>
          </w:p>
          <w:p>
            <w:pPr>
              <w:spacing w:line="276"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1"/>
                <w:sz w:val="24"/>
                <w:szCs w:val="24"/>
              </w:rPr>
              <w:t>递交地点：</w:t>
            </w:r>
            <w:r>
              <w:rPr>
                <w:rFonts w:hint="eastAsia" w:ascii="宋体" w:hAnsi="宋体" w:eastAsia="宋体" w:cs="宋体"/>
                <w:kern w:val="1"/>
                <w:sz w:val="24"/>
                <w:szCs w:val="24"/>
                <w:lang w:eastAsia="zh-CN"/>
              </w:rPr>
              <w:t>供应商应于</w:t>
            </w:r>
            <w:r>
              <w:rPr>
                <w:rFonts w:hint="eastAsia" w:ascii="宋体" w:hAnsi="宋体" w:eastAsia="宋体" w:cs="宋体"/>
                <w:kern w:val="1"/>
                <w:sz w:val="24"/>
                <w:szCs w:val="24"/>
                <w:lang w:val="en-US" w:eastAsia="zh-CN"/>
              </w:rPr>
              <w:t>投标截止时间</w:t>
            </w:r>
            <w:r>
              <w:rPr>
                <w:rFonts w:hint="eastAsia" w:ascii="宋体" w:hAnsi="宋体" w:eastAsia="宋体" w:cs="宋体"/>
                <w:kern w:val="1"/>
                <w:sz w:val="24"/>
                <w:szCs w:val="24"/>
                <w:lang w:eastAsia="zh-CN"/>
              </w:rPr>
              <w:t>之前将电子投标文件上传到“政采云”平台。应按照本项目</w:t>
            </w:r>
            <w:r>
              <w:rPr>
                <w:rFonts w:hint="eastAsia" w:ascii="宋体" w:hAnsi="宋体" w:eastAsia="宋体" w:cs="宋体"/>
                <w:kern w:val="1"/>
                <w:sz w:val="24"/>
                <w:szCs w:val="24"/>
                <w:lang w:val="en-US" w:eastAsia="zh-CN"/>
              </w:rPr>
              <w:t>招标</w:t>
            </w:r>
            <w:r>
              <w:rPr>
                <w:rFonts w:hint="eastAsia" w:ascii="宋体" w:hAnsi="宋体" w:eastAsia="宋体" w:cs="宋体"/>
                <w:kern w:val="1"/>
                <w:sz w:val="24"/>
                <w:szCs w:val="24"/>
                <w:lang w:eastAsia="zh-CN"/>
              </w:rPr>
              <w:t>文件和政采云平台的要求编制、加密传输投标文件。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241" w:leftChars="0" w:hanging="241" w:hangingChars="100"/>
              <w:jc w:val="center"/>
              <w:rPr>
                <w:rFonts w:hint="eastAsia" w:ascii="宋体" w:hAnsi="宋体" w:eastAsia="宋体" w:cs="宋体"/>
                <w:b/>
                <w:bCs/>
                <w:kern w:val="1"/>
                <w:sz w:val="24"/>
                <w:szCs w:val="24"/>
                <w:lang w:val="en-US" w:eastAsia="zh-CN" w:bidi="ar-SA"/>
              </w:rPr>
            </w:pPr>
            <w:r>
              <w:rPr>
                <w:rFonts w:hint="eastAsia" w:ascii="宋体" w:hAnsi="宋体" w:eastAsia="宋体" w:cs="宋体"/>
                <w:b/>
                <w:bCs/>
                <w:kern w:val="1"/>
                <w:sz w:val="24"/>
                <w:szCs w:val="24"/>
                <w:lang w:val="en-US" w:eastAsia="zh-CN" w:bidi="ar-SA"/>
              </w:rPr>
              <w:t>信息公告媒体</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b/>
                <w:bCs/>
                <w:kern w:val="1"/>
                <w:sz w:val="24"/>
                <w:szCs w:val="24"/>
                <w:lang w:val="en-US" w:eastAsia="zh-CN" w:bidi="ar-SA"/>
              </w:rPr>
            </w:pPr>
            <w:r>
              <w:rPr>
                <w:rFonts w:hint="eastAsia" w:ascii="宋体" w:hAnsi="宋体" w:eastAsia="宋体" w:cs="宋体"/>
                <w:b/>
                <w:bCs/>
                <w:kern w:val="1"/>
                <w:sz w:val="24"/>
                <w:szCs w:val="24"/>
                <w:lang w:val="en-US" w:eastAsia="zh-CN" w:bidi="ar-SA"/>
              </w:rPr>
              <w:t>新疆政府采购网 (http://www.ccgp-xinjiang.gov.cn/)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highlight w:val="none"/>
                <w:shd w:val="clear" w:color="auto" w:fill="auto"/>
                <w:lang w:val="en-US" w:eastAsia="zh-CN"/>
              </w:rPr>
              <w:t>履约保证金</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left"/>
              <w:textAlignment w:val="auto"/>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（√）不要求</w:t>
            </w:r>
          </w:p>
          <w:p>
            <w:pPr>
              <w:keepNext w:val="0"/>
              <w:keepLines w:val="0"/>
              <w:pageBreakBefore w:val="0"/>
              <w:kinsoku/>
              <w:wordWrap/>
              <w:overflowPunct w:val="0"/>
              <w:topLinePunct w:val="0"/>
              <w:bidi w:val="0"/>
              <w:snapToGrid/>
              <w:spacing w:line="500" w:lineRule="exact"/>
              <w:jc w:val="left"/>
              <w:textAlignment w:val="auto"/>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  ）要求。履约保证金的形式：支票、汇票、本票或者金融机构、担保机构出具的保函等非现金形式。</w:t>
            </w:r>
          </w:p>
          <w:p>
            <w:pPr>
              <w:keepNext w:val="0"/>
              <w:keepLines w:val="0"/>
              <w:pageBreakBefore w:val="0"/>
              <w:kinsoku/>
              <w:wordWrap/>
              <w:overflowPunct w:val="0"/>
              <w:topLinePunct w:val="0"/>
              <w:bidi w:val="0"/>
              <w:snapToGrid/>
              <w:spacing w:line="5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val="en-US" w:eastAsia="zh-CN"/>
              </w:rPr>
              <w:t>履约保证金的金额：具体金额以甲乙双方签订合同为准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lang w:val="en-US" w:eastAsia="zh-CN"/>
              </w:rPr>
              <w:t>付款方式</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甲乙双方协商确定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center"/>
              <w:textAlignment w:val="auto"/>
              <w:rPr>
                <w:rFonts w:hint="default" w:ascii="宋体" w:hAnsi="宋体" w:eastAsia="宋体" w:cs="宋体"/>
                <w:sz w:val="24"/>
                <w:szCs w:val="24"/>
                <w:lang w:val="en-US"/>
              </w:rPr>
            </w:pPr>
            <w:r>
              <w:rPr>
                <w:rFonts w:hint="eastAsia" w:ascii="宋体" w:hAnsi="宋体" w:eastAsia="宋体" w:cs="宋体"/>
                <w:color w:val="auto"/>
                <w:kern w:val="0"/>
                <w:sz w:val="24"/>
                <w:szCs w:val="24"/>
                <w:highlight w:val="none"/>
                <w:shd w:val="clear" w:color="auto" w:fill="auto"/>
                <w:lang w:val="en-US" w:eastAsia="zh-CN"/>
              </w:rPr>
              <w:t>服务期限</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合同签订后180天（具体时间以签订合同为准）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pStyle w:val="69"/>
              <w:keepNext w:val="0"/>
              <w:keepLines w:val="0"/>
              <w:pageBreakBefore w:val="0"/>
              <w:kinsoku/>
              <w:wordWrap/>
              <w:topLinePunct w:val="0"/>
              <w:bidi w:val="0"/>
              <w:snapToGrid/>
              <w:spacing w:line="500" w:lineRule="exact"/>
              <w:jc w:val="center"/>
              <w:textAlignment w:val="auto"/>
              <w:rPr>
                <w:rFonts w:hint="eastAsia" w:ascii="宋体" w:hAnsi="宋体" w:eastAsia="宋体" w:cs="宋体"/>
                <w:sz w:val="24"/>
                <w:szCs w:val="24"/>
                <w:lang w:val="en-US" w:eastAsia="zh-CN" w:bidi="ar-SA"/>
              </w:rPr>
            </w:pPr>
            <w:r>
              <w:rPr>
                <w:rFonts w:hint="eastAsia" w:ascii="宋体" w:hAnsi="宋体" w:eastAsia="宋体" w:cs="宋体"/>
                <w:color w:val="auto"/>
                <w:kern w:val="2"/>
                <w:sz w:val="24"/>
                <w:szCs w:val="24"/>
                <w:highlight w:val="none"/>
                <w:lang w:val="en-US" w:eastAsia="zh-CN"/>
              </w:rPr>
              <w:t>质疑</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pStyle w:val="69"/>
              <w:keepNext w:val="0"/>
              <w:keepLines w:val="0"/>
              <w:pageBreakBefore w:val="0"/>
              <w:kinsoku/>
              <w:wordWrap/>
              <w:topLinePunct w:val="0"/>
              <w:bidi w:val="0"/>
              <w:snapToGrid/>
              <w:spacing w:line="50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提出</w:t>
            </w:r>
            <w:r>
              <w:rPr>
                <w:rFonts w:hint="eastAsia" w:ascii="宋体" w:hAnsi="宋体" w:eastAsia="宋体" w:cs="宋体"/>
                <w:color w:val="auto"/>
                <w:kern w:val="2"/>
                <w:sz w:val="24"/>
                <w:szCs w:val="24"/>
                <w:highlight w:val="none"/>
              </w:rPr>
              <w:t>质疑函的</w:t>
            </w:r>
            <w:r>
              <w:rPr>
                <w:rFonts w:hint="eastAsia" w:ascii="宋体" w:hAnsi="宋体" w:eastAsia="宋体" w:cs="宋体"/>
                <w:color w:val="auto"/>
                <w:kern w:val="2"/>
                <w:sz w:val="24"/>
                <w:szCs w:val="24"/>
                <w:highlight w:val="none"/>
                <w:lang w:val="en-US" w:eastAsia="zh-CN"/>
              </w:rPr>
              <w:t>时限</w:t>
            </w:r>
            <w:r>
              <w:rPr>
                <w:rFonts w:hint="eastAsia" w:ascii="宋体" w:hAnsi="宋体" w:eastAsia="宋体" w:cs="宋体"/>
                <w:color w:val="auto"/>
                <w:kern w:val="2"/>
                <w:sz w:val="24"/>
                <w:szCs w:val="24"/>
                <w:highlight w:val="none"/>
              </w:rPr>
              <w:t>：对</w:t>
            </w:r>
            <w:r>
              <w:rPr>
                <w:rFonts w:hint="eastAsia" w:ascii="宋体" w:hAnsi="宋体" w:eastAsia="宋体" w:cs="宋体"/>
                <w:color w:val="auto"/>
                <w:kern w:val="2"/>
                <w:sz w:val="24"/>
                <w:szCs w:val="24"/>
                <w:highlight w:val="none"/>
                <w:lang w:eastAsia="zh-CN"/>
              </w:rPr>
              <w:t>招标文件</w:t>
            </w:r>
            <w:r>
              <w:rPr>
                <w:rFonts w:hint="eastAsia" w:ascii="宋体" w:hAnsi="宋体" w:eastAsia="宋体" w:cs="宋体"/>
                <w:color w:val="auto"/>
                <w:kern w:val="2"/>
                <w:sz w:val="24"/>
                <w:szCs w:val="24"/>
                <w:highlight w:val="none"/>
              </w:rPr>
              <w:t>提出质疑的，应当在获取</w:t>
            </w:r>
            <w:r>
              <w:rPr>
                <w:rFonts w:hint="eastAsia" w:ascii="宋体" w:hAnsi="宋体" w:eastAsia="宋体" w:cs="宋体"/>
                <w:color w:val="auto"/>
                <w:kern w:val="2"/>
                <w:sz w:val="24"/>
                <w:szCs w:val="24"/>
                <w:highlight w:val="none"/>
                <w:lang w:eastAsia="zh-CN"/>
              </w:rPr>
              <w:t>招标文件</w:t>
            </w:r>
            <w:r>
              <w:rPr>
                <w:rFonts w:hint="eastAsia" w:ascii="宋体" w:hAnsi="宋体" w:eastAsia="宋体" w:cs="宋体"/>
                <w:color w:val="auto"/>
                <w:kern w:val="2"/>
                <w:sz w:val="24"/>
                <w:szCs w:val="24"/>
                <w:highlight w:val="none"/>
              </w:rPr>
              <w:t>或者</w:t>
            </w:r>
            <w:r>
              <w:rPr>
                <w:rFonts w:hint="eastAsia" w:ascii="宋体" w:hAnsi="宋体" w:eastAsia="宋体" w:cs="宋体"/>
                <w:color w:val="auto"/>
                <w:kern w:val="2"/>
                <w:sz w:val="24"/>
                <w:szCs w:val="24"/>
                <w:highlight w:val="none"/>
                <w:lang w:eastAsia="zh-CN"/>
              </w:rPr>
              <w:t>招标文件</w:t>
            </w:r>
            <w:r>
              <w:rPr>
                <w:rFonts w:hint="eastAsia" w:ascii="宋体" w:hAnsi="宋体" w:eastAsia="宋体" w:cs="宋体"/>
                <w:color w:val="auto"/>
                <w:kern w:val="2"/>
                <w:sz w:val="24"/>
                <w:szCs w:val="24"/>
                <w:highlight w:val="none"/>
              </w:rPr>
              <w:t>公告期限届满之日起</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个工作日内提出。</w:t>
            </w:r>
          </w:p>
          <w:p>
            <w:pPr>
              <w:pStyle w:val="69"/>
              <w:keepNext w:val="0"/>
              <w:keepLines w:val="0"/>
              <w:pageBreakBefore w:val="0"/>
              <w:kinsoku/>
              <w:wordWrap/>
              <w:topLinePunct w:val="0"/>
              <w:bidi w:val="0"/>
              <w:snapToGrid/>
              <w:spacing w:line="500" w:lineRule="exact"/>
              <w:jc w:val="both"/>
              <w:textAlignment w:val="auto"/>
              <w:rPr>
                <w:rFonts w:hint="default" w:ascii="宋体" w:hAnsi="宋体" w:eastAsia="宋体" w:cs="宋体"/>
                <w:sz w:val="24"/>
                <w:szCs w:val="24"/>
                <w:lang w:val="en-US" w:eastAsia="zh-CN" w:bidi="ar-SA"/>
              </w:rPr>
            </w:pPr>
            <w:r>
              <w:rPr>
                <w:rFonts w:hint="eastAsia" w:ascii="宋体" w:hAnsi="宋体" w:eastAsia="宋体" w:cs="宋体"/>
                <w:color w:val="auto"/>
                <w:kern w:val="2"/>
                <w:sz w:val="24"/>
                <w:szCs w:val="24"/>
                <w:highlight w:val="none"/>
              </w:rPr>
              <w:t>接收质疑函的方式：以书面形式要求</w:t>
            </w:r>
            <w:r>
              <w:rPr>
                <w:rFonts w:hint="eastAsia" w:ascii="宋体" w:hAnsi="宋体" w:eastAsia="宋体" w:cs="宋体"/>
                <w:color w:val="auto"/>
                <w:kern w:val="2"/>
                <w:sz w:val="24"/>
                <w:szCs w:val="24"/>
                <w:highlight w:val="none"/>
                <w:lang w:eastAsia="zh-CN"/>
              </w:rPr>
              <w:t>采购人或代理机构</w:t>
            </w:r>
            <w:r>
              <w:rPr>
                <w:rFonts w:hint="eastAsia" w:ascii="宋体" w:hAnsi="宋体" w:eastAsia="宋体" w:cs="宋体"/>
                <w:color w:val="auto"/>
                <w:kern w:val="2"/>
                <w:sz w:val="24"/>
                <w:szCs w:val="24"/>
                <w:highlight w:val="none"/>
              </w:rPr>
              <w:t>作出书面解释、澄清或者向</w:t>
            </w:r>
            <w:r>
              <w:rPr>
                <w:rFonts w:hint="eastAsia" w:ascii="宋体" w:hAnsi="宋体" w:eastAsia="宋体" w:cs="宋体"/>
                <w:color w:val="auto"/>
                <w:kern w:val="2"/>
                <w:sz w:val="24"/>
                <w:szCs w:val="24"/>
                <w:highlight w:val="none"/>
                <w:lang w:eastAsia="zh-CN"/>
              </w:rPr>
              <w:t>采购人或代理机构</w:t>
            </w:r>
            <w:r>
              <w:rPr>
                <w:rFonts w:hint="eastAsia" w:ascii="宋体" w:hAnsi="宋体" w:eastAsia="宋体" w:cs="宋体"/>
                <w:color w:val="auto"/>
                <w:kern w:val="2"/>
                <w:sz w:val="24"/>
                <w:szCs w:val="24"/>
                <w:highlight w:val="none"/>
              </w:rPr>
              <w:t>提出书面质疑</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逾期不再受理</w:t>
            </w:r>
            <w:r>
              <w:rPr>
                <w:rFonts w:hint="eastAsia" w:ascii="宋体" w:hAnsi="宋体" w:eastAsia="宋体" w:cs="宋体"/>
                <w:color w:val="auto"/>
                <w:kern w:val="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评审小组组成与抽取</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人，其中有关技术、经济等方面的专家人数为</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人，招标代表</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人，经济等方面的专家人数不得少于评标委员会委员会成员总数的2/3</w:t>
            </w:r>
            <w:r>
              <w:rPr>
                <w:rFonts w:hint="eastAsia" w:ascii="宋体" w:hAnsi="宋体" w:eastAsia="宋体" w:cs="宋体"/>
                <w:color w:val="auto"/>
                <w:sz w:val="24"/>
                <w:szCs w:val="24"/>
                <w:highlight w:val="none"/>
                <w:lang w:eastAsia="zh-CN"/>
              </w:rPr>
              <w:t>；</w:t>
            </w:r>
          </w:p>
          <w:p>
            <w:pPr>
              <w:keepNext w:val="0"/>
              <w:keepLines w:val="0"/>
              <w:pageBreakBefore w:val="0"/>
              <w:kinsoku/>
              <w:wordWrap/>
              <w:topLinePunct w:val="0"/>
              <w:bidi w:val="0"/>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lang w:eastAsia="zh-CN"/>
              </w:rPr>
              <w:t>评审小组人员</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新疆政采云</w:t>
            </w:r>
            <w:r>
              <w:rPr>
                <w:rFonts w:hint="eastAsia" w:ascii="宋体" w:hAnsi="宋体" w:eastAsia="宋体" w:cs="宋体"/>
                <w:color w:val="auto"/>
                <w:sz w:val="24"/>
                <w:szCs w:val="24"/>
                <w:highlight w:val="none"/>
              </w:rPr>
              <w:t>政府采购专家库中随机抽取确定。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中小微型企业</w:t>
            </w:r>
          </w:p>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有关政策</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根据《中华人民共和国政府采购法》 、财政部、  工信部《政府采购促进中小 企业发展管理办法》  (财 库〔2020〕46 号) 、《关于进一步加大政府采购支持中 小企业力度的通知财库〔2022〕19 号》等有关法律法规执行；</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价格扣除幅度： 货物服务采购项目给予小微企业的价格扣除优惠 ，  由财库 〔2020〕46 号文件规定的 6%— 10%提高至 10%—20%。大中型企业与小微企业组成</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联合体或者大中型企业向小微企业分包的，评审优惠幅度由 2%—3%提高至 4%— 6%。政府采购工程的价格评审优惠按照财库〔2020〕46 号文件的规定执行。</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注：投标人应当对《中小企业声明函》 、监狱企业 证明文件、《残疾人福利 性单位声明函》的真实性负责，上述材料与事实不符的，依照《政府采购法》第七 十七条第一款的规定，处以采购金额千分之五以上千分之十以下的罚款，列入不良 行为记录名单，在一至三年内禁止参加政府采购活动，有违法所得的，并处没收违 法所得，情节严重的，由工商行政管理机关吊销营业执照；构成犯罪的，依法追究 刑事责任， 中小企业应当提供《中小企业声明函》。</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本项目所属行业：其他未列明行业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其他说明 1</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特别提醒：</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1、所有投标人的报价高于本项目 (标项) 最高投标限价额度的视为无效报价 (即作否决投标处理) 。</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2、相同品牌产品且通过资格审查、符合性审查的不同投标人参加同一合同项 下投标的，按一家投标人计算，评审后报价最低的同品牌投标人获得中标人推荐资 格；评审得分相同的，按照随机抽取方式确定一个投标人获得中标人推荐资格，其 他同品牌投标人不作为中标候选人。</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3、投标人的报价明显低于其他投标报价或者在设有标底时明显低于标底，使 得其投标报价可能低于其个别成本的，应当要求该投标人作出书面说明并提供相应 证明材料。投标人不能合理或者不能提供相应证明材料的，由评标委员会认定该投 标人以低于成本报价竞标，其投标视为无效标处理。</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4、更正补充公告请自行登录新疆政府采购网查看下载。</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5、采购代理机构将拒绝接受未在政采云平台获取招标文件的投标人的投标文 件。</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6、所有投标人对招标文件中所有条款如有疑问或异议请在开标以书面形式提</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出，否则不予受理。</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7、为确保投标保证金的及时退还，结果公示后投标企业需提供保证金汇款凭 证、开户许可证复印件、收据并注明开户行行号、联系方式 (加盖公司鲜公章) 交 至墨玉县公共资源交易平台中心财务室办理。 (注：废标项目投标保证金在后续项 目再次招标时银行系统不做统计，投标企业及时办理退款)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其他说明 2</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1、招标文件中部分加粗、加下划线、废标、无效标、投标被拒绝字样的条款， 为招标的实质性要求和条件，着重提醒各投标人注意，并认真查看招标文件中的每 一个条款及要求， 因误读招标文件而造成的后果，招标人概不负责。</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2、投标文件中有弄虚作假的内容，其投标文件作废。  (如假证书、假业绩、 隐瞒不良行为记录、夸大荣誉、使用非本单位在职员工的相关证件及不符合招标文 件规定的条款等) ；在签订合同之前，招标人如发现投标人的投标文件有弄虚作假 内容，招标人可拒绝与其签订合同，并将其列入政府采购黑名单。</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3、本项目的招标投标活动以及相关当事人须接受财政监督部门依法实施的监 督。</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4、在评标过程中，评标委员会认为投标人的报价明显低于其他通过符合性审 查投标人的报价，有可能影响产品质量或者不能诚信履约的，评标委员会应当要求 其在评标现场合理的时间内提供成本构成书面说明，并提交相关证明材料。投标人 书面说明应当按照国家财务会计制度的规定要求，逐项就投标人提供的货物、工程 和服务的成本 (应根据投标人企业类型予以区别) 、税金及附加、销售费用、管理 费用、财务费用等成本构成事项详细陈述。</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5、投标人书面说明应当签字确认或者加盖公章，否则无效。书面说明的签字 确认，投标人为法人的，由其法定代表人或者代理人签字确认；投标人为其他组织 的，由其主要负责人或者代理人签字确认；投标人为自然人的，由其本人或者代理 人签字确认。</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6、投标人提供书面说明后，评标委员会应当结合采购项目采购需求、专业实 际情况、投标人提供的书面材料等就投标人书面说明进行审查评价。投标人拒绝或 者变相拒绝提供有效书面说明或者书面说明不能证明其报价合理性的，评标委员会 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重要提示</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中标投标人应在规定期限内领取《中标通知书》，若中标投标人未在规 定期限内领取《中标通知书》，采购人有权取消中标投标人中标资格，并将相关违 约行为报送监管部门，实施信用惩戒；</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中标投标人应在规定期限内提交履约担保并与采购人签订合同，若中标 投标人未能在规定期限内提交履约担保或签订合同，采购人有权取消中标投标人中 标资格，并将相关违约行为报送监管部门，实施信用惩戒；</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合同签订后， 中标投标人存在规定时间内不组织人员进场开工，不履行 供货、安装或服务义务等情况，采购人有权解除合同，并追究违约责任，同时将相 关违约行为报送监管部门，记不良行为记录，实施信用惩戒；</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中标投标人中标后被监管部门查实存在违法行为，不满足中标条件的， 由采购人取消中标资格，并做好项目后续工作；</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中标投标人在中标项目发生投诉、信访举报案件、履约存在争议时，拒 绝协助配合执法部门调查案件的，采购人可以取消其中标资格或解除合同，并追究 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投标人认为招标文件、采购过程或中标结果使自己的合法权益受到损害的，应 当在知道或者应知其权益受到损害之日起在规定的期限内，以书面或邮件形式一次 性向采购人 (采购代理机构) 提出质疑或投标人对采购人 (采购代理机构) 的质疑 答复不满意或者采购人 (采购代理机构) 未在规定时间内做出答复的，可以在答复 期满后五个工作日 内向有关监管部门投诉。</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注：根据《中华人民共和国政府采购法》 的规定，投标人质疑不得超出公开 招标文件、公开招标过程及公开招标结果的范围及时效限制。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投诉</w:t>
            </w:r>
          </w:p>
        </w:tc>
        <w:tc>
          <w:tcPr>
            <w:tcW w:w="6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质疑投标人对采购人、采购代理机构的答复不满意或者采购人、采购代 理机构未在规定的时间内作出答复的，可以在答复期满后十五个工作日 内向同级政 府采购监督管理部门投诉。</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质疑、投诉应当采用书面或邮件形式，质疑书、投诉书均应明确阐述招 标文件 、采购过程或中标结果中使自己合法权益受到损害的实质性内容，提供相 关事实、依据和证据及其来源或线索，便于有关单位调查、答复和处理。</w:t>
            </w:r>
          </w:p>
          <w:p>
            <w:pPr>
              <w:keepNext w:val="0"/>
              <w:keepLines w:val="0"/>
              <w:pageBreakBefore w:val="0"/>
              <w:kinsoku/>
              <w:wordWrap/>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注：根据《中华人民共和国政府采购法实施条例》 的规定，投标人投诉事项 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1" w:hRule="atLeast"/>
        </w:trPr>
        <w:tc>
          <w:tcPr>
            <w:tcW w:w="9360"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bidi w:val="0"/>
              <w:spacing w:beforeAutospacing="0" w:afterAutospacing="0" w:line="300" w:lineRule="auto"/>
              <w:jc w:val="left"/>
              <w:rPr>
                <w:rFonts w:hint="eastAsia" w:ascii="宋体" w:hAnsi="宋体" w:eastAsia="宋体" w:cs="Times New Roman"/>
                <w:b/>
                <w:bCs/>
                <w:color w:val="000000"/>
                <w:kern w:val="2"/>
                <w:sz w:val="21"/>
                <w:szCs w:val="21"/>
                <w:highlight w:val="none"/>
                <w:lang w:val="en-US" w:eastAsia="zh-CN" w:bidi="ar-SA"/>
              </w:rPr>
            </w:pPr>
            <w:r>
              <w:rPr>
                <w:rFonts w:hint="eastAsia" w:ascii="宋体" w:hAnsi="宋体" w:eastAsia="宋体" w:cs="Times New Roman"/>
                <w:b/>
                <w:bCs/>
                <w:color w:val="000000"/>
                <w:kern w:val="2"/>
                <w:sz w:val="21"/>
                <w:szCs w:val="21"/>
                <w:highlight w:val="none"/>
                <w:lang w:val="en-US" w:eastAsia="zh-CN" w:bidi="ar-SA"/>
              </w:rPr>
              <w:t>一、招标文件中部分加“★”、加粗、加下划线、废标、无效标、投标被拒绝字样的条款，为招标的实质性要求和条件，着重提醒各供应商注意，并认真查看招标文件中的每一个条款及要求，因误读招标文件而造成的后果，招标人概不负责。</w:t>
            </w:r>
          </w:p>
          <w:p>
            <w:pPr>
              <w:pageBreakBefore w:val="0"/>
              <w:kinsoku/>
              <w:overflowPunct w:val="0"/>
              <w:topLinePunct w:val="0"/>
              <w:bidi w:val="0"/>
              <w:spacing w:beforeAutospacing="0" w:afterAutospacing="0" w:line="300" w:lineRule="auto"/>
              <w:jc w:val="left"/>
              <w:rPr>
                <w:rFonts w:hint="eastAsia" w:ascii="宋体" w:hAnsi="宋体" w:eastAsia="宋体" w:cs="Times New Roman"/>
                <w:b/>
                <w:bCs/>
                <w:color w:val="000000"/>
                <w:kern w:val="2"/>
                <w:sz w:val="21"/>
                <w:szCs w:val="21"/>
                <w:highlight w:val="none"/>
                <w:lang w:val="en-US" w:eastAsia="zh-CN" w:bidi="ar-SA"/>
              </w:rPr>
            </w:pPr>
            <w:r>
              <w:rPr>
                <w:rFonts w:hint="eastAsia" w:ascii="宋体" w:hAnsi="宋体" w:eastAsia="宋体" w:cs="Times New Roman"/>
                <w:b/>
                <w:bCs/>
                <w:color w:val="000000"/>
                <w:kern w:val="2"/>
                <w:sz w:val="21"/>
                <w:szCs w:val="21"/>
                <w:highlight w:val="none"/>
                <w:lang w:val="en-US" w:eastAsia="zh-CN" w:bidi="ar-SA"/>
              </w:rPr>
              <w:t>二、投标文件中如有弄虚作假的内容，其投标文件作废。（如假证书、假业绩、隐瞒不良行为记录、夸大荣誉、使用非本单位在职员工的相关证明材料及不符合招标文件规定的条款等）；在签订合同之前，招标人如发现供应商的投标文件有弄虚作假内容，招标人可拒绝与其签订合同。</w:t>
            </w:r>
          </w:p>
          <w:p>
            <w:pPr>
              <w:pageBreakBefore w:val="0"/>
              <w:kinsoku/>
              <w:overflowPunct w:val="0"/>
              <w:topLinePunct w:val="0"/>
              <w:bidi w:val="0"/>
              <w:spacing w:beforeAutospacing="0" w:afterAutospacing="0" w:line="300" w:lineRule="auto"/>
              <w:jc w:val="left"/>
              <w:rPr>
                <w:rFonts w:hint="eastAsia" w:ascii="宋体" w:hAnsi="宋体" w:eastAsia="宋体" w:cs="Times New Roman"/>
                <w:b/>
                <w:bCs/>
                <w:color w:val="000000"/>
                <w:kern w:val="2"/>
                <w:sz w:val="21"/>
                <w:szCs w:val="21"/>
                <w:highlight w:val="none"/>
                <w:lang w:val="en-US" w:eastAsia="zh-CN" w:bidi="ar-SA"/>
              </w:rPr>
            </w:pPr>
            <w:r>
              <w:rPr>
                <w:rFonts w:hint="eastAsia" w:ascii="宋体" w:hAnsi="宋体" w:eastAsia="宋体" w:cs="Times New Roman"/>
                <w:b/>
                <w:bCs/>
                <w:color w:val="000000"/>
                <w:kern w:val="2"/>
                <w:sz w:val="21"/>
                <w:szCs w:val="21"/>
                <w:highlight w:val="none"/>
                <w:lang w:val="en-US" w:eastAsia="zh-CN" w:bidi="ar-SA"/>
              </w:rPr>
              <w:t>三、供应商应保证在本项目使用的任何产品和服务（包括部分使用）时，不会产生因第三方提出侵犯其专利权、商标权、著作权或其它知识产权而引起的法律和经济纠纷，如因专利权、商标权、著作权或其它知识产权而引起法律和经济纠纷，由供应商承担所有相关责任的同时不得耽误本项目供货。</w:t>
            </w:r>
          </w:p>
          <w:p>
            <w:pPr>
              <w:pageBreakBefore w:val="0"/>
              <w:kinsoku/>
              <w:overflowPunct w:val="0"/>
              <w:topLinePunct w:val="0"/>
              <w:bidi w:val="0"/>
              <w:spacing w:beforeAutospacing="0" w:afterAutospacing="0" w:line="300" w:lineRule="auto"/>
              <w:jc w:val="left"/>
              <w:rPr>
                <w:rFonts w:hint="eastAsia" w:ascii="宋体" w:hAnsi="宋体" w:eastAsia="宋体" w:cs="Times New Roman"/>
                <w:b/>
                <w:bCs/>
                <w:color w:val="000000"/>
                <w:kern w:val="2"/>
                <w:sz w:val="21"/>
                <w:szCs w:val="21"/>
                <w:highlight w:val="none"/>
                <w:lang w:val="en-US" w:eastAsia="zh-CN" w:bidi="ar-SA"/>
              </w:rPr>
            </w:pPr>
            <w:r>
              <w:rPr>
                <w:rFonts w:hint="eastAsia" w:ascii="宋体" w:hAnsi="宋体" w:eastAsia="宋体" w:cs="Times New Roman"/>
                <w:b/>
                <w:bCs/>
                <w:color w:val="000000"/>
                <w:kern w:val="2"/>
                <w:sz w:val="21"/>
                <w:szCs w:val="21"/>
                <w:highlight w:val="none"/>
                <w:lang w:val="en-US" w:eastAsia="zh-CN" w:bidi="ar-SA"/>
              </w:rPr>
              <w:t>四、所有供应商的报价明显低于其他投标报价或者在设有最高投标限价时明显低于</w:t>
            </w:r>
            <w:r>
              <w:rPr>
                <w:rFonts w:hint="eastAsia" w:ascii="宋体" w:hAnsi="宋体" w:eastAsia="宋体" w:cs="Times New Roman"/>
                <w:b/>
                <w:bCs/>
                <w:color w:val="000000"/>
                <w:kern w:val="2"/>
                <w:sz w:val="21"/>
                <w:szCs w:val="21"/>
                <w:highlight w:val="none"/>
                <w:lang w:val="en-US" w:eastAsia="zh-CN" w:bidi="ar-SA"/>
              </w:rPr>
              <w:t>最高投标限价</w:t>
            </w:r>
            <w:r>
              <w:rPr>
                <w:rFonts w:hint="eastAsia" w:ascii="宋体" w:hAnsi="宋体" w:eastAsia="宋体" w:cs="Times New Roman"/>
                <w:b/>
                <w:bCs/>
                <w:color w:val="000000"/>
                <w:kern w:val="2"/>
                <w:sz w:val="21"/>
                <w:szCs w:val="21"/>
                <w:highlight w:val="none"/>
                <w:lang w:val="en-US" w:eastAsia="zh-CN" w:bidi="ar-SA"/>
              </w:rPr>
              <w:t>，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pageBreakBefore w:val="0"/>
              <w:kinsoku/>
              <w:overflowPunct w:val="0"/>
              <w:topLinePunct w:val="0"/>
              <w:bidi w:val="0"/>
              <w:spacing w:beforeAutospacing="0" w:afterAutospacing="0" w:line="300" w:lineRule="auto"/>
              <w:jc w:val="left"/>
              <w:rPr>
                <w:rFonts w:hint="eastAsia" w:ascii="宋体" w:hAnsi="宋体" w:eastAsia="宋体" w:cs="宋体"/>
                <w:lang w:eastAsia="zh-CN"/>
              </w:rPr>
            </w:pPr>
            <w:r>
              <w:rPr>
                <w:rFonts w:hint="eastAsia" w:ascii="宋体" w:hAnsi="宋体" w:eastAsia="宋体" w:cs="Times New Roman"/>
                <w:b/>
                <w:bCs/>
                <w:color w:val="000000"/>
                <w:kern w:val="2"/>
                <w:sz w:val="21"/>
                <w:szCs w:val="21"/>
                <w:highlight w:val="none"/>
                <w:lang w:val="en-US" w:eastAsia="zh-CN" w:bidi="ar-SA"/>
              </w:rPr>
              <w:t>六、本前附表与《供应商须知》中对应的条款内容如有矛盾，应以本前附表为准。</w:t>
            </w:r>
          </w:p>
        </w:tc>
      </w:tr>
    </w:tbl>
    <w:p>
      <w:pPr>
        <w:spacing w:line="360" w:lineRule="auto"/>
        <w:jc w:val="center"/>
        <w:outlineLvl w:val="1"/>
        <w:rPr>
          <w:rFonts w:hint="eastAsia" w:ascii="宋体" w:hAnsi="宋体" w:eastAsia="宋体" w:cs="宋体"/>
          <w:b/>
          <w:sz w:val="28"/>
          <w:szCs w:val="28"/>
        </w:rPr>
      </w:pPr>
      <w:bookmarkStart w:id="45" w:name="_Toc23373"/>
      <w:bookmarkEnd w:id="45"/>
    </w:p>
    <w:p>
      <w:pPr>
        <w:spacing w:line="360" w:lineRule="auto"/>
        <w:jc w:val="center"/>
        <w:outlineLvl w:val="1"/>
        <w:rPr>
          <w:rFonts w:hint="eastAsia" w:ascii="宋体" w:hAnsi="宋体" w:eastAsia="宋体" w:cs="宋体"/>
          <w:b/>
          <w:sz w:val="28"/>
          <w:szCs w:val="28"/>
        </w:rPr>
      </w:pPr>
    </w:p>
    <w:p>
      <w:pPr>
        <w:spacing w:line="360" w:lineRule="auto"/>
        <w:jc w:val="both"/>
        <w:outlineLvl w:val="1"/>
        <w:rPr>
          <w:rFonts w:hint="eastAsia" w:ascii="宋体" w:hAnsi="宋体" w:eastAsia="宋体" w:cs="宋体"/>
          <w:b/>
          <w:sz w:val="28"/>
          <w:szCs w:val="28"/>
        </w:rPr>
      </w:pPr>
    </w:p>
    <w:p>
      <w:pPr>
        <w:spacing w:line="360" w:lineRule="auto"/>
        <w:jc w:val="center"/>
        <w:outlineLvl w:val="1"/>
        <w:rPr>
          <w:rFonts w:hint="eastAsia" w:ascii="宋体" w:hAnsi="宋体" w:eastAsia="宋体" w:cs="宋体"/>
          <w:b/>
          <w:sz w:val="32"/>
          <w:szCs w:val="32"/>
        </w:rPr>
      </w:pPr>
      <w:r>
        <w:rPr>
          <w:rFonts w:hint="eastAsia" w:ascii="宋体" w:hAnsi="宋体" w:eastAsia="宋体" w:cs="宋体"/>
          <w:b/>
          <w:sz w:val="28"/>
          <w:szCs w:val="28"/>
        </w:rPr>
        <w:t>一、总则</w:t>
      </w:r>
    </w:p>
    <w:p>
      <w:pPr>
        <w:spacing w:line="360" w:lineRule="auto"/>
        <w:ind w:firstLine="482" w:firstLineChars="200"/>
        <w:jc w:val="left"/>
        <w:rPr>
          <w:rFonts w:hint="eastAsia" w:ascii="宋体" w:hAnsi="宋体" w:eastAsia="宋体" w:cs="宋体"/>
          <w:sz w:val="24"/>
        </w:rPr>
      </w:pPr>
      <w:bookmarkStart w:id="46" w:name="_Toc3132"/>
      <w:r>
        <w:rPr>
          <w:rFonts w:hint="eastAsia" w:ascii="宋体" w:hAnsi="宋体" w:eastAsia="宋体" w:cs="宋体"/>
          <w:b/>
          <w:bCs/>
          <w:sz w:val="24"/>
        </w:rPr>
        <w:t>（一）采购方式</w:t>
      </w:r>
      <w:bookmarkEnd w:id="4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本项目采取竞争性磋商的招标方式采购。</w:t>
      </w:r>
    </w:p>
    <w:p>
      <w:pPr>
        <w:spacing w:line="360" w:lineRule="auto"/>
        <w:ind w:firstLine="482" w:firstLineChars="200"/>
        <w:jc w:val="left"/>
        <w:rPr>
          <w:rFonts w:hint="eastAsia" w:ascii="宋体" w:hAnsi="宋体" w:eastAsia="宋体" w:cs="宋体"/>
          <w:b/>
          <w:bCs/>
          <w:sz w:val="24"/>
          <w:lang w:eastAsia="zh-CN"/>
        </w:rPr>
      </w:pPr>
      <w:bookmarkStart w:id="47" w:name="_Toc14076"/>
      <w:r>
        <w:rPr>
          <w:rFonts w:hint="eastAsia" w:ascii="宋体" w:hAnsi="宋体" w:eastAsia="宋体" w:cs="宋体"/>
          <w:b/>
          <w:bCs/>
          <w:sz w:val="24"/>
        </w:rPr>
        <w:t>（二）合格的</w:t>
      </w:r>
      <w:r>
        <w:rPr>
          <w:rFonts w:hint="eastAsia" w:ascii="宋体" w:hAnsi="宋体" w:eastAsia="宋体" w:cs="宋体"/>
          <w:b/>
          <w:bCs/>
          <w:sz w:val="24"/>
          <w:lang w:eastAsia="zh-CN"/>
        </w:rPr>
        <w:t>供应商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合格的</w:t>
      </w:r>
      <w:r>
        <w:rPr>
          <w:rFonts w:hint="eastAsia" w:ascii="宋体" w:hAnsi="宋体" w:eastAsia="宋体" w:cs="宋体"/>
          <w:sz w:val="24"/>
          <w:lang w:eastAsia="zh-CN"/>
        </w:rPr>
        <w:t>供应商</w:t>
      </w:r>
      <w:r>
        <w:rPr>
          <w:rFonts w:hint="eastAsia" w:ascii="宋体" w:hAnsi="宋体" w:eastAsia="宋体" w:cs="宋体"/>
          <w:sz w:val="24"/>
        </w:rPr>
        <w:t>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合格的</w:t>
      </w:r>
      <w:r>
        <w:rPr>
          <w:rFonts w:hint="eastAsia" w:ascii="宋体" w:hAnsi="宋体" w:eastAsia="宋体" w:cs="宋体"/>
          <w:sz w:val="24"/>
          <w:lang w:eastAsia="zh-CN"/>
        </w:rPr>
        <w:t>供应商</w:t>
      </w:r>
      <w:r>
        <w:rPr>
          <w:rFonts w:hint="eastAsia" w:ascii="宋体" w:hAnsi="宋体" w:eastAsia="宋体" w:cs="宋体"/>
          <w:sz w:val="24"/>
        </w:rPr>
        <w:t>必须符合竞争性磋商文件第一部分《竞争性磋商公告》</w:t>
      </w:r>
      <w:r>
        <w:rPr>
          <w:rFonts w:hint="eastAsia" w:ascii="宋体" w:hAnsi="宋体" w:eastAsia="宋体" w:cs="宋体"/>
          <w:color w:val="auto"/>
          <w:sz w:val="24"/>
        </w:rPr>
        <w:t>第</w:t>
      </w:r>
      <w:r>
        <w:rPr>
          <w:rFonts w:hint="eastAsia" w:ascii="宋体" w:hAnsi="宋体" w:eastAsia="宋体" w:cs="宋体"/>
          <w:color w:val="auto"/>
          <w:sz w:val="24"/>
          <w:lang w:val="en-US" w:eastAsia="zh-CN"/>
        </w:rPr>
        <w:t>3</w:t>
      </w:r>
      <w:r>
        <w:rPr>
          <w:rFonts w:hint="eastAsia" w:ascii="宋体" w:hAnsi="宋体" w:eastAsia="宋体" w:cs="宋体"/>
          <w:color w:val="auto"/>
          <w:sz w:val="24"/>
        </w:rPr>
        <w:t>条规定，且具备独立完成本项目的能力。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合格的</w:t>
      </w:r>
      <w:r>
        <w:rPr>
          <w:rFonts w:hint="eastAsia" w:ascii="宋体" w:hAnsi="宋体" w:eastAsia="宋体" w:cs="宋体"/>
          <w:sz w:val="24"/>
          <w:lang w:eastAsia="zh-CN"/>
        </w:rPr>
        <w:t>供应商</w:t>
      </w:r>
      <w:r>
        <w:rPr>
          <w:rFonts w:hint="eastAsia" w:ascii="宋体" w:hAnsi="宋体" w:eastAsia="宋体" w:cs="宋体"/>
          <w:sz w:val="24"/>
        </w:rPr>
        <w:t>应遵守中华人民共和国《政府</w:t>
      </w:r>
      <w:r>
        <w:rPr>
          <w:rFonts w:hint="eastAsia" w:ascii="宋体" w:hAnsi="宋体" w:eastAsia="宋体" w:cs="宋体"/>
          <w:sz w:val="24"/>
          <w:lang w:val="en-US" w:eastAsia="zh-CN"/>
        </w:rPr>
        <w:t>采购</w:t>
      </w:r>
      <w:r>
        <w:rPr>
          <w:rFonts w:hint="eastAsia" w:ascii="宋体" w:hAnsi="宋体" w:eastAsia="宋体" w:cs="宋体"/>
          <w:sz w:val="24"/>
        </w:rPr>
        <w:t>法》</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政府采购法实施条例</w:t>
      </w:r>
      <w:r>
        <w:rPr>
          <w:rFonts w:hint="eastAsia" w:ascii="宋体" w:hAnsi="宋体" w:eastAsia="宋体" w:cs="宋体"/>
          <w:sz w:val="24"/>
        </w:rPr>
        <w:t>》和《反不正当竞争法》等有关法律、法规。</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（三）适用法律</w:t>
      </w:r>
      <w:bookmarkEnd w:id="47"/>
    </w:p>
    <w:p>
      <w:pPr>
        <w:spacing w:line="360" w:lineRule="auto"/>
        <w:ind w:firstLine="480" w:firstLineChars="200"/>
        <w:jc w:val="left"/>
        <w:rPr>
          <w:rFonts w:hint="eastAsia" w:ascii="宋体" w:hAnsi="宋体" w:eastAsia="宋体" w:cs="宋体"/>
          <w:sz w:val="24"/>
        </w:rPr>
      </w:pPr>
      <w:bookmarkStart w:id="48" w:name="_Toc24127"/>
      <w:r>
        <w:rPr>
          <w:rFonts w:hint="eastAsia" w:ascii="宋体" w:hAnsi="宋体" w:eastAsia="宋体" w:cs="宋体"/>
          <w:sz w:val="24"/>
        </w:rPr>
        <w:t>本次磋商及由本次磋商产生的合同受中华人民共和国的相关法律、法规制约和保护。</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（四）</w:t>
      </w:r>
      <w:bookmarkEnd w:id="48"/>
      <w:bookmarkStart w:id="49" w:name="_Toc15005"/>
      <w:r>
        <w:rPr>
          <w:rFonts w:hint="eastAsia" w:ascii="宋体" w:hAnsi="宋体" w:eastAsia="宋体" w:cs="宋体"/>
          <w:b/>
          <w:bCs/>
          <w:sz w:val="24"/>
        </w:rPr>
        <w:t>竞争性磋商文件的约束力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一旦报名参加本项目竞标，即被认为接受了本竞争性磋商文件中的所有条件和规定。</w:t>
      </w:r>
    </w:p>
    <w:bookmarkEnd w:id="49"/>
    <w:p>
      <w:pPr>
        <w:spacing w:line="360" w:lineRule="auto"/>
        <w:ind w:firstLine="562" w:firstLineChars="200"/>
        <w:jc w:val="center"/>
        <w:outlineLvl w:val="1"/>
        <w:rPr>
          <w:rFonts w:hint="eastAsia" w:ascii="宋体" w:hAnsi="宋体" w:eastAsia="宋体" w:cs="宋体"/>
          <w:b/>
          <w:sz w:val="32"/>
          <w:szCs w:val="32"/>
        </w:rPr>
      </w:pPr>
      <w:bookmarkStart w:id="50" w:name="_Toc26674"/>
      <w:bookmarkStart w:id="51" w:name="_Toc22908"/>
      <w:r>
        <w:rPr>
          <w:rFonts w:hint="eastAsia" w:ascii="宋体" w:hAnsi="宋体" w:eastAsia="宋体" w:cs="宋体"/>
          <w:b/>
          <w:sz w:val="28"/>
          <w:szCs w:val="28"/>
        </w:rPr>
        <w:t>二、</w:t>
      </w:r>
      <w:bookmarkEnd w:id="50"/>
      <w:bookmarkEnd w:id="51"/>
      <w:r>
        <w:rPr>
          <w:rFonts w:hint="eastAsia" w:ascii="宋体" w:hAnsi="宋体" w:eastAsia="宋体" w:cs="宋体"/>
          <w:b/>
          <w:sz w:val="28"/>
          <w:szCs w:val="28"/>
        </w:rPr>
        <w:t>竞争性磋商文件</w:t>
      </w:r>
    </w:p>
    <w:p>
      <w:pPr>
        <w:spacing w:line="360" w:lineRule="auto"/>
        <w:ind w:firstLine="482" w:firstLineChars="200"/>
        <w:jc w:val="left"/>
        <w:rPr>
          <w:rFonts w:hint="eastAsia" w:ascii="宋体" w:hAnsi="宋体" w:eastAsia="宋体" w:cs="宋体"/>
          <w:sz w:val="24"/>
        </w:rPr>
      </w:pPr>
      <w:bookmarkStart w:id="52" w:name="_Toc8615"/>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）竞争性磋商文件构成</w:t>
      </w:r>
      <w:bookmarkEnd w:id="52"/>
    </w:p>
    <w:p>
      <w:pPr>
        <w:spacing w:line="360" w:lineRule="auto"/>
        <w:ind w:firstLine="480" w:firstLineChars="200"/>
        <w:rPr>
          <w:rFonts w:hint="eastAsia" w:ascii="宋体" w:hAnsi="宋体" w:eastAsia="宋体" w:cs="宋体"/>
          <w:sz w:val="24"/>
        </w:rPr>
      </w:pPr>
      <w:bookmarkStart w:id="53" w:name="_Toc22722"/>
      <w:r>
        <w:rPr>
          <w:rFonts w:hint="eastAsia" w:ascii="宋体" w:hAnsi="宋体" w:eastAsia="宋体" w:cs="宋体"/>
          <w:sz w:val="24"/>
        </w:rPr>
        <w:t>竞争性磋商招标公告；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供应商须知；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采购需求</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响应文件格式。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获取竞争性磋商文件后，应仔细检查竞争性磋商文件页数和附件数量，如发现有缺漏，请及时与采购代理机构联系补全。如果</w:t>
      </w:r>
      <w:r>
        <w:rPr>
          <w:rFonts w:hint="eastAsia" w:ascii="宋体" w:hAnsi="宋体" w:eastAsia="宋体" w:cs="宋体"/>
          <w:sz w:val="24"/>
          <w:lang w:eastAsia="zh-CN"/>
        </w:rPr>
        <w:t>供应商</w:t>
      </w:r>
      <w:r>
        <w:rPr>
          <w:rFonts w:hint="eastAsia" w:ascii="宋体" w:hAnsi="宋体" w:eastAsia="宋体" w:cs="宋体"/>
          <w:sz w:val="24"/>
        </w:rPr>
        <w:t>不按上述要求操作而造成不良后果，采购代理机构不承担责任。</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）竞争性磋商文件的澄清</w:t>
      </w:r>
      <w:bookmarkEnd w:id="53"/>
    </w:p>
    <w:p>
      <w:pPr>
        <w:spacing w:line="360" w:lineRule="auto"/>
        <w:ind w:firstLine="480" w:firstLineChars="200"/>
        <w:jc w:val="left"/>
        <w:rPr>
          <w:rFonts w:hint="eastAsia" w:ascii="宋体" w:hAnsi="宋体" w:eastAsia="宋体" w:cs="宋体"/>
          <w:sz w:val="24"/>
        </w:rPr>
      </w:pPr>
      <w:bookmarkStart w:id="54" w:name="_Toc19148"/>
      <w:r>
        <w:rPr>
          <w:rFonts w:hint="eastAsia" w:ascii="宋体" w:hAnsi="宋体" w:eastAsia="宋体" w:cs="宋体"/>
          <w:sz w:val="24"/>
        </w:rPr>
        <w:t>任何要求对竞争性磋商文件澄清的</w:t>
      </w:r>
      <w:r>
        <w:rPr>
          <w:rFonts w:hint="eastAsia" w:ascii="宋体" w:hAnsi="宋体" w:eastAsia="宋体" w:cs="宋体"/>
          <w:sz w:val="24"/>
          <w:lang w:eastAsia="zh-CN"/>
        </w:rPr>
        <w:t>供应商</w:t>
      </w:r>
      <w:r>
        <w:rPr>
          <w:rFonts w:hint="eastAsia" w:ascii="宋体" w:hAnsi="宋体" w:eastAsia="宋体" w:cs="宋体"/>
          <w:sz w:val="24"/>
        </w:rPr>
        <w:t>，均应在</w:t>
      </w:r>
      <w:r>
        <w:rPr>
          <w:rFonts w:hint="eastAsia" w:ascii="宋体" w:hAnsi="宋体" w:eastAsia="宋体" w:cs="宋体"/>
          <w:sz w:val="24"/>
          <w:lang w:eastAsia="zh-CN"/>
        </w:rPr>
        <w:t>响应文件</w:t>
      </w:r>
      <w:r>
        <w:rPr>
          <w:rFonts w:hint="eastAsia" w:ascii="宋体" w:hAnsi="宋体" w:eastAsia="宋体" w:cs="宋体"/>
          <w:sz w:val="24"/>
        </w:rPr>
        <w:t>递交截止日三个工作日</w:t>
      </w:r>
      <w:r>
        <w:rPr>
          <w:rFonts w:hint="eastAsia" w:ascii="宋体" w:hAnsi="宋体" w:eastAsia="宋体" w:cs="宋体"/>
          <w:sz w:val="24"/>
          <w:lang w:eastAsia="zh-CN"/>
        </w:rPr>
        <w:t>前</w:t>
      </w:r>
      <w:r>
        <w:rPr>
          <w:rFonts w:hint="eastAsia" w:ascii="宋体" w:hAnsi="宋体" w:eastAsia="宋体" w:cs="宋体"/>
          <w:sz w:val="24"/>
        </w:rPr>
        <w:t>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）竞争性磋商文件的修改</w:t>
      </w:r>
      <w:bookmarkEnd w:id="54"/>
    </w:p>
    <w:p>
      <w:pPr>
        <w:spacing w:line="360" w:lineRule="auto"/>
        <w:ind w:firstLine="480" w:firstLineChars="200"/>
        <w:jc w:val="left"/>
        <w:rPr>
          <w:rFonts w:hint="eastAsia" w:ascii="宋体" w:hAnsi="宋体" w:eastAsia="宋体" w:cs="宋体"/>
          <w:sz w:val="24"/>
        </w:rPr>
      </w:pPr>
      <w:bookmarkStart w:id="55" w:name="_Toc13840"/>
      <w:bookmarkStart w:id="56" w:name="_Toc7177"/>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在响应文件接收截止日期前，采购人可以更正公告或补充文件的形式对竞争性磋商文件进行修改。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竞争性磋商文件的修改将以书面形式通知所有已报名</w:t>
      </w:r>
      <w:r>
        <w:rPr>
          <w:rFonts w:hint="eastAsia" w:ascii="宋体" w:hAnsi="宋体" w:eastAsia="宋体" w:cs="宋体"/>
          <w:sz w:val="24"/>
          <w:lang w:eastAsia="zh-CN"/>
        </w:rPr>
        <w:t>供应商</w:t>
      </w:r>
      <w:r>
        <w:rPr>
          <w:rFonts w:hint="eastAsia" w:ascii="宋体" w:hAnsi="宋体" w:eastAsia="宋体" w:cs="宋体"/>
          <w:sz w:val="24"/>
        </w:rPr>
        <w:t>，并对</w:t>
      </w:r>
      <w:r>
        <w:rPr>
          <w:rFonts w:hint="eastAsia" w:ascii="宋体" w:hAnsi="宋体" w:eastAsia="宋体" w:cs="宋体"/>
          <w:sz w:val="24"/>
          <w:lang w:eastAsia="zh-CN"/>
        </w:rPr>
        <w:t>供应商</w:t>
      </w:r>
      <w:r>
        <w:rPr>
          <w:rFonts w:hint="eastAsia" w:ascii="宋体" w:hAnsi="宋体" w:eastAsia="宋体" w:cs="宋体"/>
          <w:sz w:val="24"/>
        </w:rPr>
        <w:t>具有约束力。</w:t>
      </w:r>
      <w:r>
        <w:rPr>
          <w:rFonts w:hint="eastAsia" w:ascii="宋体" w:hAnsi="宋体" w:eastAsia="宋体" w:cs="宋体"/>
          <w:sz w:val="24"/>
          <w:lang w:eastAsia="zh-CN"/>
        </w:rPr>
        <w:t>供应商</w:t>
      </w:r>
      <w:r>
        <w:rPr>
          <w:rFonts w:hint="eastAsia" w:ascii="宋体" w:hAnsi="宋体" w:eastAsia="宋体" w:cs="宋体"/>
          <w:sz w:val="24"/>
        </w:rPr>
        <w:t>收到修改文件后，应于1个工作日内回复采购人，逾期不回的，视同已收。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为使</w:t>
      </w:r>
      <w:r>
        <w:rPr>
          <w:rFonts w:hint="eastAsia" w:ascii="宋体" w:hAnsi="宋体" w:eastAsia="宋体" w:cs="宋体"/>
          <w:sz w:val="24"/>
          <w:lang w:eastAsia="zh-CN"/>
        </w:rPr>
        <w:t>供应商</w:t>
      </w:r>
      <w:r>
        <w:rPr>
          <w:rFonts w:hint="eastAsia" w:ascii="宋体" w:hAnsi="宋体" w:eastAsia="宋体" w:cs="宋体"/>
          <w:sz w:val="24"/>
        </w:rPr>
        <w:t>有充分的时间对竞争性磋商文件的修改部分进行分析、研究，采购人有权推迟响应文件接收截止日期和磋商时间，并将此变更书面通知所有购买竞争性磋商文件的</w:t>
      </w:r>
      <w:r>
        <w:rPr>
          <w:rFonts w:hint="eastAsia" w:ascii="宋体" w:hAnsi="宋体" w:eastAsia="宋体" w:cs="宋体"/>
          <w:sz w:val="24"/>
          <w:lang w:eastAsia="zh-CN"/>
        </w:rPr>
        <w:t>供应商</w:t>
      </w:r>
      <w:r>
        <w:rPr>
          <w:rFonts w:hint="eastAsia" w:ascii="宋体" w:hAnsi="宋体" w:eastAsia="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采购人发出的所有补充、修改和变更文件均作为竞争性磋商文件的组成部分，与竞争性磋商文件具有同等法律效力。</w:t>
      </w:r>
    </w:p>
    <w:p>
      <w:pPr>
        <w:spacing w:line="360" w:lineRule="auto"/>
        <w:ind w:firstLine="2249" w:firstLineChars="800"/>
        <w:jc w:val="both"/>
        <w:outlineLvl w:val="1"/>
        <w:rPr>
          <w:rFonts w:hint="eastAsia" w:ascii="宋体" w:hAnsi="宋体" w:eastAsia="宋体" w:cs="宋体"/>
          <w:b/>
          <w:sz w:val="28"/>
          <w:szCs w:val="28"/>
        </w:rPr>
      </w:pPr>
      <w:r>
        <w:rPr>
          <w:rFonts w:hint="eastAsia" w:ascii="宋体" w:hAnsi="宋体" w:eastAsia="宋体" w:cs="宋体"/>
          <w:b/>
          <w:sz w:val="28"/>
          <w:szCs w:val="28"/>
        </w:rPr>
        <w:t>三、响应文件的编制</w:t>
      </w:r>
      <w:bookmarkEnd w:id="55"/>
      <w:bookmarkEnd w:id="56"/>
      <w:r>
        <w:rPr>
          <w:rFonts w:hint="eastAsia" w:ascii="宋体" w:hAnsi="宋体" w:eastAsia="宋体" w:cs="宋体"/>
          <w:b/>
          <w:sz w:val="28"/>
          <w:szCs w:val="28"/>
          <w:lang w:val="en-US" w:eastAsia="zh-CN"/>
        </w:rPr>
        <w:t>及</w:t>
      </w:r>
      <w:r>
        <w:rPr>
          <w:rFonts w:hint="eastAsia" w:ascii="宋体" w:hAnsi="宋体" w:eastAsia="宋体" w:cs="宋体"/>
          <w:b/>
          <w:sz w:val="28"/>
          <w:szCs w:val="28"/>
        </w:rPr>
        <w:t>编制顺序</w:t>
      </w:r>
    </w:p>
    <w:p>
      <w:pPr>
        <w:spacing w:line="360" w:lineRule="auto"/>
        <w:ind w:firstLine="482" w:firstLineChars="200"/>
        <w:rPr>
          <w:rFonts w:hint="eastAsia" w:ascii="宋体" w:hAnsi="宋体" w:eastAsia="宋体" w:cs="宋体"/>
          <w:b/>
          <w:color w:val="000000"/>
          <w:sz w:val="24"/>
          <w:lang w:eastAsia="zh-CN"/>
        </w:rPr>
      </w:pPr>
      <w:bookmarkStart w:id="57" w:name="_Toc32746"/>
      <w:r>
        <w:rPr>
          <w:rFonts w:hint="eastAsia" w:ascii="宋体" w:hAnsi="宋体" w:eastAsia="宋体" w:cs="宋体"/>
          <w:b/>
          <w:color w:val="000000"/>
          <w:sz w:val="24"/>
          <w:lang w:eastAsia="zh-CN"/>
        </w:rPr>
        <w:t>（一）</w:t>
      </w:r>
      <w:r>
        <w:rPr>
          <w:rFonts w:hint="eastAsia" w:ascii="宋体" w:hAnsi="宋体" w:eastAsia="宋体" w:cs="宋体"/>
          <w:b/>
          <w:color w:val="000000"/>
          <w:sz w:val="24"/>
        </w:rPr>
        <w:t>投标</w:t>
      </w:r>
      <w:r>
        <w:rPr>
          <w:rFonts w:hint="eastAsia" w:ascii="宋体" w:hAnsi="宋体" w:eastAsia="宋体" w:cs="宋体"/>
          <w:b/>
          <w:color w:val="000000"/>
          <w:sz w:val="24"/>
          <w:lang w:val="en-US" w:eastAsia="zh-CN"/>
        </w:rPr>
        <w:t>资格</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bookmarkStart w:id="58" w:name="_Toc13062_WPSOffice_Level2"/>
      <w:r>
        <w:rPr>
          <w:rFonts w:hint="eastAsia" w:ascii="宋体" w:hAnsi="宋体" w:eastAsia="宋体" w:cs="宋体"/>
          <w:sz w:val="24"/>
          <w:lang w:val="en-US" w:eastAsia="zh-CN"/>
        </w:rPr>
        <w:t>1、供应商必须符合《中华人民共和国政府采购法》第二十二条的规定：中小企业；</w:t>
      </w:r>
    </w:p>
    <w:bookmarkEnd w:id="58"/>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具有有效的营业执照；投标人具有国家旅游局或旅游行政主管部门颁发的旅行社业务经营许可证。</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3、具有良好的商业信誉和健全的财务会计制度需提供2022度财务审计报告，新成立公司提供近6个月财务报表；</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4、提供税务机关出具近六个月填报日期的完税证明 (新成立公司按实际发生提供) ；</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法定代表人需提供法定代表人证明书及法定代表人身份证，委托代理人需提供法定代表人授权委托书及委托代理人身份证，被委托人必须是投标人法人或正式员工，需提供社保部门出具最少近六个月（2023年2月-7月）的缴纳社保证明（社保缴费凭证或个人明细表）；</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近三年内在“信用中国网站”“中国政府采购网”“国家企业信用信息公示系统” “中国裁判文书网”以上网站如有行政处罚信息、列入经营异常名录信息、重大税收违法黑名单、经营异常的将拒绝其参本次采购活动，以上网站页面查询截图时间应在招标公告日期后并加盖单位公章；</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7、单位负责人为同一人或者存在直接控股、管理关系的不同投标人，不得参加同一合同项下的政府采购活动。</w:t>
      </w:r>
    </w:p>
    <w:p>
      <w:pPr>
        <w:pageBreakBefore w:val="0"/>
        <w:kinsoku/>
        <w:wordWrap/>
        <w:overflowPunct/>
        <w:topLinePunct w:val="0"/>
        <w:bidi w:val="0"/>
        <w:snapToGrid/>
        <w:spacing w:line="500" w:lineRule="exact"/>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8、履行合同所必需的设备和专业技术能力：提供《投标人资格声明函》；</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应详细阅读</w:t>
      </w:r>
      <w:r>
        <w:rPr>
          <w:rFonts w:hint="eastAsia" w:ascii="宋体" w:hAnsi="宋体" w:eastAsia="宋体" w:cs="宋体"/>
          <w:sz w:val="24"/>
          <w:lang w:eastAsia="zh-CN"/>
        </w:rPr>
        <w:t>磋商文件</w:t>
      </w:r>
      <w:r>
        <w:rPr>
          <w:rFonts w:hint="eastAsia" w:ascii="宋体" w:hAnsi="宋体" w:eastAsia="宋体" w:cs="宋体"/>
          <w:sz w:val="24"/>
        </w:rPr>
        <w:t>中的条款、规范、表示、条件和格式等所有内容，按</w:t>
      </w:r>
      <w:r>
        <w:rPr>
          <w:rFonts w:hint="eastAsia" w:ascii="宋体" w:hAnsi="宋体" w:eastAsia="宋体" w:cs="宋体"/>
          <w:sz w:val="24"/>
          <w:lang w:eastAsia="zh-CN"/>
        </w:rPr>
        <w:t>磋商文件</w:t>
      </w:r>
      <w:r>
        <w:rPr>
          <w:rFonts w:hint="eastAsia" w:ascii="宋体" w:hAnsi="宋体" w:eastAsia="宋体" w:cs="宋体"/>
          <w:sz w:val="24"/>
        </w:rPr>
        <w:t>的要求份数提供</w:t>
      </w:r>
      <w:r>
        <w:rPr>
          <w:rFonts w:hint="eastAsia" w:ascii="宋体" w:hAnsi="宋体" w:eastAsia="宋体" w:cs="宋体"/>
          <w:sz w:val="24"/>
          <w:lang w:eastAsia="zh-CN"/>
        </w:rPr>
        <w:t>响应文件</w:t>
      </w:r>
      <w:r>
        <w:rPr>
          <w:rFonts w:hint="eastAsia" w:ascii="宋体" w:hAnsi="宋体" w:eastAsia="宋体" w:cs="宋体"/>
          <w:sz w:val="24"/>
        </w:rPr>
        <w:t>，并保证所提供部材料的真实性，以使其投标对</w:t>
      </w:r>
      <w:r>
        <w:rPr>
          <w:rFonts w:hint="eastAsia" w:ascii="宋体" w:hAnsi="宋体" w:eastAsia="宋体" w:cs="宋体"/>
          <w:sz w:val="24"/>
          <w:lang w:eastAsia="zh-CN"/>
        </w:rPr>
        <w:t>磋商文件</w:t>
      </w:r>
      <w:r>
        <w:rPr>
          <w:rFonts w:hint="eastAsia" w:ascii="宋体" w:hAnsi="宋体" w:eastAsia="宋体" w:cs="宋体"/>
          <w:sz w:val="24"/>
        </w:rPr>
        <w:t>做出实质性响应。否则，其投标会被拒绝。</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rPr>
      </w:pPr>
      <w:r>
        <w:rPr>
          <w:rFonts w:hint="eastAsia" w:ascii="宋体" w:hAnsi="宋体" w:eastAsia="宋体" w:cs="宋体"/>
          <w:b/>
          <w:sz w:val="24"/>
          <w:lang w:eastAsia="zh-CN"/>
        </w:rPr>
        <w:t>（三）响应文件</w:t>
      </w:r>
      <w:r>
        <w:rPr>
          <w:rFonts w:hint="eastAsia" w:ascii="宋体" w:hAnsi="宋体" w:eastAsia="宋体" w:cs="宋体"/>
          <w:b/>
          <w:sz w:val="24"/>
        </w:rPr>
        <w:t>语言和度量单位</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磋商文件</w:t>
      </w:r>
      <w:r>
        <w:rPr>
          <w:rFonts w:hint="eastAsia" w:ascii="宋体" w:hAnsi="宋体" w:eastAsia="宋体" w:cs="宋体"/>
          <w:sz w:val="24"/>
        </w:rPr>
        <w:t>及</w:t>
      </w:r>
      <w:r>
        <w:rPr>
          <w:rFonts w:hint="eastAsia" w:ascii="宋体" w:hAnsi="宋体" w:eastAsia="宋体" w:cs="宋体"/>
          <w:sz w:val="24"/>
          <w:lang w:val="en-US" w:eastAsia="zh-CN"/>
        </w:rPr>
        <w:t>供应商</w:t>
      </w:r>
      <w:r>
        <w:rPr>
          <w:rFonts w:hint="eastAsia" w:ascii="宋体" w:hAnsi="宋体" w:eastAsia="宋体" w:cs="宋体"/>
          <w:sz w:val="24"/>
        </w:rPr>
        <w:t>和采购人就本次采购交换的文件和往来信件，须以中文书写。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除在</w:t>
      </w:r>
      <w:r>
        <w:rPr>
          <w:rFonts w:hint="eastAsia" w:ascii="宋体" w:hAnsi="宋体" w:eastAsia="宋体" w:cs="宋体"/>
          <w:sz w:val="24"/>
          <w:lang w:eastAsia="zh-CN"/>
        </w:rPr>
        <w:t>磋商文件</w:t>
      </w:r>
      <w:r>
        <w:rPr>
          <w:rFonts w:hint="eastAsia" w:ascii="宋体" w:hAnsi="宋体" w:eastAsia="宋体" w:cs="宋体"/>
          <w:sz w:val="24"/>
        </w:rPr>
        <w:t>的术规格中另有规定外，计量单位应使用中华人民共和国法定计量单位。</w:t>
      </w:r>
    </w:p>
    <w:p>
      <w:pPr>
        <w:spacing w:line="360" w:lineRule="auto"/>
        <w:ind w:firstLine="480" w:firstLineChars="200"/>
        <w:rPr>
          <w:rFonts w:hint="eastAsia" w:ascii="宋体" w:hAnsi="宋体" w:eastAsia="宋体" w:cs="宋体"/>
          <w:sz w:val="24"/>
        </w:rPr>
      </w:pPr>
      <w:bookmarkStart w:id="59" w:name="_Toc48995835"/>
      <w:bookmarkStart w:id="60" w:name="_Toc47418715"/>
      <w:bookmarkStart w:id="61" w:name="_Toc47262053"/>
      <w:bookmarkStart w:id="62" w:name="_Toc47261054"/>
      <w:bookmarkStart w:id="63" w:name="_Toc47418922"/>
      <w:bookmarkStart w:id="64" w:name="_Toc47418239"/>
      <w:bookmarkStart w:id="65" w:name="_Toc48791219"/>
      <w:bookmarkStart w:id="66" w:name="_Toc47261869"/>
      <w:bookmarkStart w:id="67" w:name="_Toc49019220"/>
      <w:bookmarkStart w:id="68" w:name="_Toc205342862"/>
      <w:bookmarkStart w:id="69" w:name="_Toc47261674"/>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 xml:space="preserve">提供已印刷好的产品资料如产品样本、说明书等可以用其他语言，但在解释响应性文件时，以翻译成中文为准。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本</w:t>
      </w:r>
      <w:r>
        <w:rPr>
          <w:rFonts w:hint="eastAsia" w:ascii="宋体" w:hAnsi="宋体" w:eastAsia="宋体" w:cs="宋体"/>
          <w:sz w:val="24"/>
          <w:lang w:eastAsia="zh-CN"/>
        </w:rPr>
        <w:t>磋商文件</w:t>
      </w:r>
      <w:r>
        <w:rPr>
          <w:rFonts w:hint="eastAsia" w:ascii="宋体" w:hAnsi="宋体" w:eastAsia="宋体" w:cs="宋体"/>
          <w:sz w:val="24"/>
        </w:rPr>
        <w:t>所表述的时间均为北京时间。</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rPr>
      </w:pPr>
      <w:r>
        <w:rPr>
          <w:rFonts w:hint="eastAsia" w:ascii="宋体" w:hAnsi="宋体" w:eastAsia="宋体" w:cs="宋体"/>
          <w:b/>
          <w:sz w:val="24"/>
          <w:lang w:eastAsia="zh-CN"/>
        </w:rPr>
        <w:t>（四）响应文件</w:t>
      </w:r>
      <w:r>
        <w:rPr>
          <w:rFonts w:hint="eastAsia" w:ascii="宋体" w:hAnsi="宋体" w:eastAsia="宋体" w:cs="宋体"/>
          <w:b/>
          <w:sz w:val="24"/>
        </w:rPr>
        <w:t>的</w:t>
      </w:r>
      <w:bookmarkEnd w:id="59"/>
      <w:bookmarkEnd w:id="60"/>
      <w:bookmarkEnd w:id="61"/>
      <w:bookmarkEnd w:id="62"/>
      <w:bookmarkEnd w:id="63"/>
      <w:bookmarkEnd w:id="64"/>
      <w:bookmarkEnd w:id="65"/>
      <w:bookmarkEnd w:id="66"/>
      <w:bookmarkEnd w:id="67"/>
      <w:bookmarkEnd w:id="68"/>
      <w:bookmarkEnd w:id="69"/>
      <w:r>
        <w:rPr>
          <w:rFonts w:hint="eastAsia" w:ascii="宋体" w:hAnsi="宋体" w:eastAsia="宋体" w:cs="宋体"/>
          <w:b/>
          <w:sz w:val="24"/>
        </w:rPr>
        <w:t>构成</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w:t>
      </w:r>
      <w:r>
        <w:rPr>
          <w:rFonts w:hint="eastAsia" w:ascii="宋体" w:hAnsi="宋体" w:eastAsia="宋体" w:cs="宋体"/>
          <w:color w:val="auto"/>
          <w:sz w:val="24"/>
          <w:lang w:eastAsia="zh-CN"/>
        </w:rPr>
        <w:t>磋商文件</w:t>
      </w:r>
      <w:r>
        <w:rPr>
          <w:rFonts w:hint="eastAsia" w:ascii="宋体" w:hAnsi="宋体" w:eastAsia="宋体" w:cs="宋体"/>
          <w:color w:val="auto"/>
          <w:sz w:val="24"/>
        </w:rPr>
        <w:t>的所有内容，按</w:t>
      </w:r>
      <w:r>
        <w:rPr>
          <w:rFonts w:hint="eastAsia" w:ascii="宋体" w:hAnsi="宋体" w:eastAsia="宋体" w:cs="宋体"/>
          <w:color w:val="auto"/>
          <w:sz w:val="24"/>
          <w:lang w:eastAsia="zh-CN"/>
        </w:rPr>
        <w:t>磋商文件</w:t>
      </w:r>
      <w:r>
        <w:rPr>
          <w:rFonts w:hint="eastAsia" w:ascii="宋体" w:hAnsi="宋体" w:eastAsia="宋体" w:cs="宋体"/>
          <w:color w:val="auto"/>
          <w:sz w:val="24"/>
        </w:rPr>
        <w:t>的要求提供</w:t>
      </w:r>
      <w:r>
        <w:rPr>
          <w:rFonts w:hint="eastAsia" w:ascii="宋体" w:hAnsi="宋体" w:eastAsia="宋体" w:cs="宋体"/>
          <w:color w:val="auto"/>
          <w:sz w:val="24"/>
          <w:lang w:eastAsia="zh-CN"/>
        </w:rPr>
        <w:t>响应文件</w:t>
      </w:r>
      <w:r>
        <w:rPr>
          <w:rFonts w:hint="eastAsia" w:ascii="宋体" w:hAnsi="宋体" w:eastAsia="宋体" w:cs="宋体"/>
          <w:color w:val="auto"/>
          <w:sz w:val="24"/>
        </w:rPr>
        <w:t>，并保证提供的全部资料的真实性，以使投标对</w:t>
      </w:r>
      <w:r>
        <w:rPr>
          <w:rFonts w:hint="eastAsia" w:ascii="宋体" w:hAnsi="宋体" w:eastAsia="宋体" w:cs="宋体"/>
          <w:color w:val="auto"/>
          <w:sz w:val="24"/>
          <w:lang w:eastAsia="zh-CN"/>
        </w:rPr>
        <w:t>磋商文件</w:t>
      </w:r>
      <w:r>
        <w:rPr>
          <w:rFonts w:hint="eastAsia" w:ascii="宋体" w:hAnsi="宋体" w:eastAsia="宋体" w:cs="宋体"/>
          <w:color w:val="auto"/>
          <w:sz w:val="24"/>
        </w:rPr>
        <w:t>作出实质性响应，否则，其投标将被拒绝。</w:t>
      </w:r>
    </w:p>
    <w:p>
      <w:pPr>
        <w:pStyle w:val="9"/>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响应文件目录</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承诺函</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法定代表人身份证明书</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sz w:val="24"/>
        </w:rPr>
        <w:t>法人代表授权</w:t>
      </w:r>
      <w:r>
        <w:rPr>
          <w:rFonts w:hint="eastAsia" w:ascii="宋体" w:hAnsi="宋体" w:eastAsia="宋体" w:cs="宋体"/>
          <w:sz w:val="24"/>
          <w:lang w:val="en-US" w:eastAsia="zh-CN"/>
        </w:rPr>
        <w:t>委托</w:t>
      </w:r>
      <w:r>
        <w:rPr>
          <w:rFonts w:hint="eastAsia" w:ascii="宋体" w:hAnsi="宋体" w:eastAsia="宋体" w:cs="宋体"/>
          <w:sz w:val="24"/>
        </w:rPr>
        <w:t>书</w:t>
      </w:r>
    </w:p>
    <w:p>
      <w:pPr>
        <w:pStyle w:val="9"/>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四、报价一览表</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明细报价表</w:t>
      </w:r>
    </w:p>
    <w:p>
      <w:pPr>
        <w:pStyle w:val="9"/>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六、公司简介</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资格的声明</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八、</w:t>
      </w:r>
      <w:r>
        <w:rPr>
          <w:rFonts w:hint="eastAsia" w:ascii="宋体" w:hAnsi="宋体" w:eastAsia="宋体" w:cs="宋体"/>
          <w:sz w:val="24"/>
        </w:rPr>
        <w:t>反商贿赂承诺书</w:t>
      </w:r>
    </w:p>
    <w:p>
      <w:pPr>
        <w:pStyle w:val="9"/>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九、</w:t>
      </w:r>
      <w:r>
        <w:rPr>
          <w:rFonts w:hint="eastAsia" w:ascii="宋体" w:hAnsi="宋体" w:eastAsia="宋体" w:cs="宋体"/>
          <w:sz w:val="24"/>
          <w:lang w:eastAsia="zh-CN"/>
        </w:rPr>
        <w:t>供应</w:t>
      </w:r>
      <w:r>
        <w:rPr>
          <w:rFonts w:hint="eastAsia" w:ascii="宋体" w:hAnsi="宋体" w:eastAsia="宋体" w:cs="宋体"/>
          <w:sz w:val="24"/>
          <w:highlight w:val="none"/>
          <w:lang w:eastAsia="zh-CN"/>
        </w:rPr>
        <w:t>商</w:t>
      </w:r>
      <w:r>
        <w:rPr>
          <w:rFonts w:hint="eastAsia" w:ascii="宋体" w:hAnsi="宋体" w:eastAsia="宋体" w:cs="宋体"/>
          <w:sz w:val="24"/>
          <w:highlight w:val="none"/>
          <w:lang w:val="en-US" w:eastAsia="zh-CN"/>
        </w:rPr>
        <w:t>类似业绩证明</w:t>
      </w:r>
    </w:p>
    <w:p>
      <w:pPr>
        <w:pStyle w:val="9"/>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十、项目拟投入主要人员一览表</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十一、服务方案（格式自拟格式自拟）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十二、供应商认为需要提交的其他材料</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本项目要求按上述内容编制标书，并按照标书中所附的</w:t>
      </w:r>
      <w:r>
        <w:rPr>
          <w:rFonts w:hint="eastAsia" w:ascii="宋体" w:hAnsi="宋体" w:eastAsia="宋体" w:cs="宋体"/>
          <w:sz w:val="24"/>
          <w:lang w:eastAsia="zh-CN"/>
        </w:rPr>
        <w:t>响应文件</w:t>
      </w:r>
      <w:r>
        <w:rPr>
          <w:rFonts w:hint="eastAsia" w:ascii="宋体" w:hAnsi="宋体" w:eastAsia="宋体" w:cs="宋体"/>
          <w:sz w:val="24"/>
        </w:rPr>
        <w:t>规格编写，</w:t>
      </w:r>
      <w:r>
        <w:rPr>
          <w:rFonts w:hint="eastAsia" w:ascii="宋体" w:hAnsi="宋体" w:eastAsia="宋体" w:cs="宋体"/>
          <w:sz w:val="24"/>
          <w:lang w:val="en-US" w:eastAsia="zh-CN"/>
        </w:rPr>
        <w:t>供应商</w:t>
      </w:r>
      <w:r>
        <w:rPr>
          <w:rFonts w:hint="eastAsia" w:ascii="宋体" w:hAnsi="宋体" w:eastAsia="宋体" w:cs="宋体"/>
          <w:sz w:val="24"/>
        </w:rPr>
        <w:t>应完整、真实、准确的填写</w:t>
      </w:r>
      <w:r>
        <w:rPr>
          <w:rFonts w:hint="eastAsia" w:ascii="宋体" w:hAnsi="宋体" w:eastAsia="宋体" w:cs="宋体"/>
          <w:sz w:val="24"/>
          <w:lang w:eastAsia="zh-CN"/>
        </w:rPr>
        <w:t>磋商文件</w:t>
      </w:r>
      <w:r>
        <w:rPr>
          <w:rFonts w:hint="eastAsia" w:ascii="宋体" w:hAnsi="宋体" w:eastAsia="宋体" w:cs="宋体"/>
          <w:sz w:val="24"/>
        </w:rPr>
        <w:t>中规定的所有内容，对</w:t>
      </w:r>
      <w:r>
        <w:rPr>
          <w:rFonts w:hint="eastAsia" w:ascii="宋体" w:hAnsi="宋体" w:eastAsia="宋体" w:cs="宋体"/>
          <w:sz w:val="24"/>
          <w:lang w:eastAsia="zh-CN"/>
        </w:rPr>
        <w:t>响应文件</w:t>
      </w:r>
      <w:r>
        <w:rPr>
          <w:rFonts w:hint="eastAsia" w:ascii="宋体" w:hAnsi="宋体" w:eastAsia="宋体" w:cs="宋体"/>
          <w:sz w:val="24"/>
        </w:rPr>
        <w:t>所提供的全部资料的真实性承担法律责任，并无条件接受招标采购单位及政府采购监督管理部门等对其中任何资料进行核实的要求。</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（五）响应文件</w:t>
      </w:r>
      <w:r>
        <w:rPr>
          <w:rFonts w:hint="eastAsia" w:ascii="宋体" w:hAnsi="宋体" w:eastAsia="宋体" w:cs="宋体"/>
          <w:b/>
          <w:sz w:val="24"/>
        </w:rPr>
        <w:t>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应按</w:t>
      </w:r>
      <w:r>
        <w:rPr>
          <w:rFonts w:hint="eastAsia" w:ascii="宋体" w:hAnsi="宋体" w:eastAsia="宋体" w:cs="宋体"/>
          <w:sz w:val="24"/>
          <w:lang w:eastAsia="zh-CN"/>
        </w:rPr>
        <w:t>磋商文件</w:t>
      </w:r>
      <w:r>
        <w:rPr>
          <w:rFonts w:hint="eastAsia" w:ascii="宋体" w:hAnsi="宋体" w:eastAsia="宋体" w:cs="宋体"/>
          <w:sz w:val="24"/>
        </w:rPr>
        <w:t>的内容与要求和提供的格式编写其</w:t>
      </w:r>
      <w:r>
        <w:rPr>
          <w:rFonts w:hint="eastAsia" w:ascii="宋体" w:hAnsi="宋体" w:eastAsia="宋体" w:cs="宋体"/>
          <w:sz w:val="24"/>
          <w:lang w:eastAsia="zh-CN"/>
        </w:rPr>
        <w:t>响应文件</w:t>
      </w:r>
      <w:r>
        <w:rPr>
          <w:rFonts w:hint="eastAsia" w:ascii="宋体" w:hAnsi="宋体" w:eastAsia="宋体" w:cs="宋体"/>
          <w:sz w:val="24"/>
        </w:rPr>
        <w:t>，</w:t>
      </w:r>
      <w:r>
        <w:rPr>
          <w:rFonts w:hint="eastAsia" w:ascii="宋体" w:hAnsi="宋体" w:eastAsia="宋体" w:cs="宋体"/>
          <w:sz w:val="24"/>
          <w:lang w:val="en-US" w:eastAsia="zh-CN"/>
        </w:rPr>
        <w:t>供应商</w:t>
      </w:r>
      <w:r>
        <w:rPr>
          <w:rFonts w:hint="eastAsia" w:ascii="宋体" w:hAnsi="宋体" w:eastAsia="宋体" w:cs="宋体"/>
          <w:sz w:val="24"/>
        </w:rPr>
        <w:t>不得缺少或留空任何</w:t>
      </w:r>
      <w:r>
        <w:rPr>
          <w:rFonts w:hint="eastAsia" w:ascii="宋体" w:hAnsi="宋体" w:eastAsia="宋体" w:cs="宋体"/>
          <w:sz w:val="24"/>
          <w:lang w:eastAsia="zh-CN"/>
        </w:rPr>
        <w:t>磋商文件</w:t>
      </w:r>
      <w:r>
        <w:rPr>
          <w:rFonts w:hint="eastAsia" w:ascii="宋体" w:hAnsi="宋体" w:eastAsia="宋体" w:cs="宋体"/>
          <w:sz w:val="24"/>
        </w:rPr>
        <w:t>要求填写的格或提交的资料。如</w:t>
      </w:r>
      <w:r>
        <w:rPr>
          <w:rFonts w:hint="eastAsia" w:ascii="宋体" w:hAnsi="宋体" w:eastAsia="宋体" w:cs="宋体"/>
          <w:sz w:val="24"/>
          <w:lang w:eastAsia="zh-CN"/>
        </w:rPr>
        <w:t>磋商文件</w:t>
      </w:r>
      <w:r>
        <w:rPr>
          <w:rFonts w:hint="eastAsia" w:ascii="宋体" w:hAnsi="宋体" w:eastAsia="宋体" w:cs="宋体"/>
          <w:sz w:val="24"/>
        </w:rPr>
        <w:t>没有提供格式的，</w:t>
      </w:r>
      <w:r>
        <w:rPr>
          <w:rFonts w:hint="eastAsia" w:ascii="宋体" w:hAnsi="宋体" w:eastAsia="宋体" w:cs="宋体"/>
          <w:sz w:val="24"/>
          <w:lang w:eastAsia="zh-CN"/>
        </w:rPr>
        <w:t>供应商</w:t>
      </w:r>
      <w:r>
        <w:rPr>
          <w:rFonts w:hint="eastAsia" w:ascii="宋体" w:hAnsi="宋体" w:eastAsia="宋体" w:cs="宋体"/>
          <w:sz w:val="24"/>
        </w:rPr>
        <w:t>可自行设置。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2.供应商</w:t>
      </w:r>
      <w:r>
        <w:rPr>
          <w:rFonts w:hint="eastAsia" w:ascii="宋体" w:hAnsi="宋体" w:eastAsia="宋体" w:cs="宋体"/>
          <w:sz w:val="24"/>
        </w:rPr>
        <w:t>应将</w:t>
      </w:r>
      <w:r>
        <w:rPr>
          <w:rFonts w:hint="eastAsia" w:ascii="宋体" w:hAnsi="宋体" w:eastAsia="宋体" w:cs="宋体"/>
          <w:sz w:val="24"/>
          <w:lang w:eastAsia="zh-CN"/>
        </w:rPr>
        <w:t>响应文件</w:t>
      </w:r>
      <w:r>
        <w:rPr>
          <w:rFonts w:hint="eastAsia" w:ascii="宋体" w:hAnsi="宋体" w:eastAsia="宋体" w:cs="宋体"/>
          <w:sz w:val="24"/>
        </w:rPr>
        <w:t>按规定的顺序编排，应编制目录、逐页标注连续页码</w:t>
      </w:r>
      <w:r>
        <w:rPr>
          <w:rFonts w:hint="eastAsia" w:ascii="宋体" w:hAnsi="宋体" w:eastAsia="宋体" w:cs="宋体"/>
          <w:b/>
          <w:sz w:val="24"/>
        </w:rPr>
        <w:t>。</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eastAsia="zh-CN"/>
        </w:rPr>
        <w:t>（六）竞标报价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应在</w:t>
      </w:r>
      <w:r>
        <w:rPr>
          <w:rFonts w:hint="eastAsia" w:ascii="宋体" w:hAnsi="宋体" w:eastAsia="宋体" w:cs="宋体"/>
          <w:sz w:val="24"/>
          <w:lang w:eastAsia="zh-CN"/>
        </w:rPr>
        <w:t>磋商文件</w:t>
      </w:r>
      <w:r>
        <w:rPr>
          <w:rFonts w:hint="eastAsia" w:ascii="宋体" w:hAnsi="宋体" w:eastAsia="宋体" w:cs="宋体"/>
          <w:sz w:val="24"/>
        </w:rPr>
        <w:t>响应性明细报价表标明：所有报价均以验收后的全部费用，必须包括</w:t>
      </w:r>
      <w:r>
        <w:rPr>
          <w:rFonts w:hint="eastAsia" w:ascii="宋体" w:hAnsi="宋体" w:eastAsia="宋体" w:cs="宋体"/>
          <w:sz w:val="24"/>
          <w:lang w:val="en-US" w:eastAsia="zh-CN"/>
        </w:rPr>
        <w:t>完成本项目的所有工作的费用</w:t>
      </w:r>
      <w:r>
        <w:rPr>
          <w:rFonts w:hint="eastAsia" w:ascii="宋体" w:hAnsi="宋体" w:eastAsia="宋体" w:cs="宋体"/>
          <w:sz w:val="24"/>
        </w:rPr>
        <w:t>。</w:t>
      </w:r>
      <w:r>
        <w:rPr>
          <w:rFonts w:hint="eastAsia" w:ascii="宋体" w:hAnsi="宋体" w:eastAsia="宋体" w:cs="宋体"/>
          <w:b/>
          <w:sz w:val="24"/>
        </w:rPr>
        <w:t>何有选择的报价将不予接受。</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lang w:eastAsia="zh-CN"/>
        </w:rPr>
        <w:t>竞标报价</w:t>
      </w:r>
      <w:r>
        <w:rPr>
          <w:rFonts w:hint="eastAsia" w:ascii="宋体" w:hAnsi="宋体" w:eastAsia="宋体" w:cs="宋体"/>
          <w:b/>
          <w:sz w:val="24"/>
        </w:rPr>
        <w:t>时应注意下列几点：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.1本项目如非因重大需求变化导致成本增加，不得追加费用，</w:t>
      </w:r>
      <w:r>
        <w:rPr>
          <w:rFonts w:hint="eastAsia" w:ascii="宋体" w:hAnsi="宋体" w:eastAsia="宋体" w:cs="宋体"/>
          <w:sz w:val="24"/>
          <w:lang w:val="en-US" w:eastAsia="zh-CN"/>
        </w:rPr>
        <w:t>供应商</w:t>
      </w:r>
      <w:r>
        <w:rPr>
          <w:rFonts w:hint="eastAsia" w:ascii="宋体" w:hAnsi="宋体" w:eastAsia="宋体" w:cs="宋体"/>
          <w:sz w:val="24"/>
        </w:rPr>
        <w:t>应该考虑但没有考虑到的任何费用将由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eastAsia="宋体" w:cs="宋体"/>
          <w:sz w:val="24"/>
          <w:lang w:eastAsia="zh-CN"/>
        </w:rPr>
        <w:t>竞标报价</w:t>
      </w:r>
      <w:r>
        <w:rPr>
          <w:rFonts w:hint="eastAsia" w:ascii="宋体" w:hAnsi="宋体" w:eastAsia="宋体" w:cs="宋体"/>
          <w:sz w:val="24"/>
        </w:rPr>
        <w:t>超过</w:t>
      </w:r>
      <w:r>
        <w:rPr>
          <w:rFonts w:hint="eastAsia" w:ascii="宋体" w:hAnsi="宋体" w:eastAsia="宋体" w:cs="宋体"/>
          <w:sz w:val="24"/>
          <w:lang w:val="en-US" w:eastAsia="zh-CN"/>
        </w:rPr>
        <w:t>采购预算</w:t>
      </w:r>
      <w:r>
        <w:rPr>
          <w:rFonts w:hint="eastAsia" w:ascii="宋体" w:hAnsi="宋体" w:eastAsia="宋体" w:cs="宋体"/>
          <w:sz w:val="24"/>
        </w:rPr>
        <w:t>的，</w:t>
      </w:r>
      <w:r>
        <w:rPr>
          <w:rFonts w:hint="eastAsia" w:ascii="宋体" w:hAnsi="宋体" w:eastAsia="宋体" w:cs="宋体"/>
          <w:sz w:val="24"/>
          <w:lang w:val="en-US" w:eastAsia="zh-CN"/>
        </w:rPr>
        <w:t>按废标处理</w:t>
      </w:r>
      <w:r>
        <w:rPr>
          <w:rFonts w:hint="eastAsia" w:ascii="宋体" w:hAnsi="宋体" w:eastAsia="宋体" w:cs="宋体"/>
          <w:sz w:val="24"/>
          <w:lang w:eastAsia="zh-CN"/>
        </w:rPr>
        <w:t>；</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.3报价应包括实施和完成本项目服务内容的全部所需的人工费、交通、通讯、现场 勘察、协调、技术处理、办公、耗材等以及管理费、利润、税金、保险、政策性文件规定费用等一切费用，中标后的价格为一次性不变价，在合同有效期内不做调整。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（七）竞标报价</w:t>
      </w:r>
      <w:r>
        <w:rPr>
          <w:rFonts w:hint="eastAsia" w:ascii="宋体" w:hAnsi="宋体" w:eastAsia="宋体" w:cs="宋体"/>
          <w:b/>
          <w:sz w:val="24"/>
        </w:rPr>
        <w:t>的货币单位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竞标报价</w:t>
      </w:r>
      <w:r>
        <w:rPr>
          <w:rFonts w:hint="eastAsia" w:ascii="宋体" w:hAnsi="宋体" w:eastAsia="宋体" w:cs="宋体"/>
          <w:sz w:val="24"/>
        </w:rPr>
        <w:t>应以</w:t>
      </w:r>
      <w:r>
        <w:rPr>
          <w:rFonts w:hint="eastAsia" w:ascii="宋体" w:hAnsi="宋体" w:eastAsia="宋体" w:cs="宋体"/>
          <w:sz w:val="24"/>
          <w:lang w:val="en-US" w:eastAsia="zh-CN"/>
        </w:rPr>
        <w:t>人民币</w:t>
      </w:r>
      <w:r>
        <w:rPr>
          <w:rFonts w:hint="eastAsia" w:ascii="宋体" w:hAnsi="宋体" w:eastAsia="宋体" w:cs="宋体"/>
          <w:sz w:val="24"/>
        </w:rPr>
        <w:t>报价，各项价格必须清楚、准确、详细。</w:t>
      </w:r>
    </w:p>
    <w:p>
      <w:pPr>
        <w:spacing w:line="360" w:lineRule="auto"/>
        <w:ind w:firstLine="482" w:firstLineChars="200"/>
        <w:rPr>
          <w:rFonts w:hint="eastAsia" w:ascii="宋体" w:hAnsi="宋体" w:eastAsia="宋体" w:cs="宋体"/>
          <w:sz w:val="24"/>
          <w:lang w:eastAsia="zh-CN"/>
        </w:rPr>
      </w:pPr>
      <w:r>
        <w:rPr>
          <w:rFonts w:hint="eastAsia" w:ascii="宋体" w:hAnsi="宋体" w:eastAsia="宋体" w:cs="宋体"/>
          <w:b/>
          <w:sz w:val="24"/>
          <w:lang w:eastAsia="zh-CN"/>
        </w:rPr>
        <w:t>（八）磋商文件</w:t>
      </w:r>
      <w:r>
        <w:rPr>
          <w:rFonts w:hint="eastAsia" w:ascii="宋体" w:hAnsi="宋体" w:eastAsia="宋体" w:cs="宋体"/>
          <w:b/>
          <w:sz w:val="24"/>
        </w:rPr>
        <w:t>规定的技术</w:t>
      </w:r>
      <w:r>
        <w:rPr>
          <w:rFonts w:hint="eastAsia" w:ascii="宋体" w:hAnsi="宋体" w:eastAsia="宋体" w:cs="宋体"/>
          <w:b/>
          <w:sz w:val="24"/>
          <w:lang w:eastAsia="zh-CN"/>
        </w:rPr>
        <w:t>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1.供应商</w:t>
      </w:r>
      <w:r>
        <w:rPr>
          <w:rFonts w:hint="eastAsia" w:ascii="宋体" w:hAnsi="宋体" w:eastAsia="宋体" w:cs="宋体"/>
          <w:sz w:val="24"/>
        </w:rPr>
        <w:t>须提交证明</w:t>
      </w:r>
      <w:r>
        <w:rPr>
          <w:rFonts w:hint="eastAsia" w:ascii="宋体" w:hAnsi="宋体" w:eastAsia="宋体" w:cs="宋体"/>
          <w:sz w:val="24"/>
          <w:lang w:eastAsia="zh-CN"/>
        </w:rPr>
        <w:t>，</w:t>
      </w:r>
      <w:r>
        <w:rPr>
          <w:rFonts w:hint="eastAsia" w:ascii="宋体" w:hAnsi="宋体" w:eastAsia="宋体" w:cs="宋体"/>
          <w:sz w:val="24"/>
          <w:lang w:val="en-US" w:eastAsia="zh-CN"/>
        </w:rPr>
        <w:t>证明其拟</w:t>
      </w:r>
      <w:r>
        <w:rPr>
          <w:rFonts w:hint="eastAsia" w:ascii="宋体" w:hAnsi="宋体" w:eastAsia="宋体" w:cs="宋体"/>
          <w:sz w:val="24"/>
        </w:rPr>
        <w:t>投标的服务符合</w:t>
      </w:r>
      <w:r>
        <w:rPr>
          <w:rFonts w:hint="eastAsia" w:ascii="宋体" w:hAnsi="宋体" w:eastAsia="宋体" w:cs="宋体"/>
          <w:sz w:val="24"/>
          <w:lang w:eastAsia="zh-CN"/>
        </w:rPr>
        <w:t>磋商文件</w:t>
      </w:r>
      <w:r>
        <w:rPr>
          <w:rFonts w:hint="eastAsia" w:ascii="宋体" w:hAnsi="宋体" w:eastAsia="宋体" w:cs="宋体"/>
          <w:sz w:val="24"/>
        </w:rPr>
        <w:t>规定，该证明文件作为</w:t>
      </w:r>
      <w:r>
        <w:rPr>
          <w:rFonts w:hint="eastAsia" w:ascii="宋体" w:hAnsi="宋体" w:eastAsia="宋体" w:cs="宋体"/>
          <w:sz w:val="24"/>
          <w:lang w:eastAsia="zh-CN"/>
        </w:rPr>
        <w:t>响应文件</w:t>
      </w:r>
      <w:r>
        <w:rPr>
          <w:rFonts w:hint="eastAsia" w:ascii="宋体" w:hAnsi="宋体" w:eastAsia="宋体" w:cs="宋体"/>
          <w:sz w:val="24"/>
        </w:rPr>
        <w:t>的一部分。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证明服务与</w:t>
      </w:r>
      <w:r>
        <w:rPr>
          <w:rFonts w:hint="eastAsia" w:ascii="宋体" w:hAnsi="宋体" w:eastAsia="宋体" w:cs="宋体"/>
          <w:sz w:val="24"/>
          <w:lang w:eastAsia="zh-CN"/>
        </w:rPr>
        <w:t>磋商文件</w:t>
      </w:r>
      <w:r>
        <w:rPr>
          <w:rFonts w:hint="eastAsia" w:ascii="宋体" w:hAnsi="宋体" w:eastAsia="宋体" w:cs="宋体"/>
          <w:sz w:val="24"/>
        </w:rPr>
        <w:t>要求一致的文件，可以是文字资料、图纸和数据，它包括：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主要服务方案；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）对照</w:t>
      </w:r>
      <w:r>
        <w:rPr>
          <w:rFonts w:hint="eastAsia" w:ascii="宋体" w:hAnsi="宋体" w:eastAsia="宋体" w:cs="宋体"/>
          <w:sz w:val="24"/>
          <w:lang w:eastAsia="zh-CN"/>
        </w:rPr>
        <w:t>磋商文件</w:t>
      </w:r>
      <w:r>
        <w:rPr>
          <w:rFonts w:hint="eastAsia" w:ascii="宋体" w:hAnsi="宋体" w:eastAsia="宋体" w:cs="宋体"/>
          <w:sz w:val="24"/>
        </w:rPr>
        <w:t>技术规格、参数与要求，逐条说明所提供服务做出了实质性的响应，或申明与技术规格、参数与要求条文的偏差和例外。特别对于有具体参数要求的指标，</w:t>
      </w:r>
      <w:r>
        <w:rPr>
          <w:rFonts w:hint="eastAsia" w:ascii="宋体" w:hAnsi="宋体" w:eastAsia="宋体" w:cs="宋体"/>
          <w:sz w:val="24"/>
          <w:lang w:val="en-US" w:eastAsia="zh-CN"/>
        </w:rPr>
        <w:t>供应商</w:t>
      </w:r>
      <w:r>
        <w:rPr>
          <w:rFonts w:hint="eastAsia" w:ascii="宋体" w:hAnsi="宋体" w:eastAsia="宋体" w:cs="宋体"/>
          <w:sz w:val="24"/>
        </w:rPr>
        <w:t>必须提供所投设备的具体参数值。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没有按要求提供资料或提供资料不完全的，将被视为对</w:t>
      </w:r>
      <w:r>
        <w:rPr>
          <w:rFonts w:hint="eastAsia" w:ascii="宋体" w:hAnsi="宋体" w:eastAsia="宋体" w:cs="宋体"/>
          <w:sz w:val="24"/>
          <w:lang w:eastAsia="zh-CN"/>
        </w:rPr>
        <w:t>磋商文件</w:t>
      </w:r>
      <w:r>
        <w:rPr>
          <w:rFonts w:hint="eastAsia" w:ascii="宋体" w:hAnsi="宋体" w:eastAsia="宋体" w:cs="宋体"/>
          <w:sz w:val="24"/>
        </w:rPr>
        <w:t>没有做出实质性响应，其风险由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（九）</w:t>
      </w:r>
      <w:r>
        <w:rPr>
          <w:rFonts w:hint="eastAsia" w:ascii="宋体" w:hAnsi="宋体" w:eastAsia="宋体" w:cs="宋体"/>
          <w:b/>
          <w:sz w:val="24"/>
        </w:rPr>
        <w:t>投标有效期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从开标之日起</w:t>
      </w:r>
      <w:r>
        <w:rPr>
          <w:rFonts w:hint="eastAsia" w:ascii="宋体" w:hAnsi="宋体" w:eastAsia="宋体" w:cs="宋体"/>
          <w:sz w:val="24"/>
          <w:highlight w:val="none"/>
        </w:rPr>
        <w:t>，投标有效期</w:t>
      </w:r>
      <w:r>
        <w:rPr>
          <w:rFonts w:hint="eastAsia" w:ascii="宋体" w:hAnsi="宋体" w:eastAsia="宋体" w:cs="宋体"/>
          <w:sz w:val="24"/>
          <w:highlight w:val="none"/>
          <w:lang w:val="en-US" w:eastAsia="zh-CN"/>
        </w:rPr>
        <w:t>90</w:t>
      </w:r>
      <w:r>
        <w:rPr>
          <w:rFonts w:hint="eastAsia" w:ascii="宋体" w:hAnsi="宋体" w:eastAsia="宋体" w:cs="宋体"/>
          <w:sz w:val="24"/>
          <w:highlight w:val="none"/>
        </w:rPr>
        <w:t>天（如不</w:t>
      </w:r>
      <w:r>
        <w:rPr>
          <w:rFonts w:hint="eastAsia" w:ascii="宋体" w:hAnsi="宋体" w:eastAsia="宋体" w:cs="宋体"/>
          <w:sz w:val="24"/>
        </w:rPr>
        <w:t>满足将导致废标）。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在特殊情况下，采购人可与</w:t>
      </w:r>
      <w:r>
        <w:rPr>
          <w:rFonts w:hint="eastAsia" w:ascii="宋体" w:hAnsi="宋体" w:eastAsia="宋体" w:cs="宋体"/>
          <w:sz w:val="24"/>
          <w:lang w:val="en-US" w:eastAsia="zh-CN"/>
        </w:rPr>
        <w:t>供应商</w:t>
      </w:r>
      <w:r>
        <w:rPr>
          <w:rFonts w:hint="eastAsia" w:ascii="宋体" w:hAnsi="宋体" w:eastAsia="宋体" w:cs="宋体"/>
          <w:sz w:val="24"/>
        </w:rPr>
        <w:t>协商延</w:t>
      </w:r>
      <w:r>
        <w:rPr>
          <w:rFonts w:hint="eastAsia" w:ascii="宋体" w:hAnsi="宋体" w:eastAsia="宋体" w:cs="宋体"/>
          <w:sz w:val="24"/>
          <w:lang w:eastAsia="zh-CN"/>
        </w:rPr>
        <w:t>响应文件</w:t>
      </w:r>
      <w:r>
        <w:rPr>
          <w:rFonts w:hint="eastAsia" w:ascii="宋体" w:hAnsi="宋体" w:eastAsia="宋体" w:cs="宋体"/>
          <w:sz w:val="24"/>
        </w:rPr>
        <w:t>的有效期。</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（十）响应文件</w:t>
      </w:r>
      <w:r>
        <w:rPr>
          <w:rFonts w:hint="eastAsia" w:ascii="宋体" w:hAnsi="宋体" w:eastAsia="宋体" w:cs="宋体"/>
          <w:b/>
          <w:sz w:val="24"/>
        </w:rPr>
        <w:t>的签署规定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应清楚工整，一般不准修改。个别非实质性修改之处应由</w:t>
      </w:r>
      <w:r>
        <w:rPr>
          <w:rFonts w:hint="eastAsia" w:ascii="宋体" w:hAnsi="宋体" w:eastAsia="宋体" w:cs="宋体"/>
          <w:sz w:val="24"/>
          <w:lang w:val="en-US" w:eastAsia="zh-CN"/>
        </w:rPr>
        <w:t>应商</w:t>
      </w:r>
      <w:r>
        <w:rPr>
          <w:rFonts w:hint="eastAsia" w:ascii="宋体" w:hAnsi="宋体" w:eastAsia="宋体" w:cs="宋体"/>
          <w:sz w:val="24"/>
        </w:rPr>
        <w:t>的被授权人或法人代表签章。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响应文件</w:t>
      </w:r>
      <w:r>
        <w:rPr>
          <w:rFonts w:hint="eastAsia" w:ascii="宋体" w:hAnsi="宋体" w:eastAsia="宋体" w:cs="宋体"/>
          <w:sz w:val="24"/>
        </w:rPr>
        <w:t>应由法人代表或授权代表在规定的签章处逐一</w:t>
      </w:r>
      <w:r>
        <w:rPr>
          <w:rFonts w:hint="eastAsia" w:ascii="宋体" w:hAnsi="宋体" w:eastAsia="宋体" w:cs="宋体"/>
          <w:sz w:val="24"/>
          <w:lang w:val="en-US" w:eastAsia="zh-CN"/>
        </w:rPr>
        <w:t>签字或盖章</w:t>
      </w:r>
      <w:r>
        <w:rPr>
          <w:rFonts w:hint="eastAsia" w:ascii="宋体" w:hAnsi="宋体" w:eastAsia="宋体" w:cs="宋体"/>
          <w:sz w:val="24"/>
        </w:rPr>
        <w:t>并加盖单位公章。所有法人代表、法人代表授权人签字</w:t>
      </w:r>
      <w:r>
        <w:rPr>
          <w:rFonts w:hint="eastAsia" w:ascii="宋体" w:hAnsi="宋体" w:eastAsia="宋体" w:cs="宋体"/>
          <w:sz w:val="24"/>
          <w:lang w:val="en-US" w:eastAsia="zh-CN"/>
        </w:rPr>
        <w:t>或盖章处，</w:t>
      </w:r>
      <w:r>
        <w:rPr>
          <w:rFonts w:hint="eastAsia" w:ascii="宋体" w:hAnsi="宋体" w:eastAsia="宋体" w:cs="宋体"/>
          <w:sz w:val="24"/>
        </w:rPr>
        <w:t>必须</w:t>
      </w:r>
      <w:r>
        <w:rPr>
          <w:rFonts w:hint="eastAsia" w:ascii="宋体" w:hAnsi="宋体" w:eastAsia="宋体" w:cs="宋体"/>
          <w:sz w:val="24"/>
          <w:lang w:val="en-US" w:eastAsia="zh-CN"/>
        </w:rPr>
        <w:t>签字或</w:t>
      </w:r>
      <w:r>
        <w:rPr>
          <w:rFonts w:hint="eastAsia" w:ascii="宋体" w:hAnsi="宋体" w:eastAsia="宋体" w:cs="宋体"/>
          <w:sz w:val="24"/>
        </w:rPr>
        <w:t>加盖</w:t>
      </w:r>
      <w:r>
        <w:rPr>
          <w:rFonts w:hint="eastAsia" w:ascii="宋体" w:hAnsi="宋体" w:eastAsia="宋体" w:cs="宋体"/>
          <w:sz w:val="24"/>
          <w:lang w:val="en-US" w:eastAsia="zh-CN"/>
        </w:rPr>
        <w:t>后才</w:t>
      </w:r>
      <w:r>
        <w:rPr>
          <w:rFonts w:hint="eastAsia" w:ascii="宋体" w:hAnsi="宋体" w:eastAsia="宋体" w:cs="宋体"/>
          <w:sz w:val="24"/>
        </w:rPr>
        <w:t>具有法律效力，</w:t>
      </w:r>
      <w:r>
        <w:rPr>
          <w:rFonts w:hint="eastAsia" w:ascii="宋体" w:hAnsi="宋体" w:eastAsia="宋体" w:cs="宋体"/>
          <w:sz w:val="24"/>
          <w:lang w:eastAsia="zh-CN"/>
        </w:rPr>
        <w:t>响应文件</w:t>
      </w:r>
      <w:r>
        <w:rPr>
          <w:rFonts w:hint="eastAsia" w:ascii="宋体" w:hAnsi="宋体" w:eastAsia="宋体" w:cs="宋体"/>
          <w:sz w:val="24"/>
        </w:rPr>
        <w:t>方为有效。</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w:t>
      </w:r>
      <w:r>
        <w:rPr>
          <w:rFonts w:hint="eastAsia" w:ascii="宋体" w:hAnsi="宋体" w:eastAsia="宋体" w:cs="宋体"/>
          <w:sz w:val="24"/>
          <w:lang w:eastAsia="zh-CN"/>
        </w:rPr>
        <w:t>响应文件</w:t>
      </w:r>
      <w:r>
        <w:rPr>
          <w:rFonts w:hint="eastAsia" w:ascii="宋体" w:hAnsi="宋体" w:eastAsia="宋体" w:cs="宋体"/>
          <w:sz w:val="24"/>
          <w:lang w:val="en-US" w:eastAsia="zh-CN"/>
        </w:rPr>
        <w:t>电子版上传至新疆政府采购网</w:t>
      </w:r>
      <w:r>
        <w:rPr>
          <w:rFonts w:hint="eastAsia" w:ascii="宋体" w:hAnsi="宋体" w:eastAsia="宋体" w:cs="宋体"/>
          <w:sz w:val="24"/>
          <w:highlight w:val="none"/>
          <w:lang w:val="en-US"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电报、电话、传真、电子邮件等形式的投标概不接受。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lang w:eastAsia="zh-CN"/>
        </w:rPr>
        <w:t>（十一）</w:t>
      </w:r>
      <w:r>
        <w:rPr>
          <w:rFonts w:hint="eastAsia" w:ascii="宋体" w:hAnsi="宋体" w:eastAsia="宋体" w:cs="宋体"/>
          <w:b/>
          <w:sz w:val="24"/>
          <w:lang w:val="en-US" w:eastAsia="zh-CN"/>
        </w:rPr>
        <w:t>招标代理</w:t>
      </w:r>
      <w:r>
        <w:rPr>
          <w:rFonts w:hint="eastAsia" w:ascii="宋体" w:hAnsi="宋体" w:eastAsia="宋体" w:cs="宋体"/>
          <w:b/>
          <w:sz w:val="24"/>
        </w:rPr>
        <w:t>服务费</w:t>
      </w:r>
      <w:bookmarkEnd w:id="57"/>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供应商须知前附表规定</w:t>
      </w:r>
    </w:p>
    <w:p>
      <w:pPr>
        <w:spacing w:line="360" w:lineRule="auto"/>
        <w:ind w:firstLine="482" w:firstLineChars="200"/>
        <w:rPr>
          <w:rFonts w:hint="eastAsia" w:ascii="宋体" w:hAnsi="宋体" w:eastAsia="宋体" w:cs="宋体"/>
          <w:b/>
          <w:bCs/>
          <w:color w:val="auto"/>
          <w:sz w:val="24"/>
          <w:lang w:eastAsia="zh-CN"/>
        </w:rPr>
      </w:pPr>
      <w:r>
        <w:rPr>
          <w:rFonts w:hint="eastAsia" w:ascii="宋体" w:hAnsi="宋体" w:eastAsia="宋体" w:cs="宋体"/>
          <w:b/>
          <w:color w:val="auto"/>
          <w:sz w:val="24"/>
          <w:lang w:eastAsia="zh-CN"/>
        </w:rPr>
        <w:t>（十二）</w:t>
      </w:r>
      <w:r>
        <w:rPr>
          <w:rFonts w:hint="eastAsia" w:ascii="宋体" w:hAnsi="宋体" w:eastAsia="宋体" w:cs="宋体"/>
          <w:b/>
          <w:bCs/>
          <w:color w:val="auto"/>
          <w:sz w:val="24"/>
        </w:rPr>
        <w:t>磋商保证金</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供应商需提交投标保证金（投标保证金额、银行账号</w:t>
      </w:r>
      <w:r>
        <w:rPr>
          <w:rFonts w:hint="eastAsia" w:ascii="宋体" w:hAnsi="宋体" w:eastAsia="宋体" w:cs="宋体"/>
          <w:sz w:val="24"/>
          <w:lang w:eastAsia="zh-CN"/>
        </w:rPr>
        <w:t>、</w:t>
      </w:r>
      <w:r>
        <w:rPr>
          <w:rFonts w:hint="eastAsia" w:ascii="宋体" w:hAnsi="宋体" w:eastAsia="宋体" w:cs="宋体"/>
          <w:sz w:val="24"/>
          <w:lang w:val="en-US" w:eastAsia="zh-CN"/>
        </w:rPr>
        <w:t>递交截止时间</w:t>
      </w:r>
      <w:r>
        <w:rPr>
          <w:rFonts w:hint="eastAsia" w:ascii="宋体" w:hAnsi="宋体" w:eastAsia="宋体" w:cs="宋体"/>
          <w:sz w:val="24"/>
        </w:rPr>
        <w:t>见前附表），并作为投标组成部分之一。</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于未按要求提交投标保证金的，将被视为非响应性投标而予以拒绝。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下列任何情况发生时，投标保证金将被没收: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（1）供应商在投标有效期内撤回其响应文件的；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（2）成交人未在规定期限内及时签订项目合同的；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（3）其它违反政府采购法律法规的有关情况。</w:t>
      </w:r>
    </w:p>
    <w:p>
      <w:pPr>
        <w:spacing w:line="360" w:lineRule="auto"/>
        <w:ind w:firstLine="482" w:firstLineChars="200"/>
        <w:jc w:val="left"/>
        <w:rPr>
          <w:rFonts w:hint="eastAsia" w:ascii="宋体" w:hAnsi="宋体" w:eastAsia="宋体" w:cs="宋体"/>
          <w:sz w:val="24"/>
          <w:lang w:eastAsia="zh-CN"/>
        </w:rPr>
      </w:pPr>
      <w:bookmarkStart w:id="70" w:name="_Toc4057"/>
      <w:r>
        <w:rPr>
          <w:rFonts w:hint="eastAsia" w:ascii="宋体" w:hAnsi="宋体" w:eastAsia="宋体" w:cs="宋体"/>
          <w:b/>
          <w:sz w:val="24"/>
          <w:lang w:eastAsia="zh-CN"/>
        </w:rPr>
        <w:t>（十三）</w:t>
      </w:r>
      <w:bookmarkEnd w:id="70"/>
      <w:r>
        <w:rPr>
          <w:rFonts w:hint="eastAsia" w:ascii="宋体" w:hAnsi="宋体" w:eastAsia="宋体" w:cs="宋体"/>
          <w:b/>
          <w:bCs/>
          <w:sz w:val="24"/>
          <w:lang w:eastAsia="zh-CN"/>
        </w:rPr>
        <w:t>投标有效期</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投标有效期为竞争性磋商文件规定的供应商提交响应文件截止之日起</w:t>
      </w:r>
      <w:r>
        <w:rPr>
          <w:rFonts w:hint="eastAsia" w:ascii="宋体" w:hAnsi="宋体" w:eastAsia="宋体" w:cs="宋体"/>
          <w:sz w:val="24"/>
          <w:lang w:val="en-US" w:eastAsia="zh-CN"/>
        </w:rPr>
        <w:t>90</w:t>
      </w:r>
      <w:r>
        <w:rPr>
          <w:rFonts w:hint="eastAsia" w:ascii="宋体" w:hAnsi="宋体" w:eastAsia="宋体" w:cs="宋体"/>
          <w:sz w:val="24"/>
        </w:rPr>
        <w:t>天。</w:t>
      </w:r>
      <w:r>
        <w:rPr>
          <w:rFonts w:hint="eastAsia" w:ascii="宋体" w:hAnsi="宋体" w:eastAsia="宋体" w:cs="宋体"/>
          <w:sz w:val="24"/>
          <w:lang w:eastAsia="zh-CN"/>
        </w:rPr>
        <w:t>投标有效期</w:t>
      </w:r>
      <w:r>
        <w:rPr>
          <w:rFonts w:hint="eastAsia" w:ascii="宋体" w:hAnsi="宋体" w:eastAsia="宋体" w:cs="宋体"/>
          <w:sz w:val="24"/>
        </w:rPr>
        <w:t>不满足竞争性磋商文件要求将视为非响应性文件而予以拒绝。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bookmarkStart w:id="71" w:name="_Toc32415"/>
      <w:r>
        <w:rPr>
          <w:rFonts w:hint="eastAsia" w:ascii="宋体" w:hAnsi="宋体" w:eastAsia="宋体" w:cs="宋体"/>
          <w:sz w:val="24"/>
          <w:lang w:val="en-US" w:eastAsia="zh-CN"/>
        </w:rPr>
        <w:t>.</w:t>
      </w:r>
      <w:r>
        <w:rPr>
          <w:rFonts w:hint="eastAsia" w:ascii="宋体" w:hAnsi="宋体" w:eastAsia="宋体" w:cs="宋体"/>
          <w:sz w:val="24"/>
        </w:rPr>
        <w:t>在特殊情况下，采购人于原</w:t>
      </w:r>
      <w:r>
        <w:rPr>
          <w:rFonts w:hint="eastAsia" w:ascii="宋体" w:hAnsi="宋体" w:eastAsia="宋体" w:cs="宋体"/>
          <w:sz w:val="24"/>
          <w:lang w:eastAsia="zh-CN"/>
        </w:rPr>
        <w:t>投标有效期</w:t>
      </w:r>
      <w:r>
        <w:rPr>
          <w:rFonts w:hint="eastAsia" w:ascii="宋体" w:hAnsi="宋体" w:eastAsia="宋体" w:cs="宋体"/>
          <w:sz w:val="24"/>
        </w:rPr>
        <w:t>满之前，可向</w:t>
      </w:r>
      <w:r>
        <w:rPr>
          <w:rFonts w:hint="eastAsia" w:ascii="宋体" w:hAnsi="宋体" w:eastAsia="宋体" w:cs="宋体"/>
          <w:sz w:val="24"/>
          <w:lang w:eastAsia="zh-CN"/>
        </w:rPr>
        <w:t>供应商</w:t>
      </w:r>
      <w:r>
        <w:rPr>
          <w:rFonts w:hint="eastAsia" w:ascii="宋体" w:hAnsi="宋体" w:eastAsia="宋体" w:cs="宋体"/>
          <w:sz w:val="24"/>
        </w:rPr>
        <w:t>提出延长</w:t>
      </w:r>
      <w:r>
        <w:rPr>
          <w:rFonts w:hint="eastAsia" w:ascii="宋体" w:hAnsi="宋体" w:eastAsia="宋体" w:cs="宋体"/>
          <w:sz w:val="24"/>
          <w:lang w:eastAsia="zh-CN"/>
        </w:rPr>
        <w:t>投标有效期</w:t>
      </w:r>
      <w:r>
        <w:rPr>
          <w:rFonts w:hint="eastAsia" w:ascii="宋体" w:hAnsi="宋体" w:eastAsia="宋体" w:cs="宋体"/>
          <w:sz w:val="24"/>
        </w:rPr>
        <w:t>的要求，这种要求与答复均应采用书面形式（如信件、传真或电报等），</w:t>
      </w:r>
      <w:r>
        <w:rPr>
          <w:rFonts w:hint="eastAsia" w:ascii="宋体" w:hAnsi="宋体" w:eastAsia="宋体" w:cs="宋体"/>
          <w:sz w:val="24"/>
          <w:lang w:eastAsia="zh-CN"/>
        </w:rPr>
        <w:t>供应商</w:t>
      </w:r>
      <w:r>
        <w:rPr>
          <w:rFonts w:hint="eastAsia" w:ascii="宋体" w:hAnsi="宋体" w:eastAsia="宋体" w:cs="宋体"/>
          <w:sz w:val="24"/>
        </w:rPr>
        <w:t>可以拒绝采购人的这一要求而放弃参与磋商，磋商保证金予以退回；同意延长的</w:t>
      </w:r>
      <w:r>
        <w:rPr>
          <w:rFonts w:hint="eastAsia" w:ascii="宋体" w:hAnsi="宋体" w:eastAsia="宋体" w:cs="宋体"/>
          <w:sz w:val="24"/>
          <w:lang w:eastAsia="zh-CN"/>
        </w:rPr>
        <w:t>供应商</w:t>
      </w:r>
      <w:r>
        <w:rPr>
          <w:rFonts w:hint="eastAsia" w:ascii="宋体" w:hAnsi="宋体" w:eastAsia="宋体" w:cs="宋体"/>
          <w:sz w:val="24"/>
        </w:rPr>
        <w:t>既不能要求也不允许修改其响应文件。第十四条有关磋商保证金的没收和退还的规定在延长期内继续有效。</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lang w:eastAsia="zh-CN"/>
        </w:rPr>
        <w:t>（十四）</w:t>
      </w:r>
      <w:r>
        <w:rPr>
          <w:rFonts w:hint="eastAsia" w:ascii="宋体" w:hAnsi="宋体" w:eastAsia="宋体" w:cs="宋体"/>
          <w:b/>
          <w:bCs/>
          <w:sz w:val="24"/>
        </w:rPr>
        <w:t>响应文件份数和签署</w:t>
      </w:r>
      <w:bookmarkEnd w:id="71"/>
    </w:p>
    <w:p>
      <w:pPr>
        <w:spacing w:line="360" w:lineRule="auto"/>
        <w:ind w:firstLine="480" w:firstLineChars="200"/>
        <w:jc w:val="left"/>
        <w:rPr>
          <w:rFonts w:hint="eastAsia" w:ascii="宋体" w:hAnsi="宋体" w:eastAsia="宋体" w:cs="宋体"/>
          <w:sz w:val="24"/>
          <w:lang w:eastAsia="zh-CN"/>
        </w:rPr>
      </w:pPr>
      <w:bookmarkStart w:id="72" w:name="_Toc11128"/>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应严格按照</w:t>
      </w:r>
      <w:r>
        <w:rPr>
          <w:rFonts w:hint="eastAsia" w:ascii="宋体" w:hAnsi="宋体" w:eastAsia="宋体" w:cs="宋体"/>
          <w:sz w:val="24"/>
          <w:lang w:eastAsia="zh-CN"/>
        </w:rPr>
        <w:t>供应商</w:t>
      </w:r>
      <w:r>
        <w:rPr>
          <w:rFonts w:hint="eastAsia" w:ascii="宋体" w:hAnsi="宋体" w:eastAsia="宋体" w:cs="宋体"/>
          <w:sz w:val="24"/>
        </w:rPr>
        <w:t>须知的要求准备响应文件</w:t>
      </w:r>
      <w:r>
        <w:rPr>
          <w:rFonts w:hint="eastAsia" w:ascii="宋体" w:hAnsi="宋体" w:eastAsia="宋体" w:cs="宋体"/>
          <w:sz w:val="24"/>
          <w:lang w:eastAsia="zh-CN"/>
        </w:rPr>
        <w:t>，</w:t>
      </w:r>
    </w:p>
    <w:p>
      <w:pPr>
        <w:spacing w:line="360" w:lineRule="auto"/>
        <w:ind w:firstLine="480" w:firstLineChars="200"/>
        <w:jc w:val="left"/>
        <w:rPr>
          <w:rFonts w:hint="eastAsia" w:ascii="宋体" w:hAnsi="宋体" w:eastAsia="宋体" w:cs="宋体"/>
          <w:b/>
          <w:sz w:val="28"/>
          <w:szCs w:val="28"/>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w:t>
      </w:r>
      <w:r>
        <w:rPr>
          <w:rFonts w:hint="eastAsia" w:ascii="宋体" w:hAnsi="宋体" w:eastAsia="宋体" w:cs="宋体"/>
          <w:sz w:val="24"/>
          <w:lang w:eastAsia="zh-CN"/>
        </w:rPr>
        <w:t>供应商</w:t>
      </w:r>
      <w:r>
        <w:rPr>
          <w:rFonts w:hint="eastAsia" w:ascii="宋体" w:hAnsi="宋体" w:eastAsia="宋体" w:cs="宋体"/>
          <w:sz w:val="24"/>
        </w:rPr>
        <w:t>对错处做必要修改外，响应文件不得行间插字、涂改或增删，必要的修改处必须有</w:t>
      </w:r>
      <w:r>
        <w:rPr>
          <w:rFonts w:hint="eastAsia" w:ascii="宋体" w:hAnsi="宋体" w:eastAsia="宋体" w:cs="宋体"/>
          <w:sz w:val="24"/>
          <w:lang w:eastAsia="zh-CN"/>
        </w:rPr>
        <w:t>供应商</w:t>
      </w:r>
      <w:r>
        <w:rPr>
          <w:rFonts w:hint="eastAsia" w:ascii="宋体" w:hAnsi="宋体" w:eastAsia="宋体" w:cs="宋体"/>
          <w:sz w:val="24"/>
        </w:rPr>
        <w:t>法人代表或其授权代表人签字并加盖公章。</w:t>
      </w:r>
      <w:bookmarkEnd w:id="72"/>
      <w:bookmarkStart w:id="73" w:name="_Toc6236"/>
      <w:bookmarkStart w:id="74" w:name="_Toc10561"/>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四、响应文件的递交</w:t>
      </w:r>
      <w:bookmarkEnd w:id="73"/>
      <w:bookmarkEnd w:id="74"/>
    </w:p>
    <w:p>
      <w:pPr>
        <w:spacing w:line="360" w:lineRule="auto"/>
        <w:ind w:firstLine="482" w:firstLineChars="200"/>
        <w:rPr>
          <w:rFonts w:hint="eastAsia" w:ascii="宋体" w:hAnsi="宋体" w:eastAsia="宋体" w:cs="宋体"/>
          <w:b/>
          <w:sz w:val="24"/>
        </w:rPr>
      </w:pPr>
      <w:bookmarkStart w:id="75" w:name="_Toc6804"/>
      <w:r>
        <w:rPr>
          <w:rFonts w:hint="eastAsia" w:ascii="宋体" w:hAnsi="宋体" w:eastAsia="宋体" w:cs="宋体"/>
          <w:b/>
          <w:sz w:val="24"/>
        </w:rPr>
        <w:t>（</w:t>
      </w:r>
      <w:r>
        <w:rPr>
          <w:rFonts w:hint="eastAsia" w:ascii="宋体" w:hAnsi="宋体" w:eastAsia="宋体" w:cs="宋体"/>
          <w:b/>
          <w:sz w:val="24"/>
          <w:lang w:eastAsia="zh-CN"/>
        </w:rPr>
        <w:t>一</w:t>
      </w:r>
      <w:r>
        <w:rPr>
          <w:rFonts w:hint="eastAsia" w:ascii="宋体" w:hAnsi="宋体" w:eastAsia="宋体" w:cs="宋体"/>
          <w:b/>
          <w:sz w:val="24"/>
        </w:rPr>
        <w:t>）</w:t>
      </w:r>
      <w:bookmarkEnd w:id="75"/>
      <w:bookmarkStart w:id="76" w:name="_Toc213839734"/>
      <w:bookmarkStart w:id="77" w:name="_Toc27048"/>
      <w:bookmarkStart w:id="78" w:name="_Toc16896"/>
      <w:r>
        <w:rPr>
          <w:rFonts w:hint="eastAsia" w:ascii="宋体" w:hAnsi="宋体" w:eastAsia="宋体" w:cs="宋体"/>
          <w:b/>
          <w:sz w:val="24"/>
        </w:rPr>
        <w:t>响应文件递交截止日期及方式</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sz w:val="24"/>
          <w:lang w:val="en-US" w:eastAsia="zh-CN"/>
        </w:rPr>
        <w:t>.</w:t>
      </w:r>
      <w:r>
        <w:rPr>
          <w:rFonts w:hint="eastAsia" w:ascii="宋体" w:hAnsi="宋体" w:eastAsia="宋体" w:cs="宋体"/>
          <w:bCs/>
          <w:sz w:val="24"/>
        </w:rPr>
        <w:t>所有响应文件都必须在竞争性磋商文件规定的递交截止时间前送达指定磋商地，</w:t>
      </w:r>
      <w:r>
        <w:rPr>
          <w:rFonts w:hint="eastAsia" w:ascii="宋体" w:hAnsi="宋体" w:eastAsia="宋体" w:cs="宋体"/>
          <w:bCs/>
          <w:sz w:val="24"/>
          <w:lang w:val="en-US" w:eastAsia="zh-CN"/>
        </w:rPr>
        <w:t>未在规定时间内递到指定地点的响应文件将被拒收。</w:t>
      </w:r>
      <w:r>
        <w:rPr>
          <w:rFonts w:hint="eastAsia" w:ascii="宋体" w:hAnsi="宋体" w:eastAsia="宋体" w:cs="宋体"/>
          <w:bCs/>
          <w:sz w:val="24"/>
        </w:rPr>
        <w:t>采购人对误投概不负责。</w:t>
      </w:r>
    </w:p>
    <w:p>
      <w:pPr>
        <w:spacing w:line="360" w:lineRule="auto"/>
        <w:ind w:firstLine="480" w:firstLineChars="200"/>
        <w:rPr>
          <w:rFonts w:hint="eastAsia" w:ascii="宋体" w:hAnsi="宋体" w:eastAsia="宋体" w:cs="宋体"/>
          <w:b/>
          <w:sz w:val="24"/>
          <w:lang w:eastAsia="zh-CN"/>
        </w:rPr>
      </w:pPr>
      <w:r>
        <w:rPr>
          <w:rFonts w:hint="eastAsia" w:ascii="宋体" w:hAnsi="宋体" w:eastAsia="宋体" w:cs="宋体"/>
          <w:bCs/>
          <w:sz w:val="24"/>
        </w:rPr>
        <w:t>2</w:t>
      </w:r>
      <w:r>
        <w:rPr>
          <w:rFonts w:hint="eastAsia" w:ascii="宋体" w:hAnsi="宋体" w:eastAsia="宋体" w:cs="宋体"/>
          <w:sz w:val="24"/>
          <w:lang w:val="en-US" w:eastAsia="zh-CN"/>
        </w:rPr>
        <w:t>.</w:t>
      </w:r>
      <w:r>
        <w:rPr>
          <w:rFonts w:hint="eastAsia" w:ascii="宋体" w:hAnsi="宋体" w:eastAsia="宋体" w:cs="宋体"/>
          <w:bCs/>
          <w:sz w:val="24"/>
        </w:rPr>
        <w:t>采购代理机构将在竞争性磋商文件规定的时间和地点组织磋商会议</w:t>
      </w:r>
      <w:r>
        <w:rPr>
          <w:rFonts w:hint="eastAsia" w:ascii="宋体" w:hAnsi="宋体" w:eastAsia="宋体" w:cs="宋体"/>
          <w:bCs/>
          <w:sz w:val="24"/>
          <w:lang w:eastAsia="zh-CN"/>
        </w:rPr>
        <w:t>。</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sz w:val="24"/>
          <w:lang w:val="en-US" w:eastAsia="zh-CN"/>
        </w:rPr>
        <w:t>.</w:t>
      </w:r>
      <w:r>
        <w:rPr>
          <w:rFonts w:hint="eastAsia" w:ascii="宋体" w:hAnsi="宋体" w:eastAsia="宋体" w:cs="宋体"/>
          <w:bCs/>
          <w:sz w:val="24"/>
        </w:rPr>
        <w:t>采购人可以通过修改竞争性磋商文件酌情延长响应文件接收截止日期，在此情况下，</w:t>
      </w:r>
      <w:r>
        <w:rPr>
          <w:rFonts w:hint="eastAsia" w:ascii="宋体" w:hAnsi="宋体" w:eastAsia="宋体" w:cs="宋体"/>
          <w:bCs/>
          <w:sz w:val="24"/>
          <w:lang w:eastAsia="zh-CN"/>
        </w:rPr>
        <w:t>供应商</w:t>
      </w:r>
      <w:r>
        <w:rPr>
          <w:rFonts w:hint="eastAsia" w:ascii="宋体" w:hAnsi="宋体" w:eastAsia="宋体" w:cs="宋体"/>
          <w:bCs/>
          <w:sz w:val="24"/>
        </w:rPr>
        <w:t>的所有权利和义务以及</w:t>
      </w:r>
      <w:r>
        <w:rPr>
          <w:rFonts w:hint="eastAsia" w:ascii="宋体" w:hAnsi="宋体" w:eastAsia="宋体" w:cs="宋体"/>
          <w:bCs/>
          <w:sz w:val="24"/>
          <w:lang w:eastAsia="zh-CN"/>
        </w:rPr>
        <w:t>供应商</w:t>
      </w:r>
      <w:r>
        <w:rPr>
          <w:rFonts w:hint="eastAsia" w:ascii="宋体" w:hAnsi="宋体" w:eastAsia="宋体" w:cs="宋体"/>
          <w:bCs/>
          <w:sz w:val="24"/>
        </w:rPr>
        <w:t>受制约的截止日期均应以延长后新的截止日期为准。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二</w:t>
      </w:r>
      <w:r>
        <w:rPr>
          <w:rFonts w:hint="eastAsia" w:ascii="宋体" w:hAnsi="宋体" w:eastAsia="宋体" w:cs="宋体"/>
          <w:b/>
          <w:sz w:val="24"/>
        </w:rPr>
        <w:t>）迟交的响应文件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采购人将拒绝接收在规定的截止</w:t>
      </w:r>
      <w:r>
        <w:rPr>
          <w:rFonts w:hint="eastAsia" w:ascii="宋体" w:hAnsi="宋体" w:eastAsia="宋体" w:cs="宋体"/>
          <w:bCs/>
          <w:sz w:val="24"/>
          <w:lang w:val="en-US" w:eastAsia="zh-CN"/>
        </w:rPr>
        <w:t>时间</w:t>
      </w:r>
      <w:r>
        <w:rPr>
          <w:rFonts w:hint="eastAsia" w:ascii="宋体" w:hAnsi="宋体" w:eastAsia="宋体" w:cs="宋体"/>
          <w:bCs/>
          <w:sz w:val="24"/>
        </w:rPr>
        <w:t>后递交的任何响应文件。</w:t>
      </w:r>
      <w:bookmarkStart w:id="79" w:name="_Toc213839733"/>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三</w:t>
      </w:r>
      <w:r>
        <w:rPr>
          <w:rFonts w:hint="eastAsia" w:ascii="宋体" w:hAnsi="宋体" w:eastAsia="宋体" w:cs="宋体"/>
          <w:b/>
          <w:sz w:val="24"/>
        </w:rPr>
        <w:t>）响应文件的修改</w:t>
      </w:r>
      <w:bookmarkEnd w:id="79"/>
    </w:p>
    <w:p>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eastAsia="zh-CN"/>
        </w:rPr>
        <w:t>供应商</w:t>
      </w:r>
      <w:r>
        <w:rPr>
          <w:rFonts w:hint="eastAsia" w:ascii="宋体" w:hAnsi="宋体" w:eastAsia="宋体" w:cs="宋体"/>
          <w:bCs/>
          <w:sz w:val="24"/>
        </w:rPr>
        <w:t>在递交响应文件截止时之前，对所递交的响应文件可以补充、修改，补充、修改的内容为响应文件的组成部分对</w:t>
      </w:r>
      <w:r>
        <w:rPr>
          <w:rFonts w:hint="eastAsia" w:ascii="宋体" w:hAnsi="宋体" w:eastAsia="宋体" w:cs="宋体"/>
          <w:bCs/>
          <w:sz w:val="24"/>
          <w:lang w:eastAsia="zh-CN"/>
        </w:rPr>
        <w:t>供应商</w:t>
      </w:r>
      <w:r>
        <w:rPr>
          <w:rFonts w:hint="eastAsia" w:ascii="宋体" w:hAnsi="宋体" w:eastAsia="宋体" w:cs="宋体"/>
          <w:bCs/>
          <w:sz w:val="24"/>
        </w:rPr>
        <w:t>具有约束力。</w:t>
      </w:r>
      <w:r>
        <w:rPr>
          <w:rFonts w:hint="eastAsia" w:ascii="宋体" w:hAnsi="宋体" w:eastAsia="宋体" w:cs="宋体"/>
          <w:bCs/>
          <w:sz w:val="24"/>
          <w:lang w:val="en-US" w:eastAsia="zh-CN"/>
        </w:rPr>
        <w:t>补充和修改应按照要求递交。</w:t>
      </w:r>
    </w:p>
    <w:p>
      <w:pPr>
        <w:pStyle w:val="9"/>
        <w:rPr>
          <w:rFonts w:hint="eastAsia" w:ascii="宋体" w:hAnsi="宋体" w:eastAsia="宋体" w:cs="宋体"/>
          <w:lang w:val="en-US" w:eastAsia="zh-CN"/>
        </w:rPr>
      </w:pPr>
    </w:p>
    <w:p>
      <w:pPr>
        <w:snapToGrid w:val="0"/>
        <w:spacing w:line="360" w:lineRule="auto"/>
        <w:ind w:firstLine="562" w:firstLineChars="200"/>
        <w:jc w:val="center"/>
        <w:outlineLvl w:val="1"/>
        <w:rPr>
          <w:rFonts w:hint="eastAsia" w:ascii="宋体" w:hAnsi="宋体" w:eastAsia="宋体" w:cs="宋体"/>
          <w:b/>
          <w:sz w:val="28"/>
          <w:szCs w:val="28"/>
        </w:rPr>
      </w:pPr>
      <w:bookmarkStart w:id="80" w:name="_Toc5405"/>
      <w:r>
        <w:rPr>
          <w:rFonts w:hint="eastAsia" w:ascii="宋体" w:hAnsi="宋体" w:eastAsia="宋体" w:cs="宋体"/>
          <w:b/>
          <w:sz w:val="28"/>
          <w:szCs w:val="28"/>
        </w:rPr>
        <w:t>五、无效标、废标条款</w:t>
      </w:r>
      <w:bookmarkEnd w:id="80"/>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（一）无效竞标条款</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资格不符合竞争性磋商文件规定或未按规定提交资质证件的；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未在规定的时间内提交磋商保证</w:t>
      </w:r>
      <w:r>
        <w:rPr>
          <w:rFonts w:hint="eastAsia" w:ascii="宋体" w:hAnsi="宋体" w:eastAsia="宋体" w:cs="宋体"/>
          <w:sz w:val="24"/>
          <w:lang w:val="en-US" w:eastAsia="zh-CN"/>
        </w:rPr>
        <w:t>金款凭证</w:t>
      </w:r>
      <w:r>
        <w:rPr>
          <w:rFonts w:hint="eastAsia" w:ascii="宋体" w:hAnsi="宋体" w:eastAsia="宋体" w:cs="宋体"/>
          <w:sz w:val="24"/>
        </w:rPr>
        <w:t>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响应文件密封、签署、盖章不符合竞争性磋商文件要求的；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响应文件出现重大偏差，未对竞争性磋商文件进行实质性响应；</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rPr>
        <w:t>被授权人不参加磋商仪式及质询事宜的；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其它磋商小组认为有必要取消的投标；</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w:t>
      </w:r>
      <w:r>
        <w:rPr>
          <w:rFonts w:hint="eastAsia" w:ascii="宋体" w:hAnsi="宋体" w:eastAsia="宋体" w:cs="宋体"/>
          <w:sz w:val="24"/>
        </w:rPr>
        <w:t>法律、法规规定的其他情况。</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（二）废标条款</w:t>
      </w:r>
    </w:p>
    <w:p>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sz w:val="24"/>
          <w:lang w:val="en-US" w:eastAsia="zh-CN"/>
        </w:rPr>
        <w:t>.</w:t>
      </w:r>
      <w:r>
        <w:rPr>
          <w:rFonts w:hint="eastAsia" w:ascii="宋体" w:hAnsi="宋体" w:eastAsia="宋体" w:cs="宋体"/>
          <w:bCs/>
          <w:sz w:val="24"/>
        </w:rPr>
        <w:t>符合专业条件的</w:t>
      </w:r>
      <w:r>
        <w:rPr>
          <w:rFonts w:hint="eastAsia" w:ascii="宋体" w:hAnsi="宋体" w:eastAsia="宋体" w:cs="宋体"/>
          <w:bCs/>
          <w:sz w:val="24"/>
          <w:lang w:eastAsia="zh-CN"/>
        </w:rPr>
        <w:t>供应商</w:t>
      </w:r>
      <w:r>
        <w:rPr>
          <w:rFonts w:hint="eastAsia" w:ascii="宋体" w:hAnsi="宋体" w:eastAsia="宋体" w:cs="宋体"/>
          <w:bCs/>
          <w:sz w:val="24"/>
        </w:rPr>
        <w:t>或者对竞争性磋商文件作实质响应的</w:t>
      </w:r>
      <w:r>
        <w:rPr>
          <w:rFonts w:hint="eastAsia" w:ascii="宋体" w:hAnsi="宋体" w:eastAsia="宋体" w:cs="宋体"/>
          <w:bCs/>
          <w:sz w:val="24"/>
          <w:lang w:eastAsia="zh-CN"/>
        </w:rPr>
        <w:t>供应商</w:t>
      </w:r>
      <w:r>
        <w:rPr>
          <w:rFonts w:hint="eastAsia" w:ascii="宋体" w:hAnsi="宋体" w:eastAsia="宋体" w:cs="宋体"/>
          <w:bCs/>
          <w:sz w:val="24"/>
        </w:rPr>
        <w:t>不足三家的；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出现影响招标公正的违法、违规行的；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的报价均超过了招标预算，采购人不能支付的；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因重大变故，招标任务取消的。</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（三）参与</w:t>
      </w:r>
      <w:r>
        <w:rPr>
          <w:rFonts w:hint="eastAsia" w:ascii="宋体" w:hAnsi="宋体" w:eastAsia="宋体" w:cs="宋体"/>
          <w:b/>
          <w:bCs/>
          <w:sz w:val="24"/>
          <w:lang w:eastAsia="zh-CN"/>
        </w:rPr>
        <w:t>供应商</w:t>
      </w:r>
      <w:r>
        <w:rPr>
          <w:rFonts w:hint="eastAsia" w:ascii="宋体" w:hAnsi="宋体" w:eastAsia="宋体" w:cs="宋体"/>
          <w:b/>
          <w:bCs/>
          <w:sz w:val="24"/>
        </w:rPr>
        <w:t>不得少于三家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根据《政府招标竞争性磋商招标方式管理暂行办法》的规定，参与项目的</w:t>
      </w:r>
      <w:r>
        <w:rPr>
          <w:rFonts w:hint="eastAsia" w:ascii="宋体" w:hAnsi="宋体" w:eastAsia="宋体" w:cs="宋体"/>
          <w:sz w:val="24"/>
          <w:lang w:eastAsia="zh-CN"/>
        </w:rPr>
        <w:t>供应商</w:t>
      </w:r>
      <w:r>
        <w:rPr>
          <w:rFonts w:hint="eastAsia" w:ascii="宋体" w:hAnsi="宋体" w:eastAsia="宋体" w:cs="宋体"/>
          <w:sz w:val="24"/>
        </w:rPr>
        <w:t>不得少于三家。</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（四）取消交候选人资格条款</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提供虚假材料谋取成交的；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采取不正当手段诋毁、排挤其他</w:t>
      </w:r>
      <w:r>
        <w:rPr>
          <w:rFonts w:hint="eastAsia" w:ascii="宋体" w:hAnsi="宋体" w:eastAsia="宋体" w:cs="宋体"/>
          <w:sz w:val="24"/>
          <w:lang w:eastAsia="zh-CN"/>
        </w:rPr>
        <w:t>供应商</w:t>
      </w:r>
      <w:r>
        <w:rPr>
          <w:rFonts w:hint="eastAsia" w:ascii="宋体" w:hAnsi="宋体" w:eastAsia="宋体" w:cs="宋体"/>
          <w:sz w:val="24"/>
        </w:rPr>
        <w:t>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与采购人、其他</w:t>
      </w:r>
      <w:r>
        <w:rPr>
          <w:rFonts w:hint="eastAsia" w:ascii="宋体" w:hAnsi="宋体" w:eastAsia="宋体" w:cs="宋体"/>
          <w:sz w:val="24"/>
          <w:lang w:eastAsia="zh-CN"/>
        </w:rPr>
        <w:t>供应</w:t>
      </w:r>
      <w:r>
        <w:rPr>
          <w:rFonts w:hint="eastAsia" w:ascii="宋体" w:hAnsi="宋体" w:eastAsia="宋体" w:cs="宋体"/>
          <w:sz w:val="24"/>
        </w:rPr>
        <w:t>或者采购代理机构恶意串通的；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向采购人、采购代理机构行贿或者提供其他不正当利益的；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rPr>
        <w:t>在规定的时间内未与采购人签订招标合同的；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法律、法规规定的其他情况。</w:t>
      </w:r>
    </w:p>
    <w:bookmarkEnd w:id="76"/>
    <w:bookmarkEnd w:id="77"/>
    <w:bookmarkEnd w:id="78"/>
    <w:p>
      <w:pPr>
        <w:snapToGrid w:val="0"/>
        <w:spacing w:line="360" w:lineRule="auto"/>
        <w:ind w:firstLine="562" w:firstLineChars="200"/>
        <w:jc w:val="center"/>
        <w:outlineLvl w:val="9"/>
        <w:rPr>
          <w:rFonts w:hint="eastAsia" w:ascii="宋体" w:hAnsi="宋体" w:eastAsia="宋体" w:cs="宋体"/>
          <w:b/>
          <w:sz w:val="28"/>
          <w:szCs w:val="28"/>
        </w:rPr>
      </w:pPr>
      <w:bookmarkStart w:id="81" w:name="_Toc11937"/>
    </w:p>
    <w:p>
      <w:pPr>
        <w:snapToGrid w:val="0"/>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六、磋商程序及最终报价</w:t>
      </w:r>
      <w:bookmarkEnd w:id="81"/>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）磋商原则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评标</w:t>
      </w:r>
      <w:r>
        <w:rPr>
          <w:rFonts w:hint="eastAsia" w:ascii="宋体" w:hAnsi="宋体" w:eastAsia="宋体" w:cs="宋体"/>
          <w:sz w:val="24"/>
        </w:rPr>
        <w:t>、定标依据《</w:t>
      </w:r>
      <w:r>
        <w:rPr>
          <w:rFonts w:hint="eastAsia" w:ascii="宋体" w:hAnsi="宋体" w:eastAsia="宋体" w:cs="宋体"/>
          <w:sz w:val="24"/>
          <w:lang w:eastAsia="zh-CN"/>
        </w:rPr>
        <w:t>中华人民共和国政府采购法</w:t>
      </w:r>
      <w:r>
        <w:rPr>
          <w:rFonts w:hint="eastAsia" w:ascii="宋体" w:hAnsi="宋体" w:eastAsia="宋体" w:cs="宋体"/>
          <w:sz w:val="24"/>
        </w:rPr>
        <w:t>》及新疆维吾尔自治区财政厅等相关规定，遵循公开、公平、</w:t>
      </w:r>
      <w:r>
        <w:rPr>
          <w:rFonts w:hint="eastAsia" w:ascii="宋体" w:hAnsi="宋体" w:eastAsia="宋体" w:cs="宋体"/>
          <w:sz w:val="24"/>
          <w:lang w:val="en-US" w:eastAsia="zh-CN"/>
        </w:rPr>
        <w:t>公</w:t>
      </w:r>
      <w:r>
        <w:rPr>
          <w:rFonts w:hint="eastAsia" w:ascii="宋体" w:hAnsi="宋体" w:eastAsia="宋体" w:cs="宋体"/>
          <w:sz w:val="24"/>
        </w:rPr>
        <w:t>正竞争的原则。</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严格执行《</w:t>
      </w:r>
      <w:r>
        <w:rPr>
          <w:rFonts w:hint="eastAsia" w:ascii="宋体" w:hAnsi="宋体" w:eastAsia="宋体" w:cs="宋体"/>
          <w:sz w:val="24"/>
          <w:lang w:eastAsia="zh-CN"/>
        </w:rPr>
        <w:t>中华人民共和国政府采购法</w:t>
      </w:r>
      <w:r>
        <w:rPr>
          <w:rFonts w:hint="eastAsia" w:ascii="宋体" w:hAnsi="宋体" w:eastAsia="宋体" w:cs="宋体"/>
          <w:sz w:val="24"/>
        </w:rPr>
        <w:t>》及自治区有关法规、政策、维护采购人、</w:t>
      </w:r>
      <w:r>
        <w:rPr>
          <w:rFonts w:hint="eastAsia" w:ascii="宋体" w:hAnsi="宋体" w:eastAsia="宋体" w:cs="宋体"/>
          <w:sz w:val="24"/>
          <w:lang w:eastAsia="zh-CN"/>
        </w:rPr>
        <w:t>供应商</w:t>
      </w:r>
      <w:r>
        <w:rPr>
          <w:rFonts w:hint="eastAsia" w:ascii="宋体" w:hAnsi="宋体" w:eastAsia="宋体" w:cs="宋体"/>
          <w:sz w:val="24"/>
        </w:rPr>
        <w:t>的合法权益，选择对采购人最为有利的</w:t>
      </w:r>
      <w:r>
        <w:rPr>
          <w:rFonts w:hint="eastAsia" w:ascii="宋体" w:hAnsi="宋体" w:eastAsia="宋体" w:cs="宋体"/>
          <w:sz w:val="24"/>
          <w:lang w:eastAsia="zh-CN"/>
        </w:rPr>
        <w:t>供应商</w:t>
      </w:r>
      <w:r>
        <w:rPr>
          <w:rFonts w:hint="eastAsia" w:ascii="宋体" w:hAnsi="宋体" w:eastAsia="宋体" w:cs="宋体"/>
          <w:sz w:val="24"/>
        </w:rPr>
        <w:t>或候选</w:t>
      </w:r>
      <w:r>
        <w:rPr>
          <w:rFonts w:hint="eastAsia" w:ascii="宋体" w:hAnsi="宋体" w:eastAsia="宋体" w:cs="宋体"/>
          <w:sz w:val="24"/>
          <w:lang w:eastAsia="zh-CN"/>
        </w:rPr>
        <w:t>供应商；</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磋商小组所有成员应当集中与单一</w:t>
      </w:r>
      <w:r>
        <w:rPr>
          <w:rFonts w:hint="eastAsia" w:ascii="宋体" w:hAnsi="宋体" w:eastAsia="宋体" w:cs="宋体"/>
          <w:sz w:val="24"/>
          <w:lang w:eastAsia="zh-CN"/>
        </w:rPr>
        <w:t>供应商</w:t>
      </w:r>
      <w:r>
        <w:rPr>
          <w:rFonts w:hint="eastAsia" w:ascii="宋体" w:hAnsi="宋体" w:eastAsia="宋体" w:cs="宋体"/>
          <w:sz w:val="24"/>
        </w:rPr>
        <w:t>分别进行磋商，并给予所有参加磋商的</w:t>
      </w:r>
      <w:r>
        <w:rPr>
          <w:rFonts w:hint="eastAsia" w:ascii="宋体" w:hAnsi="宋体" w:eastAsia="宋体" w:cs="宋体"/>
          <w:sz w:val="24"/>
          <w:lang w:eastAsia="zh-CN"/>
        </w:rPr>
        <w:t>供应商</w:t>
      </w:r>
      <w:r>
        <w:rPr>
          <w:rFonts w:hint="eastAsia" w:ascii="宋体" w:hAnsi="宋体" w:eastAsia="宋体" w:cs="宋体"/>
          <w:sz w:val="24"/>
        </w:rPr>
        <w:t>平等的磋商机会。不应谈及与</w:t>
      </w:r>
      <w:r>
        <w:rPr>
          <w:rFonts w:hint="eastAsia" w:ascii="宋体" w:hAnsi="宋体" w:eastAsia="宋体" w:cs="宋体"/>
          <w:sz w:val="24"/>
          <w:lang w:eastAsia="zh-CN"/>
        </w:rPr>
        <w:t>供应商</w:t>
      </w:r>
      <w:r>
        <w:rPr>
          <w:rFonts w:hint="eastAsia" w:ascii="宋体" w:hAnsi="宋体" w:eastAsia="宋体" w:cs="宋体"/>
          <w:sz w:val="24"/>
        </w:rPr>
        <w:t>所提供的服务质量、技术、价格等无关的话题</w:t>
      </w:r>
      <w:r>
        <w:rPr>
          <w:rFonts w:hint="eastAsia" w:ascii="宋体" w:hAnsi="宋体" w:eastAsia="宋体" w:cs="宋体"/>
          <w:sz w:val="24"/>
          <w:lang w:eastAsia="zh-CN"/>
        </w:rPr>
        <w:t>；</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ascii="宋体" w:hAnsi="宋体" w:eastAsia="宋体" w:cs="宋体"/>
          <w:sz w:val="24"/>
          <w:lang w:eastAsia="zh-CN"/>
        </w:rPr>
        <w:t>供应商；</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坚持价格合理、方案第一的原则，不以最低报价作为中标唯一标准</w:t>
      </w:r>
      <w:r>
        <w:rPr>
          <w:rFonts w:hint="eastAsia" w:ascii="宋体" w:hAnsi="宋体" w:eastAsia="宋体" w:cs="宋体"/>
          <w:sz w:val="24"/>
          <w:lang w:eastAsia="zh-CN"/>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rPr>
        <w:t>磋商工作由评审专家及采购人代表共同组建的磋商小组承担。评审专家占磋商小组总数的三分之二以上。</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（二）</w:t>
      </w:r>
      <w:r>
        <w:rPr>
          <w:rFonts w:hint="eastAsia" w:ascii="宋体" w:hAnsi="宋体" w:eastAsia="宋体" w:cs="宋体"/>
          <w:b/>
          <w:sz w:val="24"/>
        </w:rPr>
        <w:t>磋商小组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采购人根据本项目的特点，于开标前24小时内，从</w:t>
      </w:r>
      <w:r>
        <w:rPr>
          <w:rFonts w:hint="eastAsia" w:ascii="宋体" w:hAnsi="宋体" w:eastAsia="宋体" w:cs="宋体"/>
          <w:sz w:val="24"/>
          <w:lang w:val="en-US" w:eastAsia="zh-CN"/>
        </w:rPr>
        <w:t>新疆政府采购网和田地区</w:t>
      </w:r>
      <w:r>
        <w:rPr>
          <w:rFonts w:hint="eastAsia" w:ascii="宋体" w:hAnsi="宋体" w:eastAsia="宋体" w:cs="宋体"/>
          <w:sz w:val="24"/>
        </w:rPr>
        <w:t>评审专家库中随机抽取组建磋商小组，其成员由有关技术、经济方面的专</w:t>
      </w:r>
      <w:r>
        <w:rPr>
          <w:rFonts w:hint="eastAsia" w:ascii="宋体" w:hAnsi="宋体" w:eastAsia="宋体" w:cs="宋体"/>
          <w:color w:val="000000"/>
          <w:sz w:val="24"/>
        </w:rPr>
        <w:t>家</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rPr>
        <w:t>人，业主代表</w:t>
      </w:r>
      <w:r>
        <w:rPr>
          <w:rFonts w:hint="eastAsia" w:ascii="宋体" w:hAnsi="宋体" w:eastAsia="宋体" w:cs="宋体"/>
          <w:color w:val="000000"/>
          <w:sz w:val="24"/>
          <w:u w:val="single"/>
          <w:lang w:val="en-US" w:eastAsia="zh-CN"/>
        </w:rPr>
        <w:t>1</w:t>
      </w:r>
      <w:r>
        <w:rPr>
          <w:rFonts w:hint="eastAsia" w:ascii="宋体" w:hAnsi="宋体" w:eastAsia="宋体" w:cs="宋体"/>
          <w:color w:val="000000"/>
          <w:sz w:val="24"/>
        </w:rPr>
        <w:t>人组成。磋商小组在监督部门的监督下独立完成磋商工作，负</w:t>
      </w:r>
      <w:r>
        <w:rPr>
          <w:rFonts w:hint="eastAsia" w:ascii="宋体" w:hAnsi="宋体" w:eastAsia="宋体" w:cs="宋体"/>
          <w:color w:val="auto"/>
          <w:sz w:val="24"/>
        </w:rPr>
        <w:t>责</w:t>
      </w:r>
      <w:r>
        <w:rPr>
          <w:rFonts w:hint="eastAsia" w:ascii="宋体" w:hAnsi="宋体" w:eastAsia="宋体" w:cs="宋体"/>
          <w:sz w:val="24"/>
        </w:rPr>
        <w:t>对响应文件进行审查、质询、评审、推选成交候选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）磋商程序</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代理机构按竞争性磋商文件规定的时间、地点组织开标、磋商。招标单位代表及有关工作人员参加，政府招标监管部门视况参与。</w:t>
      </w:r>
    </w:p>
    <w:p>
      <w:pPr>
        <w:widowControl/>
        <w:snapToGrid w:val="0"/>
        <w:spacing w:line="360" w:lineRule="auto"/>
        <w:ind w:firstLine="480" w:firstLineChars="200"/>
        <w:rPr>
          <w:rFonts w:hint="eastAsia" w:ascii="宋体" w:hAnsi="宋体" w:eastAsia="宋体" w:cs="宋体"/>
          <w:b/>
          <w:sz w:val="24"/>
          <w:u w:val="single"/>
          <w:lang w:eastAsia="zh-CN"/>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应委派法人或授权代表磋商活动</w:t>
      </w:r>
      <w:r>
        <w:rPr>
          <w:rFonts w:hint="eastAsia" w:ascii="宋体" w:hAnsi="宋体" w:eastAsia="宋体" w:cs="宋体"/>
          <w:sz w:val="24"/>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bCs/>
          <w:color w:val="000000"/>
          <w:sz w:val="24"/>
          <w:highlight w:val="none"/>
          <w:u w:val="single"/>
          <w:lang w:val="en-US" w:eastAsia="zh-CN"/>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开标会议由代理机构主持。</w:t>
      </w:r>
    </w:p>
    <w:p>
      <w:pPr>
        <w:pStyle w:val="50"/>
        <w:keepNext w:val="0"/>
        <w:keepLines w:val="0"/>
        <w:pageBreakBefore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磋商会议由磋商小组组长主持。磋商小组首先对各响应文件进行初步审查，初步审查包括资格性审查和符合性审查，未通过审查的为无效标</w:t>
      </w:r>
      <w:r>
        <w:rPr>
          <w:rFonts w:hint="eastAsia" w:ascii="宋体" w:hAnsi="宋体" w:eastAsia="宋体" w:cs="宋体"/>
          <w:sz w:val="24"/>
          <w:lang w:eastAsia="zh-CN"/>
        </w:rPr>
        <w:t>；</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资格性检查：磋商小组将根据法律法规和竞争性磋商文件的规定，对响应文件的资格证明文件等进行审查，以确定</w:t>
      </w:r>
      <w:r>
        <w:rPr>
          <w:rFonts w:hint="eastAsia" w:ascii="宋体" w:hAnsi="宋体" w:eastAsia="宋体" w:cs="宋体"/>
          <w:sz w:val="24"/>
          <w:lang w:eastAsia="zh-CN"/>
        </w:rPr>
        <w:t>供应商</w:t>
      </w:r>
      <w:r>
        <w:rPr>
          <w:rFonts w:hint="eastAsia" w:ascii="宋体" w:hAnsi="宋体" w:eastAsia="宋体" w:cs="宋体"/>
          <w:sz w:val="24"/>
        </w:rPr>
        <w:t>是否具备竞争性磋商资格</w:t>
      </w:r>
      <w:r>
        <w:rPr>
          <w:rFonts w:hint="eastAsia" w:ascii="宋体" w:hAnsi="宋体" w:eastAsia="宋体" w:cs="宋体"/>
          <w:sz w:val="24"/>
          <w:lang w:eastAsia="zh-CN"/>
        </w:rPr>
        <w:t>；</w:t>
      </w:r>
    </w:p>
    <w:p>
      <w:pPr>
        <w:keepNext w:val="0"/>
        <w:keepLines w:val="0"/>
        <w:pageBreakBefore w:val="0"/>
        <w:widowControl/>
        <w:tabs>
          <w:tab w:val="left" w:pos="54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ascii="宋体" w:hAnsi="宋体" w:eastAsia="宋体" w:cs="宋体"/>
          <w:sz w:val="24"/>
          <w:lang w:eastAsia="zh-CN"/>
        </w:rPr>
        <w:t>供应商</w:t>
      </w:r>
      <w:r>
        <w:rPr>
          <w:rFonts w:hint="eastAsia" w:ascii="宋体" w:hAnsi="宋体" w:eastAsia="宋体" w:cs="宋体"/>
          <w:sz w:val="24"/>
        </w:rPr>
        <w:t>响应文件中所述服务质量、技术、规格、数量、交货期等和服务明显不能满足竞争性磋商文件要求。重大偏离的认定须经竞争性磋商小组三分之二以上组员同意</w:t>
      </w:r>
      <w:r>
        <w:rPr>
          <w:rFonts w:hint="eastAsia" w:ascii="宋体" w:hAnsi="宋体" w:eastAsia="宋体" w:cs="宋体"/>
          <w:sz w:val="24"/>
          <w:lang w:eastAsia="zh-CN"/>
        </w:rPr>
        <w:t>。</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rPr>
        <w:t>磋商小组判断“响应文件”的响应性，仅基于“响应文件”本身而不靠外部证据。对非实质性响应的响应文件，</w:t>
      </w:r>
      <w:r>
        <w:rPr>
          <w:rFonts w:hint="eastAsia" w:ascii="宋体" w:hAnsi="宋体" w:eastAsia="宋体" w:cs="宋体"/>
          <w:sz w:val="24"/>
          <w:lang w:eastAsia="zh-CN"/>
        </w:rPr>
        <w:t>供应商</w:t>
      </w:r>
      <w:r>
        <w:rPr>
          <w:rFonts w:hint="eastAsia" w:ascii="宋体" w:hAnsi="宋体" w:eastAsia="宋体" w:cs="宋体"/>
          <w:sz w:val="24"/>
        </w:rPr>
        <w:t>不能通过修正或撤销不符之处，而使其成为实质性响应。</w:t>
      </w:r>
    </w:p>
    <w:p>
      <w:pPr>
        <w:pStyle w:val="14"/>
        <w:tabs>
          <w:tab w:val="left" w:pos="126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磋商小组根据竞争性磋商文件要求，讨论、通过磋商工作流程和磋商要点。</w:t>
      </w:r>
    </w:p>
    <w:p>
      <w:pPr>
        <w:pStyle w:val="14"/>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采购人按照签到逆顺序通知有效</w:t>
      </w:r>
      <w:r>
        <w:rPr>
          <w:rFonts w:hint="eastAsia" w:ascii="宋体" w:hAnsi="宋体" w:eastAsia="宋体" w:cs="宋体"/>
          <w:sz w:val="24"/>
          <w:szCs w:val="24"/>
          <w:lang w:eastAsia="zh-CN"/>
        </w:rPr>
        <w:t>供应商</w:t>
      </w:r>
      <w:r>
        <w:rPr>
          <w:rFonts w:hint="eastAsia" w:ascii="宋体" w:hAnsi="宋体" w:eastAsia="宋体" w:cs="宋体"/>
          <w:sz w:val="24"/>
          <w:szCs w:val="24"/>
        </w:rPr>
        <w:t>磋商。</w:t>
      </w:r>
    </w:p>
    <w:p>
      <w:pPr>
        <w:pStyle w:val="14"/>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参与二次及多次报价及服务承诺的人员须是</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法定代表人或其授权代表。</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 w:val="0"/>
          <w:bCs w:val="0"/>
          <w:sz w:val="24"/>
        </w:rPr>
        <w:t>8</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围绕磋商要点，磋商小组全体成员集中与单一</w:t>
      </w:r>
      <w:r>
        <w:rPr>
          <w:rFonts w:hint="eastAsia" w:ascii="宋体" w:hAnsi="宋体" w:eastAsia="宋体" w:cs="宋体"/>
          <w:b w:val="0"/>
          <w:bCs w:val="0"/>
          <w:sz w:val="24"/>
          <w:lang w:eastAsia="zh-CN"/>
        </w:rPr>
        <w:t>供应商</w:t>
      </w:r>
      <w:r>
        <w:rPr>
          <w:rFonts w:hint="eastAsia" w:ascii="宋体" w:hAnsi="宋体" w:eastAsia="宋体" w:cs="宋体"/>
          <w:b w:val="0"/>
          <w:bCs w:val="0"/>
          <w:sz w:val="24"/>
        </w:rPr>
        <w:t>分别进行磋商，，</w:t>
      </w:r>
      <w:r>
        <w:rPr>
          <w:rFonts w:hint="eastAsia" w:ascii="宋体" w:hAnsi="宋体" w:eastAsia="宋体" w:cs="宋体"/>
          <w:b/>
          <w:bCs/>
          <w:sz w:val="24"/>
        </w:rPr>
        <w:t>磋商轮次原则上为两轮，具体由磋商小组视情况决定。</w:t>
      </w:r>
    </w:p>
    <w:p>
      <w:pPr>
        <w:pStyle w:val="14"/>
        <w:snapToGrid w:val="0"/>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竞争性磋商文件有较大变动的，磋商小组将以书面形式通知所有参加磋商的</w:t>
      </w:r>
      <w:r>
        <w:rPr>
          <w:rFonts w:hint="eastAsia" w:ascii="宋体" w:hAnsi="宋体" w:eastAsia="宋体" w:cs="宋体"/>
          <w:sz w:val="24"/>
          <w:szCs w:val="24"/>
          <w:lang w:eastAsia="zh-CN"/>
        </w:rPr>
        <w:t>供应商</w:t>
      </w:r>
      <w:r>
        <w:rPr>
          <w:rFonts w:hint="eastAsia" w:ascii="宋体" w:hAnsi="宋体" w:eastAsia="宋体" w:cs="宋体"/>
          <w:sz w:val="24"/>
          <w:szCs w:val="24"/>
        </w:rPr>
        <w:t>。</w:t>
      </w:r>
    </w:p>
    <w:p>
      <w:pPr>
        <w:pStyle w:val="14"/>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u w:val="single"/>
          <w:lang w:val="en-US" w:eastAsia="zh-CN"/>
        </w:rPr>
        <w:t>10.</w:t>
      </w:r>
      <w:r>
        <w:rPr>
          <w:rFonts w:hint="eastAsia" w:ascii="宋体" w:hAnsi="宋体" w:eastAsia="宋体" w:cs="宋体"/>
          <w:b/>
          <w:sz w:val="24"/>
          <w:szCs w:val="24"/>
          <w:u w:val="single"/>
        </w:rPr>
        <w:t>未及时参与磋商或多次报价的，视为自动放弃参与磋商谈判的资格。</w:t>
      </w:r>
    </w:p>
    <w:p>
      <w:pPr>
        <w:pStyle w:val="14"/>
        <w:snapToGrid w:val="0"/>
        <w:spacing w:line="360" w:lineRule="auto"/>
        <w:ind w:firstLine="482" w:firstLineChars="200"/>
        <w:rPr>
          <w:rFonts w:hint="eastAsia" w:ascii="宋体" w:hAnsi="宋体" w:eastAsia="宋体" w:cs="宋体"/>
          <w:b/>
          <w:sz w:val="24"/>
          <w:szCs w:val="24"/>
        </w:rPr>
      </w:pPr>
      <w:bookmarkStart w:id="82" w:name="_Toc213839741"/>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）最终报价</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磋商结束后，磋商小组将要求所有有效</w:t>
      </w:r>
      <w:r>
        <w:rPr>
          <w:rFonts w:hint="eastAsia" w:ascii="宋体" w:hAnsi="宋体" w:eastAsia="宋体" w:cs="宋体"/>
          <w:sz w:val="24"/>
          <w:lang w:eastAsia="zh-CN"/>
        </w:rPr>
        <w:t>供应商</w:t>
      </w:r>
      <w:r>
        <w:rPr>
          <w:rFonts w:hint="eastAsia" w:ascii="宋体" w:hAnsi="宋体" w:eastAsia="宋体" w:cs="宋体"/>
          <w:sz w:val="24"/>
        </w:rPr>
        <w:t>在规定时间内提交最终报价及服务承诺。</w:t>
      </w:r>
    </w:p>
    <w:p>
      <w:pPr>
        <w:snapToGrid w:val="0"/>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w:t>
      </w:r>
      <w:r>
        <w:rPr>
          <w:rFonts w:hint="eastAsia" w:ascii="宋体" w:hAnsi="宋体" w:eastAsia="宋体" w:cs="宋体"/>
          <w:b/>
          <w:sz w:val="24"/>
          <w:lang w:eastAsia="zh-CN"/>
        </w:rPr>
        <w:t>五</w:t>
      </w:r>
      <w:r>
        <w:rPr>
          <w:rFonts w:hint="eastAsia" w:ascii="宋体" w:hAnsi="宋体" w:eastAsia="宋体" w:cs="宋体"/>
          <w:b/>
          <w:sz w:val="24"/>
        </w:rPr>
        <w:t>）确定成交候选</w:t>
      </w:r>
      <w:r>
        <w:rPr>
          <w:rFonts w:hint="eastAsia" w:ascii="宋体" w:hAnsi="宋体" w:eastAsia="宋体" w:cs="宋体"/>
          <w:b/>
          <w:sz w:val="24"/>
          <w:lang w:eastAsia="zh-CN"/>
        </w:rPr>
        <w:t>供应商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经磋商定最终招标需求和提交最后报价的</w:t>
      </w:r>
      <w:r>
        <w:rPr>
          <w:rFonts w:hint="eastAsia" w:ascii="宋体" w:hAnsi="宋体" w:eastAsia="宋体" w:cs="宋体"/>
          <w:sz w:val="24"/>
          <w:lang w:eastAsia="zh-CN"/>
        </w:rPr>
        <w:t>供应商</w:t>
      </w:r>
      <w:r>
        <w:rPr>
          <w:rFonts w:hint="eastAsia" w:ascii="宋体" w:hAnsi="宋体" w:eastAsia="宋体" w:cs="宋体"/>
          <w:sz w:val="24"/>
        </w:rPr>
        <w:t>后，由磋商小组采用综合评分法对提交最后报价的</w:t>
      </w:r>
      <w:r>
        <w:rPr>
          <w:rFonts w:hint="eastAsia" w:ascii="宋体" w:hAnsi="宋体" w:eastAsia="宋体" w:cs="宋体"/>
          <w:sz w:val="24"/>
          <w:lang w:eastAsia="zh-CN"/>
        </w:rPr>
        <w:t>供应商</w:t>
      </w:r>
      <w:r>
        <w:rPr>
          <w:rFonts w:hint="eastAsia" w:ascii="宋体" w:hAnsi="宋体" w:eastAsia="宋体" w:cs="宋体"/>
          <w:sz w:val="24"/>
        </w:rPr>
        <w:t>的响应件和最后报价进行综合评分。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综合评分法，是指响应文件满足磋商文件全部实质性要求且按评审因素的量化指标评审得分最高的</w:t>
      </w:r>
      <w:r>
        <w:rPr>
          <w:rFonts w:hint="eastAsia" w:ascii="宋体" w:hAnsi="宋体" w:eastAsia="宋体" w:cs="宋体"/>
          <w:sz w:val="24"/>
          <w:lang w:eastAsia="zh-CN"/>
        </w:rPr>
        <w:t>供应商</w:t>
      </w:r>
      <w:r>
        <w:rPr>
          <w:rFonts w:hint="eastAsia" w:ascii="宋体" w:hAnsi="宋体" w:eastAsia="宋体" w:cs="宋体"/>
          <w:sz w:val="24"/>
        </w:rPr>
        <w:t>为成交候选</w:t>
      </w:r>
      <w:r>
        <w:rPr>
          <w:rFonts w:hint="eastAsia" w:ascii="宋体" w:hAnsi="宋体" w:eastAsia="宋体" w:cs="宋体"/>
          <w:sz w:val="24"/>
          <w:lang w:eastAsia="zh-CN"/>
        </w:rPr>
        <w:t>供应商</w:t>
      </w:r>
      <w:r>
        <w:rPr>
          <w:rFonts w:hint="eastAsia" w:ascii="宋体" w:hAnsi="宋体" w:eastAsia="宋体" w:cs="宋体"/>
          <w:sz w:val="24"/>
        </w:rPr>
        <w:t>的评审方法。</w:t>
      </w:r>
    </w:p>
    <w:p>
      <w:pPr>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磋商小组</w:t>
      </w:r>
      <w:r>
        <w:rPr>
          <w:rFonts w:hint="eastAsia" w:ascii="宋体" w:hAnsi="宋体" w:eastAsia="宋体" w:cs="宋体"/>
          <w:sz w:val="24"/>
          <w:highlight w:val="none"/>
        </w:rPr>
        <w:t>通过上述评标方法以最终合计得分【为所有评委评分总和的算术平均值】，并按得分由高到低顺序排列，选择前</w:t>
      </w:r>
      <w:r>
        <w:rPr>
          <w:rFonts w:hint="eastAsia" w:ascii="宋体" w:hAnsi="宋体" w:eastAsia="宋体" w:cs="宋体"/>
          <w:sz w:val="24"/>
          <w:highlight w:val="none"/>
          <w:lang w:val="en-US" w:eastAsia="zh-CN"/>
        </w:rPr>
        <w:t>五</w:t>
      </w:r>
      <w:r>
        <w:rPr>
          <w:rFonts w:hint="eastAsia" w:ascii="宋体" w:hAnsi="宋体" w:eastAsia="宋体" w:cs="宋体"/>
          <w:sz w:val="24"/>
          <w:highlight w:val="none"/>
        </w:rPr>
        <w:t>名</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依次推荐为第一名、第二名</w:t>
      </w:r>
      <w:r>
        <w:rPr>
          <w:rFonts w:hint="eastAsia" w:ascii="宋体" w:hAnsi="宋体" w:eastAsia="宋体" w:cs="宋体"/>
          <w:sz w:val="24"/>
          <w:highlight w:val="none"/>
          <w:lang w:eastAsia="zh-CN"/>
        </w:rPr>
        <w:t>、</w:t>
      </w:r>
      <w:r>
        <w:rPr>
          <w:rFonts w:hint="eastAsia" w:ascii="宋体" w:hAnsi="宋体" w:eastAsia="宋体" w:cs="宋体"/>
          <w:sz w:val="24"/>
          <w:highlight w:val="none"/>
        </w:rPr>
        <w:t>第三名</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第四名及第五名成交</w:t>
      </w:r>
      <w:r>
        <w:rPr>
          <w:rFonts w:hint="eastAsia" w:ascii="宋体" w:hAnsi="宋体" w:eastAsia="宋体" w:cs="宋体"/>
          <w:sz w:val="24"/>
          <w:highlight w:val="none"/>
        </w:rPr>
        <w:t>候选人。</w:t>
      </w:r>
      <w:r>
        <w:rPr>
          <w:rFonts w:hint="eastAsia" w:ascii="宋体" w:hAnsi="宋体" w:eastAsia="宋体" w:cs="宋体"/>
          <w:color w:val="auto"/>
          <w:sz w:val="24"/>
          <w:highlight w:val="none"/>
        </w:rPr>
        <w:t>当</w:t>
      </w:r>
      <w:r>
        <w:rPr>
          <w:rFonts w:hint="eastAsia" w:ascii="宋体" w:hAnsi="宋体" w:eastAsia="宋体" w:cs="宋体"/>
          <w:color w:val="auto"/>
          <w:sz w:val="24"/>
          <w:highlight w:val="none"/>
          <w:lang w:val="en-US" w:eastAsia="zh-CN"/>
        </w:rPr>
        <w:t>供应商综合得分相等时，</w:t>
      </w:r>
      <w:r>
        <w:rPr>
          <w:rFonts w:hint="eastAsia" w:ascii="宋体" w:hAnsi="宋体" w:eastAsia="宋体" w:cs="宋体"/>
          <w:color w:val="auto"/>
          <w:sz w:val="24"/>
          <w:highlight w:val="none"/>
        </w:rPr>
        <w:t>以评标价较低者优先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报价得分相等时，以技术标得分高者优先。</w:t>
      </w:r>
    </w:p>
    <w:p>
      <w:pPr>
        <w:pStyle w:val="4"/>
        <w:keepLines w:val="0"/>
        <w:pageBreakBefore w:val="0"/>
        <w:tabs>
          <w:tab w:val="left" w:pos="540"/>
        </w:tabs>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highlight w:val="none"/>
          <w:lang w:val="en-US"/>
        </w:rPr>
      </w:pPr>
      <w:r>
        <w:rPr>
          <w:rFonts w:hint="eastAsia" w:ascii="宋体" w:hAnsi="宋体" w:eastAsia="宋体" w:cs="宋体"/>
          <w:color w:val="000000"/>
          <w:sz w:val="24"/>
          <w:highlight w:val="none"/>
          <w:lang w:val="en-US" w:eastAsia="zh-CN"/>
        </w:rPr>
        <w:t xml:space="preserve">法律法规规定得其他情形，招标人有权确认排名第二的中标候选人为中标人，也有权重新组织招标。 </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六</w:t>
      </w:r>
      <w:r>
        <w:rPr>
          <w:rFonts w:hint="eastAsia" w:ascii="宋体" w:hAnsi="宋体" w:eastAsia="宋体" w:cs="宋体"/>
          <w:b/>
          <w:sz w:val="24"/>
        </w:rPr>
        <w:t>）磋商过程</w:t>
      </w:r>
      <w:bookmarkEnd w:id="82"/>
      <w:r>
        <w:rPr>
          <w:rFonts w:hint="eastAsia" w:ascii="宋体" w:hAnsi="宋体" w:eastAsia="宋体" w:cs="宋体"/>
          <w:b/>
          <w:sz w:val="24"/>
        </w:rPr>
        <w:t>保密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在宣布成交结果之前，凡属于审查、澄清、评价、比较竞争性磋商文件等有关信息，相关当事人均不得泄露给任何磋</w:t>
      </w:r>
      <w:r>
        <w:rPr>
          <w:rFonts w:hint="eastAsia" w:ascii="宋体" w:hAnsi="宋体" w:eastAsia="宋体" w:cs="宋体"/>
          <w:sz w:val="24"/>
          <w:lang w:eastAsia="zh-CN"/>
        </w:rPr>
        <w:t>供应商</w:t>
      </w:r>
      <w:r>
        <w:rPr>
          <w:rFonts w:hint="eastAsia" w:ascii="宋体" w:hAnsi="宋体" w:eastAsia="宋体" w:cs="宋体"/>
          <w:sz w:val="24"/>
        </w:rPr>
        <w:t>或与磋商工作无关的人员。</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不得探听上</w:t>
      </w:r>
      <w:r>
        <w:rPr>
          <w:rFonts w:hint="eastAsia" w:ascii="宋体" w:hAnsi="宋体" w:eastAsia="宋体" w:cs="宋体"/>
          <w:sz w:val="24"/>
          <w:highlight w:val="none"/>
        </w:rPr>
        <w:t>述信息，不得以任何行为影响磋商</w:t>
      </w:r>
      <w:r>
        <w:rPr>
          <w:rFonts w:hint="eastAsia" w:ascii="宋体" w:hAnsi="宋体" w:eastAsia="宋体" w:cs="宋体"/>
          <w:sz w:val="24"/>
        </w:rPr>
        <w:t>过程，否则其响应文件将被作为无效响应文件。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在磋商期间，代理机构有专门工作人员与</w:t>
      </w:r>
      <w:r>
        <w:rPr>
          <w:rFonts w:hint="eastAsia" w:ascii="宋体" w:hAnsi="宋体" w:eastAsia="宋体" w:cs="宋体"/>
          <w:sz w:val="24"/>
          <w:lang w:eastAsia="zh-CN"/>
        </w:rPr>
        <w:t>供应商</w:t>
      </w:r>
      <w:r>
        <w:rPr>
          <w:rFonts w:hint="eastAsia" w:ascii="宋体" w:hAnsi="宋体" w:eastAsia="宋体" w:cs="宋体"/>
          <w:sz w:val="24"/>
        </w:rPr>
        <w:t>进行联络。</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采购人和磋商小组不向未成交的</w:t>
      </w:r>
      <w:r>
        <w:rPr>
          <w:rFonts w:hint="eastAsia" w:ascii="宋体" w:hAnsi="宋体" w:eastAsia="宋体" w:cs="宋体"/>
          <w:sz w:val="24"/>
          <w:lang w:eastAsia="zh-CN"/>
        </w:rPr>
        <w:t>供应商</w:t>
      </w:r>
      <w:r>
        <w:rPr>
          <w:rFonts w:hint="eastAsia" w:ascii="宋体" w:hAnsi="宋体" w:eastAsia="宋体" w:cs="宋体"/>
          <w:sz w:val="24"/>
        </w:rPr>
        <w:t>解释未成交原因，也不对磋商过程中的细节问题进行公布</w:t>
      </w:r>
      <w:r>
        <w:rPr>
          <w:rFonts w:hint="eastAsia" w:ascii="宋体" w:hAnsi="宋体" w:eastAsia="宋体" w:cs="宋体"/>
          <w:sz w:val="24"/>
          <w:lang w:eastAsia="zh-CN"/>
        </w:rPr>
        <w:t>。</w:t>
      </w:r>
    </w:p>
    <w:p>
      <w:pPr>
        <w:numPr>
          <w:ilvl w:val="0"/>
          <w:numId w:val="0"/>
        </w:numPr>
        <w:snapToGrid w:val="0"/>
        <w:spacing w:line="360" w:lineRule="auto"/>
        <w:ind w:leftChars="200"/>
        <w:jc w:val="both"/>
        <w:outlineLvl w:val="9"/>
        <w:rPr>
          <w:rFonts w:hint="eastAsia" w:ascii="宋体" w:hAnsi="宋体" w:eastAsia="宋体" w:cs="宋体"/>
          <w:b/>
          <w:sz w:val="28"/>
          <w:szCs w:val="28"/>
          <w:lang w:eastAsia="zh-CN"/>
        </w:rPr>
      </w:pPr>
    </w:p>
    <w:p>
      <w:pPr>
        <w:numPr>
          <w:ilvl w:val="0"/>
          <w:numId w:val="0"/>
        </w:numPr>
        <w:snapToGrid w:val="0"/>
        <w:spacing w:line="360" w:lineRule="auto"/>
        <w:ind w:leftChars="200"/>
        <w:jc w:val="both"/>
        <w:outlineLvl w:val="9"/>
        <w:rPr>
          <w:rFonts w:hint="eastAsia" w:ascii="宋体" w:hAnsi="宋体" w:eastAsia="宋体" w:cs="宋体"/>
          <w:b/>
          <w:sz w:val="28"/>
          <w:szCs w:val="28"/>
          <w:lang w:eastAsia="zh-CN"/>
        </w:rPr>
      </w:pPr>
    </w:p>
    <w:p>
      <w:pPr>
        <w:numPr>
          <w:ilvl w:val="0"/>
          <w:numId w:val="0"/>
        </w:numPr>
        <w:snapToGrid w:val="0"/>
        <w:spacing w:line="360" w:lineRule="auto"/>
        <w:ind w:leftChars="200"/>
        <w:jc w:val="both"/>
        <w:outlineLvl w:val="9"/>
        <w:rPr>
          <w:rFonts w:hint="eastAsia" w:ascii="宋体" w:hAnsi="宋体" w:eastAsia="宋体" w:cs="宋体"/>
          <w:b/>
          <w:sz w:val="28"/>
          <w:szCs w:val="28"/>
          <w:lang w:eastAsia="zh-CN"/>
        </w:rPr>
      </w:pPr>
    </w:p>
    <w:p>
      <w:pPr>
        <w:numPr>
          <w:ilvl w:val="0"/>
          <w:numId w:val="0"/>
        </w:numPr>
        <w:snapToGrid w:val="0"/>
        <w:spacing w:line="360" w:lineRule="auto"/>
        <w:ind w:leftChars="200"/>
        <w:jc w:val="both"/>
        <w:outlineLvl w:val="9"/>
        <w:rPr>
          <w:rFonts w:hint="eastAsia" w:ascii="宋体" w:hAnsi="宋体" w:eastAsia="宋体" w:cs="宋体"/>
          <w:b/>
          <w:sz w:val="28"/>
          <w:szCs w:val="28"/>
          <w:lang w:eastAsia="zh-CN"/>
        </w:rPr>
      </w:pPr>
    </w:p>
    <w:p>
      <w:pPr>
        <w:numPr>
          <w:ilvl w:val="0"/>
          <w:numId w:val="0"/>
        </w:numPr>
        <w:snapToGrid w:val="0"/>
        <w:spacing w:line="360" w:lineRule="auto"/>
        <w:ind w:leftChars="200"/>
        <w:jc w:val="both"/>
        <w:outlineLvl w:val="9"/>
        <w:rPr>
          <w:rFonts w:hint="eastAsia" w:ascii="宋体" w:hAnsi="宋体" w:eastAsia="宋体" w:cs="宋体"/>
          <w:b/>
          <w:sz w:val="28"/>
          <w:szCs w:val="28"/>
          <w:lang w:eastAsia="zh-CN"/>
        </w:rPr>
      </w:pPr>
    </w:p>
    <w:p>
      <w:pPr>
        <w:numPr>
          <w:ilvl w:val="0"/>
          <w:numId w:val="0"/>
        </w:numPr>
        <w:snapToGrid w:val="0"/>
        <w:spacing w:line="360" w:lineRule="auto"/>
        <w:ind w:leftChars="200"/>
        <w:jc w:val="both"/>
        <w:outlineLvl w:val="9"/>
        <w:rPr>
          <w:rFonts w:hint="eastAsia" w:ascii="宋体" w:hAnsi="宋体" w:eastAsia="宋体" w:cs="宋体"/>
          <w:b/>
          <w:sz w:val="28"/>
          <w:szCs w:val="28"/>
          <w:lang w:eastAsia="zh-CN"/>
        </w:rPr>
      </w:pPr>
    </w:p>
    <w:p>
      <w:pPr>
        <w:pStyle w:val="3"/>
        <w:rPr>
          <w:rFonts w:hint="eastAsia" w:ascii="宋体" w:hAnsi="宋体" w:eastAsia="宋体" w:cs="宋体"/>
          <w:b/>
          <w:sz w:val="28"/>
          <w:szCs w:val="28"/>
          <w:lang w:eastAsia="zh-CN"/>
        </w:rPr>
      </w:pPr>
    </w:p>
    <w:p>
      <w:pPr>
        <w:rPr>
          <w:rFonts w:hint="eastAsia"/>
          <w:lang w:eastAsia="zh-CN"/>
        </w:rPr>
      </w:pPr>
    </w:p>
    <w:p>
      <w:pPr>
        <w:pStyle w:val="50"/>
        <w:rPr>
          <w:rFonts w:hint="eastAsia" w:ascii="宋体" w:hAnsi="宋体" w:eastAsia="宋体" w:cs="宋体"/>
          <w:b/>
          <w:sz w:val="28"/>
          <w:szCs w:val="28"/>
          <w:lang w:eastAsia="zh-CN"/>
        </w:rPr>
      </w:pPr>
    </w:p>
    <w:p>
      <w:pPr>
        <w:pStyle w:val="50"/>
        <w:rPr>
          <w:rFonts w:hint="eastAsia" w:ascii="宋体" w:hAnsi="宋体" w:eastAsia="宋体" w:cs="宋体"/>
          <w:b/>
          <w:sz w:val="28"/>
          <w:szCs w:val="28"/>
          <w:lang w:eastAsia="zh-CN"/>
        </w:rPr>
      </w:pPr>
    </w:p>
    <w:p>
      <w:pPr>
        <w:pStyle w:val="50"/>
        <w:rPr>
          <w:rFonts w:hint="eastAsia" w:ascii="宋体" w:hAnsi="宋体" w:eastAsia="宋体" w:cs="宋体"/>
          <w:b/>
          <w:sz w:val="28"/>
          <w:szCs w:val="28"/>
          <w:lang w:eastAsia="zh-CN"/>
        </w:rPr>
      </w:pPr>
    </w:p>
    <w:p>
      <w:pPr>
        <w:pStyle w:val="50"/>
        <w:rPr>
          <w:rFonts w:hint="eastAsia" w:ascii="宋体" w:hAnsi="宋体" w:eastAsia="宋体" w:cs="宋体"/>
          <w:b/>
          <w:sz w:val="28"/>
          <w:szCs w:val="28"/>
          <w:lang w:eastAsia="zh-CN"/>
        </w:rPr>
      </w:pPr>
    </w:p>
    <w:p>
      <w:pPr>
        <w:pStyle w:val="50"/>
        <w:rPr>
          <w:rFonts w:hint="eastAsia" w:ascii="宋体" w:hAnsi="宋体" w:eastAsia="宋体" w:cs="宋体"/>
          <w:b/>
          <w:sz w:val="28"/>
          <w:szCs w:val="28"/>
          <w:lang w:eastAsia="zh-CN"/>
        </w:rPr>
      </w:pPr>
    </w:p>
    <w:p>
      <w:pPr>
        <w:pStyle w:val="50"/>
        <w:rPr>
          <w:rFonts w:hint="eastAsia" w:ascii="宋体" w:hAnsi="宋体" w:eastAsia="宋体" w:cs="宋体"/>
          <w:b/>
          <w:sz w:val="28"/>
          <w:szCs w:val="28"/>
          <w:lang w:eastAsia="zh-CN"/>
        </w:rPr>
      </w:pPr>
    </w:p>
    <w:p>
      <w:pPr>
        <w:numPr>
          <w:ilvl w:val="0"/>
          <w:numId w:val="0"/>
        </w:numPr>
        <w:snapToGrid w:val="0"/>
        <w:spacing w:line="360" w:lineRule="auto"/>
        <w:ind w:leftChars="200"/>
        <w:jc w:val="center"/>
        <w:outlineLvl w:val="1"/>
        <w:rPr>
          <w:rFonts w:hint="default" w:ascii="宋体" w:hAnsi="宋体" w:eastAsia="宋体" w:cs="宋体"/>
          <w:b/>
          <w:sz w:val="28"/>
          <w:szCs w:val="28"/>
          <w:lang w:val="en-US" w:eastAsia="zh-CN"/>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七</w:t>
      </w:r>
      <w:r>
        <w:rPr>
          <w:rFonts w:hint="eastAsia" w:ascii="宋体" w:hAnsi="宋体" w:eastAsia="宋体" w:cs="宋体"/>
          <w:b/>
          <w:sz w:val="28"/>
          <w:szCs w:val="28"/>
          <w:lang w:eastAsia="zh-CN"/>
        </w:rPr>
        <w:t>）</w:t>
      </w:r>
      <w:r>
        <w:rPr>
          <w:rFonts w:hint="eastAsia" w:ascii="宋体" w:hAnsi="宋体" w:eastAsia="宋体" w:cs="宋体"/>
          <w:b/>
          <w:sz w:val="28"/>
          <w:szCs w:val="28"/>
        </w:rPr>
        <w:t>评标办法</w:t>
      </w:r>
      <w:r>
        <w:rPr>
          <w:rFonts w:hint="eastAsia" w:ascii="宋体" w:hAnsi="宋体" w:eastAsia="宋体" w:cs="宋体"/>
          <w:b/>
          <w:sz w:val="28"/>
          <w:szCs w:val="28"/>
          <w:lang w:val="en-US" w:eastAsia="zh-CN"/>
        </w:rPr>
        <w:t xml:space="preserve">   （综合评分法） </w:t>
      </w:r>
    </w:p>
    <w:p>
      <w:pPr>
        <w:spacing w:line="240" w:lineRule="auto"/>
        <w:jc w:val="center"/>
        <w:rPr>
          <w:rFonts w:hint="eastAsia" w:ascii="宋体" w:hAnsi="宋体" w:cs="宋体"/>
          <w:color w:val="000000"/>
          <w:sz w:val="28"/>
          <w:szCs w:val="32"/>
        </w:rPr>
      </w:pPr>
      <w:r>
        <w:rPr>
          <w:rFonts w:hint="eastAsia" w:ascii="宋体" w:hAnsi="宋体" w:cs="宋体"/>
          <w:color w:val="000000"/>
          <w:sz w:val="28"/>
          <w:szCs w:val="32"/>
        </w:rPr>
        <w:t>初步评审—资格性审查表</w:t>
      </w:r>
    </w:p>
    <w:tbl>
      <w:tblPr>
        <w:tblStyle w:val="29"/>
        <w:tblpPr w:leftFromText="180" w:rightFromText="180" w:vertAnchor="text" w:horzAnchor="page" w:tblpXSpec="center" w:tblpY="234"/>
        <w:tblOverlap w:val="never"/>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585"/>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rPr>
              <w:t>序号</w:t>
            </w:r>
          </w:p>
        </w:tc>
        <w:tc>
          <w:tcPr>
            <w:tcW w:w="85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rPr>
              <w:t>评审内容</w:t>
            </w: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sz w:val="20"/>
                <w:szCs w:val="20"/>
                <w:highlight w:val="none"/>
                <w:lang w:eastAsia="zh-CN"/>
              </w:rPr>
            </w:pPr>
            <w:r>
              <w:rPr>
                <w:rFonts w:hint="eastAsia" w:ascii="宋体" w:hAnsi="宋体" w:eastAsia="宋体" w:cs="宋体"/>
                <w:b/>
                <w:bCs/>
                <w:color w:val="000000"/>
                <w:sz w:val="20"/>
                <w:szCs w:val="20"/>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sz w:val="20"/>
                <w:szCs w:val="20"/>
                <w:highlight w:val="none"/>
              </w:rPr>
            </w:pPr>
          </w:p>
        </w:tc>
        <w:tc>
          <w:tcPr>
            <w:tcW w:w="85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sz w:val="20"/>
                <w:szCs w:val="20"/>
                <w:highlight w:val="none"/>
              </w:rPr>
            </w:pP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pacing w:val="-2"/>
                <w:sz w:val="18"/>
                <w:szCs w:val="18"/>
                <w:highlight w:val="none"/>
              </w:rPr>
            </w:pPr>
            <w:r>
              <w:rPr>
                <w:rFonts w:hint="eastAsia" w:ascii="宋体" w:hAnsi="宋体" w:eastAsia="宋体" w:cs="宋体"/>
                <w:color w:val="000000"/>
                <w:spacing w:val="-2"/>
                <w:sz w:val="18"/>
                <w:szCs w:val="18"/>
                <w:highlight w:val="none"/>
              </w:rPr>
              <w:t>1</w:t>
            </w:r>
          </w:p>
        </w:tc>
        <w:tc>
          <w:tcPr>
            <w:tcW w:w="858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both"/>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具有有效的营业执照；投标人具有国家旅游局或旅游行政主管部门颁发的旅行社业务经营许可证。</w:t>
            </w: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center"/>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2</w:t>
            </w:r>
          </w:p>
        </w:tc>
        <w:tc>
          <w:tcPr>
            <w:tcW w:w="858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both"/>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具有良好的商业信誉和健全的财务会计制度需提供2022度财务审计报告，新成立公司提供近6个月财务报表；</w:t>
            </w: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pacing w:val="-2"/>
                <w:kern w:val="2"/>
                <w:sz w:val="18"/>
                <w:szCs w:val="18"/>
                <w:highlight w:val="none"/>
                <w:lang w:val="en-US" w:eastAsia="zh-CN" w:bidi="ar-SA"/>
              </w:rPr>
            </w:pPr>
            <w:r>
              <w:rPr>
                <w:rFonts w:hint="eastAsia" w:ascii="宋体" w:hAnsi="宋体" w:eastAsia="宋体" w:cs="宋体"/>
                <w:color w:val="000000"/>
                <w:spacing w:val="-2"/>
                <w:sz w:val="18"/>
                <w:szCs w:val="18"/>
                <w:highlight w:val="none"/>
                <w:lang w:val="en-US" w:eastAsia="zh-CN"/>
              </w:rPr>
              <w:t>3</w:t>
            </w:r>
          </w:p>
        </w:tc>
        <w:tc>
          <w:tcPr>
            <w:tcW w:w="858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both"/>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提供税务机关出具近六个月填报日期的完税证明 (新成立公司按实际发生提供) ；</w:t>
            </w: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pacing w:val="-2"/>
                <w:kern w:val="2"/>
                <w:sz w:val="18"/>
                <w:szCs w:val="18"/>
                <w:highlight w:val="none"/>
                <w:lang w:val="en-US" w:eastAsia="zh-CN" w:bidi="ar-SA"/>
              </w:rPr>
            </w:pPr>
            <w:r>
              <w:rPr>
                <w:rFonts w:hint="eastAsia" w:ascii="宋体" w:hAnsi="宋体" w:eastAsia="宋体" w:cs="宋体"/>
                <w:color w:val="000000"/>
                <w:spacing w:val="-2"/>
                <w:sz w:val="18"/>
                <w:szCs w:val="18"/>
                <w:highlight w:val="none"/>
                <w:lang w:val="en-US" w:eastAsia="zh-CN"/>
              </w:rPr>
              <w:t>4</w:t>
            </w:r>
          </w:p>
        </w:tc>
        <w:tc>
          <w:tcPr>
            <w:tcW w:w="858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both"/>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法定代表人需提供法定代表人证明书及法定代表人身份证，委托代理人需提供法定代表人授权委托书及委托代理人身份证，被委托人必须是投标人法人或正式员工，需提供社保部门出具最少近六个月（2023年2月-7月）的缴纳社保证明（社保缴费凭证或个人明细表）；</w:t>
            </w: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pacing w:val="-2"/>
                <w:kern w:val="2"/>
                <w:sz w:val="18"/>
                <w:szCs w:val="18"/>
                <w:highlight w:val="none"/>
                <w:lang w:val="en-US" w:eastAsia="zh-CN" w:bidi="ar-SA"/>
              </w:rPr>
            </w:pPr>
            <w:r>
              <w:rPr>
                <w:rFonts w:hint="eastAsia" w:ascii="宋体" w:hAnsi="宋体" w:eastAsia="宋体" w:cs="宋体"/>
                <w:color w:val="000000"/>
                <w:spacing w:val="-2"/>
                <w:sz w:val="18"/>
                <w:szCs w:val="18"/>
                <w:highlight w:val="none"/>
                <w:lang w:val="en-US" w:eastAsia="zh-CN"/>
              </w:rPr>
              <w:t>5</w:t>
            </w:r>
          </w:p>
        </w:tc>
        <w:tc>
          <w:tcPr>
            <w:tcW w:w="858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both"/>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近三年内在“信用中国网站”“中国政府采购网”“国家企业信用信息公示系统” “中国裁判文书网”以上网站如有行政处罚信息、列入经营异常名录信息、重大税收违法黑名单、经营异常的将拒绝其参本次采购活动，以上网站页面查询截图时间应在招标公告日期后并加盖单位公章；</w:t>
            </w: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pacing w:val="-2"/>
                <w:kern w:val="2"/>
                <w:sz w:val="18"/>
                <w:szCs w:val="18"/>
                <w:highlight w:val="none"/>
                <w:lang w:val="en-US" w:eastAsia="zh-CN" w:bidi="ar-SA"/>
              </w:rPr>
            </w:pPr>
            <w:r>
              <w:rPr>
                <w:rFonts w:hint="eastAsia" w:ascii="宋体" w:hAnsi="宋体" w:eastAsia="宋体" w:cs="宋体"/>
                <w:color w:val="000000"/>
                <w:spacing w:val="-2"/>
                <w:sz w:val="18"/>
                <w:szCs w:val="18"/>
                <w:highlight w:val="none"/>
                <w:lang w:val="en-US" w:eastAsia="zh-CN"/>
              </w:rPr>
              <w:t>6</w:t>
            </w:r>
          </w:p>
        </w:tc>
        <w:tc>
          <w:tcPr>
            <w:tcW w:w="858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both"/>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单位负责人为同一人或者存在直接控股、管理关系的不同投标人，不得参加同一合同项下的政府采购活动。</w:t>
            </w: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spacing w:val="-2"/>
                <w:sz w:val="18"/>
                <w:szCs w:val="18"/>
                <w:highlight w:val="none"/>
                <w:lang w:val="en-US" w:eastAsia="zh-CN"/>
              </w:rPr>
            </w:pPr>
            <w:r>
              <w:rPr>
                <w:rFonts w:hint="eastAsia" w:ascii="宋体" w:hAnsi="宋体" w:cs="宋体"/>
                <w:color w:val="000000"/>
                <w:spacing w:val="-2"/>
                <w:sz w:val="18"/>
                <w:szCs w:val="18"/>
                <w:highlight w:val="none"/>
                <w:lang w:val="en-US" w:eastAsia="zh-CN"/>
              </w:rPr>
              <w:t>7</w:t>
            </w:r>
          </w:p>
        </w:tc>
        <w:tc>
          <w:tcPr>
            <w:tcW w:w="858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both"/>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履行合同所必需的设备和专业技术能力：提供《投标人资格声明函》；</w:t>
            </w: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pacing w:val="-2"/>
                <w:kern w:val="2"/>
                <w:sz w:val="18"/>
                <w:szCs w:val="18"/>
                <w:highlight w:val="none"/>
                <w:lang w:val="en-US" w:eastAsia="zh-CN" w:bidi="ar-SA"/>
              </w:rPr>
            </w:pPr>
            <w:r>
              <w:rPr>
                <w:rFonts w:hint="eastAsia" w:ascii="宋体" w:hAnsi="宋体" w:cs="宋体"/>
                <w:color w:val="000000"/>
                <w:spacing w:val="-2"/>
                <w:sz w:val="18"/>
                <w:szCs w:val="18"/>
                <w:highlight w:val="none"/>
                <w:lang w:val="en-US" w:eastAsia="zh-CN"/>
              </w:rPr>
              <w:t>8</w:t>
            </w:r>
          </w:p>
        </w:tc>
        <w:tc>
          <w:tcPr>
            <w:tcW w:w="858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both"/>
              <w:textAlignment w:val="baseline"/>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缴纳投标保证金有效凭证（银行回执单或保函）；</w:t>
            </w: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center"/>
              <w:textAlignment w:val="baseline"/>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9</w:t>
            </w:r>
          </w:p>
        </w:tc>
        <w:tc>
          <w:tcPr>
            <w:tcW w:w="858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left"/>
              <w:textAlignment w:val="baseline"/>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中小企业声明函或残疾人福利性单位声明函或监狱企业声明函。</w:t>
            </w: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highlight w:val="none"/>
              </w:rPr>
            </w:pPr>
          </w:p>
        </w:tc>
      </w:tr>
    </w:tbl>
    <w:p>
      <w:pPr>
        <w:spacing w:line="300" w:lineRule="auto"/>
        <w:rPr>
          <w:rFonts w:hint="eastAsia" w:ascii="宋体" w:hAnsi="宋体" w:cs="宋体"/>
          <w:b/>
          <w:bCs/>
          <w:color w:val="000000"/>
          <w:sz w:val="24"/>
        </w:rPr>
      </w:pPr>
      <w:r>
        <w:rPr>
          <w:rFonts w:hint="eastAsia" w:ascii="宋体" w:hAnsi="宋体" w:cs="宋体"/>
          <w:color w:val="000000"/>
          <w:sz w:val="24"/>
        </w:rPr>
        <w:t>说明：（1）上述各项中用“√”表示通过，“×”表示不通过；（2）上述各项中如有一项为“×”，则结论为“×”，表示该投标文件中存在重大偏差，不能通过初步评审；评委对某一分项评审认为不合格时，必须要写明原因。（3）投标文件最终合格与否，以所有评委的评审意见中少数服从多数为原则定论。</w:t>
      </w:r>
    </w:p>
    <w:p>
      <w:pPr>
        <w:pStyle w:val="5"/>
        <w:spacing w:line="300" w:lineRule="auto"/>
        <w:ind w:firstLine="0" w:firstLineChars="0"/>
        <w:jc w:val="both"/>
        <w:rPr>
          <w:rFonts w:hint="eastAsia" w:ascii="宋体" w:hAnsi="宋体" w:cs="宋体"/>
          <w:b/>
          <w:bCs/>
          <w:color w:val="000000"/>
          <w:sz w:val="24"/>
        </w:rPr>
        <w:sectPr>
          <w:footerReference r:id="rId6" w:type="default"/>
          <w:pgSz w:w="11906" w:h="16838"/>
          <w:pgMar w:top="1440" w:right="1803" w:bottom="1440" w:left="1803" w:header="851" w:footer="992" w:gutter="0"/>
          <w:pgBorders>
            <w:top w:val="none" w:sz="0" w:space="0"/>
            <w:left w:val="none" w:sz="0" w:space="0"/>
            <w:bottom w:val="none" w:sz="0" w:space="0"/>
            <w:right w:val="none" w:sz="0" w:space="0"/>
          </w:pgBorders>
          <w:cols w:space="720" w:num="1"/>
          <w:rtlGutter w:val="0"/>
          <w:docGrid w:type="lines" w:linePitch="312" w:charSpace="0"/>
        </w:sectPr>
      </w:pPr>
    </w:p>
    <w:p>
      <w:pPr>
        <w:pStyle w:val="5"/>
        <w:spacing w:line="300" w:lineRule="auto"/>
        <w:ind w:firstLine="0" w:firstLineChars="0"/>
        <w:jc w:val="center"/>
        <w:rPr>
          <w:rFonts w:hint="eastAsia" w:ascii="宋体" w:hAnsi="宋体" w:cs="宋体"/>
          <w:b/>
          <w:bCs/>
          <w:color w:val="000000"/>
          <w:sz w:val="24"/>
        </w:rPr>
      </w:pPr>
      <w:r>
        <w:rPr>
          <w:rFonts w:hint="eastAsia" w:ascii="宋体" w:hAnsi="宋体" w:cs="宋体"/>
          <w:b/>
          <w:bCs/>
          <w:color w:val="000000"/>
          <w:sz w:val="24"/>
        </w:rPr>
        <w:t>初步评审—符合性审查表</w:t>
      </w:r>
    </w:p>
    <w:tbl>
      <w:tblPr>
        <w:tblStyle w:val="29"/>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636"/>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2" w:type="dxa"/>
            <w:vMerge w:val="restart"/>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序号</w:t>
            </w:r>
          </w:p>
        </w:tc>
        <w:tc>
          <w:tcPr>
            <w:tcW w:w="6636" w:type="dxa"/>
            <w:vMerge w:val="restart"/>
            <w:noWrap w:val="0"/>
            <w:vAlign w:val="center"/>
          </w:tcPr>
          <w:p>
            <w:pPr>
              <w:spacing w:line="300" w:lineRule="auto"/>
              <w:jc w:val="center"/>
              <w:rPr>
                <w:rFonts w:hint="eastAsia" w:ascii="宋体" w:hAnsi="宋体" w:cs="宋体"/>
                <w:color w:val="000000"/>
                <w:spacing w:val="-2"/>
                <w:sz w:val="24"/>
              </w:rPr>
            </w:pPr>
            <w:r>
              <w:rPr>
                <w:rFonts w:hint="eastAsia" w:ascii="宋体" w:hAnsi="宋体" w:cs="宋体"/>
                <w:color w:val="000000"/>
                <w:spacing w:val="-2"/>
                <w:sz w:val="24"/>
              </w:rPr>
              <w:t>评审内容</w:t>
            </w:r>
          </w:p>
        </w:tc>
        <w:tc>
          <w:tcPr>
            <w:tcW w:w="1552" w:type="dxa"/>
            <w:noWrap w:val="0"/>
            <w:vAlign w:val="center"/>
          </w:tcPr>
          <w:p>
            <w:pPr>
              <w:spacing w:line="300" w:lineRule="auto"/>
              <w:jc w:val="center"/>
              <w:rPr>
                <w:rFonts w:hint="eastAsia" w:ascii="宋体" w:hAnsi="宋体" w:cs="宋体"/>
                <w:color w:val="000000"/>
                <w:spacing w:val="-2"/>
                <w:sz w:val="24"/>
              </w:rPr>
            </w:pPr>
            <w:r>
              <w:rPr>
                <w:rFonts w:hint="eastAsia" w:ascii="宋体" w:hAnsi="宋体" w:cs="宋体"/>
                <w:b/>
                <w:color w:val="000000"/>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2" w:type="dxa"/>
            <w:vMerge w:val="continue"/>
            <w:noWrap w:val="0"/>
            <w:vAlign w:val="center"/>
          </w:tcPr>
          <w:p>
            <w:pPr>
              <w:spacing w:line="300" w:lineRule="auto"/>
              <w:jc w:val="center"/>
              <w:rPr>
                <w:rFonts w:hint="eastAsia" w:ascii="宋体" w:hAnsi="宋体" w:cs="宋体"/>
                <w:color w:val="000000"/>
                <w:sz w:val="24"/>
              </w:rPr>
            </w:pPr>
          </w:p>
        </w:tc>
        <w:tc>
          <w:tcPr>
            <w:tcW w:w="6636" w:type="dxa"/>
            <w:vMerge w:val="continue"/>
            <w:noWrap w:val="0"/>
            <w:vAlign w:val="center"/>
          </w:tcPr>
          <w:p>
            <w:pPr>
              <w:spacing w:line="300" w:lineRule="auto"/>
              <w:rPr>
                <w:rFonts w:hint="eastAsia" w:ascii="宋体" w:hAnsi="宋体" w:cs="宋体"/>
                <w:color w:val="000000"/>
                <w:spacing w:val="-2"/>
                <w:sz w:val="24"/>
              </w:rPr>
            </w:pPr>
          </w:p>
        </w:tc>
        <w:tc>
          <w:tcPr>
            <w:tcW w:w="1552" w:type="dxa"/>
            <w:noWrap w:val="0"/>
            <w:vAlign w:val="center"/>
          </w:tcPr>
          <w:p>
            <w:pPr>
              <w:spacing w:line="300" w:lineRule="auto"/>
              <w:jc w:val="center"/>
              <w:rPr>
                <w:rFonts w:hint="eastAsia" w:ascii="宋体" w:hAnsi="宋体" w:cs="宋体"/>
                <w:color w:val="000000"/>
                <w:spacing w:val="-2"/>
                <w:sz w:val="24"/>
              </w:rPr>
            </w:pPr>
            <w:r>
              <w:rPr>
                <w:rFonts w:hint="eastAsia" w:ascii="宋体" w:hAnsi="宋体" w:cs="宋体"/>
                <w:color w:val="000000"/>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32"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w:t>
            </w:r>
          </w:p>
        </w:tc>
        <w:tc>
          <w:tcPr>
            <w:tcW w:w="6636" w:type="dxa"/>
            <w:noWrap w:val="0"/>
            <w:vAlign w:val="center"/>
          </w:tcPr>
          <w:p>
            <w:pPr>
              <w:widowControl/>
              <w:spacing w:line="300" w:lineRule="auto"/>
              <w:jc w:val="left"/>
              <w:textAlignment w:val="center"/>
              <w:rPr>
                <w:rFonts w:hint="eastAsia" w:ascii="宋体" w:hAnsi="宋体" w:eastAsia="宋体" w:cs="宋体"/>
                <w:color w:val="000000"/>
                <w:spacing w:val="-2"/>
                <w:sz w:val="24"/>
                <w:lang w:val="en-US" w:eastAsia="zh-CN"/>
              </w:rPr>
            </w:pPr>
            <w:r>
              <w:rPr>
                <w:rFonts w:hint="eastAsia" w:ascii="宋体" w:hAnsi="宋体" w:cs="宋体"/>
                <w:color w:val="000000"/>
                <w:kern w:val="0"/>
                <w:sz w:val="24"/>
                <w:lang w:bidi="ar"/>
              </w:rPr>
              <w:t>投标报价未高于预算金额</w:t>
            </w:r>
            <w:r>
              <w:rPr>
                <w:rFonts w:hint="eastAsia" w:ascii="宋体" w:hAnsi="宋体" w:cs="宋体"/>
                <w:color w:val="000000"/>
                <w:kern w:val="0"/>
                <w:sz w:val="24"/>
                <w:lang w:val="en-US" w:eastAsia="zh-CN" w:bidi="ar"/>
              </w:rPr>
              <w:t>；</w:t>
            </w:r>
          </w:p>
        </w:tc>
        <w:tc>
          <w:tcPr>
            <w:tcW w:w="1552" w:type="dxa"/>
            <w:noWrap w:val="0"/>
            <w:vAlign w:val="center"/>
          </w:tcPr>
          <w:p>
            <w:pPr>
              <w:spacing w:line="300" w:lineRule="auto"/>
              <w:rPr>
                <w:rFonts w:hint="eastAsia" w:ascii="宋体" w:hAnsi="宋体" w:cs="宋体"/>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32"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2</w:t>
            </w:r>
          </w:p>
        </w:tc>
        <w:tc>
          <w:tcPr>
            <w:tcW w:w="6636" w:type="dxa"/>
            <w:noWrap w:val="0"/>
            <w:vAlign w:val="center"/>
          </w:tcPr>
          <w:p>
            <w:pPr>
              <w:widowControl/>
              <w:spacing w:line="300" w:lineRule="auto"/>
              <w:jc w:val="left"/>
              <w:textAlignment w:val="center"/>
              <w:rPr>
                <w:rFonts w:hint="eastAsia" w:ascii="宋体" w:hAnsi="宋体" w:cs="宋体"/>
                <w:color w:val="000000"/>
                <w:spacing w:val="-2"/>
                <w:sz w:val="24"/>
              </w:rPr>
            </w:pPr>
            <w:r>
              <w:rPr>
                <w:rFonts w:hint="eastAsia" w:ascii="宋体" w:hAnsi="宋体" w:cs="宋体"/>
                <w:color w:val="000000"/>
                <w:kern w:val="0"/>
                <w:sz w:val="24"/>
                <w:lang w:bidi="ar"/>
              </w:rPr>
              <w:t>无</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之间或者</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与采购人串通投标的；</w:t>
            </w:r>
          </w:p>
        </w:tc>
        <w:tc>
          <w:tcPr>
            <w:tcW w:w="1552" w:type="dxa"/>
            <w:noWrap w:val="0"/>
            <w:vAlign w:val="center"/>
          </w:tcPr>
          <w:p>
            <w:pPr>
              <w:spacing w:line="300" w:lineRule="auto"/>
              <w:rPr>
                <w:rFonts w:hint="eastAsia" w:ascii="宋体" w:hAnsi="宋体" w:cs="宋体"/>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32"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3</w:t>
            </w:r>
          </w:p>
        </w:tc>
        <w:tc>
          <w:tcPr>
            <w:tcW w:w="6636" w:type="dxa"/>
            <w:noWrap w:val="0"/>
            <w:vAlign w:val="center"/>
          </w:tcPr>
          <w:p>
            <w:pPr>
              <w:widowControl/>
              <w:spacing w:line="30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无以行贿手段谋取中标或者以其他弄虚作假方式投标的；</w:t>
            </w:r>
          </w:p>
        </w:tc>
        <w:tc>
          <w:tcPr>
            <w:tcW w:w="1552" w:type="dxa"/>
            <w:noWrap w:val="0"/>
            <w:vAlign w:val="center"/>
          </w:tcPr>
          <w:p>
            <w:pPr>
              <w:spacing w:line="30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4</w:t>
            </w:r>
          </w:p>
        </w:tc>
        <w:tc>
          <w:tcPr>
            <w:tcW w:w="6636" w:type="dxa"/>
            <w:noWrap w:val="0"/>
            <w:vAlign w:val="center"/>
          </w:tcPr>
          <w:p>
            <w:pPr>
              <w:widowControl/>
              <w:spacing w:line="300" w:lineRule="auto"/>
              <w:jc w:val="left"/>
              <w:textAlignment w:val="center"/>
              <w:rPr>
                <w:rFonts w:hint="eastAsia" w:ascii="宋体" w:hAnsi="宋体" w:cs="宋体"/>
                <w:color w:val="000000"/>
                <w:spacing w:val="-2"/>
                <w:sz w:val="24"/>
              </w:rPr>
            </w:pPr>
            <w:r>
              <w:rPr>
                <w:rFonts w:hint="eastAsia" w:ascii="宋体" w:hAnsi="宋体" w:cs="宋体"/>
                <w:color w:val="000000"/>
                <w:kern w:val="0"/>
                <w:sz w:val="24"/>
                <w:lang w:bidi="ar"/>
              </w:rPr>
              <w:t>无评标委员会共同确定有实质上不响应招标文件要求的；</w:t>
            </w:r>
          </w:p>
        </w:tc>
        <w:tc>
          <w:tcPr>
            <w:tcW w:w="1552" w:type="dxa"/>
            <w:noWrap w:val="0"/>
            <w:vAlign w:val="center"/>
          </w:tcPr>
          <w:p>
            <w:pPr>
              <w:spacing w:line="300" w:lineRule="auto"/>
              <w:rPr>
                <w:rFonts w:hint="eastAsia" w:ascii="宋体" w:hAnsi="宋体" w:cs="宋体"/>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5</w:t>
            </w:r>
          </w:p>
        </w:tc>
        <w:tc>
          <w:tcPr>
            <w:tcW w:w="6636" w:type="dxa"/>
            <w:noWrap w:val="0"/>
            <w:vAlign w:val="center"/>
          </w:tcPr>
          <w:p>
            <w:pPr>
              <w:widowControl/>
              <w:spacing w:line="300" w:lineRule="auto"/>
              <w:jc w:val="left"/>
              <w:textAlignment w:val="center"/>
              <w:rPr>
                <w:rFonts w:hint="eastAsia" w:ascii="宋体" w:hAnsi="宋体" w:cs="宋体"/>
                <w:color w:val="000000"/>
                <w:spacing w:val="-2"/>
                <w:sz w:val="24"/>
              </w:rPr>
            </w:pPr>
            <w:r>
              <w:rPr>
                <w:rFonts w:hint="eastAsia" w:ascii="宋体" w:hAnsi="宋体" w:cs="宋体"/>
                <w:color w:val="000000"/>
                <w:kern w:val="0"/>
                <w:sz w:val="24"/>
                <w:lang w:bidi="ar"/>
              </w:rPr>
              <w:t>无投标文件没有投标单位法定代表人或其授权代表签字（章）和加盖投标单位公章的（投标文件正本的印章和签字不能为复印件）情况；</w:t>
            </w:r>
          </w:p>
        </w:tc>
        <w:tc>
          <w:tcPr>
            <w:tcW w:w="1552" w:type="dxa"/>
            <w:noWrap w:val="0"/>
            <w:vAlign w:val="center"/>
          </w:tcPr>
          <w:p>
            <w:pPr>
              <w:spacing w:line="300" w:lineRule="auto"/>
              <w:rPr>
                <w:rFonts w:hint="eastAsia" w:ascii="宋体" w:hAnsi="宋体" w:cs="宋体"/>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32"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6</w:t>
            </w:r>
          </w:p>
        </w:tc>
        <w:tc>
          <w:tcPr>
            <w:tcW w:w="6636" w:type="dxa"/>
            <w:noWrap w:val="0"/>
            <w:vAlign w:val="center"/>
          </w:tcPr>
          <w:p>
            <w:pPr>
              <w:widowControl/>
              <w:spacing w:line="300" w:lineRule="auto"/>
              <w:jc w:val="left"/>
              <w:textAlignment w:val="center"/>
              <w:rPr>
                <w:rFonts w:hint="eastAsia" w:ascii="宋体" w:hAnsi="宋体" w:cs="宋体"/>
                <w:color w:val="000000"/>
                <w:spacing w:val="-2"/>
                <w:sz w:val="24"/>
              </w:rPr>
            </w:pPr>
            <w:r>
              <w:rPr>
                <w:rFonts w:hint="eastAsia" w:ascii="宋体" w:hAnsi="宋体" w:cs="宋体"/>
                <w:color w:val="000000"/>
                <w:kern w:val="0"/>
                <w:sz w:val="24"/>
                <w:lang w:bidi="ar"/>
              </w:rPr>
              <w:t>投标的政府采购项目完成期限未超过招标文件规定期限的；</w:t>
            </w:r>
          </w:p>
        </w:tc>
        <w:tc>
          <w:tcPr>
            <w:tcW w:w="1552" w:type="dxa"/>
            <w:noWrap w:val="0"/>
            <w:vAlign w:val="center"/>
          </w:tcPr>
          <w:p>
            <w:pPr>
              <w:spacing w:line="300" w:lineRule="auto"/>
              <w:rPr>
                <w:rFonts w:hint="eastAsia" w:ascii="宋体" w:hAnsi="宋体" w:cs="宋体"/>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32"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7</w:t>
            </w:r>
          </w:p>
        </w:tc>
        <w:tc>
          <w:tcPr>
            <w:tcW w:w="6636" w:type="dxa"/>
            <w:noWrap w:val="0"/>
            <w:vAlign w:val="center"/>
          </w:tcPr>
          <w:p>
            <w:pPr>
              <w:widowControl/>
              <w:spacing w:line="300" w:lineRule="auto"/>
              <w:jc w:val="left"/>
              <w:textAlignment w:val="center"/>
              <w:rPr>
                <w:rFonts w:hint="eastAsia" w:ascii="宋体" w:hAnsi="宋体" w:cs="宋体"/>
                <w:color w:val="000000"/>
                <w:spacing w:val="-2"/>
                <w:sz w:val="24"/>
              </w:rPr>
            </w:pPr>
            <w:r>
              <w:rPr>
                <w:rFonts w:hint="eastAsia" w:ascii="宋体" w:hAnsi="宋体" w:cs="宋体"/>
                <w:color w:val="000000"/>
                <w:kern w:val="0"/>
                <w:sz w:val="24"/>
                <w:lang w:bidi="ar"/>
              </w:rPr>
              <w:t>投标文件载明的</w:t>
            </w:r>
            <w:r>
              <w:rPr>
                <w:rFonts w:hint="eastAsia" w:ascii="宋体" w:hAnsi="宋体" w:cs="宋体"/>
                <w:color w:val="000000"/>
                <w:kern w:val="0"/>
                <w:sz w:val="24"/>
                <w:lang w:val="en-US" w:eastAsia="zh-CN" w:bidi="ar"/>
              </w:rPr>
              <w:t>服务</w:t>
            </w:r>
            <w:r>
              <w:rPr>
                <w:rFonts w:hint="eastAsia" w:ascii="宋体" w:hAnsi="宋体" w:cs="宋体"/>
                <w:color w:val="000000"/>
                <w:kern w:val="0"/>
                <w:sz w:val="24"/>
                <w:lang w:bidi="ar"/>
              </w:rPr>
              <w:t>及参数是否与招标文件要求的一致；</w:t>
            </w:r>
          </w:p>
        </w:tc>
        <w:tc>
          <w:tcPr>
            <w:tcW w:w="1552" w:type="dxa"/>
            <w:noWrap w:val="0"/>
            <w:vAlign w:val="center"/>
          </w:tcPr>
          <w:p>
            <w:pPr>
              <w:spacing w:line="300" w:lineRule="auto"/>
              <w:rPr>
                <w:rFonts w:hint="eastAsia" w:ascii="宋体" w:hAnsi="宋体" w:cs="宋体"/>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32"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8</w:t>
            </w:r>
          </w:p>
        </w:tc>
        <w:tc>
          <w:tcPr>
            <w:tcW w:w="6636" w:type="dxa"/>
            <w:noWrap w:val="0"/>
            <w:vAlign w:val="center"/>
          </w:tcPr>
          <w:p>
            <w:pPr>
              <w:widowControl/>
              <w:spacing w:line="300" w:lineRule="auto"/>
              <w:textAlignment w:val="center"/>
              <w:rPr>
                <w:rFonts w:hint="eastAsia" w:ascii="宋体" w:hAnsi="宋体" w:cs="宋体"/>
                <w:color w:val="000000"/>
                <w:sz w:val="24"/>
              </w:rPr>
            </w:pPr>
            <w:r>
              <w:rPr>
                <w:rFonts w:hint="eastAsia" w:ascii="宋体" w:hAnsi="宋体" w:cs="宋体"/>
                <w:color w:val="000000"/>
                <w:kern w:val="0"/>
                <w:sz w:val="24"/>
                <w:lang w:bidi="ar"/>
              </w:rPr>
              <w:t>投标文件未附有采购人不能接受条件的；</w:t>
            </w:r>
          </w:p>
        </w:tc>
        <w:tc>
          <w:tcPr>
            <w:tcW w:w="1552" w:type="dxa"/>
            <w:noWrap w:val="0"/>
            <w:vAlign w:val="center"/>
          </w:tcPr>
          <w:p>
            <w:pPr>
              <w:spacing w:line="30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32"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9</w:t>
            </w:r>
          </w:p>
        </w:tc>
        <w:tc>
          <w:tcPr>
            <w:tcW w:w="6636" w:type="dxa"/>
            <w:noWrap w:val="0"/>
            <w:vAlign w:val="center"/>
          </w:tcPr>
          <w:p>
            <w:pPr>
              <w:widowControl/>
              <w:spacing w:line="300" w:lineRule="auto"/>
              <w:jc w:val="left"/>
              <w:textAlignment w:val="center"/>
              <w:rPr>
                <w:rFonts w:hint="eastAsia" w:ascii="宋体" w:hAnsi="宋体" w:cs="宋体"/>
                <w:color w:val="000000"/>
                <w:spacing w:val="-2"/>
                <w:sz w:val="24"/>
              </w:rPr>
            </w:pPr>
            <w:r>
              <w:rPr>
                <w:rFonts w:hint="eastAsia" w:ascii="宋体" w:hAnsi="宋体" w:cs="宋体"/>
                <w:color w:val="000000"/>
                <w:kern w:val="0"/>
                <w:sz w:val="24"/>
                <w:lang w:bidi="ar"/>
              </w:rPr>
              <w:t>无不满足招标文件实质性要求的其他情形；</w:t>
            </w:r>
          </w:p>
        </w:tc>
        <w:tc>
          <w:tcPr>
            <w:tcW w:w="1552" w:type="dxa"/>
            <w:noWrap w:val="0"/>
            <w:vAlign w:val="center"/>
          </w:tcPr>
          <w:p>
            <w:pPr>
              <w:spacing w:line="300" w:lineRule="auto"/>
              <w:rPr>
                <w:rFonts w:hint="eastAsia" w:ascii="宋体" w:hAnsi="宋体" w:cs="宋体"/>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468" w:type="dxa"/>
            <w:gridSpan w:val="2"/>
            <w:noWrap w:val="0"/>
            <w:vAlign w:val="center"/>
          </w:tcPr>
          <w:p>
            <w:pPr>
              <w:spacing w:line="300" w:lineRule="auto"/>
              <w:ind w:firstLine="424" w:firstLineChars="180"/>
              <w:rPr>
                <w:rFonts w:hint="eastAsia" w:ascii="宋体" w:hAnsi="宋体" w:cs="宋体"/>
                <w:color w:val="000000"/>
                <w:spacing w:val="-2"/>
                <w:sz w:val="24"/>
              </w:rPr>
            </w:pPr>
            <w:r>
              <w:rPr>
                <w:rFonts w:hint="eastAsia" w:ascii="宋体" w:hAnsi="宋体" w:cs="宋体"/>
                <w:color w:val="000000"/>
                <w:spacing w:val="-2"/>
                <w:sz w:val="24"/>
              </w:rPr>
              <w:t>结论：通过评审打“√”，未通过评审打“×”</w:t>
            </w:r>
          </w:p>
        </w:tc>
        <w:tc>
          <w:tcPr>
            <w:tcW w:w="1552" w:type="dxa"/>
            <w:noWrap w:val="0"/>
            <w:vAlign w:val="center"/>
          </w:tcPr>
          <w:p>
            <w:pPr>
              <w:spacing w:line="300" w:lineRule="auto"/>
              <w:ind w:firstLine="424" w:firstLineChars="180"/>
              <w:rPr>
                <w:rFonts w:hint="eastAsia" w:ascii="宋体" w:hAnsi="宋体" w:cs="宋体"/>
                <w:color w:val="000000"/>
                <w:spacing w:val="-2"/>
                <w:sz w:val="24"/>
              </w:rPr>
            </w:pPr>
          </w:p>
        </w:tc>
      </w:tr>
    </w:tbl>
    <w:p>
      <w:pPr>
        <w:spacing w:line="300" w:lineRule="auto"/>
        <w:ind w:left="60"/>
        <w:rPr>
          <w:rFonts w:hint="eastAsia" w:ascii="宋体" w:hAnsi="宋体" w:cs="宋体"/>
          <w:color w:val="000000"/>
          <w:sz w:val="24"/>
        </w:rPr>
      </w:pPr>
      <w:r>
        <w:rPr>
          <w:rFonts w:hint="eastAsia" w:ascii="宋体" w:hAnsi="宋体" w:cs="宋体"/>
          <w:color w:val="000000"/>
          <w:sz w:val="24"/>
        </w:rPr>
        <w:t>说明：</w:t>
      </w:r>
    </w:p>
    <w:p>
      <w:pPr>
        <w:spacing w:line="300" w:lineRule="auto"/>
        <w:ind w:left="60"/>
        <w:rPr>
          <w:rFonts w:hint="eastAsia" w:ascii="宋体" w:hAnsi="宋体" w:cs="宋体"/>
          <w:color w:val="000000"/>
          <w:sz w:val="24"/>
        </w:rPr>
      </w:pPr>
      <w:r>
        <w:rPr>
          <w:rFonts w:hint="eastAsia" w:ascii="宋体" w:hAnsi="宋体" w:cs="宋体"/>
          <w:color w:val="000000"/>
          <w:sz w:val="24"/>
        </w:rPr>
        <w:t>（1）上述各项中用“√”表示通过，“×”表示不通过；</w:t>
      </w:r>
    </w:p>
    <w:p>
      <w:pPr>
        <w:spacing w:line="300" w:lineRule="auto"/>
        <w:ind w:left="779" w:leftChars="28" w:hanging="720" w:hangingChars="300"/>
        <w:rPr>
          <w:rFonts w:hint="eastAsia" w:ascii="宋体" w:hAnsi="宋体" w:cs="宋体"/>
          <w:color w:val="000000"/>
          <w:sz w:val="24"/>
        </w:rPr>
      </w:pPr>
      <w:r>
        <w:rPr>
          <w:rFonts w:hint="eastAsia" w:ascii="宋体" w:hAnsi="宋体" w:cs="宋体"/>
          <w:color w:val="000000"/>
          <w:sz w:val="24"/>
        </w:rPr>
        <w:t>（2）上述各项中如有一项为“×”，则结论为“×”，表示该投标文件中存在重大偏差，不能通过初步评审；评委对某一分项评审认为不合格时，必须要写明原因。</w:t>
      </w:r>
    </w:p>
    <w:p>
      <w:pPr>
        <w:spacing w:line="300" w:lineRule="auto"/>
        <w:rPr>
          <w:rFonts w:hint="eastAsia" w:ascii="宋体" w:hAnsi="宋体" w:cs="宋体"/>
          <w:color w:val="000000"/>
          <w:sz w:val="24"/>
        </w:rPr>
      </w:pPr>
      <w:r>
        <w:rPr>
          <w:rFonts w:hint="eastAsia" w:ascii="宋体" w:hAnsi="宋体" w:cs="宋体"/>
          <w:color w:val="000000"/>
          <w:sz w:val="24"/>
        </w:rPr>
        <w:t>（3）投标文件最终合格与否，以所有评委的评审意见中少数服从多数为原则定论。</w:t>
      </w:r>
    </w:p>
    <w:p>
      <w:pPr>
        <w:pStyle w:val="4"/>
        <w:tabs>
          <w:tab w:val="left" w:pos="540"/>
        </w:tabs>
        <w:ind w:firstLine="482" w:firstLineChars="200"/>
        <w:outlineLvl w:val="9"/>
        <w:rPr>
          <w:rFonts w:hint="eastAsia" w:ascii="宋体" w:hAnsi="宋体" w:eastAsia="宋体" w:cs="宋体"/>
          <w:bCs/>
          <w:sz w:val="24"/>
          <w:szCs w:val="24"/>
          <w:u w:val="single"/>
        </w:rPr>
      </w:pPr>
    </w:p>
    <w:p>
      <w:pPr>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50"/>
        <w:rPr>
          <w:rFonts w:hint="eastAsia" w:ascii="宋体" w:hAnsi="宋体" w:eastAsia="宋体" w:cs="宋体"/>
          <w:bCs/>
          <w:sz w:val="24"/>
          <w:szCs w:val="24"/>
          <w:u w:val="single"/>
        </w:rPr>
      </w:pPr>
    </w:p>
    <w:p>
      <w:pPr>
        <w:pStyle w:val="4"/>
        <w:tabs>
          <w:tab w:val="left" w:pos="540"/>
        </w:tabs>
        <w:ind w:firstLine="482" w:firstLineChars="200"/>
        <w:jc w:val="center"/>
        <w:rPr>
          <w:rFonts w:hint="eastAsia" w:ascii="宋体" w:hAnsi="宋体" w:eastAsia="宋体" w:cs="宋体"/>
          <w:color w:val="auto"/>
          <w:sz w:val="24"/>
          <w:szCs w:val="24"/>
          <w:highlight w:val="none"/>
          <w:u w:val="none"/>
        </w:rPr>
      </w:pPr>
      <w:r>
        <w:rPr>
          <w:rFonts w:hint="eastAsia" w:ascii="宋体" w:hAnsi="宋体" w:eastAsia="宋体" w:cs="宋体"/>
          <w:bCs/>
          <w:sz w:val="24"/>
          <w:szCs w:val="24"/>
          <w:u w:val="none"/>
        </w:rPr>
        <w:t>评</w:t>
      </w:r>
      <w:r>
        <w:rPr>
          <w:rFonts w:hint="eastAsia" w:ascii="宋体" w:hAnsi="宋体" w:eastAsia="宋体" w:cs="宋体"/>
          <w:bCs/>
          <w:sz w:val="24"/>
          <w:szCs w:val="24"/>
          <w:u w:val="none"/>
          <w:lang w:val="en-US" w:eastAsia="zh-CN"/>
        </w:rPr>
        <w:t>审</w:t>
      </w:r>
      <w:r>
        <w:rPr>
          <w:rFonts w:hint="eastAsia" w:ascii="宋体" w:hAnsi="宋体" w:eastAsia="宋体" w:cs="宋体"/>
          <w:bCs/>
          <w:sz w:val="24"/>
          <w:szCs w:val="24"/>
          <w:u w:val="none"/>
        </w:rPr>
        <w:t>方法和评</w:t>
      </w:r>
      <w:r>
        <w:rPr>
          <w:rFonts w:hint="eastAsia" w:ascii="宋体" w:hAnsi="宋体" w:eastAsia="宋体" w:cs="宋体"/>
          <w:bCs/>
          <w:sz w:val="24"/>
          <w:szCs w:val="24"/>
          <w:u w:val="none"/>
          <w:lang w:val="en-US" w:eastAsia="zh-CN"/>
        </w:rPr>
        <w:t>审</w:t>
      </w:r>
      <w:r>
        <w:rPr>
          <w:rFonts w:hint="eastAsia" w:ascii="宋体" w:hAnsi="宋体" w:eastAsia="宋体" w:cs="宋体"/>
          <w:bCs/>
          <w:sz w:val="24"/>
          <w:szCs w:val="24"/>
          <w:u w:val="none"/>
        </w:rPr>
        <w:t>标准说明</w:t>
      </w:r>
    </w:p>
    <w:p>
      <w:pPr>
        <w:pStyle w:val="9"/>
        <w:spacing w:before="186" w:line="364" w:lineRule="auto"/>
        <w:ind w:right="47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一、评审方法：本项目采用综合评分法，即响应文件满足磋商文件全部实质性要求且按评审因素的量化指标评审得分最高的供应商为成交候选供应商的评审方法。</w:t>
      </w:r>
    </w:p>
    <w:p>
      <w:pPr>
        <w:pStyle w:val="9"/>
        <w:spacing w:line="307"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二、评审因素及所占权重：</w:t>
      </w:r>
    </w:p>
    <w:p>
      <w:pPr>
        <w:pStyle w:val="9"/>
        <w:spacing w:before="1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及技术</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p>
      <w:pPr>
        <w:pStyle w:val="9"/>
        <w:spacing w:before="1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价格分：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pPr>
        <w:pStyle w:val="9"/>
        <w:spacing w:before="161" w:line="364" w:lineRule="auto"/>
        <w:ind w:right="410" w:rightChars="0"/>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z w:val="24"/>
          <w:szCs w:val="24"/>
          <w:highlight w:val="none"/>
        </w:rPr>
        <w:t>磋商基准价=满足磋商文件要求且最后报价最低的评审价格合格供应商的有效磋商报价得分=（磋商基准价/评审价格</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eastAsia="zh-CN"/>
        </w:rPr>
        <w:t>30</w:t>
      </w:r>
    </w:p>
    <w:tbl>
      <w:tblPr>
        <w:tblStyle w:val="29"/>
        <w:tblpPr w:leftFromText="180" w:rightFromText="180" w:vertAnchor="text" w:horzAnchor="page" w:tblpX="1068" w:tblpY="375"/>
        <w:tblOverlap w:val="never"/>
        <w:tblW w:w="10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25"/>
        <w:gridCol w:w="665"/>
        <w:gridCol w:w="6424"/>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84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lang w:eastAsia="zh-CN"/>
              </w:rPr>
            </w:pPr>
            <w:r>
              <w:rPr>
                <w:rFonts w:hint="eastAsia" w:ascii="宋体" w:hAnsi="宋体" w:eastAsia="宋体" w:cs="宋体"/>
                <w:b/>
                <w:bCs/>
                <w:color w:val="000000"/>
                <w:kern w:val="0"/>
                <w:szCs w:val="21"/>
                <w:highlight w:val="none"/>
                <w:lang w:eastAsia="zh-CN"/>
              </w:rPr>
              <w:t>类别</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评分因素</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分值</w:t>
            </w:r>
          </w:p>
        </w:tc>
        <w:tc>
          <w:tcPr>
            <w:tcW w:w="64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评分标准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价格：</w:t>
            </w:r>
            <w:r>
              <w:rPr>
                <w:rFonts w:hint="eastAsia" w:ascii="宋体" w:hAnsi="宋体" w:eastAsia="宋体" w:cs="宋体"/>
                <w:b/>
                <w:bCs/>
                <w:color w:val="000000"/>
                <w:kern w:val="0"/>
                <w:szCs w:val="21"/>
                <w:highlight w:val="none"/>
                <w:lang w:val="en-US" w:eastAsia="zh-CN"/>
              </w:rPr>
              <w:t>30</w:t>
            </w:r>
            <w:r>
              <w:rPr>
                <w:rFonts w:hint="eastAsia" w:ascii="宋体" w:hAnsi="宋体" w:eastAsia="宋体" w:cs="宋体"/>
                <w:b/>
                <w:bCs/>
                <w:color w:val="000000"/>
                <w:kern w:val="0"/>
                <w:szCs w:val="21"/>
                <w:highlight w:val="none"/>
              </w:rPr>
              <w:t>分  商务</w:t>
            </w:r>
            <w:r>
              <w:rPr>
                <w:rFonts w:hint="eastAsia" w:ascii="宋体" w:hAnsi="宋体" w:eastAsia="宋体" w:cs="宋体"/>
                <w:b/>
                <w:bCs/>
                <w:color w:val="000000"/>
                <w:kern w:val="0"/>
                <w:szCs w:val="21"/>
                <w:highlight w:val="none"/>
                <w:lang w:val="en-US" w:eastAsia="zh-CN"/>
              </w:rPr>
              <w:t>及技术</w:t>
            </w:r>
            <w:r>
              <w:rPr>
                <w:rFonts w:hint="eastAsia" w:ascii="宋体" w:hAnsi="宋体" w:eastAsia="宋体" w:cs="宋体"/>
                <w:b/>
                <w:bCs/>
                <w:color w:val="000000"/>
                <w:kern w:val="0"/>
                <w:szCs w:val="21"/>
                <w:highlight w:val="none"/>
              </w:rPr>
              <w:t>：</w:t>
            </w:r>
            <w:r>
              <w:rPr>
                <w:rFonts w:hint="eastAsia" w:ascii="宋体" w:hAnsi="宋体" w:eastAsia="宋体" w:cs="宋体"/>
                <w:b/>
                <w:bCs/>
                <w:color w:val="000000"/>
                <w:kern w:val="0"/>
                <w:szCs w:val="21"/>
                <w:highlight w:val="none"/>
                <w:lang w:val="en-US" w:eastAsia="zh-CN"/>
              </w:rPr>
              <w:t>70</w:t>
            </w:r>
            <w:r>
              <w:rPr>
                <w:rFonts w:hint="eastAsia" w:ascii="宋体" w:hAnsi="宋体" w:eastAsia="宋体" w:cs="宋体"/>
                <w:b/>
                <w:bCs/>
                <w:color w:val="000000"/>
                <w:kern w:val="0"/>
                <w:szCs w:val="21"/>
                <w:highlight w:val="none"/>
              </w:rPr>
              <w:t xml:space="preserve">分              </w:t>
            </w:r>
          </w:p>
        </w:tc>
        <w:tc>
          <w:tcPr>
            <w:tcW w:w="1458" w:type="dxa"/>
            <w:noWrap w:val="0"/>
            <w:vAlign w:val="center"/>
          </w:tcPr>
          <w:p>
            <w:pPr>
              <w:pStyle w:val="92"/>
              <w:keepNext w:val="0"/>
              <w:keepLines w:val="0"/>
              <w:pageBreakBefore w:val="0"/>
              <w:kinsoku/>
              <w:wordWrap/>
              <w:overflowPunct/>
              <w:topLinePunct w:val="0"/>
              <w:autoSpaceDE/>
              <w:autoSpaceDN/>
              <w:bidi w:val="0"/>
              <w:adjustRightInd/>
              <w:snapToGrid/>
              <w:spacing w:before="0" w:after="0" w:line="360" w:lineRule="exact"/>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trPr>
        <w:tc>
          <w:tcPr>
            <w:tcW w:w="84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价格评分标准</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Cs w:val="21"/>
                <w:highlight w:val="none"/>
              </w:rPr>
              <w:t>投标报价</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30</w:t>
            </w:r>
          </w:p>
        </w:tc>
        <w:tc>
          <w:tcPr>
            <w:tcW w:w="6424"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完全满足</w:t>
            </w:r>
            <w:r>
              <w:rPr>
                <w:rFonts w:hint="eastAsia" w:ascii="宋体" w:hAnsi="宋体" w:eastAsia="宋体" w:cs="宋体"/>
                <w:color w:val="000000"/>
                <w:highlight w:val="none"/>
                <w:lang w:eastAsia="zh-CN"/>
              </w:rPr>
              <w:t>招标文件</w:t>
            </w:r>
            <w:r>
              <w:rPr>
                <w:rFonts w:hint="eastAsia" w:ascii="宋体" w:hAnsi="宋体" w:eastAsia="宋体" w:cs="宋体"/>
                <w:color w:val="000000"/>
                <w:highlight w:val="none"/>
              </w:rPr>
              <w:t>参数的投标报价中的最低价为评标基准价，按照下列公式计算每个</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的投标价格得分。投标报价得分＝</w:t>
            </w:r>
            <w:r>
              <w:rPr>
                <w:rFonts w:hint="eastAsia" w:ascii="宋体" w:hAnsi="宋体" w:eastAsia="宋体" w:cs="宋体"/>
                <w:b w:val="0"/>
                <w:bCs w:val="0"/>
                <w:iCs/>
                <w:color w:val="000000"/>
                <w:sz w:val="21"/>
                <w:szCs w:val="21"/>
                <w:highlight w:val="none"/>
                <w:lang w:eastAsia="zh-CN"/>
              </w:rPr>
              <w:t>（基准价/投标报价）×价格权重×100。</w:t>
            </w:r>
          </w:p>
        </w:tc>
        <w:tc>
          <w:tcPr>
            <w:tcW w:w="1458"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000000"/>
                <w:szCs w:val="21"/>
                <w:highlight w:val="none"/>
              </w:rPr>
            </w:pPr>
            <w:r>
              <w:rPr>
                <w:rFonts w:hint="eastAsia" w:ascii="宋体" w:hAnsi="宋体" w:eastAsia="宋体" w:cs="宋体"/>
                <w:b w:val="0"/>
                <w:bCs w:val="0"/>
                <w:color w:val="000000"/>
                <w:szCs w:val="21"/>
                <w:highlight w:val="none"/>
              </w:rPr>
              <w:t>投标报价超过采购预算价的按</w:t>
            </w:r>
            <w:r>
              <w:rPr>
                <w:rFonts w:hint="eastAsia" w:ascii="宋体" w:hAnsi="宋体" w:eastAsia="宋体" w:cs="宋体"/>
                <w:b w:val="0"/>
                <w:bCs w:val="0"/>
                <w:color w:val="000000"/>
                <w:szCs w:val="21"/>
                <w:highlight w:val="none"/>
                <w:lang w:val="en-US" w:eastAsia="zh-CN"/>
              </w:rPr>
              <w:t>否决投标</w:t>
            </w:r>
            <w:r>
              <w:rPr>
                <w:rFonts w:hint="eastAsia" w:ascii="宋体" w:hAnsi="宋体" w:eastAsia="宋体" w:cs="宋体"/>
                <w:b w:val="0"/>
                <w:bCs w:val="0"/>
                <w:color w:val="000000"/>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商务</w:t>
            </w:r>
            <w:r>
              <w:rPr>
                <w:rFonts w:hint="eastAsia" w:ascii="宋体" w:hAnsi="宋体" w:eastAsia="宋体" w:cs="宋体"/>
                <w:b/>
                <w:bCs/>
                <w:color w:val="000000"/>
                <w:kern w:val="0"/>
                <w:szCs w:val="21"/>
                <w:highlight w:val="none"/>
                <w:lang w:val="en-US" w:eastAsia="zh-CN"/>
              </w:rPr>
              <w:t>及技术</w:t>
            </w:r>
            <w:r>
              <w:rPr>
                <w:rFonts w:hint="eastAsia" w:ascii="宋体" w:hAnsi="宋体" w:eastAsia="宋体" w:cs="宋体"/>
                <w:b/>
                <w:bCs/>
                <w:color w:val="000000"/>
                <w:kern w:val="0"/>
                <w:szCs w:val="21"/>
                <w:highlight w:val="none"/>
              </w:rPr>
              <w:t>评分标准</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Cs w:val="21"/>
                <w:highlight w:val="none"/>
              </w:rPr>
              <w:t>业绩</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6</w:t>
            </w:r>
          </w:p>
        </w:tc>
        <w:tc>
          <w:tcPr>
            <w:tcW w:w="64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近两年承接过至少一项类似项目，提供</w:t>
            </w:r>
            <w:r>
              <w:rPr>
                <w:rFonts w:hint="eastAsia" w:ascii="宋体" w:hAnsi="宋体" w:eastAsia="宋体" w:cs="宋体"/>
                <w:b w:val="0"/>
                <w:bCs w:val="0"/>
                <w:color w:val="000000"/>
                <w:kern w:val="0"/>
                <w:szCs w:val="21"/>
                <w:highlight w:val="none"/>
                <w:lang w:eastAsia="zh-CN"/>
              </w:rPr>
              <w:t>一个</w:t>
            </w:r>
            <w:r>
              <w:rPr>
                <w:rFonts w:hint="eastAsia" w:ascii="宋体" w:hAnsi="宋体" w:eastAsia="宋体" w:cs="宋体"/>
                <w:b w:val="0"/>
                <w:bCs w:val="0"/>
                <w:color w:val="000000"/>
                <w:kern w:val="0"/>
                <w:szCs w:val="21"/>
                <w:highlight w:val="none"/>
                <w:lang w:val="en-US" w:eastAsia="zh-CN"/>
              </w:rPr>
              <w:t>类似</w:t>
            </w:r>
            <w:r>
              <w:rPr>
                <w:rFonts w:hint="eastAsia" w:ascii="宋体" w:hAnsi="宋体" w:eastAsia="宋体" w:cs="宋体"/>
                <w:b w:val="0"/>
                <w:bCs w:val="0"/>
                <w:color w:val="000000"/>
                <w:kern w:val="0"/>
                <w:szCs w:val="21"/>
                <w:highlight w:val="none"/>
                <w:lang w:eastAsia="zh-CN"/>
              </w:rPr>
              <w:t>有效业绩得</w:t>
            </w:r>
            <w:r>
              <w:rPr>
                <w:rFonts w:hint="eastAsia" w:ascii="宋体" w:hAnsi="宋体" w:eastAsia="宋体" w:cs="宋体"/>
                <w:b w:val="0"/>
                <w:bCs w:val="0"/>
                <w:color w:val="000000"/>
                <w:kern w:val="0"/>
                <w:szCs w:val="21"/>
                <w:highlight w:val="none"/>
                <w:lang w:val="en-US" w:eastAsia="zh-CN"/>
              </w:rPr>
              <w:t>3</w:t>
            </w:r>
            <w:r>
              <w:rPr>
                <w:rFonts w:hint="eastAsia" w:ascii="宋体" w:hAnsi="宋体" w:eastAsia="宋体" w:cs="宋体"/>
                <w:b w:val="0"/>
                <w:bCs w:val="0"/>
                <w:color w:val="000000"/>
                <w:kern w:val="0"/>
                <w:szCs w:val="21"/>
                <w:highlight w:val="none"/>
                <w:lang w:eastAsia="zh-CN"/>
              </w:rPr>
              <w:t>分（</w:t>
            </w:r>
            <w:r>
              <w:rPr>
                <w:rFonts w:hint="eastAsia" w:ascii="宋体" w:hAnsi="宋体" w:eastAsia="宋体" w:cs="宋体"/>
                <w:b w:val="0"/>
                <w:bCs w:val="0"/>
                <w:color w:val="000000"/>
                <w:kern w:val="0"/>
                <w:szCs w:val="21"/>
                <w:highlight w:val="none"/>
                <w:lang w:val="en-US" w:eastAsia="zh-CN"/>
              </w:rPr>
              <w:t>须提供合同协议书或中标通知书）</w:t>
            </w:r>
            <w:r>
              <w:rPr>
                <w:rFonts w:hint="eastAsia" w:ascii="宋体" w:hAnsi="宋体" w:eastAsia="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lang w:val="en-US" w:eastAsia="zh-CN"/>
              </w:rPr>
              <w:t>最多得6分，</w:t>
            </w:r>
            <w:r>
              <w:rPr>
                <w:rFonts w:hint="eastAsia" w:ascii="宋体" w:hAnsi="宋体" w:eastAsia="宋体" w:cs="宋体"/>
                <w:b w:val="0"/>
                <w:bCs w:val="0"/>
                <w:color w:val="000000"/>
                <w:kern w:val="0"/>
                <w:szCs w:val="21"/>
                <w:highlight w:val="none"/>
                <w:lang w:eastAsia="zh-CN"/>
              </w:rPr>
              <w:t>未提供证明材料的</w:t>
            </w:r>
            <w:r>
              <w:rPr>
                <w:rFonts w:hint="eastAsia" w:ascii="宋体" w:hAnsi="宋体" w:eastAsia="宋体" w:cs="宋体"/>
                <w:b w:val="0"/>
                <w:bCs w:val="0"/>
                <w:color w:val="000000"/>
                <w:kern w:val="0"/>
                <w:szCs w:val="21"/>
                <w:highlight w:val="none"/>
                <w:lang w:val="en-US" w:eastAsia="zh-CN"/>
              </w:rPr>
              <w:t>不得分</w:t>
            </w:r>
            <w:r>
              <w:rPr>
                <w:rFonts w:hint="eastAsia" w:ascii="宋体" w:hAnsi="宋体" w:eastAsia="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lang w:val="en-US" w:eastAsia="zh-CN"/>
              </w:rPr>
              <w:t xml:space="preserve"> </w:t>
            </w:r>
          </w:p>
        </w:tc>
        <w:tc>
          <w:tcPr>
            <w:tcW w:w="1458"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000000"/>
                <w:szCs w:val="21"/>
                <w:highlight w:val="none"/>
                <w:lang w:val="en-US" w:eastAsia="zh-CN"/>
              </w:rPr>
            </w:pPr>
            <w:r>
              <w:rPr>
                <w:rFonts w:hint="eastAsia" w:ascii="宋体" w:hAnsi="宋体" w:eastAsia="宋体" w:cs="宋体"/>
                <w:b w:val="0"/>
                <w:bCs w:val="0"/>
                <w:color w:val="000000"/>
                <w:kern w:val="0"/>
                <w:szCs w:val="21"/>
                <w:highlight w:val="none"/>
                <w:lang w:val="en-US" w:eastAsia="zh-CN"/>
              </w:rPr>
              <w:t>业绩证明文件需为原件扫描件并加盖公章，不提交不得分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rPr>
            </w:pPr>
            <w:r>
              <w:rPr>
                <w:rFonts w:hint="eastAsia" w:ascii="宋体" w:hAnsi="宋体" w:eastAsia="宋体" w:cs="宋体"/>
                <w:color w:val="000000"/>
                <w:szCs w:val="21"/>
                <w:highlight w:val="none"/>
              </w:rPr>
              <w:t>文件制作</w:t>
            </w:r>
          </w:p>
        </w:tc>
        <w:tc>
          <w:tcPr>
            <w:tcW w:w="66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1</w:t>
            </w:r>
          </w:p>
        </w:tc>
        <w:tc>
          <w:tcPr>
            <w:tcW w:w="6424" w:type="dxa"/>
            <w:noWrap w:val="0"/>
            <w:vAlign w:val="top"/>
          </w:tcPr>
          <w:p>
            <w:pPr>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Cs w:val="21"/>
                <w:highlight w:val="none"/>
                <w:lang w:val="en-US" w:eastAsia="zh-CN"/>
              </w:rPr>
              <w:t>投标文件目录清晰、页码连续、目录与页码对应准确，评审内容便于查找，正副本内容一样清晰可辨得1分，否则不得分。</w:t>
            </w:r>
          </w:p>
        </w:tc>
        <w:tc>
          <w:tcPr>
            <w:tcW w:w="145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6"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p>
        </w:tc>
        <w:tc>
          <w:tcPr>
            <w:tcW w:w="112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iCs/>
                <w:color w:val="000000"/>
                <w:sz w:val="21"/>
                <w:szCs w:val="21"/>
                <w:highlight w:val="none"/>
                <w:lang w:val="en-US"/>
              </w:rPr>
            </w:pPr>
            <w:r>
              <w:rPr>
                <w:rFonts w:hint="eastAsia" w:ascii="宋体" w:hAnsi="宋体" w:eastAsia="宋体" w:cs="宋体"/>
                <w:b w:val="0"/>
                <w:bCs w:val="0"/>
                <w:color w:val="000000"/>
                <w:kern w:val="0"/>
                <w:szCs w:val="21"/>
                <w:highlight w:val="none"/>
                <w:lang w:val="en-US" w:eastAsia="zh-CN"/>
              </w:rPr>
              <w:t>食宿餐饮方案</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iCs/>
                <w:color w:val="000000"/>
                <w:sz w:val="21"/>
                <w:szCs w:val="21"/>
                <w:highlight w:val="none"/>
                <w:lang w:val="en-US" w:eastAsia="zh-CN"/>
              </w:rPr>
            </w:pPr>
            <w:r>
              <w:rPr>
                <w:rFonts w:hint="eastAsia" w:ascii="宋体" w:hAnsi="宋体" w:eastAsia="宋体" w:cs="宋体"/>
                <w:b w:val="0"/>
                <w:bCs w:val="0"/>
                <w:iCs/>
                <w:color w:val="000000"/>
                <w:sz w:val="21"/>
                <w:szCs w:val="21"/>
                <w:highlight w:val="none"/>
                <w:lang w:val="en-US" w:eastAsia="zh-CN"/>
              </w:rPr>
              <w:t>5</w:t>
            </w:r>
          </w:p>
        </w:tc>
        <w:tc>
          <w:tcPr>
            <w:tcW w:w="642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投标人针对该项目制定食宿餐饮方案：</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餐饮食宿安排计划周密、各项考虑全面，饮食及住宿保障措施具体，住宿场地设施齐全、卫生整洁、服务人员齐全满足需求，餐饮饮食种类丰富，品种齐全得5分；</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餐饮食宿安排计划周密、各项考虑基本全面，饮食及住宿保障措施具体，住宿场地设施齐全、卫生整洁、服务人员齐全基本满足需求，餐饮饮食种类丰富，品种较齐全得3分；</w:t>
            </w:r>
          </w:p>
          <w:p>
            <w:pPr>
              <w:pStyle w:val="27"/>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餐饮食宿安排计划一般、各项考虑基本全面，饮食及住宿保障措施具体，住宿场地设施齐全、卫生整洁、服务人员一般，满足需求，餐饮饮食种类一般，品种一般得1分；</w:t>
            </w:r>
          </w:p>
          <w:p>
            <w:pPr>
              <w:rPr>
                <w:rFonts w:hint="eastAsia" w:ascii="宋体" w:hAnsi="宋体" w:eastAsia="宋体" w:cs="宋体"/>
                <w:lang w:val="en-US" w:eastAsia="zh-CN"/>
              </w:rPr>
            </w:pPr>
            <w:r>
              <w:rPr>
                <w:rFonts w:hint="eastAsia" w:ascii="宋体" w:hAnsi="宋体" w:eastAsia="宋体" w:cs="宋体"/>
                <w:b w:val="0"/>
                <w:bCs w:val="0"/>
                <w:color w:val="000000"/>
                <w:kern w:val="0"/>
                <w:szCs w:val="21"/>
                <w:highlight w:val="none"/>
                <w:lang w:val="en-US" w:eastAsia="zh-CN"/>
              </w:rPr>
              <w:t>不提供不得分。</w:t>
            </w:r>
          </w:p>
        </w:tc>
        <w:tc>
          <w:tcPr>
            <w:tcW w:w="1458"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000000"/>
                <w:szCs w:val="21"/>
                <w:highlight w:val="none"/>
              </w:rPr>
            </w:pPr>
            <w:r>
              <w:rPr>
                <w:rFonts w:hint="eastAsia" w:ascii="宋体" w:hAnsi="宋体" w:eastAsia="宋体" w:cs="宋体"/>
                <w:b w:val="0"/>
                <w:bCs w:val="0"/>
                <w:color w:val="000000"/>
                <w:szCs w:val="21"/>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p>
        </w:tc>
        <w:tc>
          <w:tcPr>
            <w:tcW w:w="112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 xml:space="preserve">交通车辆安排方案 </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iCs/>
                <w:color w:val="000000"/>
                <w:sz w:val="21"/>
                <w:szCs w:val="21"/>
                <w:highlight w:val="none"/>
                <w:lang w:val="en-US" w:eastAsia="zh-CN"/>
              </w:rPr>
            </w:pPr>
            <w:r>
              <w:rPr>
                <w:rFonts w:hint="eastAsia" w:ascii="宋体" w:hAnsi="宋体" w:eastAsia="宋体" w:cs="宋体"/>
                <w:b w:val="0"/>
                <w:bCs w:val="0"/>
                <w:iCs/>
                <w:color w:val="000000"/>
                <w:sz w:val="21"/>
                <w:szCs w:val="21"/>
                <w:highlight w:val="none"/>
                <w:lang w:val="en-US" w:eastAsia="zh-CN"/>
              </w:rPr>
              <w:t>5</w:t>
            </w:r>
          </w:p>
        </w:tc>
        <w:tc>
          <w:tcPr>
            <w:tcW w:w="6424" w:type="dxa"/>
            <w:noWrap w:val="0"/>
            <w:vAlign w:val="center"/>
          </w:tcPr>
          <w:p>
            <w:pPr>
              <w:rPr>
                <w:rFonts w:hint="eastAsia" w:ascii="宋体" w:hAnsi="宋体" w:eastAsia="宋体" w:cs="宋体"/>
                <w:lang w:val="en-US" w:eastAsia="zh-CN"/>
              </w:rPr>
            </w:pPr>
            <w:r>
              <w:rPr>
                <w:rFonts w:hint="eastAsia" w:ascii="宋体" w:hAnsi="宋体" w:eastAsia="宋体" w:cs="宋体"/>
                <w:lang w:val="en-US" w:eastAsia="zh-CN"/>
              </w:rPr>
              <w:t>投标人针对该项目制定交通车辆安排方案：</w:t>
            </w:r>
          </w:p>
          <w:p>
            <w:pPr>
              <w:rPr>
                <w:rFonts w:hint="eastAsia" w:ascii="宋体" w:hAnsi="宋体" w:eastAsia="宋体" w:cs="宋体"/>
                <w:lang w:val="en-US" w:eastAsia="zh-CN"/>
              </w:rPr>
            </w:pPr>
            <w:r>
              <w:rPr>
                <w:rFonts w:hint="eastAsia" w:ascii="宋体" w:hAnsi="宋体" w:eastAsia="宋体" w:cs="宋体"/>
                <w:lang w:val="en-US" w:eastAsia="zh-CN"/>
              </w:rPr>
              <w:t>方案内容考虑全面、交通出行线路安排妥当、安全保障措施完善、交通车辆质量保证措施完善、急救车安排计划完善得5分；</w:t>
            </w:r>
          </w:p>
          <w:p>
            <w:p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方案内容考虑较全面、交通出行线路安排妥当、安全保障措施较完善、交通车辆质量保证措施较完善、急救车安排计划较完善得3分；</w:t>
            </w:r>
          </w:p>
          <w:p>
            <w:pPr>
              <w:pStyle w:val="27"/>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方案内容考虑不够全面、交通出行线路安排不够妥当、安全保障措施不够完善、交通车辆质量保证措施不够完善、急救车安排计划不够完善得1分；</w:t>
            </w:r>
          </w:p>
          <w:p>
            <w:pPr>
              <w:rPr>
                <w:rFonts w:hint="eastAsia" w:ascii="宋体" w:hAnsi="宋体" w:eastAsia="宋体" w:cs="宋体"/>
                <w:lang w:val="en-US" w:eastAsia="zh-CN"/>
              </w:rPr>
            </w:pPr>
            <w:r>
              <w:rPr>
                <w:rFonts w:hint="eastAsia" w:ascii="宋体" w:hAnsi="宋体" w:eastAsia="宋体" w:cs="宋体"/>
                <w:lang w:val="en-US" w:eastAsia="zh-CN"/>
              </w:rPr>
              <w:t>不提供不得分。</w:t>
            </w:r>
          </w:p>
        </w:tc>
        <w:tc>
          <w:tcPr>
            <w:tcW w:w="145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val="0"/>
                <w:bCs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p>
        </w:tc>
        <w:tc>
          <w:tcPr>
            <w:tcW w:w="112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rPr>
            </w:pPr>
            <w:r>
              <w:rPr>
                <w:rFonts w:hint="eastAsia" w:ascii="宋体" w:hAnsi="宋体" w:eastAsia="宋体" w:cs="宋体"/>
                <w:b w:val="0"/>
                <w:bCs w:val="0"/>
                <w:color w:val="000000"/>
                <w:kern w:val="0"/>
                <w:szCs w:val="21"/>
                <w:highlight w:val="none"/>
                <w:lang w:val="en-US" w:eastAsia="zh-CN"/>
              </w:rPr>
              <w:t>执行团队配置</w:t>
            </w:r>
          </w:p>
        </w:tc>
        <w:tc>
          <w:tcPr>
            <w:tcW w:w="66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15</w:t>
            </w:r>
          </w:p>
        </w:tc>
        <w:tc>
          <w:tcPr>
            <w:tcW w:w="642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投标人须列出项目负责人及项目组成人员表并附相关证明材料</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项目负责人：项目负责人应当具有丰富的实践经验和管理能力，有亲和力且文化知识渊博及工作经历（全程跟车+保障师生安全+活动组织+对接地接导游），得3分；</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项目组成人员：有专业团队且具有高级导游证（须提供相关证明文件、身份证明及工作经历等）每人得2分，本项6分；</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有专家团队并具有正高级或教授职称（须提供相关证书证明文件、身份证明及工作经历等），每人得2分，本项6分。</w:t>
            </w:r>
          </w:p>
        </w:tc>
        <w:tc>
          <w:tcPr>
            <w:tcW w:w="145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105" w:leftChars="0" w:right="62" w:rightChars="0" w:hanging="105" w:hangingChars="50"/>
              <w:jc w:val="center"/>
              <w:textAlignment w:val="auto"/>
              <w:outlineLvl w:val="9"/>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highlight w:val="none"/>
                <w:lang w:val="en-US" w:eastAsia="zh-CN"/>
              </w:rPr>
              <w:t>安全保障、医疗保障及意外应对预案</w:t>
            </w:r>
          </w:p>
        </w:tc>
        <w:tc>
          <w:tcPr>
            <w:tcW w:w="665" w:type="dxa"/>
            <w:noWrap w:val="0"/>
            <w:vAlign w:val="center"/>
          </w:tcPr>
          <w:p>
            <w:pPr>
              <w:keepNext w:val="0"/>
              <w:keepLines w:val="0"/>
              <w:pageBreakBefore w:val="0"/>
              <w:kinsoku/>
              <w:wordWrap/>
              <w:overflowPunct/>
              <w:topLinePunct w:val="0"/>
              <w:autoSpaceDE/>
              <w:autoSpaceDN/>
              <w:bidi w:val="0"/>
              <w:adjustRightInd/>
              <w:snapToGrid/>
              <w:spacing w:line="360" w:lineRule="exact"/>
              <w:ind w:left="105" w:leftChars="0" w:right="62" w:rightChars="0" w:hanging="105" w:hangingChars="50"/>
              <w:jc w:val="center"/>
              <w:textAlignment w:val="auto"/>
              <w:outlineLvl w:val="9"/>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Cs w:val="21"/>
                <w:highlight w:val="none"/>
                <w:lang w:val="en-US" w:eastAsia="zh-CN"/>
              </w:rPr>
              <w:t>10</w:t>
            </w:r>
          </w:p>
        </w:tc>
        <w:tc>
          <w:tcPr>
            <w:tcW w:w="6424"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投标人根据采购人需求制定所有出行师生的安全保障、医疗保障及意外应对预案：</w:t>
            </w:r>
          </w:p>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制定安全保障、医疗保障及突发状况的意外应对预案比较详细，可实施性强，得10分；</w:t>
            </w:r>
          </w:p>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制定安全保障、医疗保障及突发状况的意外应对预案较详细，有可行的实施性，得7分；</w:t>
            </w:r>
          </w:p>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制定安全保障、医疗保障及突发状况的意外应对预案一般，可实施性不强，得3分；</w:t>
            </w:r>
          </w:p>
          <w:p>
            <w:pPr>
              <w:keepNext w:val="0"/>
              <w:keepLines w:val="0"/>
              <w:pageBreakBefore w:val="0"/>
              <w:kinsoku/>
              <w:wordWrap/>
              <w:overflowPunct/>
              <w:topLinePunct w:val="0"/>
              <w:autoSpaceDE/>
              <w:autoSpaceDN/>
              <w:bidi w:val="0"/>
              <w:adjustRightInd/>
              <w:snapToGrid/>
              <w:spacing w:line="360" w:lineRule="exact"/>
              <w:ind w:left="105" w:leftChars="0" w:right="62" w:rightChars="0" w:hanging="105" w:hangingChars="50"/>
              <w:jc w:val="left"/>
              <w:textAlignment w:val="auto"/>
              <w:outlineLvl w:val="9"/>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Cs w:val="21"/>
                <w:highlight w:val="none"/>
                <w:lang w:val="en-US" w:eastAsia="zh-CN"/>
              </w:rPr>
              <w:t>制定安全保障、医疗保障及突发状况的意外应对预案一般，得1分。</w:t>
            </w:r>
          </w:p>
        </w:tc>
        <w:tc>
          <w:tcPr>
            <w:tcW w:w="145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000000"/>
                <w:kern w:val="0"/>
                <w:szCs w:val="21"/>
                <w:highlight w:val="none"/>
              </w:rPr>
            </w:pPr>
          </w:p>
        </w:tc>
        <w:tc>
          <w:tcPr>
            <w:tcW w:w="112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iCs/>
                <w:color w:val="000000"/>
                <w:sz w:val="21"/>
                <w:szCs w:val="21"/>
                <w:highlight w:val="none"/>
                <w:lang w:eastAsia="zh-CN"/>
              </w:rPr>
            </w:pPr>
            <w:r>
              <w:rPr>
                <w:rFonts w:hint="eastAsia" w:ascii="宋体" w:hAnsi="宋体" w:eastAsia="宋体" w:cs="宋体"/>
                <w:b w:val="0"/>
                <w:bCs w:val="0"/>
                <w:iCs/>
                <w:color w:val="000000"/>
                <w:sz w:val="21"/>
                <w:szCs w:val="21"/>
                <w:highlight w:val="none"/>
                <w:lang w:val="en-US" w:eastAsia="zh-CN"/>
              </w:rPr>
              <w:t>应急预案措 施</w:t>
            </w:r>
          </w:p>
        </w:tc>
        <w:tc>
          <w:tcPr>
            <w:tcW w:w="66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2</w:t>
            </w:r>
          </w:p>
        </w:tc>
        <w:tc>
          <w:tcPr>
            <w:tcW w:w="642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投标人提供的应急预案措施进行评审，包括：1.应急组成人员及应急预案措施；2.应急响应时间及应急处理措施的全面性、有效性、可操作性，内容齐全、描述详细、符合实际情况的得 2分， 若应急预案措施的上述内容缺失或有明显不足，每一项扣 1 分，扣完为止。</w:t>
            </w:r>
          </w:p>
        </w:tc>
        <w:tc>
          <w:tcPr>
            <w:tcW w:w="145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000000"/>
                <w:kern w:val="0"/>
                <w:szCs w:val="21"/>
                <w:highlight w:val="none"/>
              </w:rPr>
            </w:pP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实施方案</w:t>
            </w:r>
          </w:p>
        </w:tc>
        <w:tc>
          <w:tcPr>
            <w:tcW w:w="66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15</w:t>
            </w:r>
          </w:p>
        </w:tc>
        <w:tc>
          <w:tcPr>
            <w:tcW w:w="642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1、投标人根据采购人需求在投标文件中制定实施方案的科学性、合理性、规范性、针对性和可操作性等进行评分，优计 10 分；良计 6 分；一般计 2 分，不提供不得分。</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2、组织实施方案目标任务明确；考核、建档、资料管理制度完善，相配套的技术规程具有很强的操作性，有完善的后勤安全保障及措施（附证明材料）等进行横向对比，最优得5分，良得3分，一般得1分，不提供不得分。</w:t>
            </w:r>
          </w:p>
        </w:tc>
        <w:tc>
          <w:tcPr>
            <w:tcW w:w="145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000000"/>
                <w:kern w:val="0"/>
                <w:szCs w:val="21"/>
                <w:highlight w:val="none"/>
              </w:rPr>
            </w:pP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服务</w:t>
            </w:r>
            <w:r>
              <w:rPr>
                <w:rFonts w:hint="eastAsia" w:ascii="宋体" w:hAnsi="宋体" w:eastAsia="宋体" w:cs="宋体"/>
                <w:color w:val="000000"/>
                <w:kern w:val="0"/>
                <w:szCs w:val="21"/>
                <w:highlight w:val="none"/>
              </w:rPr>
              <w:t>方案</w:t>
            </w:r>
            <w:r>
              <w:rPr>
                <w:rFonts w:hint="eastAsia" w:ascii="宋体" w:hAnsi="宋体" w:eastAsia="宋体" w:cs="宋体"/>
                <w:color w:val="000000"/>
                <w:kern w:val="0"/>
                <w:szCs w:val="21"/>
                <w:highlight w:val="none"/>
                <w:lang w:val="en-US" w:eastAsia="zh-CN"/>
              </w:rPr>
              <w:t>及承诺</w:t>
            </w:r>
          </w:p>
        </w:tc>
        <w:tc>
          <w:tcPr>
            <w:tcW w:w="66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5</w:t>
            </w:r>
          </w:p>
        </w:tc>
        <w:tc>
          <w:tcPr>
            <w:tcW w:w="642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针对本次项目，投标人组织设计的服务方案（包括售后服务承诺和售后服务体系等方面），是否符合本项目实际情况，是否详细、完备。按方案优劣得分以及对本次项目的服务方案及承诺进行评分。优得5分，良得3分，一般得1分，不提供不得分。</w:t>
            </w:r>
          </w:p>
        </w:tc>
        <w:tc>
          <w:tcPr>
            <w:tcW w:w="145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000000"/>
                <w:kern w:val="0"/>
                <w:szCs w:val="21"/>
                <w:highlight w:val="none"/>
              </w:rPr>
            </w:pPr>
          </w:p>
        </w:tc>
        <w:tc>
          <w:tcPr>
            <w:tcW w:w="112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color w:val="000000"/>
                <w:highlight w:val="none"/>
                <w:lang w:val="en-US" w:eastAsia="zh-CN"/>
              </w:rPr>
            </w:pPr>
            <w:r>
              <w:rPr>
                <w:rFonts w:hint="eastAsia" w:ascii="宋体" w:hAnsi="宋体" w:eastAsia="宋体" w:cs="宋体"/>
                <w:b w:val="0"/>
                <w:bCs/>
                <w:color w:val="000000"/>
                <w:w w:val="99"/>
                <w:sz w:val="24"/>
                <w:szCs w:val="24"/>
                <w:highlight w:val="none"/>
                <w:lang w:val="en-US" w:eastAsia="zh-CN"/>
              </w:rPr>
              <w:t>培训场地</w:t>
            </w:r>
          </w:p>
        </w:tc>
        <w:tc>
          <w:tcPr>
            <w:tcW w:w="665"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2</w:t>
            </w:r>
          </w:p>
        </w:tc>
        <w:tc>
          <w:tcPr>
            <w:tcW w:w="6424"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培训场地满足100-200人会议，现场设备设施良好，现场多媒体教学设备等配套，得2分；</w:t>
            </w:r>
          </w:p>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培训场地满足50-100人会议，现场设备设施良好，现场多媒体教学设备等配套，得1分；</w:t>
            </w:r>
          </w:p>
        </w:tc>
        <w:tc>
          <w:tcPr>
            <w:tcW w:w="145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000000"/>
                <w:kern w:val="0"/>
                <w:szCs w:val="21"/>
                <w:highlight w:val="none"/>
              </w:rPr>
            </w:pP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color w:val="000000"/>
                <w:highlight w:val="none"/>
                <w:lang w:val="en-US" w:eastAsia="zh-CN"/>
              </w:rPr>
            </w:pPr>
          </w:p>
        </w:tc>
        <w:tc>
          <w:tcPr>
            <w:tcW w:w="66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p>
        </w:tc>
        <w:tc>
          <w:tcPr>
            <w:tcW w:w="6424"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lang w:val="en-US" w:eastAsia="zh-CN"/>
              </w:rPr>
            </w:pPr>
          </w:p>
        </w:tc>
        <w:tc>
          <w:tcPr>
            <w:tcW w:w="1458"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3" w:hRule="atLeast"/>
        </w:trPr>
        <w:tc>
          <w:tcPr>
            <w:tcW w:w="84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000000"/>
                <w:kern w:val="0"/>
                <w:szCs w:val="21"/>
                <w:highlight w:val="none"/>
              </w:rPr>
            </w:pPr>
          </w:p>
        </w:tc>
        <w:tc>
          <w:tcPr>
            <w:tcW w:w="1125" w:type="dxa"/>
            <w:noWrap w:val="0"/>
            <w:vAlign w:val="center"/>
          </w:tcPr>
          <w:p>
            <w:pPr>
              <w:pStyle w:val="78"/>
              <w:spacing w:before="164"/>
              <w:ind w:left="10"/>
              <w:jc w:val="center"/>
              <w:rPr>
                <w:rFonts w:hint="eastAsia" w:ascii="宋体" w:hAnsi="宋体" w:eastAsia="宋体" w:cs="宋体"/>
                <w:b w:val="0"/>
                <w:bCs/>
                <w:color w:val="000000"/>
                <w:w w:val="99"/>
                <w:sz w:val="24"/>
                <w:szCs w:val="24"/>
                <w:highlight w:val="none"/>
                <w:lang w:val="en-US" w:eastAsia="zh-CN"/>
              </w:rPr>
            </w:pPr>
            <w:r>
              <w:rPr>
                <w:rFonts w:hint="eastAsia" w:ascii="宋体" w:hAnsi="宋体" w:eastAsia="宋体" w:cs="宋体"/>
                <w:b w:val="0"/>
                <w:bCs/>
                <w:color w:val="000000"/>
                <w:w w:val="99"/>
                <w:sz w:val="24"/>
                <w:szCs w:val="24"/>
                <w:highlight w:val="none"/>
                <w:lang w:val="en-US" w:eastAsia="zh-CN"/>
              </w:rPr>
              <w:t>合理化建议与特色亮点服务</w:t>
            </w:r>
          </w:p>
        </w:tc>
        <w:tc>
          <w:tcPr>
            <w:tcW w:w="66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4</w:t>
            </w:r>
          </w:p>
        </w:tc>
        <w:tc>
          <w:tcPr>
            <w:tcW w:w="6424" w:type="dxa"/>
            <w:noWrap w:val="0"/>
            <w:vAlign w:val="top"/>
          </w:tcPr>
          <w:p>
            <w:pPr>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t>投标人每提供一个有利于项目实施、内容清晰完善且被评标委员会认可的合理化建议与特色亮点服务的得2分，最多得4分。无提供相关服务承诺或服务承诺不符合项目实际此项不得分。</w:t>
            </w:r>
          </w:p>
        </w:tc>
        <w:tc>
          <w:tcPr>
            <w:tcW w:w="1458"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000000"/>
                <w:szCs w:val="21"/>
                <w:highlight w:val="none"/>
              </w:rPr>
            </w:pPr>
          </w:p>
        </w:tc>
      </w:tr>
    </w:tbl>
    <w:p>
      <w:pPr>
        <w:spacing w:before="64"/>
        <w:ind w:right="632"/>
        <w:jc w:val="both"/>
        <w:rPr>
          <w:rFonts w:hint="eastAsia" w:ascii="宋体" w:hAnsi="宋体" w:eastAsia="宋体" w:cs="宋体"/>
          <w:b/>
          <w:color w:val="auto"/>
          <w:sz w:val="24"/>
          <w:szCs w:val="24"/>
          <w:highlight w:val="none"/>
        </w:rPr>
      </w:pPr>
    </w:p>
    <w:p>
      <w:pPr>
        <w:spacing w:before="64"/>
        <w:ind w:right="632"/>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评审标准细则</w:t>
      </w:r>
    </w:p>
    <w:p>
      <w:pPr>
        <w:ind w:firstLine="480" w:firstLineChars="200"/>
        <w:rPr>
          <w:rFonts w:hint="eastAsia" w:ascii="宋体" w:hAnsi="宋体" w:eastAsia="宋体" w:cs="宋体"/>
          <w:b/>
          <w:color w:val="FF0000"/>
          <w:spacing w:val="-2"/>
          <w:sz w:val="24"/>
          <w:szCs w:val="24"/>
        </w:rPr>
      </w:pPr>
      <w:bookmarkStart w:id="83" w:name="第七章  响应文件组成和格式"/>
      <w:bookmarkEnd w:id="83"/>
      <w:r>
        <w:rPr>
          <w:rFonts w:hint="eastAsia" w:ascii="宋体" w:hAnsi="宋体" w:eastAsia="宋体" w:cs="宋体"/>
          <w:color w:val="auto"/>
          <w:sz w:val="24"/>
          <w:szCs w:val="24"/>
          <w:highlight w:val="none"/>
        </w:rPr>
        <w:t>注：评分分值计算保留小数点后两位，小数点后第三位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四舍五入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50"/>
        <w:rPr>
          <w:rFonts w:hint="eastAsia" w:ascii="宋体" w:hAnsi="宋体" w:eastAsia="宋体" w:cs="宋体"/>
          <w:b/>
          <w:bCs/>
          <w:sz w:val="21"/>
          <w:szCs w:val="21"/>
        </w:rPr>
      </w:pPr>
    </w:p>
    <w:p>
      <w:pPr>
        <w:pStyle w:val="50"/>
        <w:rPr>
          <w:rFonts w:hint="eastAsia" w:ascii="宋体" w:hAnsi="宋体" w:eastAsia="宋体" w:cs="宋体"/>
          <w:b/>
          <w:bCs/>
          <w:sz w:val="21"/>
          <w:szCs w:val="21"/>
        </w:rPr>
      </w:pPr>
    </w:p>
    <w:p>
      <w:pPr>
        <w:spacing w:line="36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八、成交及合同签订</w:t>
      </w:r>
    </w:p>
    <w:p>
      <w:pPr>
        <w:snapToGrid w:val="0"/>
        <w:spacing w:line="360" w:lineRule="auto"/>
        <w:ind w:firstLine="482" w:firstLineChars="200"/>
        <w:jc w:val="left"/>
        <w:rPr>
          <w:rFonts w:hint="eastAsia" w:ascii="宋体" w:hAnsi="宋体" w:eastAsia="宋体" w:cs="宋体"/>
          <w:sz w:val="24"/>
          <w:lang w:eastAsia="zh-CN"/>
        </w:rPr>
      </w:pPr>
      <w:bookmarkStart w:id="84" w:name="_Toc13949"/>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w:t>
      </w:r>
      <w:bookmarkEnd w:id="84"/>
      <w:r>
        <w:rPr>
          <w:rFonts w:hint="eastAsia" w:ascii="宋体" w:hAnsi="宋体" w:eastAsia="宋体" w:cs="宋体"/>
          <w:b/>
          <w:bCs/>
          <w:sz w:val="24"/>
          <w:lang w:eastAsia="zh-CN"/>
        </w:rPr>
        <w:t>成交</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综合评分法，是指响应文件满足磋商文件全部实质性要求，且按照评审因素的量化指标评审得分最高的供应商为中标候选人的评标办法。招标人根据磋商小组提交的评审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或重新招标。</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）资格条件</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1、采购人将在签订合同前对成交候选</w:t>
      </w:r>
      <w:r>
        <w:rPr>
          <w:rFonts w:hint="eastAsia" w:ascii="宋体" w:hAnsi="宋体" w:eastAsia="宋体" w:cs="宋体"/>
          <w:sz w:val="24"/>
          <w:lang w:eastAsia="zh-CN"/>
        </w:rPr>
        <w:t>供应商</w:t>
      </w:r>
      <w:r>
        <w:rPr>
          <w:rFonts w:hint="eastAsia" w:ascii="宋体" w:hAnsi="宋体" w:eastAsia="宋体" w:cs="宋体"/>
          <w:sz w:val="24"/>
        </w:rPr>
        <w:t>是否能圆满地履行合同进行审查。审查包括成交候选</w:t>
      </w:r>
      <w:r>
        <w:rPr>
          <w:rFonts w:hint="eastAsia" w:ascii="宋体" w:hAnsi="宋体" w:eastAsia="宋体" w:cs="宋体"/>
          <w:sz w:val="24"/>
          <w:lang w:eastAsia="zh-CN"/>
        </w:rPr>
        <w:t>供应商</w:t>
      </w:r>
      <w:r>
        <w:rPr>
          <w:rFonts w:hint="eastAsia" w:ascii="宋体" w:hAnsi="宋体" w:eastAsia="宋体" w:cs="宋体"/>
          <w:sz w:val="24"/>
        </w:rPr>
        <w:t>响应文件中提供的所资格证明材料，成交候选</w:t>
      </w:r>
      <w:r>
        <w:rPr>
          <w:rFonts w:hint="eastAsia" w:ascii="宋体" w:hAnsi="宋体" w:eastAsia="宋体" w:cs="宋体"/>
          <w:sz w:val="24"/>
          <w:lang w:eastAsia="zh-CN"/>
        </w:rPr>
        <w:t>供应商</w:t>
      </w:r>
      <w:r>
        <w:rPr>
          <w:rFonts w:hint="eastAsia" w:ascii="宋体" w:hAnsi="宋体" w:eastAsia="宋体" w:cs="宋体"/>
          <w:sz w:val="24"/>
        </w:rPr>
        <w:t>响应文件及补充承诺中涉及的其他相关资料原件，以及对本项目实施可能存在风险的其他因素。</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2、采购人若发现成交候选</w:t>
      </w:r>
      <w:r>
        <w:rPr>
          <w:rFonts w:hint="eastAsia" w:ascii="宋体" w:hAnsi="宋体" w:eastAsia="宋体" w:cs="宋体"/>
          <w:sz w:val="24"/>
          <w:lang w:eastAsia="zh-CN"/>
        </w:rPr>
        <w:t>供应商</w:t>
      </w:r>
      <w:r>
        <w:rPr>
          <w:rFonts w:hint="eastAsia" w:ascii="宋体" w:hAnsi="宋体" w:eastAsia="宋体" w:cs="宋体"/>
          <w:sz w:val="24"/>
        </w:rPr>
        <w:t>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3、如果成交候选</w:t>
      </w:r>
      <w:r>
        <w:rPr>
          <w:rFonts w:hint="eastAsia" w:ascii="宋体" w:hAnsi="宋体" w:eastAsia="宋体" w:cs="宋体"/>
          <w:sz w:val="24"/>
          <w:lang w:eastAsia="zh-CN"/>
        </w:rPr>
        <w:t>供应商</w:t>
      </w:r>
      <w:r>
        <w:rPr>
          <w:rFonts w:hint="eastAsia" w:ascii="宋体" w:hAnsi="宋体" w:eastAsia="宋体" w:cs="宋体"/>
          <w:sz w:val="24"/>
        </w:rPr>
        <w:t>被确认为不具备执行合同的能力，采购人将考虑按同样的程序审查下一个成交候选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1、成交结果在</w:t>
      </w:r>
      <w:r>
        <w:rPr>
          <w:rFonts w:hint="eastAsia" w:ascii="宋体" w:hAnsi="宋体" w:eastAsia="宋体" w:cs="宋体"/>
          <w:i w:val="0"/>
          <w:iCs w:val="0"/>
          <w:caps w:val="0"/>
          <w:color w:val="000000"/>
          <w:spacing w:val="0"/>
          <w:sz w:val="24"/>
          <w:szCs w:val="24"/>
        </w:rPr>
        <w:t>新疆政府采购网官网</w:t>
      </w:r>
      <w:r>
        <w:rPr>
          <w:rFonts w:hint="eastAsia" w:ascii="宋体" w:hAnsi="宋体" w:eastAsia="宋体" w:cs="宋体"/>
          <w:sz w:val="24"/>
        </w:rPr>
        <w:t>发布公告，时间为</w:t>
      </w:r>
      <w:r>
        <w:rPr>
          <w:rFonts w:hint="eastAsia" w:ascii="宋体" w:hAnsi="宋体" w:eastAsia="宋体" w:cs="宋体"/>
          <w:sz w:val="24"/>
          <w:lang w:val="en-US" w:eastAsia="zh-CN"/>
        </w:rPr>
        <w:t>1</w:t>
      </w:r>
      <w:r>
        <w:rPr>
          <w:rFonts w:hint="eastAsia" w:ascii="宋体" w:hAnsi="宋体" w:eastAsia="宋体" w:cs="宋体"/>
          <w:sz w:val="24"/>
        </w:rPr>
        <w:t>个工作日</w:t>
      </w:r>
      <w:r>
        <w:rPr>
          <w:rFonts w:hint="eastAsia" w:ascii="宋体" w:hAnsi="宋体" w:eastAsia="宋体" w:cs="宋体"/>
          <w:sz w:val="24"/>
          <w:lang w:eastAsia="zh-CN"/>
        </w:rPr>
        <w:t>，公告结束后</w:t>
      </w:r>
      <w:r>
        <w:rPr>
          <w:rFonts w:hint="eastAsia" w:ascii="宋体" w:hAnsi="宋体" w:eastAsia="宋体" w:cs="宋体"/>
          <w:sz w:val="24"/>
        </w:rPr>
        <w:t>采购人将向成交</w:t>
      </w:r>
      <w:r>
        <w:rPr>
          <w:rFonts w:hint="eastAsia" w:ascii="宋体" w:hAnsi="宋体" w:eastAsia="宋体" w:cs="宋体"/>
          <w:sz w:val="24"/>
          <w:lang w:eastAsia="zh-CN"/>
        </w:rPr>
        <w:t>供应商</w:t>
      </w:r>
      <w:r>
        <w:rPr>
          <w:rFonts w:hint="eastAsia" w:ascii="宋体" w:hAnsi="宋体" w:eastAsia="宋体" w:cs="宋体"/>
          <w:sz w:val="24"/>
        </w:rPr>
        <w:t>发出成交通知书。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w:t>
      </w:r>
      <w:r>
        <w:rPr>
          <w:rFonts w:hint="eastAsia" w:ascii="宋体" w:hAnsi="宋体" w:eastAsia="宋体" w:cs="宋体"/>
          <w:sz w:val="24"/>
          <w:lang w:eastAsia="zh-CN"/>
        </w:rPr>
        <w:t>供应商</w:t>
      </w:r>
      <w:r>
        <w:rPr>
          <w:rFonts w:hint="eastAsia" w:ascii="宋体" w:hAnsi="宋体" w:eastAsia="宋体" w:cs="宋体"/>
          <w:sz w:val="24"/>
        </w:rPr>
        <w:t>应及时到政府采购人领取成交通知书，成交通知书是签订合同的依据和组成部分。</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四</w:t>
      </w:r>
      <w:r>
        <w:rPr>
          <w:rFonts w:hint="eastAsia" w:ascii="宋体" w:hAnsi="宋体" w:eastAsia="宋体" w:cs="宋体"/>
          <w:b/>
          <w:bCs/>
          <w:sz w:val="24"/>
        </w:rPr>
        <w:t>）签订合同</w:t>
      </w:r>
    </w:p>
    <w:p>
      <w:pPr>
        <w:snapToGrid w:val="0"/>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应在规定的时间、地点与采购人签订合同，竞争性磋商文件、成交人的响应文件、分次报价及服务承诺文件以及评过程中有关澄清文件均作为合同附件，</w:t>
      </w:r>
      <w:r>
        <w:rPr>
          <w:rFonts w:hint="eastAsia" w:ascii="宋体" w:hAnsi="宋体" w:eastAsia="宋体" w:cs="宋体"/>
          <w:b/>
          <w:sz w:val="24"/>
        </w:rPr>
        <w:t>合同经采购人审核盖章后实施</w:t>
      </w:r>
      <w:r>
        <w:rPr>
          <w:rFonts w:hint="eastAsia" w:ascii="宋体" w:hAnsi="宋体" w:eastAsia="宋体" w:cs="宋体"/>
          <w:sz w:val="24"/>
        </w:rPr>
        <w:t>。</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无正当理由未在规定时间内与采购人签订合同的，采购人有权建议取消其成交资格，监管部门将对其依法处理。</w:t>
      </w:r>
    </w:p>
    <w:p>
      <w:pPr>
        <w:snapToGrid w:val="0"/>
        <w:spacing w:line="360" w:lineRule="auto"/>
        <w:ind w:firstLine="602" w:firstLineChars="200"/>
        <w:jc w:val="center"/>
        <w:outlineLvl w:val="9"/>
        <w:rPr>
          <w:rFonts w:hint="eastAsia" w:ascii="宋体" w:hAnsi="宋体" w:eastAsia="宋体" w:cs="宋体"/>
          <w:b/>
          <w:sz w:val="30"/>
          <w:szCs w:val="30"/>
        </w:rPr>
      </w:pPr>
      <w:bookmarkStart w:id="85" w:name="_Toc5106"/>
    </w:p>
    <w:p>
      <w:pPr>
        <w:snapToGrid w:val="0"/>
        <w:spacing w:line="360" w:lineRule="auto"/>
        <w:ind w:firstLine="602" w:firstLineChars="200"/>
        <w:jc w:val="center"/>
        <w:outlineLvl w:val="1"/>
        <w:rPr>
          <w:rFonts w:hint="eastAsia" w:ascii="宋体" w:hAnsi="宋体" w:eastAsia="宋体" w:cs="宋体"/>
          <w:b/>
          <w:sz w:val="30"/>
          <w:szCs w:val="30"/>
        </w:rPr>
      </w:pPr>
      <w:r>
        <w:rPr>
          <w:rFonts w:hint="eastAsia" w:ascii="宋体" w:hAnsi="宋体" w:eastAsia="宋体" w:cs="宋体"/>
          <w:b/>
          <w:sz w:val="30"/>
          <w:szCs w:val="30"/>
        </w:rPr>
        <w:t>九、验收及付款</w:t>
      </w:r>
      <w:bookmarkEnd w:id="85"/>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）验收</w:t>
      </w:r>
    </w:p>
    <w:p>
      <w:pPr>
        <w:snapToGrid w:val="0"/>
        <w:spacing w:line="360" w:lineRule="auto"/>
        <w:ind w:right="105" w:rightChars="50" w:firstLine="480" w:firstLineChars="200"/>
        <w:jc w:val="left"/>
        <w:rPr>
          <w:rFonts w:hint="eastAsia" w:ascii="宋体" w:hAnsi="宋体" w:eastAsia="宋体" w:cs="宋体"/>
          <w:sz w:val="24"/>
        </w:rPr>
      </w:pPr>
      <w:r>
        <w:rPr>
          <w:rFonts w:hint="eastAsia" w:ascii="宋体" w:hAnsi="宋体" w:eastAsia="宋体" w:cs="宋体"/>
          <w:sz w:val="24"/>
        </w:rPr>
        <w:t>招标单位组建验收小组，验收小组由招标单位三人以上组成，按</w:t>
      </w:r>
      <w:r>
        <w:rPr>
          <w:rFonts w:hint="eastAsia" w:ascii="宋体" w:hAnsi="宋体" w:eastAsia="宋体" w:cs="宋体"/>
          <w:bCs/>
          <w:sz w:val="24"/>
        </w:rPr>
        <w:t>招标合同约定的时间组织验收。</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）项目办结及付款</w:t>
      </w:r>
    </w:p>
    <w:p>
      <w:pPr>
        <w:snapToGrid w:val="0"/>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采购人项目合同、验收报告和经政府招标处签章的发票原件在合同约定的时间内办理招标款支付手续。</w:t>
      </w:r>
    </w:p>
    <w:p>
      <w:pPr>
        <w:spacing w:line="460" w:lineRule="exact"/>
        <w:jc w:val="both"/>
        <w:outlineLvl w:val="9"/>
        <w:rPr>
          <w:rFonts w:hint="eastAsia" w:ascii="宋体" w:hAnsi="宋体" w:eastAsia="宋体" w:cs="宋体"/>
          <w:b/>
          <w:bCs w:val="0"/>
          <w:color w:val="auto"/>
          <w:sz w:val="44"/>
          <w:szCs w:val="44"/>
          <w:highlight w:val="none"/>
          <w:lang w:val="en-US" w:eastAsia="zh-CN"/>
        </w:rPr>
      </w:pPr>
      <w:bookmarkStart w:id="86" w:name="_Toc1613"/>
      <w:bookmarkStart w:id="87" w:name="_Toc21912"/>
    </w:p>
    <w:p>
      <w:pPr>
        <w:spacing w:line="460" w:lineRule="exact"/>
        <w:jc w:val="both"/>
        <w:outlineLvl w:val="9"/>
        <w:rPr>
          <w:rFonts w:hint="eastAsia" w:ascii="宋体" w:hAnsi="宋体" w:eastAsia="宋体" w:cs="宋体"/>
          <w:b/>
          <w:bCs w:val="0"/>
          <w:color w:val="auto"/>
          <w:sz w:val="44"/>
          <w:szCs w:val="44"/>
          <w:highlight w:val="none"/>
          <w:lang w:val="en-US" w:eastAsia="zh-CN"/>
        </w:rPr>
      </w:pPr>
    </w:p>
    <w:p>
      <w:pPr>
        <w:pStyle w:val="51"/>
        <w:rPr>
          <w:rFonts w:hint="eastAsia" w:ascii="宋体" w:hAnsi="宋体" w:eastAsia="宋体" w:cs="宋体"/>
          <w:b/>
          <w:bCs w:val="0"/>
          <w:color w:val="auto"/>
          <w:sz w:val="44"/>
          <w:szCs w:val="44"/>
          <w:highlight w:val="none"/>
          <w:lang w:val="en-US" w:eastAsia="zh-CN"/>
        </w:rPr>
      </w:pPr>
    </w:p>
    <w:p>
      <w:pPr>
        <w:pStyle w:val="51"/>
        <w:rPr>
          <w:rFonts w:hint="eastAsia" w:ascii="宋体" w:hAnsi="宋体" w:eastAsia="宋体" w:cs="宋体"/>
          <w:b/>
          <w:bCs w:val="0"/>
          <w:color w:val="auto"/>
          <w:sz w:val="44"/>
          <w:szCs w:val="44"/>
          <w:highlight w:val="none"/>
          <w:lang w:val="en-US" w:eastAsia="zh-CN"/>
        </w:rPr>
      </w:pPr>
    </w:p>
    <w:p>
      <w:pPr>
        <w:pStyle w:val="51"/>
        <w:rPr>
          <w:rFonts w:hint="eastAsia" w:ascii="宋体" w:hAnsi="宋体" w:eastAsia="宋体" w:cs="宋体"/>
          <w:b/>
          <w:bCs w:val="0"/>
          <w:color w:val="auto"/>
          <w:sz w:val="44"/>
          <w:szCs w:val="44"/>
          <w:highlight w:val="none"/>
          <w:lang w:val="en-US" w:eastAsia="zh-CN"/>
        </w:rPr>
      </w:pPr>
    </w:p>
    <w:p>
      <w:pPr>
        <w:pStyle w:val="51"/>
        <w:tabs>
          <w:tab w:val="left" w:pos="2318"/>
        </w:tabs>
        <w:rPr>
          <w:rFonts w:hint="eastAsia" w:ascii="宋体" w:hAnsi="宋体" w:eastAsia="宋体" w:cs="宋体"/>
          <w:lang w:val="en-US" w:eastAsia="zh-CN"/>
        </w:rPr>
      </w:pPr>
    </w:p>
    <w:p>
      <w:pPr>
        <w:numPr>
          <w:ilvl w:val="0"/>
          <w:numId w:val="0"/>
        </w:numPr>
        <w:spacing w:line="460" w:lineRule="exact"/>
        <w:jc w:val="both"/>
        <w:outlineLvl w:val="0"/>
        <w:rPr>
          <w:rFonts w:hint="eastAsia" w:ascii="宋体" w:hAnsi="宋体" w:eastAsia="宋体" w:cs="宋体"/>
          <w:b/>
          <w:bCs w:val="0"/>
          <w:color w:val="auto"/>
          <w:kern w:val="2"/>
          <w:sz w:val="44"/>
          <w:szCs w:val="44"/>
          <w:highlight w:val="none"/>
          <w:lang w:val="en-US" w:eastAsia="zh-CN" w:bidi="ar-SA"/>
        </w:rPr>
      </w:pPr>
      <w:bookmarkStart w:id="88" w:name="_Toc18627"/>
    </w:p>
    <w:p>
      <w:pPr>
        <w:numPr>
          <w:ilvl w:val="0"/>
          <w:numId w:val="5"/>
        </w:numPr>
        <w:spacing w:line="460" w:lineRule="exact"/>
        <w:jc w:val="center"/>
        <w:outlineLvl w:val="0"/>
        <w:rPr>
          <w:rFonts w:hint="eastAsia" w:ascii="宋体" w:hAnsi="宋体" w:eastAsia="宋体" w:cs="宋体"/>
          <w:b/>
          <w:bCs w:val="0"/>
          <w:color w:val="auto"/>
          <w:kern w:val="2"/>
          <w:sz w:val="44"/>
          <w:szCs w:val="44"/>
          <w:highlight w:val="none"/>
          <w:lang w:val="en-US" w:eastAsia="zh-CN" w:bidi="ar-SA"/>
        </w:rPr>
      </w:pPr>
      <w:r>
        <w:rPr>
          <w:rFonts w:hint="eastAsia" w:ascii="宋体" w:hAnsi="宋体" w:eastAsia="宋体" w:cs="宋体"/>
          <w:b/>
          <w:bCs w:val="0"/>
          <w:color w:val="auto"/>
          <w:kern w:val="2"/>
          <w:sz w:val="44"/>
          <w:szCs w:val="44"/>
          <w:highlight w:val="none"/>
          <w:lang w:val="en-US" w:eastAsia="zh-CN" w:bidi="ar-SA"/>
        </w:rPr>
        <w:t>采购需求</w:t>
      </w:r>
      <w:bookmarkEnd w:id="88"/>
      <w:r>
        <w:rPr>
          <w:rFonts w:hint="eastAsia" w:ascii="宋体" w:hAnsi="宋体" w:eastAsia="宋体" w:cs="宋体"/>
          <w:b/>
          <w:bCs w:val="0"/>
          <w:color w:val="auto"/>
          <w:kern w:val="2"/>
          <w:sz w:val="44"/>
          <w:szCs w:val="44"/>
          <w:highlight w:val="none"/>
          <w:lang w:val="en-US" w:eastAsia="zh-CN" w:bidi="ar-SA"/>
        </w:rPr>
        <w:t>及要求</w:t>
      </w:r>
    </w:p>
    <w:bookmarkEnd w:id="86"/>
    <w:bookmarkEnd w:id="87"/>
    <w:tbl>
      <w:tblPr>
        <w:tblStyle w:val="29"/>
        <w:tblpPr w:leftFromText="180" w:rightFromText="180" w:vertAnchor="text" w:horzAnchor="page" w:tblpX="1466" w:tblpY="477"/>
        <w:tblOverlap w:val="never"/>
        <w:tblW w:w="97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29"/>
        <w:gridCol w:w="1275"/>
        <w:gridCol w:w="656"/>
        <w:gridCol w:w="517"/>
        <w:gridCol w:w="5013"/>
        <w:gridCol w:w="1034"/>
        <w:gridCol w:w="5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66" w:hRule="exact"/>
        </w:trPr>
        <w:tc>
          <w:tcPr>
            <w:tcW w:w="629"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textAlignment w:val="auto"/>
              <w:rPr>
                <w:rFonts w:hint="eastAsia" w:ascii="宋体" w:hAnsi="宋体" w:eastAsia="宋体" w:cs="宋体"/>
                <w:color w:val="000000"/>
                <w:sz w:val="21"/>
                <w:szCs w:val="21"/>
                <w:highlight w:val="none"/>
                <w:lang w:eastAsia="zh-CN"/>
              </w:rPr>
            </w:pPr>
            <w:bookmarkStart w:id="89" w:name="_Toc23208"/>
            <w:r>
              <w:rPr>
                <w:rFonts w:hint="eastAsia" w:ascii="宋体" w:hAnsi="宋体" w:eastAsia="宋体" w:cs="宋体"/>
                <w:color w:val="000000"/>
                <w:sz w:val="21"/>
                <w:szCs w:val="21"/>
              </w:rPr>
              <w:t>标项序号</w:t>
            </w:r>
          </w:p>
        </w:tc>
        <w:tc>
          <w:tcPr>
            <w:tcW w:w="1275"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标项名称</w:t>
            </w:r>
          </w:p>
        </w:tc>
        <w:tc>
          <w:tcPr>
            <w:tcW w:w="656"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数量</w:t>
            </w:r>
          </w:p>
        </w:tc>
        <w:tc>
          <w:tcPr>
            <w:tcW w:w="517"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单位</w:t>
            </w:r>
          </w:p>
        </w:tc>
        <w:tc>
          <w:tcPr>
            <w:tcW w:w="50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简要规格描述</w:t>
            </w:r>
          </w:p>
        </w:tc>
        <w:tc>
          <w:tcPr>
            <w:tcW w:w="1034"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最高限价（</w:t>
            </w:r>
            <w:r>
              <w:rPr>
                <w:rFonts w:hint="eastAsia" w:ascii="宋体" w:hAnsi="宋体" w:eastAsia="宋体" w:cs="宋体"/>
                <w:color w:val="000000"/>
                <w:sz w:val="21"/>
                <w:szCs w:val="21"/>
                <w:highlight w:val="none"/>
                <w:lang w:val="en-US" w:eastAsia="zh-CN"/>
              </w:rPr>
              <w:t>万</w:t>
            </w:r>
            <w:r>
              <w:rPr>
                <w:rFonts w:hint="eastAsia" w:ascii="宋体" w:hAnsi="宋体" w:eastAsia="宋体" w:cs="宋体"/>
                <w:color w:val="000000"/>
                <w:sz w:val="21"/>
                <w:szCs w:val="21"/>
                <w:highlight w:val="none"/>
                <w:lang w:eastAsia="zh-CN"/>
              </w:rPr>
              <w:t>元）</w:t>
            </w:r>
          </w:p>
        </w:tc>
        <w:tc>
          <w:tcPr>
            <w:tcW w:w="581"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26" w:hRule="exact"/>
        </w:trPr>
        <w:tc>
          <w:tcPr>
            <w:tcW w:w="629" w:type="dxa"/>
            <w:tcBorders>
              <w:top w:val="single" w:color="auto" w:sz="4" w:space="0"/>
              <w:left w:val="single" w:color="auto" w:sz="4" w:space="0"/>
              <w:right w:val="single" w:color="auto" w:sz="4"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1275" w:type="dxa"/>
            <w:tcBorders>
              <w:top w:val="single" w:color="auto" w:sz="4" w:space="0"/>
              <w:left w:val="single" w:color="auto" w:sz="4" w:space="0"/>
              <w:right w:val="single" w:color="auto" w:sz="4" w:space="0"/>
            </w:tcBorders>
            <w:noWrap w:val="0"/>
            <w:tcMar>
              <w:left w:w="108" w:type="dxa"/>
              <w:right w:w="108" w:type="dxa"/>
            </w:tcMar>
            <w:vAlign w:val="center"/>
          </w:tcPr>
          <w:p>
            <w:pPr>
              <w:pStyle w:val="87"/>
              <w:pageBreakBefore w:val="0"/>
              <w:widowControl/>
              <w:kinsoku/>
              <w:wordWrap/>
              <w:overflowPunct/>
              <w:topLinePunct w:val="0"/>
              <w:autoSpaceDE/>
              <w:autoSpaceDN/>
              <w:bidi w:val="0"/>
              <w:adjustRightInd/>
              <w:snapToGrid/>
              <w:spacing w:before="0" w:beforeAutospacing="0" w:after="0" w:afterAutospacing="0" w:line="380" w:lineRule="exact"/>
              <w:ind w:left="0" w:leftChars="0" w:right="0" w:firstLine="0" w:firstLineChars="0"/>
              <w:jc w:val="left"/>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2023年墨玉县京和青少年融情交流营项目-包一（三次）</w:t>
            </w:r>
          </w:p>
        </w:tc>
        <w:tc>
          <w:tcPr>
            <w:tcW w:w="656" w:type="dxa"/>
            <w:tcBorders>
              <w:top w:val="single" w:color="auto" w:sz="4" w:space="0"/>
              <w:left w:val="single" w:color="auto" w:sz="4" w:space="0"/>
              <w:right w:val="single" w:color="auto" w:sz="4"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517" w:type="dxa"/>
            <w:tcBorders>
              <w:top w:val="single" w:color="auto" w:sz="4" w:space="0"/>
              <w:left w:val="single" w:color="auto" w:sz="4" w:space="0"/>
              <w:right w:val="single" w:color="auto" w:sz="4"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批</w:t>
            </w:r>
          </w:p>
        </w:tc>
        <w:tc>
          <w:tcPr>
            <w:tcW w:w="5013" w:type="dxa"/>
            <w:tcBorders>
              <w:top w:val="single" w:color="auto" w:sz="4" w:space="0"/>
              <w:left w:val="single" w:color="auto" w:sz="4" w:space="0"/>
              <w:right w:val="single" w:color="auto" w:sz="4" w:space="0"/>
            </w:tcBorders>
            <w:noWrap w:val="0"/>
            <w:tcMar>
              <w:left w:w="108" w:type="dxa"/>
              <w:right w:w="108" w:type="dxa"/>
            </w:tcMar>
            <w:vAlign w:val="center"/>
          </w:tcPr>
          <w:p>
            <w:pPr>
              <w:pStyle w:val="26"/>
              <w:pageBreakBefore w:val="0"/>
              <w:widowControl/>
              <w:kinsoku/>
              <w:wordWrap/>
              <w:overflowPunct/>
              <w:topLinePunct w:val="0"/>
              <w:bidi w:val="0"/>
              <w:snapToGrid/>
              <w:spacing w:before="0" w:beforeAutospacing="0" w:after="0" w:afterAutospacing="0" w:line="500" w:lineRule="exact"/>
              <w:ind w:right="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组织100名墨玉县中小学生、2名总领队、5名带队教师赴北京参加夏令营活动，活动周期9天。</w:t>
            </w:r>
          </w:p>
        </w:tc>
        <w:tc>
          <w:tcPr>
            <w:tcW w:w="1034" w:type="dxa"/>
            <w:tcBorders>
              <w:top w:val="single" w:color="auto" w:sz="4" w:space="0"/>
              <w:left w:val="single" w:color="auto" w:sz="4" w:space="0"/>
              <w:right w:val="single" w:color="auto" w:sz="4"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105.422</w:t>
            </w:r>
          </w:p>
        </w:tc>
        <w:tc>
          <w:tcPr>
            <w:tcW w:w="581" w:type="dxa"/>
            <w:tcBorders>
              <w:top w:val="single" w:color="auto" w:sz="4" w:space="0"/>
              <w:left w:val="single" w:color="auto" w:sz="4" w:space="0"/>
              <w:right w:val="single" w:color="auto" w:sz="4" w:space="0"/>
            </w:tcBorders>
            <w:noWrap w:val="0"/>
            <w:tcMar>
              <w:left w:w="108" w:type="dxa"/>
              <w:right w:w="108" w:type="dxa"/>
            </w:tcMar>
            <w:vAlign w:val="center"/>
          </w:tcPr>
          <w:p>
            <w:pPr>
              <w:pStyle w:val="87"/>
              <w:pageBreakBefore w:val="0"/>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r>
    </w:tbl>
    <w:p>
      <w:pPr>
        <w:pStyle w:val="11"/>
        <w:rPr>
          <w:rFonts w:hint="eastAsia"/>
        </w:rPr>
      </w:pPr>
    </w:p>
    <w:p>
      <w:pPr>
        <w:keepNext w:val="0"/>
        <w:keepLines w:val="0"/>
        <w:widowControl/>
        <w:numPr>
          <w:ilvl w:val="0"/>
          <w:numId w:val="0"/>
        </w:numPr>
        <w:suppressLineNumbers w:val="0"/>
        <w:jc w:val="left"/>
        <w:rPr>
          <w:rFonts w:hint="eastAsia" w:ascii="宋体" w:hAnsi="宋体" w:eastAsia="宋体" w:cs="宋体"/>
          <w:kern w:val="2"/>
          <w:sz w:val="21"/>
          <w:szCs w:val="21"/>
          <w:lang w:val="en-US" w:eastAsia="zh-CN" w:bidi="ar-SA"/>
        </w:rPr>
      </w:pPr>
    </w:p>
    <w:p>
      <w:pPr>
        <w:keepNext w:val="0"/>
        <w:keepLines w:val="0"/>
        <w:widowControl/>
        <w:numPr>
          <w:ilvl w:val="0"/>
          <w:numId w:val="6"/>
        </w:numPr>
        <w:suppressLineNumbers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其他要求： 1.墨玉县中小学生赴京夏令营活动。组织墨玉县100名中小学生赴北京市参加夏令营活动、配置总领队2名，带队老师5名（20名学生配备1名带队教师）共计107名。分两个批次组织学生赴京参观故宫、八达岭长城、天安门广场、鸟巢、水立方、中国科学技术馆、国家博物馆、中国人民革命军事博物馆、颐和园、圆明园、孔庙、北京海洋馆、动物园、清华大学、抗日战争纪念馆、卢沟桥、天坛、鼓楼、恭王府、古北水镇、北京3所结对手拉手学校（芳草地国际学校、东方德才学校、北京陈经纶中学）等地学习中国传统文化，参观历史古迹，进行爱国主义教育。与朝阳区的学校进行手拉手活动主要与朝阳区教育局对接，帮助协调接待学校，邀请对接学校优秀师资，对参加夏令营的学生进行指导交流学习。</w:t>
      </w:r>
    </w:p>
    <w:tbl>
      <w:tblPr>
        <w:tblStyle w:val="29"/>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6"/>
        <w:gridCol w:w="1318"/>
        <w:gridCol w:w="683"/>
        <w:gridCol w:w="655"/>
        <w:gridCol w:w="794"/>
        <w:gridCol w:w="1043"/>
        <w:gridCol w:w="4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6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时 间</w:t>
            </w:r>
          </w:p>
        </w:tc>
        <w:tc>
          <w:tcPr>
            <w:tcW w:w="6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 位</w:t>
            </w:r>
          </w:p>
        </w:tc>
        <w:tc>
          <w:tcPr>
            <w:tcW w:w="79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0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 位</w:t>
            </w:r>
          </w:p>
        </w:tc>
        <w:tc>
          <w:tcPr>
            <w:tcW w:w="4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506" w:type="dxa"/>
            <w:tcBorders>
              <w:top w:val="single" w:color="000000" w:sz="4" w:space="0"/>
              <w:left w:val="single" w:color="000000" w:sz="4" w:space="0"/>
              <w:bottom w:val="single" w:color="000000" w:sz="4" w:space="0"/>
              <w:right w:val="single" w:color="000000" w:sz="4" w:space="0"/>
            </w:tcBorders>
            <w:shd w:val="clear" w:color="auto" w:fill="ED7D31"/>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一、</w:t>
            </w:r>
          </w:p>
        </w:tc>
        <w:tc>
          <w:tcPr>
            <w:tcW w:w="1318" w:type="dxa"/>
            <w:tcBorders>
              <w:top w:val="single" w:color="000000" w:sz="4" w:space="0"/>
              <w:left w:val="single" w:color="000000" w:sz="4" w:space="0"/>
              <w:bottom w:val="single" w:color="000000" w:sz="4" w:space="0"/>
              <w:right w:val="single" w:color="000000" w:sz="4" w:space="0"/>
            </w:tcBorders>
            <w:shd w:val="clear" w:color="auto" w:fill="ED7D31"/>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墨玉县中小学生赴京夏令营活动</w:t>
            </w:r>
          </w:p>
        </w:tc>
        <w:tc>
          <w:tcPr>
            <w:tcW w:w="683" w:type="dxa"/>
            <w:tcBorders>
              <w:top w:val="single" w:color="000000" w:sz="4" w:space="0"/>
              <w:left w:val="single" w:color="000000" w:sz="4" w:space="0"/>
              <w:bottom w:val="single" w:color="000000" w:sz="4" w:space="0"/>
              <w:right w:val="single" w:color="000000" w:sz="4" w:space="0"/>
            </w:tcBorders>
            <w:shd w:val="clear" w:color="auto" w:fill="ED7D31"/>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ED7D31"/>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ED7D31"/>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ED7D31"/>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4662" w:type="dxa"/>
            <w:tcBorders>
              <w:top w:val="single" w:color="000000" w:sz="4" w:space="0"/>
              <w:left w:val="single" w:color="000000" w:sz="4" w:space="0"/>
              <w:bottom w:val="single" w:color="000000" w:sz="4" w:space="0"/>
              <w:right w:val="single" w:color="000000" w:sz="4" w:space="0"/>
            </w:tcBorders>
            <w:shd w:val="clear" w:color="auto" w:fill="ED7D31"/>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研学9天，107名(100名中小学；2名总领队；5名带队教师）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机票</w:t>
            </w: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4662"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往返机票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住宿</w:t>
            </w: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w:t>
            </w:r>
          </w:p>
        </w:tc>
        <w:tc>
          <w:tcPr>
            <w:tcW w:w="4662"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含早餐，并提供住宿场所名称以及住宿场所照片及房间照片。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用餐</w:t>
            </w: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4662"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lang w:val="en-US"/>
              </w:rPr>
            </w:pPr>
            <w:r>
              <w:rPr>
                <w:rFonts w:hint="eastAsia" w:ascii="宋体" w:hAnsi="宋体" w:eastAsia="宋体" w:cs="宋体"/>
                <w:b/>
                <w:bCs/>
                <w:i w:val="0"/>
                <w:color w:val="000000"/>
                <w:kern w:val="0"/>
                <w:sz w:val="21"/>
                <w:szCs w:val="21"/>
                <w:u w:val="none"/>
                <w:lang w:val="en-US" w:eastAsia="zh-CN" w:bidi="ar"/>
              </w:rPr>
              <w:t>提供每餐菜单清单（清真）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18"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大巴车</w:t>
            </w:r>
          </w:p>
        </w:tc>
        <w:tc>
          <w:tcPr>
            <w:tcW w:w="683"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55"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w:t>
            </w:r>
          </w:p>
        </w:tc>
        <w:tc>
          <w:tcPr>
            <w:tcW w:w="794"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43"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辆</w:t>
            </w:r>
          </w:p>
        </w:tc>
        <w:tc>
          <w:tcPr>
            <w:tcW w:w="4662"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每辆车核载44人（含接送至机场）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专题培训讲座</w:t>
            </w: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w:t>
            </w:r>
          </w:p>
        </w:tc>
        <w:tc>
          <w:tcPr>
            <w:tcW w:w="4662"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其中一场为户外拓展训练及购买耗材、一场为教授级别的讲座。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506" w:type="dxa"/>
            <w:tcBorders>
              <w:top w:val="single" w:color="000000" w:sz="4" w:space="0"/>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color="auto" w:fill="FFFFFF"/>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19750" cy="10795"/>
                      <wp:effectExtent l="0" t="0" r="0" b="0"/>
                      <wp:wrapNone/>
                      <wp:docPr id="1" name="图片_1"/>
                      <wp:cNvGraphicFramePr/>
                      <a:graphic xmlns:a="http://schemas.openxmlformats.org/drawingml/2006/main">
                        <a:graphicData uri="http://schemas.microsoft.com/office/word/2010/wordprocessingShape">
                          <wps:wsp>
                            <wps:cNvSpPr/>
                            <wps:spPr>
                              <a:xfrm>
                                <a:off x="0" y="0"/>
                                <a:ext cx="5619750" cy="10795"/>
                              </a:xfrm>
                              <a:prstGeom prst="rect">
                                <a:avLst/>
                              </a:prstGeom>
                              <a:noFill/>
                              <a:ln>
                                <a:noFill/>
                              </a:ln>
                            </wps:spPr>
                            <wps:bodyPr wrap="square" upright="1"/>
                          </wps:wsp>
                        </a:graphicData>
                      </a:graphic>
                    </wp:anchor>
                  </w:drawing>
                </mc:Choice>
                <mc:Fallback>
                  <w:pict>
                    <v:rect id="图片_1" o:spid="_x0000_s1026" o:spt="1" style="position:absolute;left:0pt;margin-left:0pt;margin-top:0pt;height:0.85pt;width:442.5pt;z-index:251659264;mso-width-relative:page;mso-height-relative:page;" filled="f" stroked="f" coordsize="21600,21600" o:gfxdata="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gfP5a0wAAAAMBAAAPAAAAAAAA&#10;AAEAIAAAACIAAABkcnMvZG93bnJldi54bWxQSwECFAAUAAAACACHTuJAQic9WKUBAABDAwAADgAA&#10;AAAAAAABACAAAAAiAQAAZHJzL2Uyb0RvYy54bWxQSwUGAAAAAAYABgBZAQAAOQUAAAAA&#10;">
                      <v:fill on="f" focussize="0,0"/>
                      <v:stroke on="f"/>
                      <v:imagedata o:title=""/>
                      <o:lock v:ext="edit" aspectratio="f"/>
                    </v:rect>
                  </w:pict>
                </mc:Fallback>
              </mc:AlternateContent>
            </w:r>
            <w:r>
              <w:rPr>
                <w:rFonts w:hint="eastAsia" w:ascii="宋体" w:hAnsi="宋体" w:eastAsia="宋体" w:cs="宋体"/>
                <w:i w:val="0"/>
                <w:color w:val="000000"/>
                <w:kern w:val="0"/>
                <w:sz w:val="20"/>
                <w:szCs w:val="20"/>
                <w:u w:val="none"/>
                <w:lang w:val="en-US" w:eastAsia="zh-CN" w:bidi="ar"/>
              </w:rPr>
              <w:t>6</w:t>
            </w:r>
          </w:p>
        </w:tc>
        <w:tc>
          <w:tcPr>
            <w:tcW w:w="1318" w:type="dxa"/>
            <w:tcBorders>
              <w:top w:val="single" w:color="000000" w:sz="4" w:space="0"/>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门票费</w:t>
            </w:r>
          </w:p>
        </w:tc>
        <w:tc>
          <w:tcPr>
            <w:tcW w:w="683" w:type="dxa"/>
            <w:tcBorders>
              <w:top w:val="single" w:color="000000" w:sz="4" w:space="0"/>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4" w:type="dxa"/>
            <w:tcBorders>
              <w:top w:val="single" w:color="000000" w:sz="4" w:space="0"/>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043" w:type="dxa"/>
            <w:tcBorders>
              <w:top w:val="single" w:color="000000" w:sz="4" w:space="0"/>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4662" w:type="dxa"/>
            <w:tcBorders>
              <w:top w:val="single" w:color="000000" w:sz="4" w:space="0"/>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含学生票及成人票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506" w:type="dxa"/>
            <w:tcBorders>
              <w:top w:val="single" w:color="auto"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18" w:type="dxa"/>
            <w:tcBorders>
              <w:top w:val="single" w:color="auto"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物料费</w:t>
            </w:r>
          </w:p>
        </w:tc>
        <w:tc>
          <w:tcPr>
            <w:tcW w:w="683" w:type="dxa"/>
            <w:tcBorders>
              <w:top w:val="single" w:color="auto"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4" w:type="dxa"/>
            <w:tcBorders>
              <w:top w:val="single" w:color="auto"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1043" w:type="dxa"/>
            <w:tcBorders>
              <w:top w:val="single" w:color="auto"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662" w:type="dxa"/>
            <w:tcBorders>
              <w:top w:val="single" w:color="auto"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队服每人2套（含帽子1个、上衣含棉量100%，裤子含棉量不得低于90%的队服2套、鞋子1双）；横幅；帽子；研学手册；每日4瓶水。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0"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讲解员</w:t>
            </w: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w:t>
            </w:r>
          </w:p>
        </w:tc>
        <w:tc>
          <w:tcPr>
            <w:tcW w:w="4662"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持高级导游证、资历老、经验丰富、有亲和力且文化知识渊博（全程跟车讲解+保障学生安全+活动组织+景区讲解+对接地接导游）</w:t>
            </w:r>
          </w:p>
        </w:tc>
      </w:tr>
    </w:tbl>
    <w:p>
      <w:pPr>
        <w:spacing w:before="312" w:beforeLines="100" w:after="312" w:afterLines="100" w:line="360" w:lineRule="auto"/>
        <w:jc w:val="center"/>
        <w:rPr>
          <w:rFonts w:hint="eastAsia" w:ascii="宋体" w:hAnsi="宋体" w:eastAsia="宋体" w:cs="宋体"/>
        </w:rPr>
      </w:pPr>
      <w:r>
        <w:rPr>
          <w:rFonts w:hint="eastAsia" w:ascii="宋体" w:hAnsi="宋体" w:eastAsia="宋体" w:cs="宋体"/>
          <w:b/>
          <w:bCs/>
        </w:rPr>
        <w:t>北京研学项目行程</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825"/>
        <w:gridCol w:w="1320"/>
        <w:gridCol w:w="6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时间安排</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研学地点</w:t>
            </w:r>
          </w:p>
        </w:tc>
        <w:tc>
          <w:tcPr>
            <w:tcW w:w="619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研学目标及研学内容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380" w:type="dxa"/>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第一天</w:t>
            </w:r>
          </w:p>
        </w:tc>
        <w:tc>
          <w:tcPr>
            <w:tcW w:w="825" w:type="dxa"/>
            <w:tcBorders>
              <w:top w:val="single" w:color="000000" w:sz="4" w:space="0"/>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val="en-US" w:eastAsia="zh-CN"/>
              </w:rPr>
            </w:pPr>
            <w:r>
              <w:rPr>
                <w:rFonts w:hint="eastAsia" w:ascii="宋体" w:hAnsi="宋体" w:eastAsia="宋体" w:cs="宋体"/>
                <w:b/>
                <w:bCs/>
                <w:sz w:val="22"/>
                <w:lang w:val="en-US" w:eastAsia="zh-CN"/>
              </w:rPr>
              <w:t>全天</w:t>
            </w:r>
          </w:p>
        </w:tc>
        <w:tc>
          <w:tcPr>
            <w:tcW w:w="1320"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highlight w:val="none"/>
              </w:rPr>
            </w:pPr>
            <w:r>
              <w:rPr>
                <w:rFonts w:hint="eastAsia" w:ascii="宋体" w:hAnsi="宋体" w:eastAsia="宋体" w:cs="宋体"/>
                <w:sz w:val="22"/>
              </w:rPr>
              <w:t>和田机场</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pStyle w:val="8"/>
              <w:spacing w:line="360" w:lineRule="exact"/>
              <w:rPr>
                <w:rFonts w:hint="eastAsia" w:ascii="宋体" w:hAnsi="宋体" w:eastAsia="宋体" w:cs="宋体"/>
                <w:sz w:val="22"/>
              </w:rPr>
            </w:pPr>
            <w:r>
              <w:rPr>
                <w:rFonts w:hint="eastAsia" w:ascii="宋体" w:hAnsi="宋体" w:eastAsia="宋体" w:cs="宋体"/>
                <w:b/>
                <w:bCs/>
                <w:sz w:val="22"/>
              </w:rPr>
              <w:t>课程目标：</w:t>
            </w:r>
            <w:r>
              <w:rPr>
                <w:rFonts w:hint="eastAsia" w:ascii="宋体" w:hAnsi="宋体" w:eastAsia="宋体" w:cs="宋体"/>
                <w:sz w:val="22"/>
              </w:rPr>
              <w:t>梦想起航、树立目标</w:t>
            </w:r>
          </w:p>
          <w:p>
            <w:pPr>
              <w:spacing w:line="360" w:lineRule="exact"/>
              <w:rPr>
                <w:rFonts w:hint="eastAsia" w:ascii="宋体" w:hAnsi="宋体" w:eastAsia="宋体" w:cs="宋体"/>
                <w:b/>
                <w:bCs/>
                <w:sz w:val="22"/>
              </w:rPr>
            </w:pPr>
            <w:r>
              <w:rPr>
                <w:rFonts w:hint="eastAsia" w:ascii="宋体" w:hAnsi="宋体" w:eastAsia="宋体" w:cs="宋体"/>
                <w:b/>
                <w:bCs/>
                <w:sz w:val="22"/>
              </w:rPr>
              <w:t>课程内容：</w:t>
            </w:r>
            <w:r>
              <w:rPr>
                <w:rFonts w:hint="eastAsia" w:ascii="宋体" w:hAnsi="宋体" w:eastAsia="宋体" w:cs="宋体"/>
                <w:sz w:val="22"/>
              </w:rPr>
              <w:t>整装待发，携梦远航，赴此次研学目的地首都北京。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380" w:type="dxa"/>
            <w:vMerge w:val="restart"/>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第</w:t>
            </w:r>
            <w:r>
              <w:rPr>
                <w:rFonts w:hint="eastAsia" w:ascii="宋体" w:hAnsi="宋体" w:eastAsia="宋体" w:cs="宋体"/>
                <w:b/>
                <w:bCs/>
                <w:sz w:val="22"/>
                <w:lang w:val="en-US" w:eastAsia="zh-CN"/>
              </w:rPr>
              <w:t>二</w:t>
            </w:r>
            <w:r>
              <w:rPr>
                <w:rFonts w:hint="eastAsia" w:ascii="宋体" w:hAnsi="宋体" w:eastAsia="宋体" w:cs="宋体"/>
                <w:b/>
                <w:bCs/>
                <w:sz w:val="22"/>
              </w:rPr>
              <w:t>天</w:t>
            </w:r>
          </w:p>
        </w:tc>
        <w:tc>
          <w:tcPr>
            <w:tcW w:w="825" w:type="dxa"/>
            <w:vMerge w:val="restart"/>
            <w:tcBorders>
              <w:top w:val="single" w:color="000000" w:sz="4" w:space="0"/>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val="en-US" w:eastAsia="zh-CN"/>
              </w:rPr>
            </w:pPr>
            <w:r>
              <w:rPr>
                <w:rFonts w:hint="eastAsia" w:ascii="宋体" w:hAnsi="宋体" w:eastAsia="宋体" w:cs="宋体"/>
                <w:b/>
                <w:bCs/>
                <w:sz w:val="22"/>
                <w:lang w:val="en-US" w:eastAsia="zh-CN"/>
              </w:rPr>
              <w:t>上午</w:t>
            </w:r>
          </w:p>
        </w:tc>
        <w:tc>
          <w:tcPr>
            <w:tcW w:w="1320"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szCs w:val="21"/>
                <w:lang w:val="en-US" w:eastAsia="zh-CN"/>
              </w:rPr>
            </w:pPr>
            <w:r>
              <w:rPr>
                <w:rFonts w:hint="eastAsia" w:ascii="宋体" w:hAnsi="宋体" w:eastAsia="宋体" w:cs="宋体"/>
                <w:sz w:val="22"/>
                <w:highlight w:val="none"/>
              </w:rPr>
              <w:t>天安门广场</w:t>
            </w:r>
            <w:r>
              <w:rPr>
                <w:rFonts w:hint="eastAsia" w:ascii="宋体" w:hAnsi="宋体" w:eastAsia="宋体" w:cs="宋体"/>
                <w:sz w:val="22"/>
                <w:highlight w:val="none"/>
                <w:lang w:val="en-US" w:eastAsia="zh-CN"/>
              </w:rPr>
              <w:t>升旗仪式</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rPr>
                <w:rFonts w:hint="eastAsia" w:ascii="宋体" w:hAnsi="宋体" w:eastAsia="宋体" w:cs="宋体"/>
                <w:sz w:val="22"/>
              </w:rPr>
            </w:pPr>
            <w:r>
              <w:rPr>
                <w:rFonts w:hint="eastAsia" w:ascii="宋体" w:hAnsi="宋体" w:eastAsia="宋体" w:cs="宋体"/>
                <w:b/>
                <w:bCs/>
                <w:sz w:val="22"/>
              </w:rPr>
              <w:t>研学目标：</w:t>
            </w:r>
            <w:r>
              <w:rPr>
                <w:rFonts w:hint="eastAsia" w:ascii="宋体" w:hAnsi="宋体" w:eastAsia="宋体" w:cs="宋体"/>
                <w:sz w:val="22"/>
              </w:rPr>
              <w:t>责任担当、爱国情怀</w:t>
            </w:r>
          </w:p>
          <w:p>
            <w:pPr>
              <w:spacing w:line="360" w:lineRule="exact"/>
              <w:rPr>
                <w:rFonts w:hint="eastAsia" w:ascii="宋体" w:hAnsi="宋体" w:eastAsia="宋体" w:cs="宋体"/>
                <w:sz w:val="22"/>
                <w:szCs w:val="21"/>
                <w:lang w:val="en-US" w:eastAsia="zh-CN"/>
              </w:rPr>
            </w:pPr>
            <w:r>
              <w:rPr>
                <w:rFonts w:hint="eastAsia" w:ascii="宋体" w:hAnsi="宋体" w:eastAsia="宋体" w:cs="宋体"/>
                <w:b/>
                <w:bCs/>
                <w:sz w:val="22"/>
              </w:rPr>
              <w:t>研学内容：</w:t>
            </w:r>
            <w:r>
              <w:rPr>
                <w:rFonts w:hint="eastAsia" w:ascii="宋体" w:hAnsi="宋体" w:eastAsia="宋体" w:cs="宋体"/>
                <w:sz w:val="22"/>
              </w:rPr>
              <w:t>游览天安门广场，领略人民英雄纪念碑和人民大会堂的磅礴气势，抒发对祖国的热爱。给每一个学生拍照留念及制作视频。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825"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val="en-US" w:eastAsia="zh-CN"/>
              </w:rPr>
            </w:pPr>
          </w:p>
        </w:tc>
        <w:tc>
          <w:tcPr>
            <w:tcW w:w="1320"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exact"/>
              <w:jc w:val="center"/>
              <w:rPr>
                <w:rFonts w:hint="eastAsia" w:ascii="宋体" w:hAnsi="宋体" w:eastAsia="宋体" w:cs="宋体"/>
                <w:sz w:val="22"/>
              </w:rPr>
            </w:pPr>
            <w:r>
              <w:rPr>
                <w:rFonts w:hint="eastAsia" w:ascii="宋体" w:hAnsi="宋体" w:eastAsia="宋体" w:cs="宋体"/>
                <w:sz w:val="22"/>
                <w:szCs w:val="21"/>
                <w:lang w:val="en-US" w:eastAsia="zh-CN"/>
              </w:rPr>
              <w:t>北京陈经纶中学</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exact"/>
              <w:rPr>
                <w:rFonts w:hint="eastAsia" w:ascii="宋体" w:hAnsi="宋体" w:eastAsia="宋体" w:cs="宋体"/>
                <w:color w:val="0505EB"/>
                <w:sz w:val="22"/>
              </w:rPr>
            </w:pPr>
            <w:r>
              <w:rPr>
                <w:rFonts w:hint="eastAsia" w:ascii="宋体" w:hAnsi="宋体" w:eastAsia="宋体" w:cs="宋体"/>
                <w:sz w:val="22"/>
                <w:szCs w:val="21"/>
                <w:lang w:val="en-US" w:eastAsia="zh-CN"/>
              </w:rPr>
              <w:t>两地学生手拉手交往交流交融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825"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val="en-US" w:eastAsia="zh-CN"/>
              </w:rPr>
            </w:pPr>
          </w:p>
        </w:tc>
        <w:tc>
          <w:tcPr>
            <w:tcW w:w="1320"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exact"/>
              <w:jc w:val="center"/>
              <w:rPr>
                <w:rFonts w:hint="eastAsia" w:ascii="宋体" w:hAnsi="宋体" w:eastAsia="宋体" w:cs="宋体"/>
                <w:sz w:val="22"/>
              </w:rPr>
            </w:pPr>
            <w:r>
              <w:rPr>
                <w:rFonts w:hint="eastAsia" w:ascii="宋体" w:hAnsi="宋体" w:eastAsia="宋体" w:cs="宋体"/>
                <w:sz w:val="22"/>
                <w:szCs w:val="21"/>
                <w:lang w:val="en-US" w:eastAsia="zh-CN"/>
              </w:rPr>
              <w:t>芳草地国际学校</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exact"/>
              <w:rPr>
                <w:rFonts w:hint="eastAsia" w:ascii="宋体" w:hAnsi="宋体" w:eastAsia="宋体" w:cs="宋体"/>
                <w:color w:val="0505EB"/>
                <w:sz w:val="22"/>
              </w:rPr>
            </w:pPr>
            <w:r>
              <w:rPr>
                <w:rFonts w:hint="eastAsia" w:ascii="宋体" w:hAnsi="宋体" w:eastAsia="宋体" w:cs="宋体"/>
                <w:sz w:val="22"/>
                <w:szCs w:val="21"/>
                <w:lang w:val="en-US" w:eastAsia="zh-CN"/>
              </w:rPr>
              <w:t>两地学生手拉手交往交流交融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825"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val="en-US" w:eastAsia="zh-CN"/>
              </w:rPr>
            </w:pPr>
          </w:p>
        </w:tc>
        <w:tc>
          <w:tcPr>
            <w:tcW w:w="1320"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exact"/>
              <w:jc w:val="center"/>
              <w:rPr>
                <w:rFonts w:hint="eastAsia" w:ascii="宋体" w:hAnsi="宋体" w:eastAsia="宋体" w:cs="宋体"/>
                <w:sz w:val="22"/>
              </w:rPr>
            </w:pPr>
            <w:r>
              <w:rPr>
                <w:rFonts w:hint="eastAsia" w:ascii="宋体" w:hAnsi="宋体" w:eastAsia="宋体" w:cs="宋体"/>
                <w:sz w:val="22"/>
                <w:szCs w:val="21"/>
                <w:lang w:val="en-US" w:eastAsia="zh-CN"/>
              </w:rPr>
              <w:t>东方德才学校</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exact"/>
              <w:rPr>
                <w:rFonts w:hint="eastAsia" w:ascii="宋体" w:hAnsi="宋体" w:eastAsia="宋体" w:cs="宋体"/>
                <w:color w:val="0505EB"/>
                <w:sz w:val="22"/>
              </w:rPr>
            </w:pPr>
            <w:r>
              <w:rPr>
                <w:rFonts w:hint="eastAsia" w:ascii="宋体" w:hAnsi="宋体" w:eastAsia="宋体" w:cs="宋体"/>
                <w:sz w:val="22"/>
                <w:szCs w:val="21"/>
                <w:lang w:val="en-US" w:eastAsia="zh-CN"/>
              </w:rPr>
              <w:t>两地学生手拉手交往交流交融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825" w:type="dxa"/>
            <w:tcBorders>
              <w:top w:val="single" w:color="000000" w:sz="4" w:space="0"/>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val="en-US" w:eastAsia="zh-CN"/>
              </w:rPr>
            </w:pPr>
            <w:r>
              <w:rPr>
                <w:rFonts w:hint="eastAsia" w:ascii="宋体" w:hAnsi="宋体" w:eastAsia="宋体" w:cs="宋体"/>
                <w:b/>
                <w:bCs/>
                <w:sz w:val="22"/>
                <w:lang w:val="en-US" w:eastAsia="zh-CN"/>
              </w:rPr>
              <w:t>下午</w:t>
            </w:r>
          </w:p>
        </w:tc>
        <w:tc>
          <w:tcPr>
            <w:tcW w:w="1320"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rPr>
            </w:pPr>
            <w:r>
              <w:rPr>
                <w:rFonts w:hint="eastAsia" w:ascii="宋体" w:hAnsi="宋体" w:eastAsia="宋体" w:cs="宋体"/>
                <w:sz w:val="22"/>
                <w:szCs w:val="21"/>
              </w:rPr>
              <w:t>专家</w:t>
            </w:r>
            <w:r>
              <w:rPr>
                <w:rFonts w:hint="eastAsia" w:ascii="宋体" w:hAnsi="宋体" w:eastAsia="宋体" w:cs="宋体"/>
                <w:sz w:val="22"/>
                <w:szCs w:val="21"/>
                <w:lang w:val="en-US" w:eastAsia="zh-CN"/>
              </w:rPr>
              <w:t>讲座</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rPr>
                <w:rFonts w:hint="eastAsia" w:ascii="宋体" w:hAnsi="宋体" w:eastAsia="宋体" w:cs="宋体"/>
                <w:sz w:val="22"/>
                <w:szCs w:val="21"/>
              </w:rPr>
            </w:pPr>
            <w:r>
              <w:rPr>
                <w:rFonts w:hint="eastAsia" w:ascii="宋体" w:hAnsi="宋体" w:eastAsia="宋体" w:cs="宋体"/>
                <w:b/>
                <w:bCs/>
                <w:sz w:val="22"/>
                <w:szCs w:val="21"/>
              </w:rPr>
              <w:t>研学目标：</w:t>
            </w:r>
            <w:r>
              <w:rPr>
                <w:rFonts w:hint="eastAsia" w:ascii="宋体" w:hAnsi="宋体" w:eastAsia="宋体" w:cs="宋体"/>
                <w:sz w:val="22"/>
                <w:szCs w:val="21"/>
              </w:rPr>
              <w:t>人生规划、学习经验、人文情怀</w:t>
            </w:r>
          </w:p>
          <w:p>
            <w:pPr>
              <w:spacing w:line="360" w:lineRule="exact"/>
              <w:rPr>
                <w:rFonts w:hint="eastAsia" w:ascii="宋体" w:hAnsi="宋体" w:eastAsia="宋体" w:cs="宋体"/>
                <w:sz w:val="22"/>
                <w:szCs w:val="21"/>
              </w:rPr>
            </w:pPr>
            <w:r>
              <w:rPr>
                <w:rFonts w:hint="eastAsia" w:ascii="宋体" w:hAnsi="宋体" w:eastAsia="宋体" w:cs="宋体"/>
                <w:b/>
                <w:bCs/>
                <w:sz w:val="22"/>
                <w:szCs w:val="21"/>
              </w:rPr>
              <w:t>研学内容：</w:t>
            </w:r>
            <w:r>
              <w:rPr>
                <w:rFonts w:hint="eastAsia" w:ascii="宋体" w:hAnsi="宋体" w:eastAsia="宋体" w:cs="宋体"/>
                <w:sz w:val="22"/>
                <w:szCs w:val="21"/>
              </w:rPr>
              <w:t>邀请清北状元、学者或专家教授主讲</w:t>
            </w:r>
            <w:r>
              <w:rPr>
                <w:rFonts w:hint="eastAsia" w:ascii="宋体" w:hAnsi="宋体" w:eastAsia="宋体" w:cs="宋体"/>
                <w:sz w:val="22"/>
                <w:szCs w:val="21"/>
                <w:lang w:eastAsia="zh-CN"/>
              </w:rPr>
              <w:t>讲座</w:t>
            </w:r>
            <w:r>
              <w:rPr>
                <w:rFonts w:hint="eastAsia" w:ascii="宋体" w:hAnsi="宋体" w:eastAsia="宋体" w:cs="宋体"/>
                <w:sz w:val="22"/>
                <w:szCs w:val="21"/>
              </w:rPr>
              <w:t>，通过导师循循善诱、聆听大师教诲，激励营员们树立远大目标和崇高理想，规划美好人生。</w:t>
            </w:r>
          </w:p>
          <w:p>
            <w:pPr>
              <w:spacing w:line="360" w:lineRule="exact"/>
              <w:rPr>
                <w:rFonts w:hint="eastAsia" w:ascii="宋体" w:hAnsi="宋体" w:eastAsia="宋体" w:cs="宋体"/>
                <w:sz w:val="22"/>
                <w:szCs w:val="21"/>
              </w:rPr>
            </w:pPr>
            <w:r>
              <w:rPr>
                <w:rFonts w:hint="eastAsia" w:ascii="宋体" w:hAnsi="宋体" w:eastAsia="宋体" w:cs="宋体"/>
                <w:b/>
                <w:bCs/>
                <w:sz w:val="22"/>
                <w:szCs w:val="21"/>
              </w:rPr>
              <w:t>研学任务：</w:t>
            </w:r>
            <w:r>
              <w:rPr>
                <w:rFonts w:hint="eastAsia" w:ascii="宋体" w:hAnsi="宋体" w:eastAsia="宋体" w:cs="宋体"/>
                <w:sz w:val="22"/>
                <w:szCs w:val="21"/>
              </w:rPr>
              <w:t>1.提前准备好想要了解的问题，在</w:t>
            </w:r>
            <w:r>
              <w:rPr>
                <w:rFonts w:hint="eastAsia" w:ascii="宋体" w:hAnsi="宋体" w:eastAsia="宋体" w:cs="宋体"/>
                <w:sz w:val="22"/>
                <w:szCs w:val="21"/>
                <w:lang w:eastAsia="zh-CN"/>
              </w:rPr>
              <w:t>讲座</w:t>
            </w:r>
            <w:r>
              <w:rPr>
                <w:rFonts w:hint="eastAsia" w:ascii="宋体" w:hAnsi="宋体" w:eastAsia="宋体" w:cs="宋体"/>
                <w:sz w:val="22"/>
                <w:szCs w:val="21"/>
              </w:rPr>
              <w:t>后与专家交流；</w:t>
            </w:r>
          </w:p>
          <w:p>
            <w:pPr>
              <w:spacing w:line="360" w:lineRule="exact"/>
              <w:rPr>
                <w:rFonts w:hint="eastAsia" w:ascii="宋体" w:hAnsi="宋体" w:eastAsia="宋体" w:cs="宋体"/>
                <w:b/>
                <w:bCs/>
                <w:sz w:val="22"/>
              </w:rPr>
            </w:pPr>
            <w:r>
              <w:rPr>
                <w:rFonts w:hint="eastAsia" w:ascii="宋体" w:hAnsi="宋体" w:eastAsia="宋体" w:cs="宋体"/>
                <w:sz w:val="22"/>
                <w:szCs w:val="21"/>
              </w:rPr>
              <w:t>2.认真聆听，写下专家在</w:t>
            </w:r>
            <w:r>
              <w:rPr>
                <w:rFonts w:hint="eastAsia" w:ascii="宋体" w:hAnsi="宋体" w:eastAsia="宋体" w:cs="宋体"/>
                <w:sz w:val="22"/>
                <w:szCs w:val="21"/>
                <w:lang w:val="en-US" w:eastAsia="zh-CN"/>
              </w:rPr>
              <w:t>讲座过程</w:t>
            </w:r>
            <w:r>
              <w:rPr>
                <w:rFonts w:hint="eastAsia" w:ascii="宋体" w:hAnsi="宋体" w:eastAsia="宋体" w:cs="宋体"/>
                <w:sz w:val="22"/>
                <w:szCs w:val="21"/>
              </w:rPr>
              <w:t>中的“金句”，并定一个小目标。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jc w:val="center"/>
        </w:trPr>
        <w:tc>
          <w:tcPr>
            <w:tcW w:w="1380" w:type="dxa"/>
            <w:vMerge w:val="restart"/>
            <w:tcBorders>
              <w:left w:val="single" w:color="000000" w:sz="4" w:space="0"/>
              <w:right w:val="single" w:color="000000" w:sz="4" w:space="0"/>
            </w:tcBorders>
            <w:noWrap w:val="0"/>
            <w:vAlign w:val="center"/>
          </w:tcPr>
          <w:p>
            <w:pPr>
              <w:spacing w:line="360" w:lineRule="exact"/>
              <w:rPr>
                <w:rFonts w:hint="eastAsia" w:ascii="宋体" w:hAnsi="宋体" w:eastAsia="宋体" w:cs="宋体"/>
                <w:b/>
                <w:bCs/>
                <w:sz w:val="22"/>
                <w:lang w:eastAsia="zh-CN"/>
              </w:rPr>
            </w:pPr>
            <w:r>
              <w:rPr>
                <w:rFonts w:hint="eastAsia" w:ascii="宋体" w:hAnsi="宋体" w:eastAsia="宋体" w:cs="宋体"/>
                <w:b/>
                <w:bCs/>
                <w:sz w:val="22"/>
                <w:lang w:eastAsia="zh-CN"/>
              </w:rPr>
              <w:t>第</w:t>
            </w:r>
            <w:r>
              <w:rPr>
                <w:rFonts w:hint="eastAsia" w:ascii="宋体" w:hAnsi="宋体" w:eastAsia="宋体" w:cs="宋体"/>
                <w:b/>
                <w:bCs/>
                <w:sz w:val="22"/>
                <w:lang w:val="en-US" w:eastAsia="zh-CN"/>
              </w:rPr>
              <w:t>三</w:t>
            </w:r>
            <w:r>
              <w:rPr>
                <w:rFonts w:hint="eastAsia" w:ascii="宋体" w:hAnsi="宋体" w:eastAsia="宋体" w:cs="宋体"/>
                <w:b/>
                <w:bCs/>
                <w:sz w:val="22"/>
                <w:lang w:eastAsia="zh-CN"/>
              </w:rPr>
              <w:t>天</w:t>
            </w:r>
          </w:p>
        </w:tc>
        <w:tc>
          <w:tcPr>
            <w:tcW w:w="825" w:type="dxa"/>
            <w:vMerge w:val="restart"/>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eastAsia="zh-CN"/>
              </w:rPr>
            </w:pPr>
            <w:r>
              <w:rPr>
                <w:rFonts w:hint="eastAsia" w:ascii="宋体" w:hAnsi="宋体" w:eastAsia="宋体" w:cs="宋体"/>
                <w:b/>
                <w:bCs/>
                <w:sz w:val="22"/>
                <w:lang w:eastAsia="zh-CN"/>
              </w:rPr>
              <w:t>上午</w:t>
            </w:r>
          </w:p>
        </w:tc>
        <w:tc>
          <w:tcPr>
            <w:tcW w:w="1320"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szCs w:val="21"/>
                <w:lang w:val="en-US" w:eastAsia="zh-CN"/>
              </w:rPr>
            </w:pPr>
            <w:r>
              <w:rPr>
                <w:rFonts w:hint="eastAsia" w:ascii="宋体" w:hAnsi="宋体" w:eastAsia="宋体" w:cs="宋体"/>
                <w:sz w:val="22"/>
                <w:highlight w:val="none"/>
                <w:lang w:val="en-US" w:eastAsia="zh-CN"/>
              </w:rPr>
              <w:t>毛泽东纪念堂</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rPr>
                <w:rFonts w:hint="eastAsia" w:ascii="宋体" w:hAnsi="宋体" w:eastAsia="宋体" w:cs="宋体"/>
                <w:sz w:val="22"/>
                <w:lang w:val="en-US" w:eastAsia="zh-CN"/>
              </w:rPr>
            </w:pPr>
            <w:r>
              <w:rPr>
                <w:rFonts w:hint="eastAsia" w:ascii="宋体" w:hAnsi="宋体" w:eastAsia="宋体" w:cs="宋体"/>
                <w:b/>
                <w:bCs/>
                <w:sz w:val="22"/>
              </w:rPr>
              <w:t>研学目标：</w:t>
            </w:r>
            <w:r>
              <w:rPr>
                <w:rFonts w:hint="eastAsia" w:ascii="宋体" w:hAnsi="宋体" w:eastAsia="宋体" w:cs="宋体"/>
                <w:sz w:val="22"/>
                <w:lang w:val="en-US" w:eastAsia="zh-CN"/>
              </w:rPr>
              <w:t>让学生了解毛泽东的生平和思想，同时也可以让学生了解中国革命历史的背景和脉络。</w:t>
            </w:r>
          </w:p>
          <w:p>
            <w:pPr>
              <w:spacing w:line="360" w:lineRule="exact"/>
              <w:rPr>
                <w:rFonts w:hint="eastAsia" w:ascii="宋体" w:hAnsi="宋体" w:eastAsia="宋体" w:cs="宋体"/>
                <w:sz w:val="22"/>
                <w:szCs w:val="21"/>
              </w:rPr>
            </w:pPr>
            <w:r>
              <w:rPr>
                <w:rFonts w:hint="eastAsia" w:ascii="宋体" w:hAnsi="宋体" w:eastAsia="宋体" w:cs="宋体"/>
                <w:b/>
                <w:bCs/>
                <w:sz w:val="22"/>
              </w:rPr>
              <w:t>研学内容：</w:t>
            </w:r>
            <w:r>
              <w:rPr>
                <w:rFonts w:hint="eastAsia" w:ascii="宋体" w:hAnsi="宋体" w:eastAsia="宋体" w:cs="宋体"/>
                <w:sz w:val="22"/>
                <w:lang w:val="en-US" w:eastAsia="zh-CN"/>
              </w:rPr>
              <w:t>参观毛泽东纪念</w:t>
            </w:r>
            <w:r>
              <w:rPr>
                <w:rFonts w:hint="eastAsia" w:ascii="宋体" w:hAnsi="宋体" w:eastAsia="宋体" w:cs="宋体"/>
                <w:sz w:val="22"/>
                <w:highlight w:val="none"/>
                <w:lang w:val="en-US" w:eastAsia="zh-CN"/>
              </w:rPr>
              <w:t>堂，瞻仰参观入口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jc w:val="center"/>
        </w:trPr>
        <w:tc>
          <w:tcPr>
            <w:tcW w:w="1380" w:type="dxa"/>
            <w:vMerge w:val="continue"/>
            <w:tcBorders>
              <w:left w:val="single" w:color="000000" w:sz="4" w:space="0"/>
              <w:right w:val="single" w:color="000000" w:sz="4" w:space="0"/>
            </w:tcBorders>
            <w:noWrap w:val="0"/>
            <w:vAlign w:val="center"/>
          </w:tcPr>
          <w:p>
            <w:pPr>
              <w:spacing w:line="360" w:lineRule="exact"/>
              <w:rPr>
                <w:rFonts w:hint="eastAsia" w:ascii="宋体" w:hAnsi="宋体" w:eastAsia="宋体" w:cs="宋体"/>
                <w:b/>
                <w:bCs/>
                <w:sz w:val="22"/>
                <w:lang w:eastAsia="zh-CN"/>
              </w:rPr>
            </w:pPr>
          </w:p>
        </w:tc>
        <w:tc>
          <w:tcPr>
            <w:tcW w:w="825"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eastAsia="zh-CN"/>
              </w:rPr>
            </w:pPr>
          </w:p>
        </w:tc>
        <w:tc>
          <w:tcPr>
            <w:tcW w:w="1320"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szCs w:val="21"/>
                <w:lang w:val="en-US" w:eastAsia="zh-CN"/>
              </w:rPr>
            </w:pPr>
            <w:r>
              <w:rPr>
                <w:rFonts w:hint="eastAsia" w:ascii="宋体" w:hAnsi="宋体" w:eastAsia="宋体" w:cs="宋体"/>
                <w:sz w:val="22"/>
                <w:highlight w:val="none"/>
              </w:rPr>
              <w:t>国家博物馆</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rPr>
                <w:rFonts w:hint="eastAsia" w:ascii="宋体" w:hAnsi="宋体" w:eastAsia="宋体" w:cs="宋体"/>
                <w:sz w:val="22"/>
              </w:rPr>
            </w:pPr>
            <w:r>
              <w:rPr>
                <w:rFonts w:hint="eastAsia" w:ascii="宋体" w:hAnsi="宋体" w:eastAsia="宋体" w:cs="宋体"/>
                <w:b/>
                <w:bCs/>
                <w:sz w:val="22"/>
              </w:rPr>
              <w:t>研学目标：</w:t>
            </w:r>
            <w:r>
              <w:rPr>
                <w:rFonts w:hint="eastAsia" w:ascii="宋体" w:hAnsi="宋体" w:eastAsia="宋体" w:cs="宋体"/>
                <w:sz w:val="22"/>
              </w:rPr>
              <w:t>历史回顾、文化自信、藏品赏析</w:t>
            </w:r>
          </w:p>
          <w:p>
            <w:pPr>
              <w:spacing w:line="360" w:lineRule="exact"/>
              <w:rPr>
                <w:rFonts w:hint="eastAsia" w:ascii="宋体" w:hAnsi="宋体" w:eastAsia="宋体" w:cs="宋体"/>
                <w:sz w:val="22"/>
                <w:szCs w:val="21"/>
              </w:rPr>
            </w:pPr>
            <w:r>
              <w:rPr>
                <w:rFonts w:hint="eastAsia" w:ascii="宋体" w:hAnsi="宋体" w:eastAsia="宋体" w:cs="宋体"/>
                <w:b/>
                <w:bCs/>
                <w:sz w:val="22"/>
              </w:rPr>
              <w:t>研学内容：</w:t>
            </w:r>
            <w:r>
              <w:rPr>
                <w:rFonts w:hint="eastAsia" w:ascii="宋体" w:hAnsi="宋体" w:eastAsia="宋体" w:cs="宋体"/>
                <w:sz w:val="22"/>
              </w:rPr>
              <w:t>参观国家博物馆，穿越历史时空，通过行前学习，组织参观“复兴之路”、“古代中国”、等主题展厅，更深刻了解华夏文明的博大精深。安排学生提前学习中国历史，观后进行竞赛活动。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jc w:val="center"/>
        </w:trPr>
        <w:tc>
          <w:tcPr>
            <w:tcW w:w="1380" w:type="dxa"/>
            <w:vMerge w:val="continue"/>
            <w:tcBorders>
              <w:left w:val="single" w:color="000000" w:sz="4" w:space="0"/>
              <w:right w:val="single" w:color="000000" w:sz="4" w:space="0"/>
            </w:tcBorders>
            <w:noWrap w:val="0"/>
            <w:vAlign w:val="center"/>
          </w:tcPr>
          <w:p>
            <w:pPr>
              <w:spacing w:line="360" w:lineRule="exact"/>
              <w:rPr>
                <w:rFonts w:hint="eastAsia" w:ascii="宋体" w:hAnsi="宋体" w:eastAsia="宋体" w:cs="宋体"/>
                <w:b/>
                <w:bCs/>
                <w:sz w:val="22"/>
                <w:lang w:eastAsia="zh-CN"/>
              </w:rPr>
            </w:pPr>
          </w:p>
        </w:tc>
        <w:tc>
          <w:tcPr>
            <w:tcW w:w="825" w:type="dxa"/>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eastAsia="zh-CN"/>
              </w:rPr>
            </w:pPr>
            <w:r>
              <w:rPr>
                <w:rFonts w:hint="eastAsia" w:ascii="宋体" w:hAnsi="宋体" w:eastAsia="宋体" w:cs="宋体"/>
                <w:b/>
                <w:bCs/>
                <w:sz w:val="22"/>
                <w:lang w:eastAsia="zh-CN"/>
              </w:rPr>
              <w:t>下午</w:t>
            </w:r>
          </w:p>
        </w:tc>
        <w:tc>
          <w:tcPr>
            <w:tcW w:w="1320"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szCs w:val="21"/>
                <w:highlight w:val="none"/>
                <w:lang w:val="en-US" w:eastAsia="zh-CN"/>
              </w:rPr>
            </w:pPr>
            <w:r>
              <w:rPr>
                <w:rFonts w:hint="eastAsia" w:ascii="宋体" w:hAnsi="宋体" w:eastAsia="宋体" w:cs="宋体"/>
                <w:sz w:val="22"/>
                <w:highlight w:val="none"/>
              </w:rPr>
              <w:t>故宫</w:t>
            </w:r>
            <w:r>
              <w:rPr>
                <w:rFonts w:hint="eastAsia" w:ascii="宋体" w:hAnsi="宋体" w:eastAsia="宋体" w:cs="宋体"/>
                <w:sz w:val="22"/>
                <w:highlight w:val="none"/>
                <w:lang w:val="en-US" w:eastAsia="zh-CN"/>
              </w:rPr>
              <w:t>&amp;景山</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rPr>
                <w:rFonts w:hint="eastAsia" w:ascii="宋体" w:hAnsi="宋体" w:eastAsia="宋体" w:cs="宋体"/>
                <w:sz w:val="22"/>
              </w:rPr>
            </w:pPr>
            <w:r>
              <w:rPr>
                <w:rFonts w:hint="eastAsia" w:ascii="宋体" w:hAnsi="宋体" w:eastAsia="宋体" w:cs="宋体"/>
                <w:b/>
                <w:bCs/>
                <w:sz w:val="22"/>
              </w:rPr>
              <w:t>研学目标：</w:t>
            </w:r>
            <w:r>
              <w:rPr>
                <w:rFonts w:hint="eastAsia" w:ascii="宋体" w:hAnsi="宋体" w:eastAsia="宋体" w:cs="宋体"/>
                <w:sz w:val="22"/>
              </w:rPr>
              <w:t>宫廷文化、宫廷建筑、人文底蕴</w:t>
            </w:r>
          </w:p>
          <w:p>
            <w:pPr>
              <w:spacing w:line="360" w:lineRule="exact"/>
              <w:rPr>
                <w:rFonts w:hint="eastAsia" w:ascii="宋体" w:hAnsi="宋体" w:eastAsia="宋体" w:cs="宋体"/>
                <w:sz w:val="22"/>
                <w:szCs w:val="21"/>
              </w:rPr>
            </w:pPr>
            <w:r>
              <w:rPr>
                <w:rFonts w:hint="eastAsia" w:ascii="宋体" w:hAnsi="宋体" w:eastAsia="宋体" w:cs="宋体"/>
                <w:b/>
                <w:bCs/>
                <w:sz w:val="22"/>
              </w:rPr>
              <w:t>研学内容：</w:t>
            </w:r>
            <w:r>
              <w:rPr>
                <w:rFonts w:hint="eastAsia" w:ascii="宋体" w:hAnsi="宋体" w:eastAsia="宋体" w:cs="宋体"/>
                <w:sz w:val="22"/>
              </w:rPr>
              <w:t>走进故宫博物院，在辅导员的带领下，游览皇家宫殿，探索故宫的秘密，解读历代君王史事。参观路线以故宫中轴线为主，前三殿、后三寝至御花园，深刻体味中国传统文化博大精深的底蕴和故宫建筑文化的精髓。策划在不同的宫殿放置不同的历史卡片，让同学们根据课题去找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1380" w:type="dxa"/>
            <w:vMerge w:val="restart"/>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第</w:t>
            </w:r>
            <w:r>
              <w:rPr>
                <w:rFonts w:hint="eastAsia" w:ascii="宋体" w:hAnsi="宋体" w:eastAsia="宋体" w:cs="宋体"/>
                <w:b/>
                <w:bCs/>
                <w:sz w:val="22"/>
                <w:lang w:val="en-US" w:eastAsia="zh-CN"/>
              </w:rPr>
              <w:t>四</w:t>
            </w:r>
            <w:r>
              <w:rPr>
                <w:rFonts w:hint="eastAsia" w:ascii="宋体" w:hAnsi="宋体" w:eastAsia="宋体" w:cs="宋体"/>
                <w:b/>
                <w:bCs/>
                <w:sz w:val="22"/>
              </w:rPr>
              <w:t>天</w:t>
            </w:r>
          </w:p>
        </w:tc>
        <w:tc>
          <w:tcPr>
            <w:tcW w:w="825" w:type="dxa"/>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上午</w:t>
            </w:r>
          </w:p>
        </w:tc>
        <w:tc>
          <w:tcPr>
            <w:tcW w:w="1320" w:type="dxa"/>
            <w:tcBorders>
              <w:top w:val="single" w:color="auto"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 w:val="22"/>
                <w:szCs w:val="21"/>
                <w:highlight w:val="none"/>
              </w:rPr>
            </w:pPr>
            <w:r>
              <w:rPr>
                <w:rFonts w:hint="eastAsia" w:ascii="宋体" w:hAnsi="宋体" w:eastAsia="宋体" w:cs="宋体"/>
                <w:sz w:val="22"/>
                <w:szCs w:val="21"/>
                <w:highlight w:val="none"/>
                <w:lang w:val="en-US" w:eastAsia="zh-CN"/>
              </w:rPr>
              <w:t>颐和园</w:t>
            </w:r>
          </w:p>
        </w:tc>
        <w:tc>
          <w:tcPr>
            <w:tcW w:w="6191" w:type="dxa"/>
            <w:tcBorders>
              <w:top w:val="single" w:color="auto" w:sz="4" w:space="0"/>
              <w:left w:val="single" w:color="000000" w:sz="4" w:space="0"/>
              <w:right w:val="single" w:color="000000" w:sz="4" w:space="0"/>
            </w:tcBorders>
            <w:noWrap w:val="0"/>
            <w:vAlign w:val="center"/>
          </w:tcPr>
          <w:p>
            <w:pPr>
              <w:snapToGrid w:val="0"/>
              <w:spacing w:line="360" w:lineRule="exact"/>
              <w:rPr>
                <w:rFonts w:hint="eastAsia" w:ascii="宋体" w:hAnsi="宋体" w:eastAsia="宋体" w:cs="宋体"/>
                <w:b/>
                <w:bCs/>
                <w:sz w:val="22"/>
                <w:szCs w:val="21"/>
                <w:lang w:val="en-US"/>
              </w:rPr>
            </w:pPr>
            <w:r>
              <w:rPr>
                <w:rFonts w:hint="eastAsia" w:ascii="宋体" w:hAnsi="宋体" w:eastAsia="宋体" w:cs="宋体"/>
                <w:b/>
                <w:bCs/>
                <w:sz w:val="22"/>
                <w:szCs w:val="21"/>
              </w:rPr>
              <w:t>研学目标：</w:t>
            </w:r>
            <w:r>
              <w:rPr>
                <w:rFonts w:hint="eastAsia" w:ascii="宋体" w:hAnsi="宋体" w:eastAsia="宋体" w:cs="宋体"/>
                <w:sz w:val="22"/>
                <w:szCs w:val="21"/>
                <w:lang w:val="en-US" w:eastAsia="zh-CN"/>
              </w:rPr>
              <w:t>建筑特点 建筑智慧</w:t>
            </w:r>
          </w:p>
          <w:p>
            <w:pPr>
              <w:snapToGrid w:val="0"/>
              <w:spacing w:line="360" w:lineRule="exact"/>
              <w:rPr>
                <w:rFonts w:hint="eastAsia" w:ascii="宋体" w:hAnsi="宋体" w:eastAsia="宋体" w:cs="宋体"/>
                <w:sz w:val="22"/>
                <w:szCs w:val="21"/>
              </w:rPr>
            </w:pPr>
            <w:r>
              <w:rPr>
                <w:rFonts w:hint="eastAsia" w:ascii="宋体" w:hAnsi="宋体" w:eastAsia="宋体" w:cs="宋体"/>
                <w:b/>
                <w:bCs/>
                <w:sz w:val="22"/>
                <w:szCs w:val="21"/>
              </w:rPr>
              <w:t>研学内容：</w:t>
            </w:r>
            <w:r>
              <w:rPr>
                <w:rFonts w:hint="eastAsia" w:ascii="宋体" w:hAnsi="宋体" w:eastAsia="宋体" w:cs="宋体"/>
                <w:sz w:val="22"/>
                <w:szCs w:val="21"/>
                <w:lang w:val="en-US" w:eastAsia="zh-CN"/>
              </w:rPr>
              <w:t>了解皇家园林的前世今生，颐和园建造始末，名称起源；园林构造，皇家园林与私家园林的区别，东西方园林的差异；园林建造所需的布景手法；聆听发生在这里的百年历史故事，感受令人着迷的皇家园林分光和精美的皇家园林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825" w:type="dxa"/>
            <w:vMerge w:val="restart"/>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下午</w:t>
            </w:r>
          </w:p>
        </w:tc>
        <w:tc>
          <w:tcPr>
            <w:tcW w:w="1320" w:type="dxa"/>
            <w:tcBorders>
              <w:top w:val="single" w:color="000000" w:sz="4" w:space="0"/>
              <w:left w:val="single" w:color="000000" w:sz="4" w:space="0"/>
              <w:right w:val="single" w:color="000000" w:sz="4" w:space="0"/>
            </w:tcBorders>
            <w:noWrap w:val="0"/>
            <w:vAlign w:val="center"/>
          </w:tcPr>
          <w:p>
            <w:pPr>
              <w:snapToGrid w:val="0"/>
              <w:spacing w:line="360" w:lineRule="exact"/>
              <w:jc w:val="center"/>
              <w:rPr>
                <w:rFonts w:hint="eastAsia" w:ascii="宋体" w:hAnsi="宋体" w:eastAsia="宋体" w:cs="宋体"/>
                <w:sz w:val="22"/>
                <w:highlight w:val="none"/>
              </w:rPr>
            </w:pPr>
            <w:r>
              <w:rPr>
                <w:rFonts w:hint="eastAsia" w:ascii="宋体" w:hAnsi="宋体" w:eastAsia="宋体" w:cs="宋体"/>
                <w:sz w:val="22"/>
                <w:highlight w:val="none"/>
              </w:rPr>
              <w:t>清华</w:t>
            </w:r>
            <w:r>
              <w:rPr>
                <w:rFonts w:hint="eastAsia" w:ascii="宋体" w:hAnsi="宋体" w:eastAsia="宋体" w:cs="宋体"/>
                <w:sz w:val="22"/>
                <w:highlight w:val="none"/>
                <w:lang w:eastAsia="zh-CN"/>
              </w:rPr>
              <w:t>大学</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exact"/>
              <w:rPr>
                <w:rFonts w:hint="eastAsia" w:ascii="宋体" w:hAnsi="宋体" w:eastAsia="宋体" w:cs="宋体"/>
                <w:sz w:val="22"/>
              </w:rPr>
            </w:pPr>
            <w:r>
              <w:rPr>
                <w:rFonts w:hint="eastAsia" w:ascii="宋体" w:hAnsi="宋体" w:eastAsia="宋体" w:cs="宋体"/>
                <w:b/>
                <w:sz w:val="22"/>
              </w:rPr>
              <w:t>研学目标：</w:t>
            </w:r>
            <w:r>
              <w:rPr>
                <w:rFonts w:hint="eastAsia" w:ascii="宋体" w:hAnsi="宋体" w:eastAsia="宋体" w:cs="宋体"/>
                <w:sz w:val="22"/>
              </w:rPr>
              <w:t>感悟清北魅力、树立成才目标</w:t>
            </w:r>
          </w:p>
          <w:p>
            <w:pPr>
              <w:snapToGrid w:val="0"/>
              <w:spacing w:line="360" w:lineRule="exact"/>
              <w:rPr>
                <w:rFonts w:hint="eastAsia" w:ascii="宋体" w:hAnsi="宋体" w:eastAsia="宋体" w:cs="宋体"/>
                <w:sz w:val="22"/>
              </w:rPr>
            </w:pPr>
            <w:r>
              <w:rPr>
                <w:rFonts w:hint="eastAsia" w:ascii="宋体" w:hAnsi="宋体" w:eastAsia="宋体" w:cs="宋体"/>
                <w:b/>
                <w:sz w:val="22"/>
              </w:rPr>
              <w:t>研学内容：</w:t>
            </w:r>
            <w:r>
              <w:rPr>
                <w:rFonts w:hint="eastAsia" w:ascii="宋体" w:hAnsi="宋体" w:eastAsia="宋体" w:cs="宋体"/>
                <w:sz w:val="22"/>
              </w:rPr>
              <w:t>踏入清华或北大，游览北京大学博雅塔、图书馆、华表，经过未名湖、慈济寺、翻尾石鱼等地点，游赏“一塔湖图”美景，徘徊水木清华，游览清华大学礼堂、图书馆、二校门，经过清华学堂、荷塘月色、近春园等景点，在研学辅导员的带领下认识清北风貌和清北精神。</w:t>
            </w:r>
          </w:p>
          <w:p>
            <w:pPr>
              <w:snapToGrid w:val="0"/>
              <w:spacing w:line="360" w:lineRule="exact"/>
              <w:rPr>
                <w:rFonts w:hint="eastAsia" w:ascii="宋体" w:hAnsi="宋体" w:eastAsia="宋体" w:cs="宋体"/>
                <w:b/>
                <w:sz w:val="22"/>
              </w:rPr>
            </w:pPr>
            <w:r>
              <w:rPr>
                <w:rFonts w:hint="eastAsia" w:ascii="宋体" w:hAnsi="宋体" w:eastAsia="宋体" w:cs="宋体"/>
                <w:b/>
                <w:sz w:val="22"/>
              </w:rPr>
              <w:t>研学任务:</w:t>
            </w:r>
          </w:p>
          <w:p>
            <w:pPr>
              <w:numPr>
                <w:ilvl w:val="0"/>
                <w:numId w:val="7"/>
              </w:numPr>
              <w:snapToGrid w:val="0"/>
              <w:spacing w:line="360" w:lineRule="exact"/>
              <w:rPr>
                <w:rFonts w:hint="eastAsia" w:ascii="宋体" w:hAnsi="宋体" w:eastAsia="宋体" w:cs="宋体"/>
                <w:sz w:val="22"/>
              </w:rPr>
            </w:pPr>
            <w:r>
              <w:rPr>
                <w:rFonts w:hint="eastAsia" w:ascii="宋体" w:hAnsi="宋体" w:eastAsia="宋体" w:cs="宋体"/>
                <w:sz w:val="22"/>
              </w:rPr>
              <w:t>了解清华或北京大学的建造历史背景；</w:t>
            </w:r>
          </w:p>
          <w:p>
            <w:pPr>
              <w:numPr>
                <w:ilvl w:val="0"/>
                <w:numId w:val="7"/>
              </w:numPr>
              <w:snapToGrid w:val="0"/>
              <w:spacing w:line="360" w:lineRule="exact"/>
              <w:ind w:left="0" w:leftChars="0" w:firstLine="0" w:firstLineChars="0"/>
              <w:rPr>
                <w:rFonts w:hint="eastAsia" w:ascii="宋体" w:hAnsi="宋体" w:eastAsia="宋体" w:cs="宋体"/>
                <w:sz w:val="22"/>
              </w:rPr>
            </w:pPr>
            <w:r>
              <w:rPr>
                <w:rFonts w:hint="eastAsia" w:ascii="宋体" w:hAnsi="宋体" w:eastAsia="宋体" w:cs="宋体"/>
                <w:sz w:val="22"/>
              </w:rPr>
              <w:t>讨论理想的大学，树立自己的大学梦。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380" w:type="dxa"/>
            <w:vMerge w:val="continue"/>
            <w:tcBorders>
              <w:left w:val="single" w:color="000000" w:sz="4" w:space="0"/>
              <w:right w:val="single" w:color="000000" w:sz="4" w:space="0"/>
            </w:tcBorders>
            <w:noWrap w:val="0"/>
            <w:vAlign w:val="center"/>
          </w:tcPr>
          <w:p>
            <w:pPr>
              <w:spacing w:line="360" w:lineRule="exact"/>
              <w:rPr>
                <w:rFonts w:hint="eastAsia" w:ascii="宋体" w:hAnsi="宋体" w:eastAsia="宋体" w:cs="宋体"/>
                <w:b/>
                <w:bCs/>
                <w:sz w:val="22"/>
              </w:rPr>
            </w:pPr>
          </w:p>
        </w:tc>
        <w:tc>
          <w:tcPr>
            <w:tcW w:w="825" w:type="dxa"/>
            <w:vMerge w:val="continue"/>
            <w:tcBorders>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napToGrid w:val="0"/>
              <w:spacing w:line="360" w:lineRule="exact"/>
              <w:ind w:left="0" w:leftChars="0" w:firstLine="0" w:firstLineChars="0"/>
              <w:jc w:val="center"/>
              <w:rPr>
                <w:rFonts w:hint="eastAsia" w:ascii="宋体" w:hAnsi="宋体" w:eastAsia="宋体" w:cs="宋体"/>
                <w:sz w:val="22"/>
                <w:highlight w:val="none"/>
              </w:rPr>
            </w:pPr>
            <w:r>
              <w:rPr>
                <w:rFonts w:hint="eastAsia" w:ascii="宋体" w:hAnsi="宋体" w:eastAsia="宋体" w:cs="宋体"/>
                <w:sz w:val="22"/>
                <w:highlight w:val="none"/>
                <w:lang w:val="en-US" w:eastAsia="zh-CN"/>
              </w:rPr>
              <w:t>圆明园（大水法）</w:t>
            </w:r>
          </w:p>
        </w:tc>
        <w:tc>
          <w:tcPr>
            <w:tcW w:w="6191" w:type="dxa"/>
            <w:tcBorders>
              <w:left w:val="single" w:color="000000" w:sz="4" w:space="0"/>
              <w:right w:val="single" w:color="000000" w:sz="4" w:space="0"/>
            </w:tcBorders>
            <w:noWrap w:val="0"/>
            <w:vAlign w:val="center"/>
          </w:tcPr>
          <w:p>
            <w:pPr>
              <w:spacing w:line="360" w:lineRule="exact"/>
              <w:rPr>
                <w:rFonts w:hint="eastAsia" w:ascii="宋体" w:hAnsi="宋体" w:eastAsia="宋体" w:cs="宋体"/>
                <w:sz w:val="22"/>
                <w:szCs w:val="21"/>
              </w:rPr>
            </w:pPr>
            <w:r>
              <w:rPr>
                <w:rFonts w:hint="eastAsia" w:ascii="宋体" w:hAnsi="宋体" w:eastAsia="宋体" w:cs="宋体"/>
                <w:b/>
                <w:sz w:val="22"/>
                <w:szCs w:val="21"/>
              </w:rPr>
              <w:t>研学目标：</w:t>
            </w:r>
            <w:r>
              <w:rPr>
                <w:rFonts w:hint="eastAsia" w:ascii="宋体" w:hAnsi="宋体" w:eastAsia="宋体" w:cs="宋体"/>
                <w:sz w:val="22"/>
                <w:szCs w:val="21"/>
              </w:rPr>
              <w:t>民族建筑、民族文化、历史人文</w:t>
            </w:r>
          </w:p>
          <w:p>
            <w:pPr>
              <w:numPr>
                <w:ilvl w:val="0"/>
                <w:numId w:val="0"/>
              </w:numPr>
              <w:snapToGrid w:val="0"/>
              <w:spacing w:line="360" w:lineRule="exact"/>
              <w:ind w:left="0" w:leftChars="0" w:firstLine="0" w:firstLineChars="0"/>
              <w:rPr>
                <w:rFonts w:hint="eastAsia" w:ascii="宋体" w:hAnsi="宋体" w:eastAsia="宋体" w:cs="宋体"/>
                <w:sz w:val="22"/>
              </w:rPr>
            </w:pPr>
            <w:r>
              <w:rPr>
                <w:rFonts w:hint="eastAsia" w:ascii="宋体" w:hAnsi="宋体" w:eastAsia="宋体" w:cs="宋体"/>
                <w:b/>
                <w:sz w:val="22"/>
                <w:szCs w:val="21"/>
              </w:rPr>
              <w:t>研学内容：</w:t>
            </w:r>
            <w:r>
              <w:rPr>
                <w:rFonts w:hint="eastAsia" w:ascii="宋体" w:hAnsi="宋体" w:eastAsia="宋体" w:cs="宋体"/>
                <w:sz w:val="22"/>
                <w:szCs w:val="21"/>
              </w:rPr>
              <w:t xml:space="preserve">通过参观中华民族园南北两园36个民族村寨、 </w:t>
            </w: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"https://baike.so.com/doc/5867136-6079986.html" </w:instrText>
            </w:r>
            <w:r>
              <w:rPr>
                <w:rFonts w:hint="eastAsia" w:ascii="宋体" w:hAnsi="宋体" w:eastAsia="宋体" w:cs="宋体"/>
                <w:sz w:val="22"/>
                <w:szCs w:val="21"/>
              </w:rPr>
              <w:fldChar w:fldCharType="separate"/>
            </w:r>
            <w:r>
              <w:rPr>
                <w:rFonts w:hint="eastAsia" w:ascii="宋体" w:hAnsi="宋体" w:eastAsia="宋体" w:cs="宋体"/>
                <w:sz w:val="22"/>
                <w:szCs w:val="21"/>
              </w:rPr>
              <w:t>民族博物馆</w:t>
            </w:r>
            <w:r>
              <w:rPr>
                <w:rFonts w:hint="eastAsia" w:ascii="宋体" w:hAnsi="宋体" w:eastAsia="宋体" w:cs="宋体"/>
                <w:sz w:val="22"/>
                <w:szCs w:val="21"/>
              </w:rPr>
              <w:fldChar w:fldCharType="end"/>
            </w:r>
            <w:r>
              <w:rPr>
                <w:rFonts w:hint="eastAsia" w:ascii="宋体" w:hAnsi="宋体" w:eastAsia="宋体" w:cs="宋体"/>
                <w:sz w:val="22"/>
                <w:szCs w:val="21"/>
              </w:rPr>
              <w:t xml:space="preserve">、民族展览馆、雕塑广场以及若干自然景观，了解各民族文化传统，增强青少年爱我中华的民族意识，促进其对民族文化的认知。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1380" w:type="dxa"/>
            <w:vMerge w:val="restart"/>
            <w:tcBorders>
              <w:top w:val="single" w:color="000000" w:sz="4" w:space="0"/>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第</w:t>
            </w:r>
            <w:r>
              <w:rPr>
                <w:rFonts w:hint="eastAsia" w:ascii="宋体" w:hAnsi="宋体" w:eastAsia="宋体" w:cs="宋体"/>
                <w:b/>
                <w:bCs/>
                <w:sz w:val="22"/>
                <w:lang w:val="en-US" w:eastAsia="zh-CN"/>
              </w:rPr>
              <w:t>五</w:t>
            </w:r>
            <w:r>
              <w:rPr>
                <w:rFonts w:hint="eastAsia" w:ascii="宋体" w:hAnsi="宋体" w:eastAsia="宋体" w:cs="宋体"/>
                <w:b/>
                <w:bCs/>
                <w:sz w:val="22"/>
              </w:rPr>
              <w:t>天</w:t>
            </w:r>
          </w:p>
        </w:tc>
        <w:tc>
          <w:tcPr>
            <w:tcW w:w="825" w:type="dxa"/>
            <w:tcBorders>
              <w:top w:val="single" w:color="000000" w:sz="4" w:space="0"/>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上午</w:t>
            </w:r>
          </w:p>
        </w:tc>
        <w:tc>
          <w:tcPr>
            <w:tcW w:w="1320"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highlight w:val="none"/>
                <w:lang w:val="en-US" w:eastAsia="zh-CN"/>
              </w:rPr>
            </w:pPr>
            <w:r>
              <w:rPr>
                <w:rFonts w:hint="eastAsia" w:ascii="宋体" w:hAnsi="宋体" w:eastAsia="宋体" w:cs="宋体"/>
                <w:sz w:val="22"/>
                <w:szCs w:val="21"/>
                <w:highlight w:val="none"/>
                <w:lang w:val="en-US" w:eastAsia="zh-CN"/>
              </w:rPr>
              <w:t>抗日战争纪念馆&amp;卢沟桥</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rPr>
                <w:rFonts w:hint="eastAsia" w:ascii="宋体" w:hAnsi="宋体" w:eastAsia="宋体" w:cs="宋体"/>
                <w:sz w:val="22"/>
              </w:rPr>
            </w:pPr>
            <w:r>
              <w:rPr>
                <w:rFonts w:hint="eastAsia" w:ascii="宋体" w:hAnsi="宋体" w:eastAsia="宋体" w:cs="宋体"/>
                <w:b/>
                <w:bCs/>
                <w:sz w:val="22"/>
              </w:rPr>
              <w:t>研学目标：</w:t>
            </w:r>
            <w:r>
              <w:rPr>
                <w:rFonts w:hint="eastAsia" w:ascii="宋体" w:hAnsi="宋体" w:eastAsia="宋体" w:cs="宋体"/>
                <w:sz w:val="22"/>
              </w:rPr>
              <w:t>责任担当、爱国情怀</w:t>
            </w:r>
          </w:p>
          <w:p>
            <w:pPr>
              <w:spacing w:line="360" w:lineRule="exact"/>
              <w:rPr>
                <w:rFonts w:hint="eastAsia" w:ascii="宋体" w:hAnsi="宋体" w:eastAsia="宋体" w:cs="宋体"/>
                <w:sz w:val="22"/>
              </w:rPr>
            </w:pPr>
            <w:r>
              <w:rPr>
                <w:rFonts w:hint="eastAsia" w:ascii="宋体" w:hAnsi="宋体" w:eastAsia="宋体" w:cs="宋体"/>
                <w:b/>
                <w:bCs/>
                <w:sz w:val="22"/>
              </w:rPr>
              <w:t>研学内容：</w:t>
            </w:r>
            <w:r>
              <w:rPr>
                <w:rFonts w:hint="eastAsia" w:ascii="宋体" w:hAnsi="宋体" w:eastAsia="宋体" w:cs="宋体"/>
                <w:sz w:val="22"/>
              </w:rPr>
              <w:t>通过对抗战和卢沟桥的参观并组织开展宣誓仪式主题教育课题活动，了解中国曾经的苦难史，深刻体会和平的来之不易，激发同学的爱国之情。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380" w:type="dxa"/>
            <w:vMerge w:val="continue"/>
            <w:tcBorders>
              <w:left w:val="single" w:color="000000" w:sz="4" w:space="0"/>
              <w:right w:val="single" w:color="000000" w:sz="4" w:space="0"/>
            </w:tcBorders>
            <w:noWrap w:val="0"/>
            <w:vAlign w:val="center"/>
          </w:tcPr>
          <w:p>
            <w:pPr>
              <w:spacing w:line="360" w:lineRule="exact"/>
              <w:rPr>
                <w:rFonts w:hint="eastAsia" w:ascii="宋体" w:hAnsi="宋体" w:eastAsia="宋体" w:cs="宋体"/>
                <w:b/>
                <w:bCs/>
                <w:sz w:val="22"/>
              </w:rPr>
            </w:pPr>
          </w:p>
        </w:tc>
        <w:tc>
          <w:tcPr>
            <w:tcW w:w="825"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下午</w:t>
            </w:r>
          </w:p>
        </w:tc>
        <w:tc>
          <w:tcPr>
            <w:tcW w:w="1320"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highlight w:val="none"/>
              </w:rPr>
            </w:pPr>
            <w:r>
              <w:rPr>
                <w:rFonts w:hint="eastAsia" w:ascii="宋体" w:hAnsi="宋体" w:eastAsia="宋体" w:cs="宋体"/>
                <w:sz w:val="22"/>
                <w:szCs w:val="21"/>
                <w:highlight w:val="none"/>
                <w:lang w:val="en-US" w:eastAsia="zh-CN"/>
              </w:rPr>
              <w:t>八达岭</w:t>
            </w:r>
            <w:r>
              <w:rPr>
                <w:rFonts w:hint="eastAsia" w:ascii="宋体" w:hAnsi="宋体" w:eastAsia="宋体" w:cs="宋体"/>
                <w:sz w:val="22"/>
                <w:szCs w:val="21"/>
                <w:highlight w:val="none"/>
              </w:rPr>
              <w:t>长城</w:t>
            </w:r>
          </w:p>
        </w:tc>
        <w:tc>
          <w:tcPr>
            <w:tcW w:w="6191"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rPr>
                <w:rFonts w:hint="eastAsia" w:ascii="宋体" w:hAnsi="宋体" w:eastAsia="宋体" w:cs="宋体"/>
                <w:sz w:val="22"/>
                <w:szCs w:val="21"/>
              </w:rPr>
            </w:pPr>
            <w:r>
              <w:rPr>
                <w:rFonts w:hint="eastAsia" w:ascii="宋体" w:hAnsi="宋体" w:eastAsia="宋体" w:cs="宋体"/>
                <w:b/>
                <w:bCs/>
                <w:sz w:val="22"/>
                <w:szCs w:val="21"/>
              </w:rPr>
              <w:t>研学目标：</w:t>
            </w:r>
            <w:r>
              <w:rPr>
                <w:rFonts w:hint="eastAsia" w:ascii="宋体" w:hAnsi="宋体" w:eastAsia="宋体" w:cs="宋体"/>
                <w:sz w:val="22"/>
                <w:szCs w:val="21"/>
              </w:rPr>
              <w:t>责任担当、团队协作</w:t>
            </w:r>
          </w:p>
          <w:p>
            <w:pPr>
              <w:spacing w:line="360" w:lineRule="exact"/>
              <w:rPr>
                <w:rFonts w:hint="eastAsia" w:ascii="宋体" w:hAnsi="宋体" w:eastAsia="宋体" w:cs="宋体"/>
                <w:sz w:val="22"/>
                <w:szCs w:val="21"/>
              </w:rPr>
            </w:pPr>
            <w:r>
              <w:rPr>
                <w:rFonts w:hint="eastAsia" w:ascii="宋体" w:hAnsi="宋体" w:eastAsia="宋体" w:cs="宋体"/>
                <w:b/>
                <w:bCs/>
                <w:sz w:val="22"/>
                <w:szCs w:val="21"/>
              </w:rPr>
              <w:t>研学内容：</w:t>
            </w:r>
            <w:r>
              <w:rPr>
                <w:rFonts w:hint="eastAsia" w:ascii="宋体" w:hAnsi="宋体" w:eastAsia="宋体" w:cs="宋体"/>
                <w:sz w:val="22"/>
                <w:szCs w:val="21"/>
              </w:rPr>
              <w:t>勇攀</w:t>
            </w:r>
            <w:r>
              <w:rPr>
                <w:rFonts w:hint="eastAsia" w:ascii="宋体" w:hAnsi="宋体" w:eastAsia="宋体" w:cs="宋体"/>
                <w:sz w:val="22"/>
                <w:szCs w:val="21"/>
                <w:lang w:val="en-US" w:eastAsia="zh-CN"/>
              </w:rPr>
              <w:t>八达岭</w:t>
            </w:r>
            <w:r>
              <w:rPr>
                <w:rFonts w:hint="eastAsia" w:ascii="宋体" w:hAnsi="宋体" w:eastAsia="宋体" w:cs="宋体"/>
                <w:sz w:val="22"/>
                <w:szCs w:val="21"/>
              </w:rPr>
              <w:t>长城，在研学辅导员的引导下，缓坡攀爬，分小组比赛，挑战战胜困难的好汉精神，体验“不到长城非好汉”的豪情，朗诵《少年中国说》或主题签名等课程活动。</w:t>
            </w:r>
          </w:p>
          <w:p>
            <w:pPr>
              <w:spacing w:line="360" w:lineRule="exact"/>
              <w:rPr>
                <w:rFonts w:hint="eastAsia" w:ascii="宋体" w:hAnsi="宋体" w:eastAsia="宋体" w:cs="宋体"/>
                <w:b/>
                <w:bCs/>
                <w:sz w:val="22"/>
              </w:rPr>
            </w:pPr>
            <w:r>
              <w:rPr>
                <w:rFonts w:hint="eastAsia" w:ascii="宋体" w:hAnsi="宋体" w:eastAsia="宋体" w:cs="宋体"/>
                <w:b/>
                <w:bCs/>
                <w:sz w:val="22"/>
                <w:szCs w:val="21"/>
              </w:rPr>
              <w:t>研学任务：</w:t>
            </w:r>
            <w:r>
              <w:rPr>
                <w:rFonts w:hint="eastAsia" w:ascii="宋体" w:hAnsi="宋体" w:eastAsia="宋体" w:cs="宋体"/>
                <w:sz w:val="22"/>
                <w:szCs w:val="21"/>
              </w:rPr>
              <w:t>1.分辨长城垛口、瞭望口、烽火台、射口的位置和功能；2.了解长城在我国古代军事中的重要作用。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380" w:type="dxa"/>
            <w:vMerge w:val="restart"/>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第</w:t>
            </w:r>
            <w:r>
              <w:rPr>
                <w:rFonts w:hint="eastAsia" w:ascii="宋体" w:hAnsi="宋体" w:eastAsia="宋体" w:cs="宋体"/>
                <w:b/>
                <w:bCs/>
                <w:sz w:val="22"/>
                <w:lang w:val="en-US" w:eastAsia="zh-CN"/>
              </w:rPr>
              <w:t>六</w:t>
            </w:r>
            <w:r>
              <w:rPr>
                <w:rFonts w:hint="eastAsia" w:ascii="宋体" w:hAnsi="宋体" w:eastAsia="宋体" w:cs="宋体"/>
                <w:b/>
                <w:bCs/>
                <w:sz w:val="22"/>
              </w:rPr>
              <w:t>天</w:t>
            </w:r>
          </w:p>
        </w:tc>
        <w:tc>
          <w:tcPr>
            <w:tcW w:w="825" w:type="dxa"/>
            <w:tcBorders>
              <w:top w:val="single" w:color="auto" w:sz="4" w:space="0"/>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上午</w:t>
            </w:r>
          </w:p>
        </w:tc>
        <w:tc>
          <w:tcPr>
            <w:tcW w:w="1320"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highlight w:val="none"/>
                <w:lang w:val="en-US" w:eastAsia="zh-CN"/>
              </w:rPr>
            </w:pPr>
            <w:r>
              <w:rPr>
                <w:rFonts w:hint="eastAsia" w:ascii="宋体" w:hAnsi="宋体" w:eastAsia="宋体" w:cs="宋体"/>
                <w:sz w:val="22"/>
                <w:highlight w:val="none"/>
              </w:rPr>
              <w:t>中国科技馆</w:t>
            </w:r>
            <w:r>
              <w:rPr>
                <w:rFonts w:hint="eastAsia" w:ascii="宋体" w:hAnsi="宋体" w:eastAsia="宋体" w:cs="宋体"/>
                <w:sz w:val="22"/>
                <w:highlight w:val="none"/>
                <w:lang w:val="en-US" w:eastAsia="zh-CN"/>
              </w:rPr>
              <w:t>(球幕影院、巨幕影院)&amp;中国党史馆</w:t>
            </w:r>
          </w:p>
        </w:tc>
        <w:tc>
          <w:tcPr>
            <w:tcW w:w="6191"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rPr>
                <w:rFonts w:hint="eastAsia" w:ascii="宋体" w:hAnsi="宋体" w:eastAsia="宋体" w:cs="宋体"/>
                <w:sz w:val="22"/>
              </w:rPr>
            </w:pPr>
            <w:r>
              <w:rPr>
                <w:rFonts w:hint="eastAsia" w:ascii="宋体" w:hAnsi="宋体" w:eastAsia="宋体" w:cs="宋体"/>
                <w:b/>
                <w:bCs/>
                <w:sz w:val="22"/>
              </w:rPr>
              <w:t>研学目标：</w:t>
            </w:r>
            <w:r>
              <w:rPr>
                <w:rFonts w:hint="eastAsia" w:ascii="宋体" w:hAnsi="宋体" w:eastAsia="宋体" w:cs="宋体"/>
                <w:sz w:val="22"/>
              </w:rPr>
              <w:t>科学精神、勇于探究</w:t>
            </w:r>
          </w:p>
          <w:p>
            <w:pPr>
              <w:spacing w:line="360" w:lineRule="exact"/>
              <w:rPr>
                <w:rFonts w:hint="eastAsia" w:ascii="宋体" w:hAnsi="宋体" w:eastAsia="宋体" w:cs="宋体"/>
                <w:sz w:val="22"/>
              </w:rPr>
            </w:pPr>
            <w:r>
              <w:rPr>
                <w:rFonts w:hint="eastAsia" w:ascii="宋体" w:hAnsi="宋体" w:eastAsia="宋体" w:cs="宋体"/>
                <w:b/>
                <w:bCs/>
                <w:sz w:val="22"/>
              </w:rPr>
              <w:t>研学内容：</w:t>
            </w:r>
            <w:r>
              <w:rPr>
                <w:rFonts w:hint="eastAsia" w:ascii="宋体" w:hAnsi="宋体" w:eastAsia="宋体" w:cs="宋体"/>
                <w:sz w:val="22"/>
                <w:lang w:val="en-US" w:eastAsia="zh-CN"/>
              </w:rPr>
              <w:t>带领学生进入球幕影院、巨幕影院</w:t>
            </w:r>
            <w:r>
              <w:rPr>
                <w:rFonts w:hint="eastAsia" w:ascii="宋体" w:hAnsi="宋体" w:eastAsia="宋体" w:cs="宋体"/>
                <w:sz w:val="22"/>
                <w:highlight w:val="none"/>
                <w:lang w:val="en-US" w:eastAsia="zh-CN"/>
              </w:rPr>
              <w:t>，</w:t>
            </w:r>
            <w:r>
              <w:rPr>
                <w:rFonts w:hint="eastAsia" w:ascii="宋体" w:hAnsi="宋体" w:eastAsia="宋体" w:cs="宋体"/>
                <w:sz w:val="22"/>
              </w:rPr>
              <w:t>体验中国科学技术馆内科技项目，通过参观学习、动手体验，引导营员在实践中深入理解、应用所学知识，培养营员勇于探究的精神，提升营员的科学素养。要求学生仔细观察并描述出自己感兴趣的科技项目的特点及原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825"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下午</w:t>
            </w:r>
          </w:p>
        </w:tc>
        <w:tc>
          <w:tcPr>
            <w:tcW w:w="1320"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highlight w:val="none"/>
              </w:rPr>
            </w:pPr>
            <w:r>
              <w:rPr>
                <w:rFonts w:hint="eastAsia" w:ascii="宋体" w:hAnsi="宋体" w:eastAsia="宋体" w:cs="宋体"/>
                <w:sz w:val="22"/>
                <w:highlight w:val="none"/>
              </w:rPr>
              <w:t>奥林匹克</w:t>
            </w:r>
          </w:p>
          <w:p>
            <w:pPr>
              <w:spacing w:line="360" w:lineRule="exact"/>
              <w:jc w:val="center"/>
              <w:rPr>
                <w:rFonts w:hint="eastAsia" w:ascii="宋体" w:hAnsi="宋体" w:eastAsia="宋体" w:cs="宋体"/>
                <w:sz w:val="22"/>
                <w:highlight w:val="none"/>
                <w:lang w:val="en-US" w:eastAsia="zh-CN"/>
              </w:rPr>
            </w:pPr>
            <w:r>
              <w:rPr>
                <w:rFonts w:hint="eastAsia" w:ascii="宋体" w:hAnsi="宋体" w:eastAsia="宋体" w:cs="宋体"/>
                <w:sz w:val="22"/>
                <w:highlight w:val="none"/>
              </w:rPr>
              <w:t>公园</w:t>
            </w: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进入鸟巢、水立方</w:t>
            </w:r>
            <w:r>
              <w:rPr>
                <w:rFonts w:hint="eastAsia" w:ascii="宋体" w:hAnsi="宋体" w:eastAsia="宋体" w:cs="宋体"/>
                <w:sz w:val="22"/>
                <w:highlight w:val="none"/>
                <w:lang w:eastAsia="zh-CN"/>
              </w:rPr>
              <w:t>）</w:t>
            </w:r>
          </w:p>
        </w:tc>
        <w:tc>
          <w:tcPr>
            <w:tcW w:w="6191"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rPr>
                <w:rFonts w:hint="eastAsia" w:ascii="宋体" w:hAnsi="宋体" w:eastAsia="宋体" w:cs="宋体"/>
                <w:sz w:val="22"/>
              </w:rPr>
            </w:pPr>
            <w:r>
              <w:rPr>
                <w:rFonts w:hint="eastAsia" w:ascii="宋体" w:hAnsi="宋体" w:eastAsia="宋体" w:cs="宋体"/>
                <w:b/>
                <w:bCs/>
                <w:sz w:val="22"/>
              </w:rPr>
              <w:t>研学目标：</w:t>
            </w:r>
            <w:r>
              <w:rPr>
                <w:rFonts w:hint="eastAsia" w:ascii="宋体" w:hAnsi="宋体" w:eastAsia="宋体" w:cs="宋体"/>
                <w:sz w:val="22"/>
              </w:rPr>
              <w:t>国家认同、国际理解</w:t>
            </w:r>
          </w:p>
          <w:p>
            <w:pPr>
              <w:spacing w:line="360" w:lineRule="exact"/>
              <w:rPr>
                <w:rFonts w:hint="eastAsia" w:ascii="宋体" w:hAnsi="宋体" w:eastAsia="宋体" w:cs="宋体"/>
                <w:b/>
                <w:bCs/>
                <w:sz w:val="22"/>
                <w:lang w:eastAsia="zh-CN"/>
              </w:rPr>
            </w:pPr>
            <w:r>
              <w:rPr>
                <w:rFonts w:hint="eastAsia" w:ascii="宋体" w:hAnsi="宋体" w:eastAsia="宋体" w:cs="宋体"/>
                <w:b/>
                <w:bCs/>
                <w:sz w:val="22"/>
              </w:rPr>
              <w:t>研学内容：</w:t>
            </w:r>
            <w:r>
              <w:rPr>
                <w:rFonts w:hint="eastAsia" w:ascii="宋体" w:hAnsi="宋体" w:eastAsia="宋体" w:cs="宋体"/>
                <w:sz w:val="22"/>
              </w:rPr>
              <w:t>走进奥林匹克公园，参观鸟巢、水立方，重温奥运盛况，合影拍照留念，学习奥运知识和文化，激发同学们文化自信，树立大国自豪感。建议学生们提前了解奥运会的由来及精彩片段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825"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b/>
                <w:bCs/>
                <w:sz w:val="22"/>
                <w:lang w:val="en-US" w:eastAsia="zh-CN"/>
              </w:rPr>
            </w:pPr>
            <w:r>
              <w:rPr>
                <w:rFonts w:hint="eastAsia" w:ascii="宋体" w:hAnsi="宋体" w:eastAsia="宋体" w:cs="宋体"/>
                <w:b/>
                <w:bCs/>
                <w:sz w:val="22"/>
                <w:lang w:val="en-US" w:eastAsia="zh-CN"/>
              </w:rPr>
              <w:t>晚上</w:t>
            </w:r>
          </w:p>
        </w:tc>
        <w:tc>
          <w:tcPr>
            <w:tcW w:w="1320"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团建</w:t>
            </w:r>
          </w:p>
        </w:tc>
        <w:tc>
          <w:tcPr>
            <w:tcW w:w="6191"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rPr>
                <w:rFonts w:hint="eastAsia" w:ascii="宋体" w:hAnsi="宋体" w:eastAsia="宋体" w:cs="宋体"/>
                <w:b/>
                <w:bCs/>
                <w:sz w:val="22"/>
                <w:lang w:val="en-US" w:eastAsia="zh-CN"/>
              </w:rPr>
            </w:pPr>
            <w:r>
              <w:rPr>
                <w:rFonts w:hint="eastAsia" w:ascii="宋体" w:hAnsi="宋体" w:eastAsia="宋体" w:cs="宋体"/>
                <w:sz w:val="22"/>
                <w:lang w:val="en-US" w:eastAsia="zh-CN"/>
              </w:rPr>
              <w:t>经过这段时间的研学活动，值此炎炎夏日的滋长季节。让我们团坐在一起享受美食、无限畅谈。增进同学之间的情谊，增强团队凝聚力。一张一弛，大家在一起轻松一翻，休息一翻，以更加饱满的精神投入到接下来的研学任务中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80" w:type="dxa"/>
            <w:vMerge w:val="restart"/>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第</w:t>
            </w:r>
            <w:r>
              <w:rPr>
                <w:rFonts w:hint="eastAsia" w:ascii="宋体" w:hAnsi="宋体" w:eastAsia="宋体" w:cs="宋体"/>
                <w:b/>
                <w:bCs/>
                <w:sz w:val="22"/>
                <w:lang w:val="en-US" w:eastAsia="zh-CN"/>
              </w:rPr>
              <w:t>七</w:t>
            </w:r>
            <w:r>
              <w:rPr>
                <w:rFonts w:hint="eastAsia" w:ascii="宋体" w:hAnsi="宋体" w:eastAsia="宋体" w:cs="宋体"/>
                <w:b/>
                <w:bCs/>
                <w:sz w:val="22"/>
              </w:rPr>
              <w:t>天</w:t>
            </w:r>
          </w:p>
        </w:tc>
        <w:tc>
          <w:tcPr>
            <w:tcW w:w="825" w:type="dxa"/>
            <w:vMerge w:val="restart"/>
            <w:tcBorders>
              <w:top w:val="single" w:color="auto" w:sz="4" w:space="0"/>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上午</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恭王府&amp;后海&amp;南锣鼓巷</w:t>
            </w:r>
          </w:p>
        </w:tc>
        <w:tc>
          <w:tcPr>
            <w:tcW w:w="6191" w:type="dxa"/>
            <w:tcBorders>
              <w:top w:val="single" w:color="000000" w:sz="4" w:space="0"/>
              <w:left w:val="nil"/>
              <w:bottom w:val="single" w:color="000000" w:sz="4" w:space="0"/>
              <w:right w:val="single" w:color="000000" w:sz="4" w:space="0"/>
            </w:tcBorders>
            <w:noWrap w:val="0"/>
            <w:vAlign w:val="center"/>
          </w:tcPr>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b/>
                <w:bCs/>
                <w:sz w:val="22"/>
                <w:szCs w:val="21"/>
                <w:lang w:val="en-US" w:eastAsia="zh-CN"/>
              </w:rPr>
              <w:t>研学目标：</w:t>
            </w:r>
            <w:r>
              <w:rPr>
                <w:rFonts w:hint="eastAsia" w:ascii="宋体" w:hAnsi="宋体" w:eastAsia="宋体" w:cs="宋体"/>
                <w:sz w:val="22"/>
                <w:szCs w:val="21"/>
                <w:lang w:val="en-US" w:eastAsia="zh-CN"/>
              </w:rPr>
              <w:t>探秘王府花园 解读清代历史</w:t>
            </w:r>
          </w:p>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b/>
                <w:bCs/>
                <w:sz w:val="22"/>
                <w:szCs w:val="21"/>
                <w:lang w:val="en-US" w:eastAsia="zh-CN"/>
              </w:rPr>
              <w:t>研学内容：</w:t>
            </w:r>
            <w:r>
              <w:rPr>
                <w:rFonts w:hint="eastAsia" w:ascii="宋体" w:hAnsi="宋体" w:eastAsia="宋体" w:cs="宋体"/>
                <w:sz w:val="22"/>
                <w:szCs w:val="21"/>
                <w:lang w:val="en-US" w:eastAsia="zh-CN"/>
              </w:rPr>
              <w:t>参观恭王府，了解王府的建造历史、居住的三代主人，观察王府结构，欣赏花园景观，从王府的历史文化中解读清王朝由鼎盛至衰亡的过程。</w:t>
            </w:r>
          </w:p>
          <w:p>
            <w:pPr>
              <w:snapToGrid w:val="0"/>
              <w:spacing w:line="360" w:lineRule="exact"/>
              <w:rPr>
                <w:rFonts w:hint="eastAsia" w:ascii="宋体" w:hAnsi="宋体" w:eastAsia="宋体" w:cs="宋体"/>
                <w:b/>
                <w:bCs/>
                <w:sz w:val="22"/>
                <w:szCs w:val="21"/>
                <w:lang w:val="en-US" w:eastAsia="zh-CN"/>
              </w:rPr>
            </w:pPr>
            <w:r>
              <w:rPr>
                <w:rFonts w:hint="eastAsia" w:ascii="宋体" w:hAnsi="宋体" w:eastAsia="宋体" w:cs="宋体"/>
                <w:b/>
                <w:bCs/>
                <w:sz w:val="22"/>
                <w:szCs w:val="21"/>
                <w:lang w:val="en-US" w:eastAsia="zh-CN"/>
              </w:rPr>
              <w:t>研学任务：</w:t>
            </w:r>
          </w:p>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1.简述和珅担任的职务；</w:t>
            </w:r>
          </w:p>
          <w:p>
            <w:pPr>
              <w:snapToGrid w:val="0"/>
              <w:spacing w:line="360" w:lineRule="exact"/>
              <w:rPr>
                <w:rFonts w:hint="eastAsia" w:ascii="宋体" w:hAnsi="宋体" w:eastAsia="宋体" w:cs="宋体"/>
                <w:sz w:val="22"/>
                <w:szCs w:val="21"/>
              </w:rPr>
            </w:pPr>
            <w:r>
              <w:rPr>
                <w:rFonts w:hint="eastAsia" w:ascii="宋体" w:hAnsi="宋体" w:eastAsia="宋体" w:cs="宋体"/>
                <w:sz w:val="22"/>
                <w:szCs w:val="21"/>
                <w:lang w:val="en-US" w:eastAsia="zh-CN"/>
              </w:rPr>
              <w:t>2.居住恭王府的三代主人分别是谁。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825" w:type="dxa"/>
            <w:vMerge w:val="continue"/>
            <w:tcBorders>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北京鼓楼</w:t>
            </w:r>
          </w:p>
        </w:tc>
        <w:tc>
          <w:tcPr>
            <w:tcW w:w="6191" w:type="dxa"/>
            <w:tcBorders>
              <w:top w:val="single" w:color="000000" w:sz="4" w:space="0"/>
              <w:left w:val="nil"/>
              <w:bottom w:val="single" w:color="000000" w:sz="4" w:space="0"/>
              <w:right w:val="single" w:color="000000" w:sz="4" w:space="0"/>
            </w:tcBorders>
            <w:noWrap w:val="0"/>
            <w:vAlign w:val="center"/>
          </w:tcPr>
          <w:p>
            <w:pPr>
              <w:snapToGrid w:val="0"/>
              <w:spacing w:line="360" w:lineRule="exact"/>
              <w:rPr>
                <w:rFonts w:hint="eastAsia" w:ascii="宋体" w:hAnsi="宋体" w:eastAsia="宋体" w:cs="宋体"/>
                <w:b w:val="0"/>
                <w:bCs w:val="0"/>
                <w:sz w:val="22"/>
                <w:szCs w:val="21"/>
              </w:rPr>
            </w:pPr>
            <w:r>
              <w:rPr>
                <w:rFonts w:hint="eastAsia" w:ascii="宋体" w:hAnsi="宋体" w:eastAsia="宋体" w:cs="宋体"/>
                <w:b/>
                <w:bCs/>
                <w:sz w:val="22"/>
                <w:szCs w:val="21"/>
              </w:rPr>
              <w:t>研学目标：</w:t>
            </w:r>
            <w:r>
              <w:rPr>
                <w:rFonts w:hint="eastAsia" w:ascii="宋体" w:hAnsi="宋体" w:eastAsia="宋体" w:cs="宋体"/>
                <w:b w:val="0"/>
                <w:bCs w:val="0"/>
                <w:sz w:val="22"/>
                <w:szCs w:val="21"/>
                <w:lang w:val="en-US" w:eastAsia="zh-CN"/>
              </w:rPr>
              <w:t>暮鼓晨钟 古人智慧</w:t>
            </w:r>
          </w:p>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b/>
                <w:bCs/>
                <w:sz w:val="22"/>
                <w:szCs w:val="21"/>
              </w:rPr>
              <w:t>研学内容：</w:t>
            </w:r>
            <w:r>
              <w:rPr>
                <w:rFonts w:hint="eastAsia" w:ascii="宋体" w:hAnsi="宋体" w:eastAsia="宋体" w:cs="宋体"/>
                <w:b w:val="0"/>
                <w:bCs w:val="0"/>
                <w:sz w:val="22"/>
                <w:szCs w:val="21"/>
                <w:lang w:val="en-US" w:eastAsia="zh-CN"/>
              </w:rPr>
              <w:t>了解北京钟鼓楼的在古代的司时作用，感叹于古人的智慧。从鼓楼上远眺北京城，左边是古代建筑，右边是现代CBD，感受古现代时空交错，历史变迁。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825"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下午</w:t>
            </w:r>
          </w:p>
        </w:tc>
        <w:tc>
          <w:tcPr>
            <w:tcW w:w="1320" w:type="dxa"/>
            <w:tcBorders>
              <w:top w:val="single" w:color="auto" w:sz="4" w:space="0"/>
              <w:left w:val="single" w:color="000000" w:sz="4" w:space="0"/>
              <w:bottom w:val="single" w:color="auto" w:sz="4" w:space="0"/>
              <w:right w:val="single" w:color="000000" w:sz="4" w:space="0"/>
            </w:tcBorders>
            <w:noWrap w:val="0"/>
            <w:vAlign w:val="center"/>
          </w:tcPr>
          <w:p>
            <w:pPr>
              <w:snapToGrid w:val="0"/>
              <w:spacing w:line="360" w:lineRule="exact"/>
              <w:jc w:val="center"/>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北海公园</w:t>
            </w:r>
          </w:p>
        </w:tc>
        <w:tc>
          <w:tcPr>
            <w:tcW w:w="6191" w:type="dxa"/>
            <w:tcBorders>
              <w:top w:val="single" w:color="auto" w:sz="4" w:space="0"/>
              <w:left w:val="single" w:color="000000" w:sz="4" w:space="0"/>
              <w:bottom w:val="single" w:color="auto" w:sz="4" w:space="0"/>
              <w:right w:val="single" w:color="000000" w:sz="4" w:space="0"/>
            </w:tcBorders>
            <w:noWrap w:val="0"/>
            <w:vAlign w:val="center"/>
          </w:tcPr>
          <w:p>
            <w:pPr>
              <w:snapToGrid w:val="0"/>
              <w:spacing w:line="360" w:lineRule="exact"/>
              <w:rPr>
                <w:rFonts w:hint="eastAsia" w:ascii="宋体" w:hAnsi="宋体" w:eastAsia="宋体" w:cs="宋体"/>
                <w:b w:val="0"/>
                <w:bCs w:val="0"/>
                <w:sz w:val="22"/>
                <w:szCs w:val="21"/>
                <w:lang w:val="en-US" w:eastAsia="zh-CN"/>
              </w:rPr>
            </w:pPr>
            <w:r>
              <w:rPr>
                <w:rFonts w:hint="eastAsia" w:ascii="宋体" w:hAnsi="宋体" w:eastAsia="宋体" w:cs="宋体"/>
                <w:b/>
                <w:bCs/>
                <w:sz w:val="22"/>
                <w:szCs w:val="21"/>
              </w:rPr>
              <w:t>研学目标：</w:t>
            </w:r>
            <w:r>
              <w:rPr>
                <w:rFonts w:hint="eastAsia" w:ascii="宋体" w:hAnsi="宋体" w:eastAsia="宋体" w:cs="宋体"/>
                <w:b w:val="0"/>
                <w:bCs w:val="0"/>
                <w:sz w:val="22"/>
                <w:szCs w:val="21"/>
                <w:lang w:val="en-US" w:eastAsia="zh-CN"/>
              </w:rPr>
              <w:t>设计理念 建筑风格</w:t>
            </w:r>
          </w:p>
          <w:p>
            <w:pPr>
              <w:snapToGrid w:val="0"/>
              <w:spacing w:line="360" w:lineRule="exact"/>
              <w:rPr>
                <w:rFonts w:hint="eastAsia" w:ascii="宋体" w:hAnsi="宋体" w:eastAsia="宋体" w:cs="宋体"/>
                <w:lang w:val="en-US" w:eastAsia="zh-CN"/>
              </w:rPr>
            </w:pPr>
            <w:r>
              <w:rPr>
                <w:rFonts w:hint="eastAsia" w:ascii="宋体" w:hAnsi="宋体" w:eastAsia="宋体" w:cs="宋体"/>
                <w:b/>
                <w:bCs/>
                <w:sz w:val="22"/>
                <w:szCs w:val="21"/>
                <w:lang w:val="en-US" w:eastAsia="zh-CN"/>
              </w:rPr>
              <w:t>研学内容：</w:t>
            </w:r>
            <w:r>
              <w:rPr>
                <w:rFonts w:hint="eastAsia" w:ascii="宋体" w:hAnsi="宋体" w:eastAsia="宋体" w:cs="宋体"/>
                <w:b w:val="0"/>
                <w:bCs w:val="0"/>
                <w:sz w:val="22"/>
                <w:szCs w:val="21"/>
                <w:lang w:val="en-US" w:eastAsia="zh-CN"/>
              </w:rPr>
              <w:t>了解这座经历了辽、金、元、明、清5个朝代逐渐修建而成的帝王宫苑，以及其不同凡响的设计理念和建筑风格。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80" w:type="dxa"/>
            <w:vMerge w:val="restart"/>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val="en-US" w:eastAsia="zh-CN"/>
              </w:rPr>
            </w:pPr>
            <w:r>
              <w:rPr>
                <w:rFonts w:hint="eastAsia" w:ascii="宋体" w:hAnsi="宋体" w:eastAsia="宋体" w:cs="宋体"/>
                <w:b/>
                <w:bCs/>
                <w:sz w:val="22"/>
                <w:lang w:val="en-US" w:eastAsia="zh-CN"/>
              </w:rPr>
              <w:t>第八天</w:t>
            </w:r>
          </w:p>
        </w:tc>
        <w:tc>
          <w:tcPr>
            <w:tcW w:w="825" w:type="dxa"/>
            <w:vMerge w:val="restart"/>
            <w:tcBorders>
              <w:top w:val="single" w:color="auto" w:sz="4" w:space="0"/>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上午</w:t>
            </w:r>
          </w:p>
        </w:tc>
        <w:tc>
          <w:tcPr>
            <w:tcW w:w="1320" w:type="dxa"/>
            <w:tcBorders>
              <w:top w:val="single" w:color="auto" w:sz="4" w:space="0"/>
              <w:left w:val="single" w:color="000000" w:sz="4" w:space="0"/>
              <w:right w:val="single" w:color="000000" w:sz="4" w:space="0"/>
            </w:tcBorders>
            <w:noWrap w:val="0"/>
            <w:vAlign w:val="center"/>
          </w:tcPr>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北京动物园</w:t>
            </w:r>
          </w:p>
        </w:tc>
        <w:tc>
          <w:tcPr>
            <w:tcW w:w="6191" w:type="dxa"/>
            <w:tcBorders>
              <w:top w:val="single" w:color="auto" w:sz="4" w:space="0"/>
              <w:left w:val="single" w:color="000000" w:sz="4" w:space="0"/>
              <w:bottom w:val="single" w:color="auto" w:sz="4" w:space="0"/>
              <w:right w:val="single" w:color="000000" w:sz="4" w:space="0"/>
            </w:tcBorders>
            <w:noWrap w:val="0"/>
            <w:vAlign w:val="center"/>
          </w:tcPr>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b/>
                <w:bCs/>
                <w:sz w:val="22"/>
                <w:szCs w:val="21"/>
                <w:lang w:val="en-US" w:eastAsia="zh-CN"/>
              </w:rPr>
              <w:t>研学目标：</w:t>
            </w:r>
            <w:r>
              <w:rPr>
                <w:rFonts w:hint="eastAsia" w:ascii="宋体" w:hAnsi="宋体" w:eastAsia="宋体" w:cs="宋体"/>
                <w:sz w:val="22"/>
                <w:szCs w:val="21"/>
                <w:lang w:val="en-US" w:eastAsia="zh-CN"/>
              </w:rPr>
              <w:t>动物认知 环境保护</w:t>
            </w:r>
          </w:p>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b/>
                <w:bCs/>
                <w:sz w:val="22"/>
                <w:szCs w:val="21"/>
                <w:lang w:val="en-US" w:eastAsia="zh-CN"/>
              </w:rPr>
              <w:t>研学内容：</w:t>
            </w:r>
            <w:r>
              <w:rPr>
                <w:rFonts w:hint="eastAsia" w:ascii="宋体" w:hAnsi="宋体" w:eastAsia="宋体" w:cs="宋体"/>
                <w:sz w:val="22"/>
                <w:szCs w:val="21"/>
                <w:lang w:val="en-US" w:eastAsia="zh-CN"/>
              </w:rPr>
              <w:t>北京动物园是国家重点公园、国家重点文物保护单位、全国科普教育基地，是中国最大的动物园之一，也是一所世界知名的动物园。参观北京动物园，科普动物知识，了解人与自然的和谐相处对人类生存环境的重要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val="en-US" w:eastAsia="zh-CN"/>
              </w:rPr>
            </w:pPr>
          </w:p>
        </w:tc>
        <w:tc>
          <w:tcPr>
            <w:tcW w:w="825"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1320" w:type="dxa"/>
            <w:tcBorders>
              <w:top w:val="single" w:color="auto" w:sz="4" w:space="0"/>
              <w:left w:val="single" w:color="000000" w:sz="4" w:space="0"/>
              <w:right w:val="single" w:color="000000" w:sz="4" w:space="0"/>
            </w:tcBorders>
            <w:noWrap w:val="0"/>
            <w:vAlign w:val="center"/>
          </w:tcPr>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北京海洋馆</w:t>
            </w:r>
          </w:p>
        </w:tc>
        <w:tc>
          <w:tcPr>
            <w:tcW w:w="6191" w:type="dxa"/>
            <w:tcBorders>
              <w:top w:val="single" w:color="auto" w:sz="4" w:space="0"/>
              <w:left w:val="single" w:color="000000" w:sz="4" w:space="0"/>
              <w:bottom w:val="single" w:color="auto" w:sz="4" w:space="0"/>
              <w:right w:val="single" w:color="000000" w:sz="4" w:space="0"/>
            </w:tcBorders>
            <w:noWrap w:val="0"/>
            <w:vAlign w:val="center"/>
          </w:tcPr>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b/>
                <w:bCs/>
                <w:sz w:val="22"/>
                <w:szCs w:val="21"/>
                <w:lang w:val="en-US" w:eastAsia="zh-CN"/>
              </w:rPr>
              <w:t>研学目标</w:t>
            </w:r>
            <w:r>
              <w:rPr>
                <w:rFonts w:hint="eastAsia" w:ascii="宋体" w:hAnsi="宋体" w:eastAsia="宋体" w:cs="宋体"/>
                <w:sz w:val="22"/>
                <w:szCs w:val="21"/>
                <w:lang w:val="en-US" w:eastAsia="zh-CN"/>
              </w:rPr>
              <w:t>：海洋动物认知 环境保护科普</w:t>
            </w:r>
          </w:p>
          <w:p>
            <w:pPr>
              <w:snapToGrid w:val="0"/>
              <w:spacing w:line="360" w:lineRule="exact"/>
              <w:rPr>
                <w:rFonts w:hint="eastAsia" w:ascii="宋体" w:hAnsi="宋体" w:eastAsia="宋体" w:cs="宋体"/>
                <w:b/>
                <w:bCs/>
                <w:sz w:val="22"/>
                <w:szCs w:val="21"/>
                <w:lang w:val="en-US" w:eastAsia="zh-CN"/>
              </w:rPr>
            </w:pPr>
            <w:r>
              <w:rPr>
                <w:rFonts w:hint="eastAsia" w:ascii="宋体" w:hAnsi="宋体" w:eastAsia="宋体" w:cs="宋体"/>
                <w:b/>
                <w:bCs/>
                <w:sz w:val="22"/>
                <w:szCs w:val="21"/>
                <w:lang w:val="en-US" w:eastAsia="zh-CN"/>
              </w:rPr>
              <w:t>研学内容：</w:t>
            </w:r>
            <w:r>
              <w:rPr>
                <w:rFonts w:hint="eastAsia" w:ascii="宋体" w:hAnsi="宋体" w:eastAsia="宋体" w:cs="宋体"/>
                <w:sz w:val="22"/>
                <w:szCs w:val="21"/>
                <w:lang w:val="en-US" w:eastAsia="zh-CN"/>
              </w:rPr>
              <w:t>北京海洋馆通过丰富的鱼类展示、珍贵濒危物种的保护宣传，精彩的海洋动物表演和各种科普活动，向学生介绍水生生物的知识，讲述海的故事，倡导环保意识。置身其中，不但可以领略不同种类的海洋生物，还可亲身感受人类与海洋的关系。学生在游览中既得到陶怡，又受到教益，提高了"关爱海洋动物、保护地球家园"的自觉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825" w:type="dxa"/>
            <w:vMerge w:val="restart"/>
            <w:tcBorders>
              <w:top w:val="single" w:color="auto" w:sz="4" w:space="0"/>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r>
              <w:rPr>
                <w:rFonts w:hint="eastAsia" w:ascii="宋体" w:hAnsi="宋体" w:eastAsia="宋体" w:cs="宋体"/>
                <w:b/>
                <w:bCs/>
                <w:sz w:val="22"/>
              </w:rPr>
              <w:t>下午</w:t>
            </w:r>
          </w:p>
        </w:tc>
        <w:tc>
          <w:tcPr>
            <w:tcW w:w="1320" w:type="dxa"/>
            <w:tcBorders>
              <w:top w:val="single" w:color="auto" w:sz="4" w:space="0"/>
              <w:left w:val="single" w:color="000000" w:sz="4" w:space="0"/>
              <w:bottom w:val="single" w:color="auto" w:sz="4" w:space="0"/>
              <w:right w:val="single" w:color="000000" w:sz="4" w:space="0"/>
            </w:tcBorders>
            <w:noWrap w:val="0"/>
            <w:vAlign w:val="center"/>
          </w:tcPr>
          <w:p>
            <w:pPr>
              <w:snapToGrid w:val="0"/>
              <w:spacing w:line="360" w:lineRule="exact"/>
              <w:rPr>
                <w:rFonts w:hint="eastAsia" w:ascii="宋体" w:hAnsi="宋体" w:eastAsia="宋体" w:cs="宋体"/>
                <w:sz w:val="22"/>
                <w:szCs w:val="21"/>
                <w:lang w:val="en-US" w:eastAsia="zh-CN"/>
              </w:rPr>
            </w:pPr>
          </w:p>
          <w:p>
            <w:pPr>
              <w:snapToGrid w:val="0"/>
              <w:spacing w:line="360" w:lineRule="exact"/>
              <w:jc w:val="center"/>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天坛公园（祈年殿）</w:t>
            </w:r>
          </w:p>
        </w:tc>
        <w:tc>
          <w:tcPr>
            <w:tcW w:w="6191" w:type="dxa"/>
            <w:tcBorders>
              <w:top w:val="single" w:color="auto" w:sz="4" w:space="0"/>
              <w:left w:val="single" w:color="000000" w:sz="4" w:space="0"/>
              <w:bottom w:val="single" w:color="auto" w:sz="4" w:space="0"/>
              <w:right w:val="single" w:color="000000" w:sz="4" w:space="0"/>
            </w:tcBorders>
            <w:noWrap w:val="0"/>
            <w:vAlign w:val="center"/>
          </w:tcPr>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b/>
                <w:bCs/>
                <w:sz w:val="22"/>
                <w:szCs w:val="21"/>
                <w:lang w:val="en-US" w:eastAsia="zh-CN"/>
              </w:rPr>
              <w:t>研学目标：</w:t>
            </w:r>
            <w:r>
              <w:rPr>
                <w:rFonts w:hint="eastAsia" w:ascii="宋体" w:hAnsi="宋体" w:eastAsia="宋体" w:cs="宋体"/>
                <w:sz w:val="22"/>
                <w:szCs w:val="21"/>
                <w:lang w:val="en-US" w:eastAsia="zh-CN"/>
              </w:rPr>
              <w:t>建筑特色 祭祀文化</w:t>
            </w:r>
          </w:p>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b/>
                <w:bCs/>
                <w:sz w:val="22"/>
                <w:szCs w:val="21"/>
                <w:lang w:val="en-US" w:eastAsia="zh-CN"/>
              </w:rPr>
              <w:t>研学内容：</w:t>
            </w:r>
            <w:r>
              <w:rPr>
                <w:rFonts w:hint="eastAsia" w:ascii="宋体" w:hAnsi="宋体" w:eastAsia="宋体" w:cs="宋体"/>
                <w:sz w:val="22"/>
                <w:szCs w:val="21"/>
                <w:lang w:val="en-US" w:eastAsia="zh-CN"/>
              </w:rPr>
              <w:t>通过讲解，了解天坛的历史作用，体会古人“天人合一”、“天圆地方”等思想；通过观察天坛圜丘建筑，感受古人在建筑上的智慧，其建筑涉及到的声学现象、榫卯结构等；使学生在活动中发现几何元素在古建筑中应用，发现建筑中的几何美。</w:t>
            </w:r>
          </w:p>
          <w:p>
            <w:pPr>
              <w:snapToGrid w:val="0"/>
              <w:spacing w:line="360" w:lineRule="exact"/>
              <w:rPr>
                <w:rFonts w:hint="eastAsia" w:ascii="宋体" w:hAnsi="宋体" w:eastAsia="宋体" w:cs="宋体"/>
                <w:b/>
                <w:bCs/>
                <w:sz w:val="22"/>
                <w:szCs w:val="21"/>
                <w:lang w:val="en-US" w:eastAsia="zh-CN"/>
              </w:rPr>
            </w:pPr>
            <w:r>
              <w:rPr>
                <w:rFonts w:hint="eastAsia" w:ascii="宋体" w:hAnsi="宋体" w:eastAsia="宋体" w:cs="宋体"/>
                <w:b/>
                <w:bCs/>
                <w:sz w:val="22"/>
                <w:szCs w:val="21"/>
                <w:lang w:val="en-US" w:eastAsia="zh-CN"/>
              </w:rPr>
              <w:t>研学任务：</w:t>
            </w:r>
          </w:p>
          <w:p>
            <w:pPr>
              <w:snapToGrid w:val="0"/>
              <w:spacing w:line="360" w:lineRule="exact"/>
              <w:rPr>
                <w:rFonts w:hint="eastAsia" w:ascii="宋体" w:hAnsi="宋体" w:eastAsia="宋体" w:cs="宋体"/>
                <w:sz w:val="22"/>
                <w:szCs w:val="21"/>
              </w:rPr>
            </w:pPr>
            <w:r>
              <w:rPr>
                <w:rFonts w:hint="eastAsia" w:ascii="宋体" w:hAnsi="宋体" w:eastAsia="宋体" w:cs="宋体"/>
                <w:sz w:val="22"/>
                <w:szCs w:val="21"/>
                <w:lang w:val="en-US" w:eastAsia="zh-CN"/>
              </w:rPr>
              <w:t>简述回音壁和榫卯结构的原理。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80" w:type="dxa"/>
            <w:vMerge w:val="continue"/>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825" w:type="dxa"/>
            <w:vMerge w:val="continue"/>
            <w:tcBorders>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b/>
                <w:bCs/>
                <w:sz w:val="22"/>
              </w:rPr>
            </w:pPr>
          </w:p>
        </w:tc>
        <w:tc>
          <w:tcPr>
            <w:tcW w:w="1320" w:type="dxa"/>
            <w:tcBorders>
              <w:top w:val="single" w:color="auto" w:sz="4" w:space="0"/>
              <w:left w:val="single" w:color="000000" w:sz="4" w:space="0"/>
              <w:bottom w:val="single" w:color="auto" w:sz="4" w:space="0"/>
              <w:right w:val="single" w:color="000000" w:sz="4" w:space="0"/>
            </w:tcBorders>
            <w:noWrap w:val="0"/>
            <w:vAlign w:val="center"/>
          </w:tcPr>
          <w:p>
            <w:pPr>
              <w:snapToGrid w:val="0"/>
              <w:spacing w:line="360" w:lineRule="exact"/>
              <w:jc w:val="center"/>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自然博物馆</w:t>
            </w:r>
          </w:p>
        </w:tc>
        <w:tc>
          <w:tcPr>
            <w:tcW w:w="6191" w:type="dxa"/>
            <w:tcBorders>
              <w:top w:val="single" w:color="auto" w:sz="4" w:space="0"/>
              <w:left w:val="single" w:color="000000" w:sz="4" w:space="0"/>
              <w:bottom w:val="single" w:color="auto" w:sz="4" w:space="0"/>
              <w:right w:val="single" w:color="000000" w:sz="4" w:space="0"/>
            </w:tcBorders>
            <w:noWrap w:val="0"/>
            <w:vAlign w:val="center"/>
          </w:tcPr>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b/>
                <w:bCs/>
                <w:sz w:val="22"/>
                <w:szCs w:val="21"/>
                <w:lang w:val="en-US" w:eastAsia="zh-CN"/>
              </w:rPr>
              <w:t>研学目标：</w:t>
            </w:r>
            <w:r>
              <w:rPr>
                <w:rFonts w:hint="eastAsia" w:ascii="宋体" w:hAnsi="宋体" w:eastAsia="宋体" w:cs="宋体"/>
                <w:sz w:val="22"/>
                <w:szCs w:val="21"/>
                <w:lang w:val="en-US" w:eastAsia="zh-CN"/>
              </w:rPr>
              <w:t>爱护自然 保护环境</w:t>
            </w:r>
          </w:p>
          <w:p>
            <w:pPr>
              <w:snapToGrid w:val="0"/>
              <w:spacing w:line="360" w:lineRule="exact"/>
              <w:rPr>
                <w:rFonts w:hint="eastAsia" w:ascii="宋体" w:hAnsi="宋体" w:eastAsia="宋体" w:cs="宋体"/>
                <w:sz w:val="22"/>
                <w:szCs w:val="21"/>
                <w:lang w:val="en-US" w:eastAsia="zh-CN"/>
              </w:rPr>
            </w:pPr>
            <w:r>
              <w:rPr>
                <w:rFonts w:hint="eastAsia" w:ascii="宋体" w:hAnsi="宋体" w:eastAsia="宋体" w:cs="宋体"/>
                <w:b/>
                <w:bCs/>
                <w:sz w:val="22"/>
                <w:szCs w:val="21"/>
                <w:lang w:val="en-US" w:eastAsia="zh-CN"/>
              </w:rPr>
              <w:t>研学内容：</w:t>
            </w:r>
            <w:r>
              <w:rPr>
                <w:rFonts w:hint="eastAsia" w:ascii="宋体" w:hAnsi="宋体" w:eastAsia="宋体" w:cs="宋体"/>
                <w:sz w:val="22"/>
                <w:szCs w:val="21"/>
                <w:lang w:val="en-US" w:eastAsia="zh-CN"/>
              </w:rPr>
              <w:t>通过对“古哺乳动物”、“古爬行动物”、“无脊椎动物”、“植物世界”四大展厅进行学习，让学生了解生命的起源，动物和植物的演化，恐龙世界的模样及植物与人类密不可分的关系。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80" w:type="dxa"/>
            <w:tcBorders>
              <w:left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2"/>
                <w:lang w:val="en-US" w:eastAsia="zh-CN"/>
              </w:rPr>
            </w:pPr>
            <w:r>
              <w:rPr>
                <w:rFonts w:hint="eastAsia" w:ascii="宋体" w:hAnsi="宋体" w:eastAsia="宋体" w:cs="宋体"/>
                <w:b/>
                <w:bCs/>
                <w:sz w:val="22"/>
                <w:lang w:val="en-US" w:eastAsia="zh-CN"/>
              </w:rPr>
              <w:t>第九天</w:t>
            </w:r>
          </w:p>
        </w:tc>
        <w:tc>
          <w:tcPr>
            <w:tcW w:w="825"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b/>
                <w:bCs/>
                <w:sz w:val="22"/>
                <w:lang w:val="en-US" w:eastAsia="zh-CN"/>
              </w:rPr>
            </w:pPr>
            <w:r>
              <w:rPr>
                <w:rFonts w:hint="eastAsia" w:ascii="宋体" w:hAnsi="宋体" w:eastAsia="宋体" w:cs="宋体"/>
                <w:b/>
                <w:bCs/>
                <w:sz w:val="22"/>
                <w:lang w:val="en-US" w:eastAsia="zh-CN"/>
              </w:rPr>
              <w:t>全天</w:t>
            </w:r>
          </w:p>
        </w:tc>
        <w:tc>
          <w:tcPr>
            <w:tcW w:w="1320"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2"/>
                <w:szCs w:val="21"/>
              </w:rPr>
            </w:pPr>
            <w:r>
              <w:rPr>
                <w:rFonts w:hint="eastAsia" w:ascii="宋体" w:hAnsi="宋体" w:eastAsia="宋体" w:cs="宋体"/>
                <w:sz w:val="22"/>
                <w:szCs w:val="21"/>
              </w:rPr>
              <w:t>首都机场</w:t>
            </w:r>
          </w:p>
        </w:tc>
        <w:tc>
          <w:tcPr>
            <w:tcW w:w="6191"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rPr>
                <w:rFonts w:hint="eastAsia" w:ascii="宋体" w:hAnsi="宋体" w:eastAsia="宋体" w:cs="宋体"/>
                <w:sz w:val="22"/>
                <w:szCs w:val="21"/>
              </w:rPr>
            </w:pPr>
            <w:r>
              <w:rPr>
                <w:rFonts w:hint="eastAsia" w:ascii="宋体" w:hAnsi="宋体" w:eastAsia="宋体" w:cs="宋体"/>
                <w:sz w:val="22"/>
                <w:szCs w:val="21"/>
              </w:rPr>
              <w:t>赴京研学交流活动圆满结束，师生们带上满满收获，满载而归，珍藏美好回忆，迎接灿烂生活。</w:t>
            </w:r>
          </w:p>
        </w:tc>
      </w:tr>
    </w:tbl>
    <w:p>
      <w:pPr>
        <w:pStyle w:val="27"/>
        <w:numPr>
          <w:ilvl w:val="0"/>
          <w:numId w:val="0"/>
        </w:numPr>
        <w:ind w:right="62" w:rightChars="0"/>
        <w:rPr>
          <w:rFonts w:hint="eastAsia" w:ascii="宋体" w:hAnsi="宋体" w:cs="宋体"/>
          <w:b/>
          <w:bCs/>
          <w:sz w:val="24"/>
          <w:szCs w:val="24"/>
          <w:lang w:val="en-US" w:eastAsia="zh-CN"/>
        </w:rPr>
      </w:pPr>
    </w:p>
    <w:p>
      <w:pPr>
        <w:pStyle w:val="27"/>
        <w:numPr>
          <w:ilvl w:val="0"/>
          <w:numId w:val="0"/>
        </w:numPr>
        <w:ind w:right="62" w:rightChars="0"/>
        <w:rPr>
          <w:rFonts w:hint="eastAsia" w:ascii="宋体" w:hAnsi="宋体" w:cs="宋体"/>
          <w:b/>
          <w:bCs/>
          <w:sz w:val="24"/>
          <w:szCs w:val="24"/>
          <w:lang w:val="en-US" w:eastAsia="zh-CN"/>
        </w:rPr>
      </w:pPr>
      <w:r>
        <w:rPr>
          <w:rFonts w:hint="eastAsia" w:ascii="宋体" w:hAnsi="宋体" w:cs="宋体"/>
          <w:b/>
          <w:bCs/>
          <w:sz w:val="24"/>
          <w:szCs w:val="24"/>
          <w:lang w:val="en-US" w:eastAsia="zh-CN"/>
        </w:rPr>
        <w:t>注：投标人可以根据实际情况调整研学地点顺序，但所有研学地点须包含在此次行程范围内。</w:t>
      </w:r>
    </w:p>
    <w:p>
      <w:pPr>
        <w:spacing w:line="360" w:lineRule="exact"/>
        <w:rPr>
          <w:rFonts w:hint="eastAsia" w:ascii="宋体" w:hAnsi="宋体" w:eastAsia="宋体" w:cs="宋体"/>
          <w:sz w:val="22"/>
          <w:szCs w:val="21"/>
        </w:rPr>
      </w:pPr>
      <w:r>
        <w:rPr>
          <w:rFonts w:hint="eastAsia" w:ascii="宋体" w:hAnsi="宋体" w:eastAsia="宋体" w:cs="宋体"/>
          <w:sz w:val="22"/>
          <w:szCs w:val="21"/>
        </w:rPr>
        <w:t>二、项目要求：</w:t>
      </w:r>
    </w:p>
    <w:p>
      <w:pPr>
        <w:spacing w:line="360" w:lineRule="exact"/>
        <w:rPr>
          <w:rFonts w:hint="eastAsia" w:ascii="宋体" w:hAnsi="宋体" w:eastAsia="宋体" w:cs="宋体"/>
          <w:sz w:val="22"/>
          <w:szCs w:val="21"/>
        </w:rPr>
      </w:pPr>
      <w:r>
        <w:rPr>
          <w:rFonts w:hint="eastAsia" w:ascii="宋体" w:hAnsi="宋体" w:eastAsia="宋体" w:cs="宋体"/>
          <w:sz w:val="22"/>
          <w:szCs w:val="21"/>
        </w:rPr>
        <w:t>1、投标人报价须包括参加师生的食宿，培训场地费、景点门票费、往返交通费 (按实报实销由中标投标人 统一购买) 、后勤保障人员及管理人员的劳务费等一切费用。</w:t>
      </w:r>
    </w:p>
    <w:p>
      <w:pPr>
        <w:spacing w:line="360" w:lineRule="exact"/>
        <w:rPr>
          <w:rFonts w:hint="eastAsia" w:ascii="宋体" w:hAnsi="宋体" w:eastAsia="宋体" w:cs="宋体"/>
          <w:sz w:val="22"/>
          <w:szCs w:val="21"/>
        </w:rPr>
      </w:pPr>
      <w:r>
        <w:rPr>
          <w:rFonts w:hint="eastAsia" w:ascii="宋体" w:hAnsi="宋体" w:eastAsia="宋体" w:cs="宋体"/>
          <w:sz w:val="22"/>
          <w:szCs w:val="21"/>
        </w:rPr>
        <w:t>2、住宿标准：四星级酒店或宾馆 (标准间含早餐) ，不低于 420/天/间；</w:t>
      </w:r>
    </w:p>
    <w:p>
      <w:pPr>
        <w:spacing w:line="360" w:lineRule="exact"/>
        <w:rPr>
          <w:rFonts w:hint="eastAsia" w:ascii="宋体" w:hAnsi="宋体" w:eastAsia="宋体" w:cs="宋体"/>
          <w:sz w:val="22"/>
          <w:szCs w:val="21"/>
        </w:rPr>
      </w:pPr>
      <w:r>
        <w:rPr>
          <w:rFonts w:hint="eastAsia" w:ascii="宋体" w:hAnsi="宋体" w:eastAsia="宋体" w:cs="宋体"/>
          <w:sz w:val="22"/>
          <w:szCs w:val="21"/>
        </w:rPr>
        <w:t>用餐标准：须提供每餐菜单清单 (清真) ，不低于 130 天/人 (午餐和晚餐) 。</w:t>
      </w:r>
    </w:p>
    <w:p>
      <w:pPr>
        <w:spacing w:line="360" w:lineRule="exact"/>
        <w:rPr>
          <w:rFonts w:hint="eastAsia" w:ascii="宋体" w:hAnsi="宋体" w:eastAsia="宋体" w:cs="宋体"/>
          <w:sz w:val="22"/>
          <w:szCs w:val="21"/>
        </w:rPr>
      </w:pPr>
      <w:r>
        <w:rPr>
          <w:rFonts w:hint="eastAsia" w:ascii="宋体" w:hAnsi="宋体" w:eastAsia="宋体" w:cs="宋体"/>
          <w:sz w:val="22"/>
          <w:szCs w:val="21"/>
        </w:rPr>
        <w:t>3、投标人依据以上要求，完成详细的服务计划 (须包含项目实施方案、服务方案，授课师资，食宿标准、 应急预案等) 。</w:t>
      </w:r>
    </w:p>
    <w:p>
      <w:pPr>
        <w:spacing w:line="360" w:lineRule="exact"/>
        <w:rPr>
          <w:rFonts w:hint="eastAsia" w:ascii="宋体" w:hAnsi="宋体" w:eastAsia="宋体" w:cs="宋体"/>
          <w:sz w:val="22"/>
          <w:szCs w:val="21"/>
        </w:rPr>
      </w:pPr>
      <w:r>
        <w:rPr>
          <w:rFonts w:hint="eastAsia" w:ascii="宋体" w:hAnsi="宋体" w:eastAsia="宋体" w:cs="宋体"/>
          <w:sz w:val="22"/>
          <w:szCs w:val="21"/>
        </w:rPr>
        <w:t>4、付款方式</w:t>
      </w:r>
    </w:p>
    <w:p>
      <w:pPr>
        <w:spacing w:line="360" w:lineRule="exact"/>
        <w:rPr>
          <w:rFonts w:hint="eastAsia" w:ascii="宋体" w:hAnsi="宋体" w:eastAsia="宋体" w:cs="宋体"/>
          <w:sz w:val="22"/>
          <w:szCs w:val="21"/>
        </w:rPr>
      </w:pPr>
      <w:r>
        <w:rPr>
          <w:rFonts w:hint="eastAsia" w:ascii="宋体" w:hAnsi="宋体" w:eastAsia="宋体" w:cs="宋体"/>
          <w:sz w:val="22"/>
          <w:szCs w:val="21"/>
        </w:rPr>
        <w:t>第一次支付：采购合同签订完成 5 个工作日内支付合同价款的 30%；</w:t>
      </w:r>
    </w:p>
    <w:p>
      <w:pPr>
        <w:spacing w:line="360" w:lineRule="exact"/>
        <w:rPr>
          <w:rFonts w:hint="eastAsia" w:ascii="宋体" w:hAnsi="宋体" w:eastAsia="宋体" w:cs="宋体"/>
          <w:sz w:val="22"/>
          <w:szCs w:val="21"/>
        </w:rPr>
      </w:pPr>
      <w:r>
        <w:rPr>
          <w:rFonts w:hint="eastAsia" w:ascii="宋体" w:hAnsi="宋体" w:eastAsia="宋体" w:cs="宋体"/>
          <w:sz w:val="22"/>
          <w:szCs w:val="21"/>
        </w:rPr>
        <w:t>第二次支付：服务期满验收合格并审计完毕后 15 个工作日内支付合同价款的 70%。  (以项目实际签订合同</w:t>
      </w:r>
    </w:p>
    <w:p>
      <w:pPr>
        <w:spacing w:line="360" w:lineRule="exact"/>
        <w:rPr>
          <w:rFonts w:hint="eastAsia" w:ascii="宋体" w:hAnsi="宋体" w:eastAsia="宋体" w:cs="宋体"/>
          <w:sz w:val="22"/>
          <w:szCs w:val="21"/>
        </w:rPr>
      </w:pPr>
      <w:r>
        <w:rPr>
          <w:rFonts w:hint="eastAsia" w:ascii="宋体" w:hAnsi="宋体" w:eastAsia="宋体" w:cs="宋体"/>
          <w:sz w:val="22"/>
          <w:szCs w:val="21"/>
        </w:rPr>
        <w:t>为准。)</w:t>
      </w:r>
    </w:p>
    <w:p>
      <w:pPr>
        <w:spacing w:line="360" w:lineRule="exact"/>
        <w:rPr>
          <w:rFonts w:hint="eastAsia" w:ascii="宋体" w:hAnsi="宋体" w:eastAsia="宋体" w:cs="宋体"/>
          <w:sz w:val="22"/>
          <w:szCs w:val="21"/>
        </w:rPr>
      </w:pPr>
      <w:r>
        <w:rPr>
          <w:rFonts w:hint="eastAsia" w:ascii="宋体" w:hAnsi="宋体" w:eastAsia="宋体" w:cs="宋体"/>
          <w:sz w:val="22"/>
          <w:szCs w:val="21"/>
        </w:rPr>
        <w:t>5、交货地点：采购方指定地点</w:t>
      </w:r>
    </w:p>
    <w:p>
      <w:pPr>
        <w:spacing w:line="360" w:lineRule="exact"/>
        <w:rPr>
          <w:rFonts w:hint="eastAsia" w:ascii="宋体" w:hAnsi="宋体" w:eastAsia="宋体" w:cs="宋体"/>
          <w:sz w:val="22"/>
          <w:szCs w:val="21"/>
        </w:rPr>
        <w:sectPr>
          <w:footerReference r:id="rId7" w:type="default"/>
          <w:pgSz w:w="11905" w:h="16839"/>
          <w:pgMar w:top="400" w:right="976" w:bottom="719" w:left="1197" w:header="0" w:footer="559" w:gutter="0"/>
          <w:cols w:space="720" w:num="1"/>
        </w:sectPr>
      </w:pPr>
    </w:p>
    <w:p>
      <w:pPr>
        <w:pStyle w:val="9"/>
        <w:spacing w:before="7"/>
        <w:rPr>
          <w:rFonts w:hint="eastAsia" w:ascii="宋体" w:hAnsi="宋体" w:eastAsia="宋体" w:cs="宋体"/>
          <w:b/>
          <w:color w:val="auto"/>
          <w:sz w:val="10"/>
          <w:highlight w:val="none"/>
        </w:rPr>
      </w:pPr>
    </w:p>
    <w:p>
      <w:pPr>
        <w:pStyle w:val="2"/>
        <w:numPr>
          <w:ilvl w:val="0"/>
          <w:numId w:val="8"/>
        </w:numPr>
        <w:tabs>
          <w:tab w:val="left" w:pos="0"/>
        </w:tabs>
        <w:ind w:firstLine="2209" w:firstLineChars="500"/>
        <w:jc w:val="both"/>
        <w:rPr>
          <w:rFonts w:hint="eastAsia" w:ascii="宋体" w:hAnsi="宋体" w:eastAsia="宋体" w:cs="宋体"/>
          <w:b/>
          <w:bCs w:val="0"/>
          <w:color w:val="auto"/>
          <w:kern w:val="2"/>
          <w:sz w:val="44"/>
          <w:szCs w:val="44"/>
          <w:highlight w:val="none"/>
          <w:lang w:val="en-US" w:eastAsia="zh-CN" w:bidi="ar-SA"/>
        </w:rPr>
      </w:pPr>
      <w:bookmarkStart w:id="90" w:name="_bookmark4"/>
      <w:bookmarkEnd w:id="90"/>
      <w:bookmarkStart w:id="91" w:name="_Toc9827"/>
      <w:r>
        <w:rPr>
          <w:rFonts w:hint="eastAsia" w:ascii="宋体" w:hAnsi="宋体" w:eastAsia="宋体" w:cs="宋体"/>
          <w:b/>
          <w:bCs w:val="0"/>
          <w:color w:val="auto"/>
          <w:kern w:val="2"/>
          <w:sz w:val="44"/>
          <w:szCs w:val="44"/>
          <w:highlight w:val="none"/>
          <w:lang w:val="en-US" w:eastAsia="zh-CN" w:bidi="ar-SA"/>
        </w:rPr>
        <w:t>合同条款及格式</w:t>
      </w:r>
      <w:bookmarkEnd w:id="91"/>
      <w:bookmarkStart w:id="92" w:name="_Toc3527"/>
    </w:p>
    <w:bookmarkEnd w:id="92"/>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28"/>
          <w:szCs w:val="28"/>
        </w:rPr>
      </w:pPr>
      <w:r>
        <w:rPr>
          <w:rFonts w:hint="eastAsia" w:ascii="宋体" w:hAnsi="宋体" w:eastAsia="宋体" w:cs="宋体"/>
          <w:b/>
          <w:sz w:val="28"/>
          <w:szCs w:val="28"/>
        </w:rPr>
        <w:t>政府采购合同参考范本</w:t>
      </w:r>
    </w:p>
    <w:p>
      <w:pPr>
        <w:spacing w:line="480" w:lineRule="auto"/>
        <w:jc w:val="center"/>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服务</w:t>
      </w:r>
      <w:r>
        <w:rPr>
          <w:rFonts w:hint="eastAsia" w:ascii="宋体" w:hAnsi="宋体" w:eastAsia="宋体" w:cs="宋体"/>
          <w:b/>
          <w:sz w:val="24"/>
        </w:rPr>
        <w:t>类）</w:t>
      </w: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pStyle w:val="89"/>
        <w:ind w:firstLine="0"/>
        <w:jc w:val="center"/>
        <w:rPr>
          <w:rFonts w:hint="eastAsia" w:ascii="宋体" w:hAnsi="宋体" w:eastAsia="宋体" w:cs="宋体"/>
          <w:b/>
          <w:szCs w:val="24"/>
        </w:rPr>
      </w:pPr>
      <w:r>
        <w:rPr>
          <w:rFonts w:hint="eastAsia" w:ascii="宋体" w:hAnsi="宋体" w:eastAsia="宋体" w:cs="宋体"/>
          <w:b/>
          <w:szCs w:val="24"/>
        </w:rPr>
        <w:t>第一部分 合同书</w:t>
      </w:r>
    </w:p>
    <w:p>
      <w:pPr>
        <w:pStyle w:val="89"/>
        <w:ind w:firstLine="0"/>
        <w:rPr>
          <w:rFonts w:hint="eastAsia" w:ascii="宋体" w:hAnsi="宋体" w:eastAsia="宋体" w:cs="宋体"/>
          <w:szCs w:val="24"/>
        </w:rPr>
      </w:pPr>
    </w:p>
    <w:p>
      <w:pPr>
        <w:pStyle w:val="89"/>
        <w:ind w:firstLine="0"/>
        <w:rPr>
          <w:rFonts w:hint="eastAsia" w:ascii="宋体" w:hAnsi="宋体" w:eastAsia="宋体" w:cs="宋体"/>
          <w:szCs w:val="24"/>
        </w:rPr>
      </w:pPr>
    </w:p>
    <w:p>
      <w:pPr>
        <w:spacing w:before="120" w:line="22" w:lineRule="atLeast"/>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00" w:lineRule="exact"/>
        <w:ind w:left="2158" w:leftChars="456" w:hanging="1200" w:hangingChars="500"/>
        <w:textAlignment w:val="auto"/>
        <w:rPr>
          <w:rFonts w:hint="eastAsia" w:ascii="宋体" w:hAnsi="宋体" w:eastAsia="宋体" w:cs="宋体"/>
          <w:sz w:val="24"/>
          <w:u w:val="single"/>
          <w:lang w:val="en-US" w:eastAsia="zh-CN"/>
        </w:rPr>
      </w:pPr>
      <w:r>
        <w:rPr>
          <w:rFonts w:hint="eastAsia" w:ascii="宋体" w:hAnsi="宋体" w:eastAsia="宋体" w:cs="宋体"/>
          <w:sz w:val="24"/>
        </w:rPr>
        <w:t>项目名称：</w:t>
      </w:r>
      <w:r>
        <w:rPr>
          <w:rFonts w:hint="eastAsia" w:ascii="宋体" w:hAnsi="宋体" w:eastAsia="宋体" w:cs="宋体"/>
          <w:sz w:val="24"/>
          <w:u w:val="single"/>
          <w:lang w:val="en-US" w:eastAsia="zh-CN"/>
        </w:rPr>
        <w:t xml:space="preserve">  2023年墨玉县京和青少年融情交流营项目-包一 （三次）    </w:t>
      </w:r>
    </w:p>
    <w:p>
      <w:pPr>
        <w:pStyle w:val="3"/>
        <w:rPr>
          <w:rFonts w:hint="default"/>
          <w:lang w:val="en-US" w:eastAsia="zh-CN"/>
        </w:rPr>
      </w:pPr>
    </w:p>
    <w:p>
      <w:pPr>
        <w:rPr>
          <w:rFonts w:hint="eastAsia" w:ascii="宋体" w:hAnsi="宋体" w:eastAsia="宋体" w:cs="宋体"/>
        </w:rPr>
      </w:pPr>
    </w:p>
    <w:p>
      <w:pPr>
        <w:spacing w:before="120" w:line="22" w:lineRule="atLeast"/>
        <w:ind w:left="960"/>
        <w:rPr>
          <w:rFonts w:hint="default" w:ascii="宋体" w:hAnsi="宋体" w:eastAsia="宋体" w:cs="宋体"/>
          <w:sz w:val="24"/>
          <w:u w:val="single"/>
          <w:lang w:val="en-US" w:eastAsia="zh-CN"/>
        </w:rPr>
      </w:pPr>
      <w:r>
        <w:rPr>
          <w:rFonts w:hint="eastAsia" w:ascii="宋体" w:hAnsi="宋体" w:eastAsia="宋体" w:cs="宋体"/>
          <w:sz w:val="24"/>
        </w:rPr>
        <w:t>甲方：</w:t>
      </w:r>
      <w:r>
        <w:rPr>
          <w:rFonts w:hint="eastAsia" w:ascii="宋体" w:hAnsi="宋体" w:eastAsia="宋体" w:cs="宋体"/>
          <w:sz w:val="24"/>
          <w:u w:val="single"/>
          <w:lang w:val="en-US" w:eastAsia="zh-CN"/>
        </w:rPr>
        <w:t xml:space="preserve">墨玉县教育局 </w:t>
      </w: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600" w:lineRule="exact"/>
        <w:ind w:firstLine="640"/>
        <w:jc w:val="center"/>
        <w:rPr>
          <w:rFonts w:hint="eastAsia" w:ascii="宋体" w:hAnsi="宋体" w:eastAsia="宋体" w:cs="宋体"/>
          <w:sz w:val="24"/>
        </w:rPr>
        <w:sectPr>
          <w:headerReference r:id="rId10" w:type="first"/>
          <w:footerReference r:id="rId13" w:type="first"/>
          <w:headerReference r:id="rId8" w:type="default"/>
          <w:footerReference r:id="rId11" w:type="default"/>
          <w:headerReference r:id="rId9" w:type="even"/>
          <w:footerReference r:id="rId12" w:type="even"/>
          <w:pgSz w:w="11907" w:h="16840"/>
          <w:pgMar w:top="1474" w:right="2313" w:bottom="1474" w:left="1814" w:header="283" w:footer="851" w:gutter="0"/>
          <w:pgNumType w:fmt="decimal"/>
          <w:cols w:space="720" w:num="1"/>
          <w:docGrid w:linePitch="462" w:charSpace="0"/>
        </w:sectPr>
      </w:pPr>
    </w:p>
    <w:p>
      <w:pPr>
        <w:spacing w:line="560" w:lineRule="exact"/>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（采购人名称）   </w:t>
      </w:r>
      <w:r>
        <w:rPr>
          <w:rFonts w:hint="eastAsia" w:ascii="宋体" w:hAnsi="宋体" w:eastAsia="宋体" w:cs="宋体"/>
          <w:sz w:val="24"/>
        </w:rPr>
        <w:t>以</w:t>
      </w:r>
      <w:r>
        <w:rPr>
          <w:rFonts w:hint="eastAsia" w:ascii="宋体" w:hAnsi="宋体" w:eastAsia="宋体" w:cs="宋体"/>
          <w:sz w:val="24"/>
          <w:u w:val="single"/>
        </w:rPr>
        <w:t xml:space="preserve">   （政府采购方式）  </w:t>
      </w:r>
      <w:r>
        <w:rPr>
          <w:rFonts w:hint="eastAsia" w:ascii="宋体" w:hAnsi="宋体" w:eastAsia="宋体" w:cs="宋体"/>
          <w:sz w:val="24"/>
        </w:rPr>
        <w:t>对</w:t>
      </w:r>
      <w:r>
        <w:rPr>
          <w:rFonts w:hint="eastAsia" w:ascii="宋体" w:hAnsi="宋体" w:eastAsia="宋体" w:cs="宋体"/>
          <w:sz w:val="24"/>
          <w:u w:val="single"/>
        </w:rPr>
        <w:t xml:space="preserve">   （同前页项目名称）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（中标供应商名称）</w:t>
      </w:r>
      <w:r>
        <w:rPr>
          <w:rFonts w:hint="eastAsia" w:ascii="宋体" w:hAnsi="宋体" w:eastAsia="宋体" w:cs="宋体"/>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根据《中华人民共和国民法典》、《中华人民共和国政府采购法》等相关法律法规之规定，按照平等、自愿、公平和诚实信用的原则，经</w:t>
      </w:r>
      <w:r>
        <w:rPr>
          <w:rFonts w:hint="eastAsia" w:ascii="宋体" w:hAnsi="宋体" w:eastAsia="宋体" w:cs="宋体"/>
          <w:sz w:val="24"/>
          <w:u w:val="single"/>
        </w:rPr>
        <w:t xml:space="preserve">   （采购人名称）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560" w:lineRule="exact"/>
        <w:ind w:firstLine="482" w:firstLineChars="200"/>
        <w:outlineLvl w:val="0"/>
        <w:rPr>
          <w:rFonts w:hint="eastAsia" w:ascii="宋体" w:hAnsi="宋体" w:eastAsia="宋体" w:cs="宋体"/>
          <w:b/>
          <w:sz w:val="24"/>
        </w:rPr>
      </w:pPr>
      <w:bookmarkStart w:id="93" w:name="_Toc30403"/>
      <w:bookmarkStart w:id="94" w:name="_Toc22511"/>
      <w:bookmarkStart w:id="95" w:name="_Toc19047"/>
      <w:bookmarkStart w:id="96" w:name="_Toc12337"/>
      <w:r>
        <w:rPr>
          <w:rFonts w:hint="eastAsia" w:ascii="宋体" w:hAnsi="宋体" w:eastAsia="宋体" w:cs="宋体"/>
          <w:b/>
          <w:sz w:val="24"/>
        </w:rPr>
        <w:t>1.1 合同组成部分</w:t>
      </w:r>
      <w:bookmarkEnd w:id="93"/>
      <w:bookmarkEnd w:id="94"/>
      <w:bookmarkEnd w:id="95"/>
      <w:bookmarkEnd w:id="9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spacing w:line="560" w:lineRule="exact"/>
        <w:ind w:firstLine="482" w:firstLineChars="200"/>
        <w:outlineLvl w:val="0"/>
        <w:rPr>
          <w:rFonts w:hint="eastAsia" w:ascii="宋体" w:hAnsi="宋体" w:eastAsia="宋体" w:cs="宋体"/>
          <w:b/>
          <w:sz w:val="24"/>
          <w:lang w:eastAsia="zh-CN"/>
        </w:rPr>
      </w:pPr>
      <w:bookmarkStart w:id="97" w:name="_Toc9622"/>
      <w:bookmarkStart w:id="98" w:name="_Toc16541"/>
      <w:bookmarkStart w:id="99" w:name="_Toc15089"/>
      <w:bookmarkStart w:id="100" w:name="_Toc28027"/>
      <w:r>
        <w:rPr>
          <w:rFonts w:hint="eastAsia" w:ascii="宋体" w:hAnsi="宋体" w:eastAsia="宋体" w:cs="宋体"/>
          <w:b/>
          <w:sz w:val="24"/>
        </w:rPr>
        <w:t xml:space="preserve">1.2 </w:t>
      </w:r>
      <w:r>
        <w:rPr>
          <w:rFonts w:hint="eastAsia" w:ascii="宋体" w:hAnsi="宋体" w:eastAsia="宋体" w:cs="宋体"/>
          <w:b/>
          <w:sz w:val="24"/>
          <w:lang w:eastAsia="zh-CN"/>
        </w:rPr>
        <w:t>服务</w:t>
      </w:r>
      <w:bookmarkEnd w:id="97"/>
      <w:bookmarkEnd w:id="98"/>
      <w:bookmarkEnd w:id="99"/>
      <w:bookmarkEnd w:id="100"/>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 xml:space="preserve">1.2.1 </w:t>
      </w:r>
      <w:r>
        <w:rPr>
          <w:rFonts w:hint="eastAsia" w:ascii="宋体" w:hAnsi="宋体" w:eastAsia="宋体" w:cs="宋体"/>
          <w:sz w:val="24"/>
          <w:lang w:eastAsia="zh-CN"/>
        </w:rPr>
        <w:t>服务</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 xml:space="preserve">1.2.2 </w:t>
      </w:r>
      <w:r>
        <w:rPr>
          <w:rFonts w:hint="eastAsia" w:ascii="宋体" w:hAnsi="宋体" w:eastAsia="宋体" w:cs="宋体"/>
          <w:sz w:val="24"/>
          <w:lang w:eastAsia="zh-CN"/>
        </w:rPr>
        <w:t>服务</w:t>
      </w:r>
      <w:r>
        <w:rPr>
          <w:rFonts w:hint="eastAsia" w:ascii="宋体" w:hAnsi="宋体" w:eastAsia="宋体" w:cs="宋体"/>
          <w:sz w:val="24"/>
        </w:rPr>
        <w:t>数量：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1.2.3 </w:t>
      </w:r>
      <w:r>
        <w:rPr>
          <w:rFonts w:hint="eastAsia" w:ascii="宋体" w:hAnsi="宋体" w:eastAsia="宋体" w:cs="宋体"/>
          <w:sz w:val="24"/>
          <w:lang w:eastAsia="zh-CN"/>
        </w:rPr>
        <w:t>服务</w:t>
      </w:r>
      <w:r>
        <w:rPr>
          <w:rFonts w:hint="eastAsia" w:ascii="宋体" w:hAnsi="宋体" w:eastAsia="宋体" w:cs="宋体"/>
          <w:sz w:val="24"/>
        </w:rPr>
        <w:t>质量：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101" w:name="_Toc2892"/>
      <w:bookmarkStart w:id="102" w:name="_Toc19514"/>
      <w:bookmarkStart w:id="103" w:name="_Toc19166"/>
      <w:bookmarkStart w:id="104" w:name="_Toc17083"/>
      <w:r>
        <w:rPr>
          <w:rFonts w:hint="eastAsia" w:ascii="宋体" w:hAnsi="宋体" w:eastAsia="宋体" w:cs="宋体"/>
          <w:b/>
          <w:sz w:val="24"/>
        </w:rPr>
        <w:t>1.3 价款</w:t>
      </w:r>
      <w:bookmarkEnd w:id="101"/>
      <w:bookmarkEnd w:id="102"/>
      <w:bookmarkEnd w:id="103"/>
      <w:bookmarkEnd w:id="104"/>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本合同总价为：￥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元人民币）。</w:t>
      </w:r>
    </w:p>
    <w:p>
      <w:pPr>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spacing w:line="56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序号</w:t>
            </w:r>
          </w:p>
        </w:tc>
        <w:tc>
          <w:tcPr>
            <w:tcW w:w="3402" w:type="dxa"/>
            <w:noWrap w:val="0"/>
            <w:vAlign w:val="center"/>
          </w:tcPr>
          <w:p>
            <w:pPr>
              <w:pStyle w:val="90"/>
              <w:spacing w:line="560" w:lineRule="exact"/>
              <w:ind w:firstLine="20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分项名称</w:t>
            </w:r>
          </w:p>
        </w:tc>
        <w:tc>
          <w:tcPr>
            <w:tcW w:w="2552" w:type="dxa"/>
            <w:noWrap w:val="0"/>
            <w:vAlign w:val="center"/>
          </w:tcPr>
          <w:p>
            <w:pPr>
              <w:pStyle w:val="90"/>
              <w:spacing w:line="56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spacing w:line="560" w:lineRule="exact"/>
              <w:ind w:firstLine="200"/>
              <w:jc w:val="center"/>
              <w:rPr>
                <w:rFonts w:hint="eastAsia" w:ascii="宋体" w:hAnsi="宋体" w:eastAsia="宋体" w:cs="宋体"/>
                <w:kern w:val="2"/>
                <w:sz w:val="24"/>
                <w:szCs w:val="24"/>
                <w:lang w:val="en-US" w:eastAsia="zh-CN"/>
              </w:rPr>
            </w:pPr>
          </w:p>
        </w:tc>
        <w:tc>
          <w:tcPr>
            <w:tcW w:w="3402" w:type="dxa"/>
            <w:noWrap w:val="0"/>
            <w:vAlign w:val="center"/>
          </w:tcPr>
          <w:p>
            <w:pPr>
              <w:pStyle w:val="90"/>
              <w:spacing w:line="560" w:lineRule="exact"/>
              <w:ind w:firstLine="200"/>
              <w:jc w:val="center"/>
              <w:rPr>
                <w:rFonts w:hint="eastAsia" w:ascii="宋体" w:hAnsi="宋体" w:eastAsia="宋体" w:cs="宋体"/>
                <w:kern w:val="2"/>
                <w:sz w:val="24"/>
                <w:szCs w:val="24"/>
                <w:lang w:val="en-US" w:eastAsia="zh-CN"/>
              </w:rPr>
            </w:pPr>
          </w:p>
        </w:tc>
        <w:tc>
          <w:tcPr>
            <w:tcW w:w="2552" w:type="dxa"/>
            <w:noWrap w:val="0"/>
            <w:vAlign w:val="center"/>
          </w:tcPr>
          <w:p>
            <w:pPr>
              <w:pStyle w:val="90"/>
              <w:spacing w:line="560" w:lineRule="exact"/>
              <w:ind w:firstLine="200"/>
              <w:jc w:val="center"/>
              <w:rPr>
                <w:rFonts w:hint="eastAsia" w:ascii="宋体" w:hAnsi="宋体" w:eastAsia="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spacing w:line="560" w:lineRule="exact"/>
              <w:ind w:firstLine="200"/>
              <w:jc w:val="center"/>
              <w:rPr>
                <w:rFonts w:hint="eastAsia" w:ascii="宋体" w:hAnsi="宋体" w:eastAsia="宋体" w:cs="宋体"/>
                <w:kern w:val="2"/>
                <w:sz w:val="24"/>
                <w:szCs w:val="24"/>
                <w:lang w:val="en-US" w:eastAsia="zh-CN"/>
              </w:rPr>
            </w:pPr>
          </w:p>
        </w:tc>
        <w:tc>
          <w:tcPr>
            <w:tcW w:w="3402" w:type="dxa"/>
            <w:noWrap w:val="0"/>
            <w:vAlign w:val="center"/>
          </w:tcPr>
          <w:p>
            <w:pPr>
              <w:pStyle w:val="90"/>
              <w:spacing w:line="560" w:lineRule="exact"/>
              <w:ind w:firstLine="200"/>
              <w:jc w:val="center"/>
              <w:rPr>
                <w:rFonts w:hint="eastAsia" w:ascii="宋体" w:hAnsi="宋体" w:eastAsia="宋体" w:cs="宋体"/>
                <w:kern w:val="2"/>
                <w:sz w:val="24"/>
                <w:szCs w:val="24"/>
                <w:lang w:val="en-US" w:eastAsia="zh-CN"/>
              </w:rPr>
            </w:pPr>
          </w:p>
        </w:tc>
        <w:tc>
          <w:tcPr>
            <w:tcW w:w="2552" w:type="dxa"/>
            <w:noWrap w:val="0"/>
            <w:vAlign w:val="center"/>
          </w:tcPr>
          <w:p>
            <w:pPr>
              <w:pStyle w:val="90"/>
              <w:spacing w:line="560" w:lineRule="exact"/>
              <w:ind w:firstLine="200"/>
              <w:jc w:val="center"/>
              <w:rPr>
                <w:rFonts w:hint="eastAsia" w:ascii="宋体" w:hAnsi="宋体" w:eastAsia="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spacing w:line="560" w:lineRule="exact"/>
              <w:ind w:firstLine="200"/>
              <w:jc w:val="center"/>
              <w:rPr>
                <w:rFonts w:hint="eastAsia" w:ascii="宋体" w:hAnsi="宋体" w:eastAsia="宋体" w:cs="宋体"/>
                <w:kern w:val="2"/>
                <w:sz w:val="24"/>
                <w:szCs w:val="24"/>
                <w:lang w:val="en-US" w:eastAsia="zh-CN"/>
              </w:rPr>
            </w:pPr>
          </w:p>
        </w:tc>
        <w:tc>
          <w:tcPr>
            <w:tcW w:w="3402" w:type="dxa"/>
            <w:noWrap w:val="0"/>
            <w:vAlign w:val="center"/>
          </w:tcPr>
          <w:p>
            <w:pPr>
              <w:pStyle w:val="90"/>
              <w:spacing w:line="560" w:lineRule="exact"/>
              <w:ind w:firstLine="200"/>
              <w:jc w:val="center"/>
              <w:rPr>
                <w:rFonts w:hint="eastAsia" w:ascii="宋体" w:hAnsi="宋体" w:eastAsia="宋体" w:cs="宋体"/>
                <w:kern w:val="2"/>
                <w:sz w:val="24"/>
                <w:szCs w:val="24"/>
                <w:lang w:val="en-US" w:eastAsia="zh-CN"/>
              </w:rPr>
            </w:pPr>
          </w:p>
        </w:tc>
        <w:tc>
          <w:tcPr>
            <w:tcW w:w="2552" w:type="dxa"/>
            <w:noWrap w:val="0"/>
            <w:vAlign w:val="center"/>
          </w:tcPr>
          <w:p>
            <w:pPr>
              <w:pStyle w:val="90"/>
              <w:spacing w:line="560" w:lineRule="exact"/>
              <w:ind w:firstLine="200"/>
              <w:jc w:val="center"/>
              <w:rPr>
                <w:rFonts w:hint="eastAsia" w:ascii="宋体" w:hAnsi="宋体" w:eastAsia="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spacing w:line="560" w:lineRule="exact"/>
              <w:ind w:firstLine="200"/>
              <w:jc w:val="center"/>
              <w:rPr>
                <w:rFonts w:hint="eastAsia" w:ascii="宋体" w:hAnsi="宋体" w:eastAsia="宋体" w:cs="宋体"/>
                <w:color w:val="auto"/>
                <w:kern w:val="2"/>
                <w:sz w:val="24"/>
                <w:szCs w:val="24"/>
                <w:lang w:val="en-US" w:eastAsia="zh-CN"/>
              </w:rPr>
            </w:pPr>
          </w:p>
        </w:tc>
        <w:tc>
          <w:tcPr>
            <w:tcW w:w="3402" w:type="dxa"/>
            <w:noWrap w:val="0"/>
            <w:vAlign w:val="center"/>
          </w:tcPr>
          <w:p>
            <w:pPr>
              <w:pStyle w:val="90"/>
              <w:spacing w:line="560" w:lineRule="exact"/>
              <w:ind w:firstLine="200"/>
              <w:jc w:val="center"/>
              <w:rPr>
                <w:rFonts w:hint="eastAsia" w:ascii="宋体" w:hAnsi="宋体" w:eastAsia="宋体" w:cs="宋体"/>
                <w:color w:val="auto"/>
                <w:kern w:val="2"/>
                <w:sz w:val="24"/>
                <w:szCs w:val="24"/>
                <w:lang w:val="en-US" w:eastAsia="zh-CN"/>
              </w:rPr>
            </w:pPr>
          </w:p>
        </w:tc>
        <w:tc>
          <w:tcPr>
            <w:tcW w:w="2552" w:type="dxa"/>
            <w:noWrap w:val="0"/>
            <w:vAlign w:val="center"/>
          </w:tcPr>
          <w:p>
            <w:pPr>
              <w:pStyle w:val="90"/>
              <w:spacing w:line="560" w:lineRule="exact"/>
              <w:ind w:firstLine="200"/>
              <w:jc w:val="center"/>
              <w:rPr>
                <w:rFonts w:hint="eastAsia"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90"/>
              <w:spacing w:line="560" w:lineRule="exact"/>
              <w:ind w:firstLine="20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总价</w:t>
            </w:r>
          </w:p>
        </w:tc>
        <w:tc>
          <w:tcPr>
            <w:tcW w:w="2552" w:type="dxa"/>
            <w:noWrap w:val="0"/>
            <w:vAlign w:val="center"/>
          </w:tcPr>
          <w:p>
            <w:pPr>
              <w:pStyle w:val="90"/>
              <w:spacing w:line="560" w:lineRule="exact"/>
              <w:ind w:firstLine="200"/>
              <w:jc w:val="center"/>
              <w:rPr>
                <w:rFonts w:hint="eastAsia" w:ascii="宋体" w:hAnsi="宋体" w:eastAsia="宋体" w:cs="宋体"/>
                <w:color w:val="auto"/>
                <w:kern w:val="2"/>
                <w:sz w:val="24"/>
                <w:szCs w:val="24"/>
                <w:lang w:val="en-US" w:eastAsia="zh-CN"/>
              </w:rPr>
            </w:pPr>
          </w:p>
        </w:tc>
      </w:tr>
    </w:tbl>
    <w:p>
      <w:pPr>
        <w:spacing w:line="560" w:lineRule="exact"/>
        <w:ind w:firstLine="482" w:firstLineChars="200"/>
        <w:outlineLvl w:val="0"/>
        <w:rPr>
          <w:rFonts w:hint="eastAsia" w:ascii="宋体" w:hAnsi="宋体" w:eastAsia="宋体" w:cs="宋体"/>
          <w:b/>
          <w:color w:val="auto"/>
          <w:sz w:val="24"/>
          <w:highlight w:val="none"/>
        </w:rPr>
      </w:pPr>
      <w:bookmarkStart w:id="105" w:name="_Toc17159"/>
      <w:bookmarkStart w:id="106" w:name="_Toc31459"/>
      <w:bookmarkStart w:id="107" w:name="_Toc25680"/>
      <w:bookmarkStart w:id="108" w:name="_Toc25442"/>
      <w:r>
        <w:rPr>
          <w:rFonts w:hint="eastAsia" w:ascii="宋体" w:hAnsi="宋体" w:eastAsia="宋体" w:cs="宋体"/>
          <w:b/>
          <w:color w:val="auto"/>
          <w:sz w:val="24"/>
        </w:rPr>
        <w:t xml:space="preserve">1.4 </w:t>
      </w:r>
      <w:r>
        <w:rPr>
          <w:rFonts w:hint="eastAsia" w:ascii="宋体" w:hAnsi="宋体" w:eastAsia="宋体" w:cs="宋体"/>
          <w:b/>
          <w:color w:val="auto"/>
          <w:sz w:val="24"/>
          <w:highlight w:val="none"/>
        </w:rPr>
        <w:t>付款方式和发票开具方式</w:t>
      </w:r>
      <w:bookmarkEnd w:id="105"/>
      <w:bookmarkEnd w:id="106"/>
      <w:bookmarkEnd w:id="107"/>
      <w:bookmarkEnd w:id="108"/>
    </w:p>
    <w:p>
      <w:pPr>
        <w:keepNext w:val="0"/>
        <w:keepLines w:val="0"/>
        <w:pageBreakBefore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sz w:val="24"/>
          <w:highlight w:val="none"/>
          <w:lang w:val="en-US"/>
        </w:rPr>
      </w:pPr>
      <w:r>
        <w:rPr>
          <w:rFonts w:hint="eastAsia" w:ascii="宋体" w:hAnsi="宋体" w:eastAsia="宋体" w:cs="宋体"/>
          <w:b w:val="0"/>
          <w:bCs w:val="0"/>
          <w:color w:val="auto"/>
          <w:sz w:val="24"/>
          <w:highlight w:val="none"/>
        </w:rPr>
        <w:t>1.4.1 付款方式：</w:t>
      </w:r>
      <w:r>
        <w:rPr>
          <w:rFonts w:hint="eastAsia" w:ascii="宋体" w:hAnsi="宋体" w:eastAsia="宋体" w:cs="宋体"/>
          <w:b w:val="0"/>
          <w:bCs w:val="0"/>
          <w:i w:val="0"/>
          <w:iCs w:val="0"/>
          <w:sz w:val="24"/>
          <w:szCs w:val="24"/>
          <w:u w:val="single"/>
        </w:rPr>
        <w:t>根据合同完成进度进行付款。</w:t>
      </w:r>
    </w:p>
    <w:p>
      <w:pPr>
        <w:spacing w:line="560" w:lineRule="exact"/>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b/>
          <w:bCs/>
          <w:i/>
          <w:iCs/>
          <w:color w:val="auto"/>
          <w:sz w:val="24"/>
          <w:highlight w:val="none"/>
          <w:u w:val="single"/>
          <w:lang w:val="en-US" w:eastAsia="zh-CN"/>
        </w:rPr>
        <w:t xml:space="preserve">                </w:t>
      </w:r>
    </w:p>
    <w:p>
      <w:pPr>
        <w:spacing w:line="560" w:lineRule="exact"/>
        <w:ind w:firstLine="482" w:firstLineChars="200"/>
        <w:outlineLvl w:val="0"/>
        <w:rPr>
          <w:rFonts w:hint="eastAsia" w:ascii="宋体" w:hAnsi="宋体" w:eastAsia="宋体" w:cs="宋体"/>
          <w:b/>
          <w:color w:val="auto"/>
          <w:sz w:val="24"/>
          <w:highlight w:val="none"/>
        </w:rPr>
      </w:pPr>
      <w:bookmarkStart w:id="109" w:name="_Toc4953"/>
      <w:bookmarkStart w:id="110" w:name="_Toc8859"/>
      <w:bookmarkStart w:id="111" w:name="_Toc30337"/>
      <w:bookmarkStart w:id="112" w:name="_Toc17712"/>
      <w:r>
        <w:rPr>
          <w:rFonts w:hint="eastAsia" w:ascii="宋体" w:hAnsi="宋体" w:eastAsia="宋体" w:cs="宋体"/>
          <w:b/>
          <w:color w:val="auto"/>
          <w:sz w:val="24"/>
          <w:highlight w:val="none"/>
        </w:rPr>
        <w:t>1.5  交付期限、地点和方式</w:t>
      </w:r>
      <w:bookmarkEnd w:id="109"/>
      <w:bookmarkEnd w:id="110"/>
      <w:bookmarkEnd w:id="111"/>
      <w:bookmarkEnd w:id="112"/>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highlight w:val="none"/>
        </w:rPr>
        <w:t xml:space="preserve">1.5.1 </w:t>
      </w:r>
      <w:r>
        <w:rPr>
          <w:rFonts w:hint="eastAsia" w:ascii="宋体" w:hAnsi="宋体" w:eastAsia="宋体" w:cs="宋体"/>
          <w:color w:val="auto"/>
          <w:sz w:val="24"/>
          <w:highlight w:val="none"/>
          <w:lang w:val="en-US" w:eastAsia="zh-CN"/>
        </w:rPr>
        <w:t>服务期限：</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val="0"/>
          <w:bCs w:val="0"/>
          <w:kern w:val="0"/>
          <w:sz w:val="24"/>
          <w:szCs w:val="24"/>
          <w:highlight w:val="none"/>
          <w:u w:val="single"/>
        </w:rPr>
        <w:t>自合同签订后至</w:t>
      </w:r>
      <w:r>
        <w:rPr>
          <w:rFonts w:hint="eastAsia" w:ascii="宋体" w:hAnsi="宋体" w:eastAsia="宋体" w:cs="宋体"/>
          <w:b w:val="0"/>
          <w:bCs w:val="0"/>
          <w:kern w:val="0"/>
          <w:sz w:val="24"/>
          <w:szCs w:val="24"/>
          <w:highlight w:val="none"/>
          <w:u w:val="single"/>
          <w:lang w:val="en-US" w:eastAsia="zh-CN"/>
        </w:rPr>
        <w:t>采购项目</w:t>
      </w:r>
      <w:r>
        <w:rPr>
          <w:rFonts w:hint="eastAsia" w:ascii="宋体" w:hAnsi="宋体" w:eastAsia="宋体" w:cs="宋体"/>
          <w:b w:val="0"/>
          <w:bCs w:val="0"/>
          <w:kern w:val="0"/>
          <w:sz w:val="24"/>
          <w:szCs w:val="24"/>
          <w:highlight w:val="none"/>
          <w:u w:val="single"/>
        </w:rPr>
        <w:t>完成</w:t>
      </w:r>
      <w:r>
        <w:rPr>
          <w:rFonts w:hint="eastAsia" w:ascii="宋体" w:hAnsi="宋体" w:eastAsia="宋体" w:cs="宋体"/>
          <w:b w:val="0"/>
          <w:bCs w:val="0"/>
          <w:kern w:val="0"/>
          <w:sz w:val="24"/>
          <w:szCs w:val="24"/>
          <w:highlight w:val="none"/>
          <w:u w:val="single"/>
          <w:lang w:eastAsia="zh-CN"/>
        </w:rPr>
        <w:t>止</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pStyle w:val="84"/>
        <w:keepNext w:val="0"/>
        <w:keepLines w:val="0"/>
        <w:pageBreakBefore w:val="0"/>
        <w:numPr>
          <w:ilvl w:val="0"/>
          <w:numId w:val="0"/>
        </w:numPr>
        <w:tabs>
          <w:tab w:val="left" w:pos="2095"/>
        </w:tabs>
        <w:kinsoku/>
        <w:wordWrap/>
        <w:overflowPunct/>
        <w:topLinePunct w:val="0"/>
        <w:autoSpaceDE/>
        <w:autoSpaceDN/>
        <w:bidi w:val="0"/>
        <w:adjustRightInd/>
        <w:snapToGrid/>
        <w:spacing w:after="0" w:line="360" w:lineRule="auto"/>
        <w:ind w:left="479" w:leftChars="228"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1.5.2 </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采购人指定地点（具体以签订合同内容为准）</w:t>
      </w:r>
    </w:p>
    <w:p>
      <w:pPr>
        <w:pStyle w:val="84"/>
        <w:keepNext w:val="0"/>
        <w:keepLines w:val="0"/>
        <w:pageBreakBefore w:val="0"/>
        <w:numPr>
          <w:ilvl w:val="0"/>
          <w:numId w:val="0"/>
        </w:numPr>
        <w:tabs>
          <w:tab w:val="left" w:pos="2095"/>
        </w:tabs>
        <w:kinsoku/>
        <w:wordWrap/>
        <w:overflowPunct/>
        <w:topLinePunct w:val="0"/>
        <w:autoSpaceDE/>
        <w:autoSpaceDN/>
        <w:bidi w:val="0"/>
        <w:adjustRightInd/>
        <w:snapToGrid/>
        <w:spacing w:after="0" w:line="360" w:lineRule="auto"/>
        <w:ind w:left="479" w:leftChars="228" w:right="0" w:rightChars="0" w:firstLine="0" w:firstLineChars="0"/>
        <w:jc w:val="left"/>
        <w:textAlignment w:val="auto"/>
        <w:rPr>
          <w:rFonts w:hint="eastAsia" w:ascii="宋体" w:hAnsi="宋体" w:eastAsia="宋体" w:cs="宋体"/>
          <w:color w:val="FF0000"/>
          <w:sz w:val="24"/>
          <w:highlight w:val="none"/>
        </w:rPr>
      </w:pPr>
      <w:r>
        <w:rPr>
          <w:rFonts w:hint="eastAsia" w:ascii="宋体" w:hAnsi="宋体" w:eastAsia="宋体" w:cs="宋体"/>
          <w:color w:val="auto"/>
          <w:sz w:val="24"/>
          <w:highlight w:val="none"/>
        </w:rPr>
        <w:t xml:space="preserve">1.5.3 </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u w:val="single"/>
          <w:lang w:val="en-US" w:eastAsia="zh-CN"/>
        </w:rPr>
        <w:t xml:space="preserve">                            </w:t>
      </w:r>
    </w:p>
    <w:p>
      <w:pPr>
        <w:spacing w:line="560" w:lineRule="exact"/>
        <w:ind w:firstLine="482" w:firstLineChars="200"/>
        <w:outlineLvl w:val="0"/>
        <w:rPr>
          <w:rFonts w:hint="eastAsia" w:ascii="宋体" w:hAnsi="宋体" w:eastAsia="宋体" w:cs="宋体"/>
          <w:b/>
          <w:color w:val="auto"/>
          <w:sz w:val="24"/>
          <w:highlight w:val="none"/>
        </w:rPr>
      </w:pPr>
      <w:bookmarkStart w:id="113" w:name="_Toc6927"/>
      <w:bookmarkStart w:id="114" w:name="_Toc11266"/>
      <w:bookmarkStart w:id="115" w:name="_Toc30743"/>
      <w:bookmarkStart w:id="116" w:name="_Toc22885"/>
      <w:bookmarkStart w:id="117" w:name="_Toc19554"/>
      <w:bookmarkStart w:id="118" w:name="_Toc27250"/>
      <w:bookmarkStart w:id="119" w:name="_Toc19983"/>
      <w:bookmarkStart w:id="120" w:name="_Toc21423"/>
      <w:r>
        <w:rPr>
          <w:rFonts w:hint="eastAsia" w:ascii="宋体" w:hAnsi="宋体" w:eastAsia="宋体" w:cs="宋体"/>
          <w:b/>
          <w:color w:val="auto"/>
          <w:sz w:val="24"/>
          <w:highlight w:val="none"/>
        </w:rPr>
        <w:t>1.6 违约责任</w:t>
      </w:r>
      <w:bookmarkEnd w:id="113"/>
      <w:bookmarkEnd w:id="114"/>
      <w:bookmarkEnd w:id="115"/>
      <w:bookmarkEnd w:id="116"/>
      <w:bookmarkEnd w:id="117"/>
      <w:bookmarkEnd w:id="118"/>
      <w:bookmarkEnd w:id="119"/>
      <w:bookmarkEnd w:id="120"/>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rPr>
        <w:t>1.6.1 除不可抗力外，如果乙方没有按照本合同约定的期限、地点和方式交付</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，那么甲方可要求乙方支付违约金，违约金按每迟延交付</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一日的应交付而未交付</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%；迟延交付</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的违约金计算数额达到前述最高限额之日起，甲方有权在要求乙方支付违约金的</w:t>
      </w:r>
      <w:r>
        <w:rPr>
          <w:rFonts w:hint="eastAsia" w:ascii="宋体" w:hAnsi="宋体" w:eastAsia="宋体" w:cs="宋体"/>
          <w:color w:val="auto"/>
          <w:sz w:val="24"/>
        </w:rPr>
        <w:t>同时，书面通知乙方解除本合同；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color w:val="auto"/>
          <w:sz w:val="24"/>
        </w:rPr>
        <w:t>1.6.3 除不可抗力外，任何一方未能履行本合同约定的其他主要义务，经催告后在合理期限内仍未履行的，或者任何一方有其他违约行为致使不能实现合</w:t>
      </w:r>
      <w:r>
        <w:rPr>
          <w:rFonts w:hint="eastAsia" w:ascii="宋体" w:hAnsi="宋体" w:eastAsia="宋体" w:cs="宋体"/>
          <w:sz w:val="24"/>
        </w:rPr>
        <w:t>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rPr>
      </w:pPr>
      <w:bookmarkStart w:id="121" w:name="_Toc8503"/>
      <w:bookmarkStart w:id="122" w:name="_Toc30675"/>
      <w:bookmarkStart w:id="123" w:name="_Toc11565"/>
      <w:bookmarkStart w:id="124" w:name="_Toc5505"/>
      <w:bookmarkStart w:id="125" w:name="_Toc16021"/>
      <w:bookmarkStart w:id="126" w:name="_Toc8724"/>
      <w:bookmarkStart w:id="127" w:name="_Toc28375"/>
      <w:bookmarkStart w:id="128" w:name="_Toc15583"/>
      <w:r>
        <w:rPr>
          <w:rFonts w:hint="eastAsia" w:ascii="宋体" w:hAnsi="宋体" w:eastAsia="宋体" w:cs="宋体"/>
          <w:b/>
          <w:sz w:val="24"/>
        </w:rPr>
        <w:t>1.7 合同争议的解决</w:t>
      </w:r>
      <w:bookmarkEnd w:id="121"/>
      <w:bookmarkEnd w:id="122"/>
      <w:bookmarkEnd w:id="123"/>
      <w:bookmarkEnd w:id="124"/>
      <w:bookmarkEnd w:id="125"/>
      <w:bookmarkEnd w:id="126"/>
      <w:bookmarkEnd w:id="127"/>
      <w:bookmarkEnd w:id="128"/>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sz w:val="24"/>
        </w:rPr>
        <w:t>本合同履行过程中发生的任何争议，双方当事人均可通过和解或者调解解决；不愿和解、调解或者和解、调</w:t>
      </w:r>
      <w:r>
        <w:rPr>
          <w:rFonts w:hint="eastAsia" w:ascii="宋体" w:hAnsi="宋体" w:eastAsia="宋体" w:cs="宋体"/>
          <w:color w:val="auto"/>
          <w:sz w:val="24"/>
        </w:rPr>
        <w:t>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pPr>
        <w:spacing w:line="560" w:lineRule="exact"/>
        <w:ind w:firstLine="480" w:firstLineChars="200"/>
        <w:rPr>
          <w:rFonts w:hint="eastAsia" w:ascii="宋体" w:hAnsi="宋体" w:eastAsia="宋体" w:cs="宋体"/>
          <w:sz w:val="24"/>
        </w:rPr>
      </w:pPr>
      <w:r>
        <w:rPr>
          <w:rFonts w:hint="eastAsia" w:ascii="宋体" w:hAnsi="宋体" w:eastAsia="宋体" w:cs="宋体"/>
          <w:color w:val="auto"/>
          <w:sz w:val="24"/>
        </w:rPr>
        <w:t>1.7.1 将争议提交</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仲裁委员会依申请仲裁时其现行有效的仲</w:t>
      </w:r>
      <w:r>
        <w:rPr>
          <w:rFonts w:hint="eastAsia" w:ascii="宋体" w:hAnsi="宋体" w:eastAsia="宋体" w:cs="宋体"/>
          <w:sz w:val="24"/>
        </w:rPr>
        <w:t>裁规则裁决；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spacing w:line="560" w:lineRule="exact"/>
        <w:ind w:firstLine="482" w:firstLineChars="200"/>
        <w:outlineLvl w:val="0"/>
        <w:rPr>
          <w:rFonts w:hint="eastAsia" w:ascii="宋体" w:hAnsi="宋体" w:eastAsia="宋体" w:cs="宋体"/>
          <w:b/>
          <w:sz w:val="24"/>
        </w:rPr>
      </w:pPr>
      <w:bookmarkStart w:id="129" w:name="_Toc23272"/>
      <w:bookmarkStart w:id="130" w:name="_Toc11173"/>
      <w:bookmarkStart w:id="131" w:name="_Toc10489"/>
      <w:bookmarkStart w:id="132" w:name="_Toc7245"/>
      <w:bookmarkStart w:id="133" w:name="_Toc5550"/>
      <w:bookmarkStart w:id="134" w:name="_Toc417"/>
      <w:bookmarkStart w:id="135" w:name="_Toc15322"/>
      <w:bookmarkStart w:id="136" w:name="_Toc568"/>
      <w:r>
        <w:rPr>
          <w:rFonts w:hint="eastAsia" w:ascii="宋体" w:hAnsi="宋体" w:eastAsia="宋体" w:cs="宋体"/>
          <w:b/>
          <w:sz w:val="24"/>
        </w:rPr>
        <w:t>1.8 合同生效</w:t>
      </w:r>
      <w:bookmarkEnd w:id="129"/>
      <w:bookmarkEnd w:id="130"/>
      <w:bookmarkEnd w:id="131"/>
      <w:bookmarkEnd w:id="132"/>
      <w:bookmarkEnd w:id="133"/>
      <w:bookmarkEnd w:id="134"/>
      <w:bookmarkEnd w:id="135"/>
      <w:bookmarkEnd w:id="136"/>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住所：                                   住所：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法定代表人或                             法定代表人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传真:                                    传真:</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lang w:val="zh-CN"/>
        </w:rPr>
        <w:t>电子邮箱：                               电子邮箱：</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开户银行：                               开户银行：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开户名称：                               开户名称：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widowControl/>
        <w:spacing w:line="560" w:lineRule="exact"/>
        <w:jc w:val="left"/>
        <w:rPr>
          <w:rFonts w:hint="eastAsia" w:ascii="宋体" w:hAnsi="宋体" w:eastAsia="宋体" w:cs="宋体"/>
          <w:b/>
        </w:rPr>
      </w:pPr>
      <w:bookmarkStart w:id="137" w:name="_Toc331685783"/>
    </w:p>
    <w:p>
      <w:pPr>
        <w:widowControl/>
        <w:spacing w:line="560" w:lineRule="exact"/>
        <w:jc w:val="left"/>
        <w:rPr>
          <w:rFonts w:hint="eastAsia" w:ascii="宋体" w:hAnsi="宋体" w:eastAsia="宋体" w:cs="宋体"/>
          <w:b/>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9"/>
        <w:rPr>
          <w:rFonts w:hint="eastAsia"/>
        </w:rPr>
      </w:pPr>
    </w:p>
    <w:p>
      <w:pPr>
        <w:pStyle w:val="22"/>
        <w:rPr>
          <w:rFonts w:hint="eastAsia" w:ascii="宋体" w:hAnsi="宋体" w:eastAsia="宋体" w:cs="宋体"/>
        </w:rPr>
      </w:pPr>
    </w:p>
    <w:p>
      <w:pPr>
        <w:pStyle w:val="89"/>
        <w:spacing w:line="560" w:lineRule="exact"/>
        <w:ind w:firstLine="200"/>
        <w:jc w:val="center"/>
        <w:rPr>
          <w:rFonts w:hint="eastAsia" w:ascii="宋体" w:hAnsi="宋体" w:eastAsia="宋体" w:cs="宋体"/>
          <w:b/>
          <w:szCs w:val="24"/>
        </w:rPr>
      </w:pPr>
      <w:r>
        <w:rPr>
          <w:rFonts w:hint="eastAsia" w:ascii="宋体" w:hAnsi="宋体" w:eastAsia="宋体" w:cs="宋体"/>
          <w:b/>
          <w:szCs w:val="24"/>
        </w:rPr>
        <w:t>第二部分 合同一般条款</w:t>
      </w:r>
      <w:bookmarkEnd w:id="137"/>
    </w:p>
    <w:p>
      <w:pPr>
        <w:spacing w:line="560" w:lineRule="exact"/>
        <w:ind w:firstLine="482" w:firstLineChars="200"/>
        <w:outlineLvl w:val="0"/>
        <w:rPr>
          <w:rFonts w:hint="eastAsia" w:ascii="宋体" w:hAnsi="宋体" w:eastAsia="宋体" w:cs="宋体"/>
          <w:b/>
          <w:sz w:val="24"/>
        </w:rPr>
      </w:pPr>
      <w:bookmarkStart w:id="138" w:name="_Ref467378499"/>
      <w:bookmarkStart w:id="139" w:name="_Ref467379109"/>
      <w:bookmarkStart w:id="140" w:name="_Ref467379094"/>
      <w:bookmarkStart w:id="141" w:name="_Toc14637"/>
      <w:bookmarkStart w:id="142" w:name="_Toc9564"/>
      <w:bookmarkStart w:id="143" w:name="_Ref467379225"/>
      <w:bookmarkStart w:id="144" w:name="_Ref467378404"/>
      <w:bookmarkStart w:id="145" w:name="_Ref467379205"/>
      <w:bookmarkStart w:id="146" w:name="_Toc21018"/>
      <w:bookmarkStart w:id="147" w:name="_Toc10543"/>
      <w:bookmarkStart w:id="148" w:name="_Ref467379214"/>
      <w:bookmarkStart w:id="149" w:name="_Ref467378463"/>
      <w:bookmarkStart w:id="150" w:name="_Toc16917"/>
      <w:bookmarkStart w:id="151" w:name="_Toc487900349"/>
      <w:bookmarkStart w:id="152" w:name="_Ref467379101"/>
      <w:bookmarkStart w:id="153" w:name="_Toc259093669"/>
      <w:bookmarkStart w:id="154" w:name="_Ref467379195"/>
      <w:bookmarkStart w:id="155" w:name="_Toc279701240"/>
      <w:bookmarkStart w:id="156" w:name="_Toc17905"/>
      <w:bookmarkStart w:id="157" w:name="_Toc28763"/>
      <w:bookmarkStart w:id="158" w:name="_Toc19614"/>
      <w:r>
        <w:rPr>
          <w:rFonts w:hint="eastAsia" w:ascii="宋体" w:hAnsi="宋体" w:eastAsia="宋体" w:cs="宋体"/>
          <w:b/>
          <w:sz w:val="24"/>
        </w:rPr>
        <w:t>2.1 定义</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 “</w:t>
      </w:r>
      <w:r>
        <w:rPr>
          <w:rFonts w:hint="eastAsia" w:ascii="宋体" w:hAnsi="宋体" w:eastAsia="宋体" w:cs="宋体"/>
          <w:sz w:val="24"/>
          <w:lang w:eastAsia="zh-CN"/>
        </w:rPr>
        <w:t>货物</w:t>
      </w:r>
      <w:r>
        <w:rPr>
          <w:rFonts w:hint="eastAsia" w:ascii="宋体" w:hAnsi="宋体" w:eastAsia="宋体" w:cs="宋体"/>
          <w:sz w:val="24"/>
        </w:rPr>
        <w:t>”系指采购人和中标供应商签订的载明双方当事人所达成的协议，并包括所有的附件、附录和构成合同的其他文件。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 “</w:t>
      </w:r>
      <w:r>
        <w:rPr>
          <w:rFonts w:hint="eastAsia" w:ascii="宋体" w:hAnsi="宋体" w:eastAsia="宋体" w:cs="宋体"/>
          <w:sz w:val="24"/>
          <w:lang w:eastAsia="zh-CN"/>
        </w:rPr>
        <w:t>货物</w:t>
      </w:r>
      <w:r>
        <w:rPr>
          <w:rFonts w:hint="eastAsia" w:ascii="宋体" w:hAnsi="宋体" w:eastAsia="宋体" w:cs="宋体"/>
          <w:sz w:val="24"/>
        </w:rPr>
        <w:t>”系指中标供应商根据合同约定应向采购人交付的一切各种形态和种类的物品，包括原材料、燃料、设备、机械、仪表、备件、计算机软件、产品等，并包括工具、手册等其他相关资料。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sz w:val="24"/>
        </w:rPr>
      </w:pPr>
      <w:bookmarkStart w:id="159" w:name="_Ref467378840"/>
      <w:r>
        <w:rPr>
          <w:rFonts w:hint="eastAsia" w:ascii="宋体" w:hAnsi="宋体" w:eastAsia="宋体" w:cs="宋体"/>
          <w:sz w:val="24"/>
        </w:rPr>
        <w:t>2.1.4 “甲方”系指与中标供应商签署合同的采购人</w:t>
      </w:r>
      <w:bookmarkEnd w:id="159"/>
      <w:r>
        <w:rPr>
          <w:rFonts w:hint="eastAsia" w:ascii="宋体" w:hAnsi="宋体" w:eastAsia="宋体" w:cs="宋体"/>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rPr>
      </w:pPr>
      <w:bookmarkStart w:id="160" w:name="_Ref467379400"/>
      <w:r>
        <w:rPr>
          <w:rFonts w:hint="eastAsia" w:ascii="宋体" w:hAnsi="宋体" w:eastAsia="宋体" w:cs="宋体"/>
          <w:sz w:val="24"/>
        </w:rPr>
        <w:t>2.1.5 “乙方”系指根据合同约定交付</w:t>
      </w:r>
      <w:r>
        <w:rPr>
          <w:rFonts w:hint="eastAsia" w:ascii="宋体" w:hAnsi="宋体" w:eastAsia="宋体" w:cs="宋体"/>
          <w:sz w:val="24"/>
          <w:lang w:eastAsia="zh-CN"/>
        </w:rPr>
        <w:t>服务</w:t>
      </w:r>
      <w:r>
        <w:rPr>
          <w:rFonts w:hint="eastAsia" w:ascii="宋体" w:hAnsi="宋体" w:eastAsia="宋体" w:cs="宋体"/>
          <w:sz w:val="24"/>
        </w:rPr>
        <w:t>的中标供应商</w:t>
      </w:r>
      <w:bookmarkEnd w:id="160"/>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rPr>
      </w:pPr>
      <w:bookmarkStart w:id="161" w:name="_Ref467379436"/>
      <w:r>
        <w:rPr>
          <w:rFonts w:hint="eastAsia" w:ascii="宋体" w:hAnsi="宋体" w:eastAsia="宋体" w:cs="宋体"/>
          <w:sz w:val="24"/>
        </w:rPr>
        <w:t>2.1.6 “现场”系指合同约定</w:t>
      </w:r>
      <w:r>
        <w:rPr>
          <w:rFonts w:hint="eastAsia" w:ascii="宋体" w:hAnsi="宋体" w:eastAsia="宋体" w:cs="宋体"/>
          <w:sz w:val="24"/>
          <w:lang w:eastAsia="zh-CN"/>
        </w:rPr>
        <w:t>服务</w:t>
      </w:r>
      <w:r>
        <w:rPr>
          <w:rFonts w:hint="eastAsia" w:ascii="宋体" w:hAnsi="宋体" w:eastAsia="宋体" w:cs="宋体"/>
          <w:sz w:val="24"/>
        </w:rPr>
        <w:t>将要运至或者安装的地点。</w:t>
      </w:r>
      <w:bookmarkEnd w:id="161"/>
    </w:p>
    <w:p>
      <w:pPr>
        <w:spacing w:line="560" w:lineRule="exact"/>
        <w:ind w:firstLine="482" w:firstLineChars="200"/>
        <w:outlineLvl w:val="0"/>
        <w:rPr>
          <w:rFonts w:hint="eastAsia" w:ascii="宋体" w:hAnsi="宋体" w:eastAsia="宋体" w:cs="宋体"/>
          <w:b/>
          <w:sz w:val="24"/>
        </w:rPr>
      </w:pPr>
      <w:bookmarkStart w:id="162" w:name="_Toc32504"/>
      <w:bookmarkStart w:id="163" w:name="_Toc22171"/>
      <w:bookmarkStart w:id="164" w:name="_Toc259093670"/>
      <w:bookmarkStart w:id="165" w:name="_Toc17107"/>
      <w:bookmarkStart w:id="166" w:name="_Toc487900350"/>
      <w:bookmarkStart w:id="167" w:name="_Toc27635"/>
      <w:bookmarkStart w:id="168" w:name="_Toc279701241"/>
      <w:bookmarkStart w:id="169" w:name="_Toc13336"/>
      <w:bookmarkStart w:id="170" w:name="_Toc14684"/>
      <w:bookmarkStart w:id="171" w:name="_Toc18130"/>
      <w:bookmarkStart w:id="172" w:name="_Toc27012"/>
      <w:r>
        <w:rPr>
          <w:rFonts w:hint="eastAsia" w:ascii="宋体" w:hAnsi="宋体" w:eastAsia="宋体" w:cs="宋体"/>
          <w:b/>
          <w:sz w:val="24"/>
        </w:rPr>
        <w:t>2.2 技术规范</w:t>
      </w:r>
      <w:bookmarkEnd w:id="162"/>
      <w:bookmarkEnd w:id="163"/>
      <w:bookmarkEnd w:id="164"/>
      <w:bookmarkEnd w:id="165"/>
      <w:bookmarkEnd w:id="166"/>
      <w:bookmarkEnd w:id="167"/>
      <w:bookmarkEnd w:id="168"/>
      <w:bookmarkEnd w:id="169"/>
      <w:bookmarkEnd w:id="170"/>
      <w:bookmarkEnd w:id="171"/>
      <w:bookmarkEnd w:id="172"/>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eastAsia="zh-CN"/>
        </w:rPr>
        <w:t>服务</w:t>
      </w:r>
      <w:r>
        <w:rPr>
          <w:rFonts w:hint="eastAsia" w:ascii="宋体" w:hAnsi="宋体" w:eastAsia="宋体" w:cs="宋体"/>
          <w:sz w:val="24"/>
        </w:rPr>
        <w:t>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rPr>
      </w:pPr>
      <w:bookmarkStart w:id="173" w:name="_Toc31634"/>
      <w:bookmarkStart w:id="174" w:name="_Toc10301"/>
      <w:bookmarkStart w:id="175" w:name="_Toc9461"/>
      <w:bookmarkStart w:id="176" w:name="_Toc2073"/>
      <w:bookmarkStart w:id="177" w:name="_Toc279701242"/>
      <w:bookmarkStart w:id="178" w:name="_Toc487900351"/>
      <w:bookmarkStart w:id="179" w:name="_Toc30370"/>
      <w:bookmarkStart w:id="180" w:name="_Toc25596"/>
      <w:bookmarkStart w:id="181" w:name="_Toc27853"/>
      <w:bookmarkStart w:id="182" w:name="_Toc259093671"/>
      <w:bookmarkStart w:id="183" w:name="_Toc9829"/>
      <w:r>
        <w:rPr>
          <w:rFonts w:hint="eastAsia" w:ascii="宋体" w:hAnsi="宋体" w:eastAsia="宋体" w:cs="宋体"/>
          <w:b/>
          <w:sz w:val="24"/>
        </w:rPr>
        <w:t>2.3 知识产权</w:t>
      </w:r>
      <w:bookmarkEnd w:id="173"/>
      <w:bookmarkEnd w:id="174"/>
      <w:bookmarkEnd w:id="175"/>
      <w:bookmarkEnd w:id="176"/>
      <w:bookmarkEnd w:id="177"/>
      <w:bookmarkEnd w:id="178"/>
      <w:bookmarkEnd w:id="179"/>
      <w:bookmarkEnd w:id="180"/>
      <w:bookmarkEnd w:id="181"/>
      <w:bookmarkEnd w:id="182"/>
      <w:bookmarkEnd w:id="18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2.3.1 乙方应保证甲方在使用该</w:t>
      </w:r>
      <w:r>
        <w:rPr>
          <w:rFonts w:hint="eastAsia" w:ascii="宋体" w:hAnsi="宋体" w:eastAsia="宋体" w:cs="宋体"/>
          <w:sz w:val="24"/>
          <w:lang w:eastAsia="zh-CN"/>
        </w:rPr>
        <w:t>服务</w:t>
      </w:r>
      <w:r>
        <w:rPr>
          <w:rFonts w:hint="eastAsia" w:ascii="宋体" w:hAnsi="宋体" w:eastAsia="宋体" w:cs="宋体"/>
          <w:sz w:val="24"/>
        </w:rPr>
        <w:t>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2.3.2具有知识产权的计算机软件等</w:t>
      </w:r>
      <w:r>
        <w:rPr>
          <w:rFonts w:hint="eastAsia" w:ascii="宋体" w:hAnsi="宋体" w:eastAsia="宋体" w:cs="宋体"/>
          <w:sz w:val="24"/>
          <w:lang w:eastAsia="zh-CN"/>
        </w:rPr>
        <w:t>服务</w:t>
      </w:r>
      <w:r>
        <w:rPr>
          <w:rFonts w:hint="eastAsia" w:ascii="宋体" w:hAnsi="宋体" w:eastAsia="宋体" w:cs="宋体"/>
          <w:sz w:val="24"/>
        </w:rPr>
        <w:t>的知识产权归属，详见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184" w:name="_Toc8108"/>
      <w:bookmarkStart w:id="185" w:name="_Toc29149"/>
      <w:bookmarkStart w:id="186" w:name="_Toc18842"/>
      <w:bookmarkStart w:id="187" w:name="_Toc26868"/>
      <w:bookmarkStart w:id="188" w:name="_Toc11932"/>
      <w:bookmarkStart w:id="189" w:name="_Toc28254"/>
      <w:bookmarkStart w:id="190" w:name="_Toc1841"/>
      <w:bookmarkStart w:id="191" w:name="_Toc4194"/>
      <w:r>
        <w:rPr>
          <w:rFonts w:hint="eastAsia" w:ascii="宋体" w:hAnsi="宋体" w:eastAsia="宋体" w:cs="宋体"/>
          <w:b/>
          <w:sz w:val="24"/>
        </w:rPr>
        <w:t>2.4 包装和装运</w:t>
      </w:r>
      <w:bookmarkEnd w:id="184"/>
      <w:bookmarkEnd w:id="185"/>
      <w:bookmarkEnd w:id="186"/>
      <w:bookmarkEnd w:id="187"/>
      <w:bookmarkEnd w:id="188"/>
      <w:bookmarkEnd w:id="189"/>
      <w:bookmarkEnd w:id="190"/>
      <w:bookmarkEnd w:id="19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2.4.1除</w:t>
      </w:r>
      <w:r>
        <w:rPr>
          <w:rFonts w:hint="eastAsia" w:ascii="宋体" w:hAnsi="宋体" w:eastAsia="宋体" w:cs="宋体"/>
          <w:b/>
          <w:i/>
          <w:sz w:val="24"/>
          <w:u w:val="single"/>
        </w:rPr>
        <w:t>合同专用条款</w:t>
      </w:r>
      <w:r>
        <w:rPr>
          <w:rFonts w:hint="eastAsia" w:ascii="宋体" w:hAnsi="宋体" w:eastAsia="宋体" w:cs="宋体"/>
          <w:sz w:val="24"/>
        </w:rPr>
        <w:t>另有约定外,乙方交付的全部</w:t>
      </w:r>
      <w:r>
        <w:rPr>
          <w:rFonts w:hint="eastAsia" w:ascii="宋体" w:hAnsi="宋体" w:eastAsia="宋体" w:cs="宋体"/>
          <w:sz w:val="24"/>
          <w:lang w:eastAsia="zh-CN"/>
        </w:rPr>
        <w:t>服务</w:t>
      </w:r>
      <w:r>
        <w:rPr>
          <w:rFonts w:hint="eastAsia" w:ascii="宋体" w:hAnsi="宋体" w:eastAsia="宋体" w:cs="宋体"/>
          <w:sz w:val="24"/>
        </w:rPr>
        <w:t>,均应采用本行业通用的方式进行包装，没有通用方式的，应当采取足以保护</w:t>
      </w:r>
      <w:r>
        <w:rPr>
          <w:rFonts w:hint="eastAsia" w:ascii="宋体" w:hAnsi="宋体" w:eastAsia="宋体" w:cs="宋体"/>
          <w:sz w:val="24"/>
          <w:lang w:eastAsia="zh-CN"/>
        </w:rPr>
        <w:t>服务</w:t>
      </w:r>
      <w:r>
        <w:rPr>
          <w:rFonts w:hint="eastAsia" w:ascii="宋体" w:hAnsi="宋体" w:eastAsia="宋体" w:cs="宋体"/>
          <w:sz w:val="24"/>
        </w:rPr>
        <w:t>的包装方式，且该包装应符合国家有关包装的法律、法规的规定。如有必要，包装应适用于远距离运输、防潮、防震、防锈和防粗暴装卸，确保</w:t>
      </w:r>
      <w:r>
        <w:rPr>
          <w:rFonts w:hint="eastAsia" w:ascii="宋体" w:hAnsi="宋体" w:eastAsia="宋体" w:cs="宋体"/>
          <w:sz w:val="24"/>
          <w:lang w:eastAsia="zh-CN"/>
        </w:rPr>
        <w:t>服务</w:t>
      </w:r>
      <w:r>
        <w:rPr>
          <w:rFonts w:hint="eastAsia" w:ascii="宋体" w:hAnsi="宋体" w:eastAsia="宋体" w:cs="宋体"/>
          <w:sz w:val="24"/>
        </w:rPr>
        <w:t>安全无损地运抵现场。由于包装不善所引起的</w:t>
      </w:r>
      <w:r>
        <w:rPr>
          <w:rFonts w:hint="eastAsia" w:ascii="宋体" w:hAnsi="宋体" w:eastAsia="宋体" w:cs="宋体"/>
          <w:sz w:val="24"/>
          <w:lang w:eastAsia="zh-CN"/>
        </w:rPr>
        <w:t>服务</w:t>
      </w:r>
      <w:r>
        <w:rPr>
          <w:rFonts w:hint="eastAsia" w:ascii="宋体" w:hAnsi="宋体" w:eastAsia="宋体" w:cs="宋体"/>
          <w:sz w:val="24"/>
        </w:rPr>
        <w:t>锈蚀、损坏和损失等一切风险均由乙方承担。</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2.4.2 装运</w:t>
      </w:r>
      <w:r>
        <w:rPr>
          <w:rFonts w:hint="eastAsia" w:ascii="宋体" w:hAnsi="宋体" w:eastAsia="宋体" w:cs="宋体"/>
          <w:sz w:val="24"/>
          <w:lang w:eastAsia="zh-CN"/>
        </w:rPr>
        <w:t>服务</w:t>
      </w:r>
      <w:r>
        <w:rPr>
          <w:rFonts w:hint="eastAsia" w:ascii="宋体" w:hAnsi="宋体" w:eastAsia="宋体" w:cs="宋体"/>
          <w:sz w:val="24"/>
        </w:rPr>
        <w:t>的要求和通知，详见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192" w:name="_Toc279701245"/>
      <w:bookmarkStart w:id="193" w:name="_Ref467379527"/>
      <w:bookmarkStart w:id="194" w:name="_Ref467378591"/>
      <w:bookmarkStart w:id="195" w:name="_Ref467379542"/>
      <w:bookmarkStart w:id="196" w:name="_Toc259093674"/>
      <w:bookmarkStart w:id="197" w:name="_Ref467378541"/>
      <w:bookmarkStart w:id="198" w:name="_Ref467379536"/>
      <w:bookmarkStart w:id="199" w:name="_Toc487900354"/>
      <w:bookmarkStart w:id="200" w:name="_Toc30272"/>
      <w:bookmarkStart w:id="201" w:name="_Toc12783"/>
      <w:bookmarkStart w:id="202" w:name="_Toc7001"/>
      <w:bookmarkStart w:id="203" w:name="_Toc14498"/>
      <w:bookmarkStart w:id="204" w:name="_Toc4523"/>
      <w:bookmarkStart w:id="205" w:name="_Toc19074"/>
      <w:bookmarkStart w:id="206" w:name="_Toc23278"/>
      <w:bookmarkStart w:id="207" w:name="_Toc26182"/>
      <w:r>
        <w:rPr>
          <w:rFonts w:hint="eastAsia" w:ascii="宋体" w:hAnsi="宋体" w:eastAsia="宋体" w:cs="宋体"/>
          <w:b/>
          <w:sz w:val="24"/>
        </w:rPr>
        <w:t>2.</w:t>
      </w:r>
      <w:bookmarkEnd w:id="192"/>
      <w:bookmarkEnd w:id="193"/>
      <w:bookmarkEnd w:id="194"/>
      <w:bookmarkEnd w:id="195"/>
      <w:bookmarkEnd w:id="196"/>
      <w:bookmarkEnd w:id="197"/>
      <w:bookmarkEnd w:id="198"/>
      <w:bookmarkEnd w:id="199"/>
      <w:r>
        <w:rPr>
          <w:rFonts w:hint="eastAsia" w:ascii="宋体" w:hAnsi="宋体" w:eastAsia="宋体" w:cs="宋体"/>
          <w:b/>
          <w:sz w:val="24"/>
        </w:rPr>
        <w:t>5 履约检查和问题反馈</w:t>
      </w:r>
      <w:bookmarkEnd w:id="200"/>
      <w:bookmarkEnd w:id="201"/>
      <w:bookmarkEnd w:id="202"/>
      <w:bookmarkEnd w:id="203"/>
      <w:bookmarkEnd w:id="204"/>
      <w:bookmarkEnd w:id="205"/>
      <w:bookmarkEnd w:id="206"/>
      <w:bookmarkEnd w:id="207"/>
    </w:p>
    <w:p>
      <w:pPr>
        <w:spacing w:line="560" w:lineRule="exact"/>
        <w:ind w:firstLine="480" w:firstLineChars="200"/>
        <w:rPr>
          <w:rFonts w:hint="eastAsia" w:ascii="宋体" w:hAnsi="宋体" w:eastAsia="宋体" w:cs="宋体"/>
          <w:sz w:val="24"/>
        </w:rPr>
      </w:pPr>
      <w:bookmarkStart w:id="208" w:name="_Ref467379657"/>
      <w:r>
        <w:rPr>
          <w:rFonts w:hint="eastAsia" w:ascii="宋体" w:hAnsi="宋体" w:eastAsia="宋体" w:cs="宋体"/>
          <w:sz w:val="24"/>
        </w:rPr>
        <w:t>2.5.1</w:t>
      </w:r>
      <w:bookmarkEnd w:id="208"/>
      <w:bookmarkStart w:id="209" w:name="_Toc186431854"/>
      <w:bookmarkStart w:id="210" w:name="_Toc487900357"/>
      <w:bookmarkStart w:id="211" w:name="_Ref467379807"/>
      <w:bookmarkStart w:id="212" w:name="_Toc259093676"/>
      <w:bookmarkStart w:id="213" w:name="_Toc279701247"/>
      <w:bookmarkStart w:id="214" w:name="_Ref467379793"/>
      <w:r>
        <w:rPr>
          <w:rFonts w:hint="eastAsia" w:ascii="宋体" w:hAnsi="宋体" w:eastAsia="宋体" w:cs="宋体"/>
          <w:sz w:val="24"/>
        </w:rPr>
        <w:t>甲方有权在其认为必要时，对乙方是否能够按照合同约定交付</w:t>
      </w:r>
      <w:r>
        <w:rPr>
          <w:rFonts w:hint="eastAsia" w:ascii="宋体" w:hAnsi="宋体" w:eastAsia="宋体" w:cs="宋体"/>
          <w:sz w:val="24"/>
          <w:lang w:eastAsia="zh-CN"/>
        </w:rPr>
        <w:t>服务</w:t>
      </w:r>
      <w:r>
        <w:rPr>
          <w:rFonts w:hint="eastAsia" w:ascii="宋体" w:hAnsi="宋体" w:eastAsia="宋体" w:cs="宋体"/>
          <w:sz w:val="24"/>
        </w:rPr>
        <w:t>进行履约检查，以确保乙方所交付的</w:t>
      </w:r>
      <w:r>
        <w:rPr>
          <w:rFonts w:hint="eastAsia" w:ascii="宋体" w:hAnsi="宋体" w:eastAsia="宋体" w:cs="宋体"/>
          <w:sz w:val="24"/>
          <w:lang w:eastAsia="zh-CN"/>
        </w:rPr>
        <w:t>服务</w:t>
      </w:r>
      <w:r>
        <w:rPr>
          <w:rFonts w:hint="eastAsia" w:ascii="宋体" w:hAnsi="宋体" w:eastAsia="宋体" w:cs="宋体"/>
          <w:sz w:val="24"/>
        </w:rPr>
        <w:t>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2.5.2 合同履行期间，甲方有权将履行过程中出现的问题反馈给乙方，双方当事人应以书面形式约定需要完善和改进的内容</w:t>
      </w:r>
      <w:bookmarkEnd w:id="209"/>
      <w:bookmarkStart w:id="215" w:name="_Toc186431855"/>
      <w:r>
        <w:rPr>
          <w:rFonts w:hint="eastAsia" w:ascii="宋体" w:hAnsi="宋体" w:eastAsia="宋体" w:cs="宋体"/>
          <w:sz w:val="24"/>
        </w:rPr>
        <w:t>。</w:t>
      </w:r>
    </w:p>
    <w:bookmarkEnd w:id="215"/>
    <w:p>
      <w:pPr>
        <w:spacing w:line="560" w:lineRule="exact"/>
        <w:ind w:firstLine="482" w:firstLineChars="200"/>
        <w:outlineLvl w:val="0"/>
        <w:rPr>
          <w:rFonts w:hint="eastAsia" w:ascii="宋体" w:hAnsi="宋体" w:eastAsia="宋体" w:cs="宋体"/>
          <w:b/>
          <w:sz w:val="24"/>
        </w:rPr>
      </w:pPr>
      <w:bookmarkStart w:id="216" w:name="_Toc29529"/>
      <w:bookmarkStart w:id="217" w:name="_Toc7836"/>
      <w:bookmarkStart w:id="218" w:name="_Toc31696"/>
      <w:bookmarkStart w:id="219" w:name="_Toc28451"/>
      <w:bookmarkStart w:id="220" w:name="_Toc29293"/>
      <w:bookmarkStart w:id="221" w:name="_Toc19219"/>
      <w:bookmarkStart w:id="222" w:name="_Toc4862"/>
      <w:bookmarkStart w:id="223" w:name="_Toc19847"/>
      <w:r>
        <w:rPr>
          <w:rFonts w:hint="eastAsia" w:ascii="宋体" w:hAnsi="宋体" w:eastAsia="宋体" w:cs="宋体"/>
          <w:b/>
          <w:sz w:val="24"/>
        </w:rPr>
        <w:t>2.6 结算方式和付款条件</w:t>
      </w:r>
      <w:bookmarkEnd w:id="210"/>
      <w:bookmarkEnd w:id="211"/>
      <w:bookmarkEnd w:id="212"/>
      <w:bookmarkEnd w:id="213"/>
      <w:bookmarkEnd w:id="214"/>
      <w:bookmarkEnd w:id="216"/>
      <w:bookmarkEnd w:id="217"/>
      <w:bookmarkEnd w:id="218"/>
      <w:bookmarkEnd w:id="219"/>
      <w:bookmarkEnd w:id="220"/>
      <w:bookmarkEnd w:id="221"/>
      <w:bookmarkEnd w:id="222"/>
      <w:bookmarkEnd w:id="22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224" w:name="_Ref467379852"/>
      <w:bookmarkStart w:id="225" w:name="_Toc259093677"/>
      <w:bookmarkStart w:id="226" w:name="_Ref467379863"/>
      <w:bookmarkStart w:id="227" w:name="_Ref467379923"/>
      <w:bookmarkStart w:id="228" w:name="_Toc487900358"/>
      <w:bookmarkStart w:id="229" w:name="_Toc279701248"/>
      <w:bookmarkStart w:id="230" w:name="_Toc774"/>
      <w:bookmarkStart w:id="231" w:name="_Toc16110"/>
      <w:bookmarkStart w:id="232" w:name="_Toc29447"/>
      <w:bookmarkStart w:id="233" w:name="_Toc24161"/>
      <w:bookmarkStart w:id="234" w:name="_Toc29092"/>
      <w:bookmarkStart w:id="235" w:name="_Toc32486"/>
      <w:bookmarkStart w:id="236" w:name="_Toc17537"/>
      <w:bookmarkStart w:id="237" w:name="_Toc3225"/>
      <w:r>
        <w:rPr>
          <w:rFonts w:hint="eastAsia" w:ascii="宋体" w:hAnsi="宋体" w:eastAsia="宋体" w:cs="宋体"/>
          <w:b/>
          <w:sz w:val="24"/>
        </w:rPr>
        <w:t>2.7 技术资料</w:t>
      </w:r>
      <w:bookmarkEnd w:id="224"/>
      <w:bookmarkEnd w:id="225"/>
      <w:bookmarkEnd w:id="226"/>
      <w:bookmarkEnd w:id="227"/>
      <w:bookmarkEnd w:id="228"/>
      <w:bookmarkEnd w:id="229"/>
      <w:r>
        <w:rPr>
          <w:rFonts w:hint="eastAsia" w:ascii="宋体" w:hAnsi="宋体" w:eastAsia="宋体" w:cs="宋体"/>
          <w:b/>
          <w:sz w:val="24"/>
        </w:rPr>
        <w:t>和保密义务</w:t>
      </w:r>
      <w:bookmarkEnd w:id="230"/>
      <w:bookmarkEnd w:id="231"/>
      <w:bookmarkEnd w:id="232"/>
      <w:bookmarkEnd w:id="233"/>
      <w:bookmarkEnd w:id="234"/>
      <w:bookmarkEnd w:id="235"/>
      <w:bookmarkEnd w:id="236"/>
      <w:bookmarkEnd w:id="23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 乙方有义务妥善保管和保护由甲方提供的前款信息和资料等；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rPr>
      </w:pPr>
      <w:bookmarkStart w:id="238" w:name="_Toc6919"/>
      <w:bookmarkStart w:id="239" w:name="_Toc14588"/>
      <w:bookmarkStart w:id="240" w:name="_Toc7860"/>
      <w:bookmarkStart w:id="241" w:name="_Toc28353"/>
      <w:bookmarkStart w:id="242" w:name="_Toc10915"/>
      <w:bookmarkStart w:id="243" w:name="_Toc2904"/>
      <w:r>
        <w:rPr>
          <w:rFonts w:hint="eastAsia" w:ascii="宋体" w:hAnsi="宋体" w:eastAsia="宋体" w:cs="宋体"/>
          <w:b/>
          <w:sz w:val="24"/>
        </w:rPr>
        <w:t>2.8 质量保证</w:t>
      </w:r>
      <w:bookmarkEnd w:id="238"/>
      <w:bookmarkEnd w:id="239"/>
      <w:bookmarkEnd w:id="240"/>
      <w:bookmarkEnd w:id="241"/>
      <w:bookmarkEnd w:id="242"/>
      <w:bookmarkEnd w:id="24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2.8.2 乙方应保证履行合同的人员数量和素质、软件和硬件设备的配置、场地、环境和设施等满足全面履行合同的要求，并应接受甲方的监督检查。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2.8.</w:t>
      </w:r>
      <w:r>
        <w:rPr>
          <w:rFonts w:hint="eastAsia" w:ascii="宋体" w:hAnsi="宋体" w:eastAsia="宋体" w:cs="宋体"/>
          <w:sz w:val="24"/>
          <w:lang w:val="en-US" w:eastAsia="zh-CN"/>
        </w:rPr>
        <w:t>3乙方应保证履约合同的</w:t>
      </w:r>
      <w:r>
        <w:rPr>
          <w:rFonts w:hint="eastAsia" w:ascii="宋体" w:hAnsi="宋体" w:eastAsia="宋体" w:cs="宋体"/>
          <w:sz w:val="24"/>
        </w:rPr>
        <w:t>约定方式预留保证金，保证金总预留比例不得高于工程价款结算总额的3%。</w:t>
      </w:r>
    </w:p>
    <w:p>
      <w:pPr>
        <w:spacing w:line="5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2.8.4质保</w:t>
      </w:r>
      <w:r>
        <w:rPr>
          <w:rFonts w:hint="eastAsia" w:ascii="宋体" w:hAnsi="宋体" w:eastAsia="宋体" w:cs="宋体"/>
          <w:sz w:val="24"/>
        </w:rPr>
        <w:t>金是指</w:t>
      </w:r>
      <w:r>
        <w:rPr>
          <w:rFonts w:hint="eastAsia" w:ascii="宋体" w:hAnsi="宋体" w:eastAsia="宋体" w:cs="宋体"/>
          <w:sz w:val="24"/>
          <w:lang w:eastAsia="zh-CN"/>
        </w:rPr>
        <w:t>采购人</w:t>
      </w:r>
      <w:r>
        <w:rPr>
          <w:rFonts w:hint="eastAsia" w:ascii="宋体" w:hAnsi="宋体" w:eastAsia="宋体" w:cs="宋体"/>
          <w:sz w:val="24"/>
        </w:rPr>
        <w:t>与</w:t>
      </w:r>
      <w:r>
        <w:rPr>
          <w:rFonts w:hint="eastAsia" w:ascii="宋体" w:hAnsi="宋体" w:eastAsia="宋体" w:cs="宋体"/>
          <w:sz w:val="24"/>
          <w:lang w:eastAsia="zh-CN"/>
        </w:rPr>
        <w:t>供应商</w:t>
      </w:r>
      <w:r>
        <w:rPr>
          <w:rFonts w:hint="eastAsia" w:ascii="宋体" w:hAnsi="宋体" w:eastAsia="宋体" w:cs="宋体"/>
          <w:sz w:val="24"/>
        </w:rPr>
        <w:t>在工程</w:t>
      </w:r>
      <w:r>
        <w:rPr>
          <w:rFonts w:hint="eastAsia" w:ascii="宋体" w:hAnsi="宋体" w:eastAsia="宋体" w:cs="宋体"/>
          <w:sz w:val="24"/>
          <w:lang w:eastAsia="zh-CN"/>
        </w:rPr>
        <w:t>项目</w:t>
      </w:r>
      <w:r>
        <w:rPr>
          <w:rFonts w:hint="eastAsia" w:ascii="宋体" w:hAnsi="宋体" w:eastAsia="宋体" w:cs="宋体"/>
          <w:sz w:val="24"/>
        </w:rPr>
        <w:t>承包合同中约定，从应付的工程款中预留，用以保证</w:t>
      </w:r>
      <w:r>
        <w:rPr>
          <w:rFonts w:hint="eastAsia" w:ascii="宋体" w:hAnsi="宋体" w:eastAsia="宋体" w:cs="宋体"/>
          <w:sz w:val="24"/>
          <w:lang w:eastAsia="zh-CN"/>
        </w:rPr>
        <w:t>采购</w:t>
      </w:r>
      <w:r>
        <w:rPr>
          <w:rFonts w:hint="eastAsia" w:ascii="宋体" w:hAnsi="宋体" w:eastAsia="宋体" w:cs="宋体"/>
          <w:sz w:val="24"/>
        </w:rPr>
        <w:t>人在缺陷责任期内对</w:t>
      </w:r>
      <w:r>
        <w:rPr>
          <w:rFonts w:hint="eastAsia" w:ascii="宋体" w:hAnsi="宋体" w:eastAsia="宋体" w:cs="宋体"/>
          <w:sz w:val="24"/>
          <w:lang w:eastAsia="zh-CN"/>
        </w:rPr>
        <w:t>本</w:t>
      </w:r>
      <w:r>
        <w:rPr>
          <w:rFonts w:hint="eastAsia" w:ascii="宋体" w:hAnsi="宋体" w:eastAsia="宋体" w:cs="宋体"/>
          <w:sz w:val="24"/>
        </w:rPr>
        <w:t>工程出现的缺陷进行维修的资金</w:t>
      </w:r>
      <w:r>
        <w:rPr>
          <w:rFonts w:hint="eastAsia" w:ascii="宋体" w:hAnsi="宋体" w:eastAsia="宋体" w:cs="宋体"/>
          <w:sz w:val="24"/>
          <w:lang w:eastAsia="zh-CN"/>
        </w:rPr>
        <w:t>。</w:t>
      </w:r>
    </w:p>
    <w:p>
      <w:pPr>
        <w:spacing w:line="560" w:lineRule="exact"/>
        <w:ind w:firstLine="482" w:firstLineChars="200"/>
        <w:outlineLvl w:val="0"/>
        <w:rPr>
          <w:rFonts w:hint="eastAsia" w:ascii="宋体" w:hAnsi="宋体" w:eastAsia="宋体" w:cs="宋体"/>
          <w:b/>
          <w:sz w:val="24"/>
        </w:rPr>
      </w:pPr>
      <w:bookmarkStart w:id="244" w:name="_Toc17244"/>
      <w:bookmarkStart w:id="245" w:name="_Toc29915"/>
      <w:bookmarkStart w:id="246" w:name="_Toc12581"/>
      <w:bookmarkStart w:id="247" w:name="_Toc22443"/>
      <w:bookmarkStart w:id="248" w:name="_Toc24360"/>
      <w:bookmarkStart w:id="249" w:name="_Toc15896"/>
      <w:bookmarkStart w:id="250" w:name="_Toc259093681"/>
      <w:bookmarkStart w:id="251" w:name="_Toc487900362"/>
      <w:bookmarkStart w:id="252" w:name="_Toc279701252"/>
      <w:r>
        <w:rPr>
          <w:rFonts w:hint="eastAsia" w:ascii="宋体" w:hAnsi="宋体" w:eastAsia="宋体" w:cs="宋体"/>
          <w:b/>
          <w:sz w:val="24"/>
        </w:rPr>
        <w:t xml:space="preserve">2.9 </w:t>
      </w:r>
      <w:r>
        <w:rPr>
          <w:rFonts w:hint="eastAsia" w:ascii="宋体" w:hAnsi="宋体" w:eastAsia="宋体" w:cs="宋体"/>
          <w:b/>
          <w:sz w:val="24"/>
          <w:lang w:eastAsia="zh-CN"/>
        </w:rPr>
        <w:t>服务</w:t>
      </w:r>
      <w:r>
        <w:rPr>
          <w:rFonts w:hint="eastAsia" w:ascii="宋体" w:hAnsi="宋体" w:eastAsia="宋体" w:cs="宋体"/>
          <w:b/>
          <w:sz w:val="24"/>
        </w:rPr>
        <w:t>的风险负担</w:t>
      </w:r>
      <w:bookmarkEnd w:id="244"/>
      <w:bookmarkEnd w:id="245"/>
      <w:bookmarkEnd w:id="246"/>
      <w:bookmarkEnd w:id="247"/>
      <w:bookmarkEnd w:id="248"/>
      <w:bookmarkEnd w:id="249"/>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lang w:eastAsia="zh-CN"/>
        </w:rPr>
        <w:t>服务</w:t>
      </w:r>
      <w:r>
        <w:rPr>
          <w:rFonts w:hint="eastAsia" w:ascii="宋体" w:hAnsi="宋体" w:eastAsia="宋体" w:cs="宋体"/>
          <w:sz w:val="24"/>
        </w:rPr>
        <w:t>或者在途</w:t>
      </w:r>
      <w:r>
        <w:rPr>
          <w:rFonts w:hint="eastAsia" w:ascii="宋体" w:hAnsi="宋体" w:eastAsia="宋体" w:cs="宋体"/>
          <w:sz w:val="24"/>
          <w:lang w:eastAsia="zh-CN"/>
        </w:rPr>
        <w:t>服务</w:t>
      </w:r>
      <w:r>
        <w:rPr>
          <w:rFonts w:hint="eastAsia" w:ascii="宋体" w:hAnsi="宋体" w:eastAsia="宋体" w:cs="宋体"/>
          <w:sz w:val="24"/>
        </w:rPr>
        <w:t>或者交付给第一承运人后的</w:t>
      </w:r>
      <w:r>
        <w:rPr>
          <w:rFonts w:hint="eastAsia" w:ascii="宋体" w:hAnsi="宋体" w:eastAsia="宋体" w:cs="宋体"/>
          <w:sz w:val="24"/>
          <w:lang w:eastAsia="zh-CN"/>
        </w:rPr>
        <w:t>服务</w:t>
      </w:r>
      <w:r>
        <w:rPr>
          <w:rFonts w:hint="eastAsia" w:ascii="宋体" w:hAnsi="宋体" w:eastAsia="宋体" w:cs="宋体"/>
          <w:sz w:val="24"/>
        </w:rPr>
        <w:t>毁损、灭失的风险负担详见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lang w:eastAsia="zh-CN"/>
        </w:rPr>
      </w:pPr>
      <w:bookmarkStart w:id="253" w:name="_Toc14055"/>
      <w:bookmarkStart w:id="254" w:name="_Toc31229"/>
      <w:bookmarkStart w:id="255" w:name="_Toc6131"/>
      <w:bookmarkStart w:id="256" w:name="_Toc4709"/>
      <w:bookmarkStart w:id="257" w:name="_Toc27015"/>
      <w:bookmarkStart w:id="258" w:name="_Toc25551"/>
      <w:r>
        <w:rPr>
          <w:rFonts w:hint="eastAsia" w:ascii="宋体" w:hAnsi="宋体" w:eastAsia="宋体" w:cs="宋体"/>
          <w:b/>
          <w:sz w:val="24"/>
        </w:rPr>
        <w:t>2.10 延迟</w:t>
      </w:r>
      <w:bookmarkEnd w:id="250"/>
      <w:bookmarkEnd w:id="251"/>
      <w:bookmarkEnd w:id="252"/>
      <w:bookmarkEnd w:id="253"/>
      <w:bookmarkEnd w:id="254"/>
      <w:bookmarkEnd w:id="255"/>
      <w:bookmarkEnd w:id="256"/>
      <w:bookmarkEnd w:id="257"/>
      <w:r>
        <w:rPr>
          <w:rFonts w:hint="eastAsia" w:ascii="宋体" w:hAnsi="宋体" w:eastAsia="宋体" w:cs="宋体"/>
          <w:b/>
          <w:sz w:val="24"/>
          <w:lang w:eastAsia="zh-CN"/>
        </w:rPr>
        <w:t>服务</w:t>
      </w:r>
      <w:bookmarkEnd w:id="25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在合同履行过程中，如果乙方遇到不能按时交付</w:t>
      </w:r>
      <w:r>
        <w:rPr>
          <w:rFonts w:hint="eastAsia" w:ascii="宋体" w:hAnsi="宋体" w:eastAsia="宋体" w:cs="宋体"/>
          <w:sz w:val="24"/>
          <w:lang w:eastAsia="zh-CN"/>
        </w:rPr>
        <w:t>服务</w:t>
      </w:r>
      <w:r>
        <w:rPr>
          <w:rFonts w:hint="eastAsia" w:ascii="宋体" w:hAnsi="宋体" w:eastAsia="宋体" w:cs="宋体"/>
          <w:sz w:val="24"/>
        </w:rPr>
        <w:t>的情况，应及时以书面形式将不能按时交付</w:t>
      </w:r>
      <w:r>
        <w:rPr>
          <w:rFonts w:hint="eastAsia" w:ascii="宋体" w:hAnsi="宋体" w:eastAsia="宋体" w:cs="宋体"/>
          <w:sz w:val="24"/>
          <w:lang w:eastAsia="zh-CN"/>
        </w:rPr>
        <w:t>服务</w:t>
      </w:r>
      <w:r>
        <w:rPr>
          <w:rFonts w:hint="eastAsia" w:ascii="宋体" w:hAnsi="宋体" w:eastAsia="宋体" w:cs="宋体"/>
          <w:sz w:val="24"/>
        </w:rPr>
        <w:t>的理由、预期延误时间通知甲方；甲方收到乙方通知后，认为其理由正当的，可以书面形式酌情同意乙方可以延长</w:t>
      </w:r>
      <w:r>
        <w:rPr>
          <w:rFonts w:hint="eastAsia" w:ascii="宋体" w:hAnsi="宋体" w:eastAsia="宋体" w:cs="宋体"/>
          <w:sz w:val="24"/>
          <w:lang w:eastAsia="zh-CN"/>
        </w:rPr>
        <w:t>服务</w:t>
      </w:r>
      <w:r>
        <w:rPr>
          <w:rFonts w:hint="eastAsia" w:ascii="宋体" w:hAnsi="宋体" w:eastAsia="宋体" w:cs="宋体"/>
          <w:sz w:val="24"/>
        </w:rPr>
        <w:t>的具体时间。</w:t>
      </w:r>
    </w:p>
    <w:p>
      <w:pPr>
        <w:spacing w:line="560" w:lineRule="exact"/>
        <w:ind w:firstLine="482" w:firstLineChars="200"/>
        <w:outlineLvl w:val="0"/>
        <w:rPr>
          <w:rFonts w:hint="eastAsia" w:ascii="宋体" w:hAnsi="宋体" w:eastAsia="宋体" w:cs="宋体"/>
          <w:b/>
          <w:sz w:val="24"/>
        </w:rPr>
      </w:pPr>
      <w:bookmarkStart w:id="259" w:name="_Toc28661"/>
      <w:bookmarkStart w:id="260" w:name="_Toc11673"/>
      <w:bookmarkStart w:id="261" w:name="_Toc6909"/>
      <w:bookmarkStart w:id="262" w:name="_Toc32533"/>
      <w:bookmarkStart w:id="263" w:name="_Toc2624"/>
      <w:bookmarkStart w:id="264" w:name="_Toc7502"/>
      <w:bookmarkStart w:id="265" w:name="_Toc487900364"/>
      <w:bookmarkStart w:id="266" w:name="_Toc259093683"/>
      <w:bookmarkStart w:id="267" w:name="_Ref467378121"/>
      <w:bookmarkStart w:id="268" w:name="_Toc279701254"/>
      <w:r>
        <w:rPr>
          <w:rFonts w:hint="eastAsia" w:ascii="宋体" w:hAnsi="宋体" w:eastAsia="宋体" w:cs="宋体"/>
          <w:b/>
          <w:sz w:val="24"/>
        </w:rPr>
        <w:t>2.11 合同变更</w:t>
      </w:r>
      <w:bookmarkEnd w:id="259"/>
      <w:bookmarkEnd w:id="260"/>
      <w:bookmarkEnd w:id="261"/>
      <w:bookmarkEnd w:id="262"/>
      <w:bookmarkEnd w:id="263"/>
      <w:bookmarkEnd w:id="26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2.11.1双方当事人协商一致，可以签订书面补充合同的形式变更合同，但不得违背采购文件确定的事项，且如果系追加与合同标的相同的</w:t>
      </w:r>
      <w:r>
        <w:rPr>
          <w:rFonts w:hint="eastAsia" w:ascii="宋体" w:hAnsi="宋体" w:eastAsia="宋体" w:cs="宋体"/>
          <w:sz w:val="24"/>
          <w:lang w:eastAsia="zh-CN"/>
        </w:rPr>
        <w:t>服务</w:t>
      </w:r>
      <w:r>
        <w:rPr>
          <w:rFonts w:hint="eastAsia" w:ascii="宋体" w:hAnsi="宋体" w:eastAsia="宋体" w:cs="宋体"/>
          <w:sz w:val="24"/>
        </w:rPr>
        <w:t>的，那么所有补充合同的采购金额不得超过原合同价的10%；</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2.11.2 合同继续履行将损害国家利益和社会公共利益的，双方当事人应当以书面形式变更合同。有过错的一方应当承担赔偿责任，双方当事人都有过错的，各自承担相应的责任。</w:t>
      </w:r>
      <w:bookmarkStart w:id="269" w:name="_Toc259093688"/>
      <w:bookmarkStart w:id="270" w:name="_Toc487900369"/>
      <w:bookmarkStart w:id="271" w:name="_Toc279701259"/>
    </w:p>
    <w:p>
      <w:pPr>
        <w:spacing w:line="560" w:lineRule="exact"/>
        <w:ind w:firstLine="482" w:firstLineChars="200"/>
        <w:outlineLvl w:val="0"/>
        <w:rPr>
          <w:rFonts w:hint="eastAsia" w:ascii="宋体" w:hAnsi="宋体" w:eastAsia="宋体" w:cs="宋体"/>
          <w:b/>
          <w:sz w:val="24"/>
        </w:rPr>
      </w:pPr>
      <w:bookmarkStart w:id="272" w:name="_Toc22116"/>
      <w:bookmarkStart w:id="273" w:name="_Toc32480"/>
      <w:bookmarkStart w:id="274" w:name="_Toc10366"/>
      <w:bookmarkStart w:id="275" w:name="_Toc698"/>
      <w:bookmarkStart w:id="276" w:name="_Toc23606"/>
      <w:bookmarkStart w:id="277" w:name="_Toc15237"/>
      <w:bookmarkStart w:id="278" w:name="_Toc9888"/>
      <w:bookmarkStart w:id="279" w:name="_Toc22955"/>
      <w:r>
        <w:rPr>
          <w:rFonts w:hint="eastAsia" w:ascii="宋体" w:hAnsi="宋体" w:eastAsia="宋体" w:cs="宋体"/>
          <w:b/>
          <w:sz w:val="24"/>
        </w:rPr>
        <w:t>2.12 合同转让</w:t>
      </w:r>
      <w:bookmarkEnd w:id="269"/>
      <w:bookmarkEnd w:id="270"/>
      <w:bookmarkEnd w:id="271"/>
      <w:r>
        <w:rPr>
          <w:rFonts w:hint="eastAsia" w:ascii="宋体" w:hAnsi="宋体" w:eastAsia="宋体" w:cs="宋体"/>
          <w:b/>
          <w:sz w:val="24"/>
        </w:rPr>
        <w:t>和分包</w:t>
      </w:r>
      <w:bookmarkEnd w:id="272"/>
      <w:bookmarkEnd w:id="273"/>
      <w:bookmarkEnd w:id="274"/>
      <w:bookmarkEnd w:id="275"/>
      <w:bookmarkEnd w:id="276"/>
      <w:bookmarkEnd w:id="277"/>
      <w:bookmarkEnd w:id="278"/>
      <w:bookmarkEnd w:id="27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rPr>
      </w:pPr>
      <w:bookmarkStart w:id="280" w:name="_Toc6011"/>
      <w:bookmarkStart w:id="281" w:name="_Toc1790"/>
      <w:bookmarkStart w:id="282" w:name="_Toc16508"/>
      <w:bookmarkStart w:id="283" w:name="_Toc12901"/>
      <w:bookmarkStart w:id="284" w:name="_Toc14066"/>
      <w:bookmarkStart w:id="285" w:name="_Toc13566"/>
      <w:bookmarkStart w:id="286" w:name="_Toc6302"/>
      <w:bookmarkStart w:id="287" w:name="_Toc13559"/>
      <w:r>
        <w:rPr>
          <w:rFonts w:hint="eastAsia" w:ascii="宋体" w:hAnsi="宋体" w:eastAsia="宋体" w:cs="宋体"/>
          <w:b/>
          <w:sz w:val="24"/>
        </w:rPr>
        <w:t>2.13 不可抗力</w:t>
      </w:r>
      <w:bookmarkEnd w:id="280"/>
      <w:bookmarkEnd w:id="281"/>
      <w:bookmarkEnd w:id="282"/>
      <w:bookmarkEnd w:id="283"/>
      <w:bookmarkEnd w:id="284"/>
      <w:bookmarkEnd w:id="285"/>
      <w:bookmarkEnd w:id="286"/>
      <w:bookmarkEnd w:id="28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2.13.2 因不可抗力致使不能实现合同目的的，当事人可以解除合同；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rPr>
      </w:pPr>
      <w:bookmarkStart w:id="288" w:name="_Toc6969"/>
      <w:bookmarkStart w:id="289" w:name="_Toc32757"/>
      <w:bookmarkStart w:id="290" w:name="_Toc26586"/>
      <w:bookmarkStart w:id="291" w:name="_Toc30676"/>
      <w:bookmarkStart w:id="292" w:name="_Toc279701255"/>
      <w:bookmarkStart w:id="293" w:name="_Toc259093684"/>
      <w:bookmarkStart w:id="294" w:name="_Toc689"/>
      <w:bookmarkStart w:id="295" w:name="_Toc487900365"/>
      <w:bookmarkStart w:id="296" w:name="_Toc12479"/>
      <w:bookmarkStart w:id="297" w:name="_Toc21073"/>
      <w:bookmarkStart w:id="298" w:name="_Toc31662"/>
      <w:r>
        <w:rPr>
          <w:rFonts w:hint="eastAsia" w:ascii="宋体" w:hAnsi="宋体" w:eastAsia="宋体" w:cs="宋体"/>
          <w:b/>
          <w:sz w:val="24"/>
        </w:rPr>
        <w:t>2.14 税费</w:t>
      </w:r>
      <w:bookmarkEnd w:id="288"/>
      <w:bookmarkEnd w:id="289"/>
      <w:bookmarkEnd w:id="290"/>
      <w:bookmarkEnd w:id="291"/>
      <w:bookmarkEnd w:id="292"/>
      <w:bookmarkEnd w:id="293"/>
      <w:bookmarkEnd w:id="294"/>
      <w:bookmarkEnd w:id="295"/>
      <w:bookmarkEnd w:id="296"/>
      <w:bookmarkEnd w:id="297"/>
      <w:bookmarkEnd w:id="29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560" w:lineRule="exact"/>
        <w:ind w:firstLine="482" w:firstLineChars="200"/>
        <w:outlineLvl w:val="0"/>
        <w:rPr>
          <w:rFonts w:hint="eastAsia" w:ascii="宋体" w:hAnsi="宋体" w:eastAsia="宋体" w:cs="宋体"/>
          <w:b/>
          <w:sz w:val="24"/>
        </w:rPr>
      </w:pPr>
      <w:bookmarkStart w:id="299" w:name="_Toc14095"/>
      <w:bookmarkStart w:id="300" w:name="_Toc27754"/>
      <w:bookmarkStart w:id="301" w:name="_Toc7102"/>
      <w:bookmarkStart w:id="302" w:name="_Toc8298"/>
      <w:bookmarkStart w:id="303" w:name="_Toc13267"/>
      <w:bookmarkStart w:id="304" w:name="_Toc5804"/>
      <w:bookmarkStart w:id="305" w:name="_Toc487900368"/>
      <w:bookmarkStart w:id="306" w:name="_Toc259093687"/>
      <w:bookmarkStart w:id="307" w:name="_Toc27659"/>
      <w:bookmarkStart w:id="308" w:name="_Toc16959"/>
      <w:bookmarkStart w:id="309" w:name="_Toc279701258"/>
      <w:r>
        <w:rPr>
          <w:rFonts w:hint="eastAsia" w:ascii="宋体" w:hAnsi="宋体" w:eastAsia="宋体" w:cs="宋体"/>
          <w:b/>
          <w:sz w:val="24"/>
        </w:rPr>
        <w:t>2.15 乙方破产</w:t>
      </w:r>
      <w:bookmarkEnd w:id="299"/>
      <w:bookmarkEnd w:id="300"/>
      <w:bookmarkEnd w:id="301"/>
      <w:bookmarkEnd w:id="302"/>
      <w:bookmarkEnd w:id="303"/>
      <w:bookmarkEnd w:id="304"/>
      <w:bookmarkEnd w:id="305"/>
      <w:bookmarkEnd w:id="306"/>
      <w:bookmarkEnd w:id="307"/>
      <w:bookmarkEnd w:id="308"/>
      <w:bookmarkEnd w:id="30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rPr>
      </w:pPr>
      <w:bookmarkStart w:id="310" w:name="_Toc3000"/>
      <w:bookmarkStart w:id="311" w:name="_Toc16144"/>
      <w:bookmarkStart w:id="312" w:name="_Toc30593"/>
      <w:bookmarkStart w:id="313" w:name="_Toc15387"/>
      <w:bookmarkStart w:id="314" w:name="_Toc29333"/>
      <w:bookmarkStart w:id="315" w:name="_Toc20530"/>
      <w:bookmarkStart w:id="316" w:name="_Toc6134"/>
      <w:bookmarkStart w:id="317" w:name="_Toc15310"/>
      <w:r>
        <w:rPr>
          <w:rFonts w:hint="eastAsia" w:ascii="宋体" w:hAnsi="宋体" w:eastAsia="宋体" w:cs="宋体"/>
          <w:b/>
          <w:sz w:val="24"/>
        </w:rPr>
        <w:t>2.16 合同中止、终止</w:t>
      </w:r>
      <w:bookmarkEnd w:id="310"/>
      <w:bookmarkEnd w:id="311"/>
      <w:bookmarkEnd w:id="312"/>
      <w:bookmarkEnd w:id="313"/>
      <w:bookmarkEnd w:id="314"/>
      <w:bookmarkEnd w:id="315"/>
      <w:bookmarkEnd w:id="316"/>
      <w:bookmarkEnd w:id="31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2.16.1 双方当事人不得擅自中止或者终止合同；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rPr>
      </w:pPr>
      <w:bookmarkStart w:id="318" w:name="_Toc31293"/>
      <w:bookmarkStart w:id="319" w:name="_Toc14563"/>
      <w:bookmarkStart w:id="320" w:name="_Toc16577"/>
      <w:bookmarkStart w:id="321" w:name="_Toc15455"/>
      <w:bookmarkStart w:id="322" w:name="_Toc30104"/>
      <w:bookmarkStart w:id="323" w:name="_Toc6596"/>
      <w:bookmarkStart w:id="324" w:name="_Toc17092"/>
      <w:bookmarkStart w:id="325" w:name="_Toc1125"/>
      <w:r>
        <w:rPr>
          <w:rFonts w:hint="eastAsia" w:ascii="宋体" w:hAnsi="宋体" w:eastAsia="宋体" w:cs="宋体"/>
          <w:b/>
          <w:sz w:val="24"/>
        </w:rPr>
        <w:t>2.17 检验和验收</w:t>
      </w:r>
      <w:bookmarkEnd w:id="318"/>
      <w:bookmarkEnd w:id="319"/>
      <w:bookmarkEnd w:id="320"/>
      <w:bookmarkEnd w:id="321"/>
      <w:bookmarkEnd w:id="322"/>
      <w:bookmarkEnd w:id="323"/>
      <w:bookmarkEnd w:id="324"/>
      <w:bookmarkEnd w:id="325"/>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2.17.1</w:t>
      </w:r>
      <w:r>
        <w:rPr>
          <w:rFonts w:hint="eastAsia" w:ascii="宋体" w:hAnsi="宋体" w:eastAsia="宋体" w:cs="宋体"/>
          <w:sz w:val="24"/>
          <w:lang w:eastAsia="zh-CN"/>
        </w:rPr>
        <w:t>服务</w:t>
      </w:r>
      <w:r>
        <w:rPr>
          <w:rFonts w:hint="eastAsia" w:ascii="宋体" w:hAnsi="宋体" w:eastAsia="宋体" w:cs="宋体"/>
          <w:sz w:val="24"/>
        </w:rPr>
        <w:t>交付前，乙方应对</w:t>
      </w:r>
      <w:r>
        <w:rPr>
          <w:rFonts w:hint="eastAsia" w:ascii="宋体" w:hAnsi="宋体" w:eastAsia="宋体" w:cs="宋体"/>
          <w:sz w:val="24"/>
          <w:lang w:eastAsia="zh-CN"/>
        </w:rPr>
        <w:t>服务</w:t>
      </w:r>
      <w:r>
        <w:rPr>
          <w:rFonts w:hint="eastAsia" w:ascii="宋体" w:hAnsi="宋体" w:eastAsia="宋体" w:cs="宋体"/>
          <w:sz w:val="24"/>
        </w:rPr>
        <w:t>的质量、数量等方面进行详细、全面的检验，并向甲方出具证明</w:t>
      </w:r>
      <w:r>
        <w:rPr>
          <w:rFonts w:hint="eastAsia" w:ascii="宋体" w:hAnsi="宋体" w:eastAsia="宋体" w:cs="宋体"/>
          <w:sz w:val="24"/>
          <w:lang w:eastAsia="zh-CN"/>
        </w:rPr>
        <w:t>服务</w:t>
      </w:r>
      <w:r>
        <w:rPr>
          <w:rFonts w:hint="eastAsia" w:ascii="宋体" w:hAnsi="宋体" w:eastAsia="宋体" w:cs="宋体"/>
          <w:sz w:val="24"/>
        </w:rPr>
        <w:t>符合合同约定的文件；</w:t>
      </w:r>
      <w:r>
        <w:rPr>
          <w:rFonts w:hint="eastAsia" w:ascii="宋体" w:hAnsi="宋体" w:eastAsia="宋体" w:cs="宋体"/>
          <w:sz w:val="24"/>
          <w:lang w:eastAsia="zh-CN"/>
        </w:rPr>
        <w:t>服务</w:t>
      </w:r>
      <w:r>
        <w:rPr>
          <w:rFonts w:hint="eastAsia" w:ascii="宋体" w:hAnsi="宋体" w:eastAsia="宋体" w:cs="宋体"/>
          <w:sz w:val="24"/>
        </w:rPr>
        <w:t>交付时，乙方在</w:t>
      </w:r>
      <w:r>
        <w:rPr>
          <w:rFonts w:hint="eastAsia" w:ascii="宋体" w:hAnsi="宋体" w:eastAsia="宋体" w:cs="宋体"/>
          <w:b/>
          <w:i/>
          <w:sz w:val="24"/>
          <w:u w:val="single"/>
        </w:rPr>
        <w:t>合同专用条款</w:t>
      </w:r>
      <w:r>
        <w:rPr>
          <w:rFonts w:hint="eastAsia" w:ascii="宋体" w:hAnsi="宋体" w:eastAsia="宋体" w:cs="宋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2.17.3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265"/>
    <w:bookmarkEnd w:id="266"/>
    <w:bookmarkEnd w:id="267"/>
    <w:bookmarkEnd w:id="268"/>
    <w:p>
      <w:pPr>
        <w:spacing w:line="560" w:lineRule="exact"/>
        <w:ind w:firstLine="482" w:firstLineChars="200"/>
        <w:outlineLvl w:val="0"/>
        <w:rPr>
          <w:rFonts w:hint="eastAsia" w:ascii="宋体" w:hAnsi="宋体" w:eastAsia="宋体" w:cs="宋体"/>
          <w:b/>
          <w:sz w:val="24"/>
        </w:rPr>
      </w:pPr>
      <w:bookmarkStart w:id="326" w:name="_Toc487900371"/>
      <w:bookmarkStart w:id="327" w:name="_Toc279701261"/>
      <w:bookmarkStart w:id="328" w:name="_Toc259093690"/>
      <w:bookmarkStart w:id="329" w:name="_Toc18872"/>
      <w:bookmarkStart w:id="330" w:name="_Toc25182"/>
      <w:bookmarkStart w:id="331" w:name="_Toc19604"/>
      <w:bookmarkStart w:id="332" w:name="_Toc11660"/>
      <w:bookmarkStart w:id="333" w:name="_Toc6543"/>
      <w:bookmarkStart w:id="334" w:name="_Toc9858"/>
      <w:bookmarkStart w:id="335" w:name="_Toc23233"/>
      <w:bookmarkStart w:id="336" w:name="_Toc11284"/>
      <w:r>
        <w:rPr>
          <w:rFonts w:hint="eastAsia" w:ascii="宋体" w:hAnsi="宋体" w:eastAsia="宋体" w:cs="宋体"/>
          <w:b/>
          <w:sz w:val="24"/>
        </w:rPr>
        <w:t>2.18 通知</w:t>
      </w:r>
      <w:bookmarkEnd w:id="326"/>
      <w:bookmarkEnd w:id="327"/>
      <w:bookmarkEnd w:id="328"/>
      <w:r>
        <w:rPr>
          <w:rFonts w:hint="eastAsia" w:ascii="宋体" w:hAnsi="宋体" w:eastAsia="宋体" w:cs="宋体"/>
          <w:b/>
          <w:sz w:val="24"/>
        </w:rPr>
        <w:t>和送达</w:t>
      </w:r>
      <w:bookmarkEnd w:id="329"/>
      <w:bookmarkEnd w:id="330"/>
      <w:bookmarkEnd w:id="331"/>
      <w:bookmarkEnd w:id="332"/>
      <w:bookmarkEnd w:id="333"/>
      <w:bookmarkEnd w:id="334"/>
      <w:bookmarkEnd w:id="335"/>
      <w:bookmarkEnd w:id="336"/>
    </w:p>
    <w:p>
      <w:pPr>
        <w:spacing w:line="560" w:lineRule="exact"/>
        <w:ind w:firstLine="480" w:firstLineChars="200"/>
        <w:rPr>
          <w:rFonts w:hint="eastAsia" w:ascii="宋体" w:hAnsi="宋体" w:eastAsia="宋体" w:cs="宋体"/>
          <w:sz w:val="24"/>
        </w:rPr>
      </w:pPr>
      <w:bookmarkStart w:id="337" w:name="_Toc3135"/>
      <w:bookmarkStart w:id="338" w:name="_Toc6698"/>
      <w:bookmarkStart w:id="339" w:name="_Toc259093691"/>
      <w:bookmarkStart w:id="340" w:name="_Toc487900372"/>
      <w:bookmarkStart w:id="341" w:name="_Toc279701262"/>
      <w:r>
        <w:rPr>
          <w:rFonts w:hint="eastAsia" w:ascii="宋体" w:hAnsi="宋体" w:eastAsia="宋体" w:cs="宋体"/>
          <w:sz w:val="24"/>
        </w:rPr>
        <w:t>2.18.1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337"/>
      <w:bookmarkEnd w:id="338"/>
    </w:p>
    <w:p>
      <w:pPr>
        <w:spacing w:line="560" w:lineRule="exact"/>
        <w:ind w:firstLine="480" w:firstLineChars="200"/>
        <w:rPr>
          <w:rFonts w:hint="eastAsia" w:ascii="宋体" w:hAnsi="宋体" w:eastAsia="宋体" w:cs="宋体"/>
          <w:sz w:val="24"/>
        </w:rPr>
      </w:pPr>
      <w:bookmarkStart w:id="342" w:name="_Toc23128"/>
      <w:bookmarkStart w:id="343" w:name="_Toc23294"/>
      <w:r>
        <w:rPr>
          <w:rFonts w:hint="eastAsia" w:ascii="宋体" w:hAnsi="宋体" w:eastAsia="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2"/>
      <w:bookmarkEnd w:id="343"/>
    </w:p>
    <w:p>
      <w:pPr>
        <w:spacing w:line="560" w:lineRule="exact"/>
        <w:ind w:firstLine="482" w:firstLineChars="200"/>
        <w:outlineLvl w:val="0"/>
        <w:rPr>
          <w:rFonts w:hint="eastAsia" w:ascii="宋体" w:hAnsi="宋体" w:eastAsia="宋体" w:cs="宋体"/>
          <w:b/>
          <w:sz w:val="24"/>
        </w:rPr>
      </w:pPr>
      <w:bookmarkStart w:id="344" w:name="_Toc9943"/>
      <w:bookmarkStart w:id="345" w:name="_Toc30599"/>
      <w:bookmarkStart w:id="346" w:name="_Toc31005"/>
      <w:bookmarkStart w:id="347" w:name="_Toc21476"/>
      <w:bookmarkStart w:id="348" w:name="_Toc4355"/>
      <w:bookmarkStart w:id="349" w:name="_Toc29678"/>
      <w:bookmarkStart w:id="350" w:name="_Toc27366"/>
      <w:bookmarkStart w:id="351" w:name="_Toc18540"/>
      <w:r>
        <w:rPr>
          <w:rFonts w:hint="eastAsia" w:ascii="宋体" w:hAnsi="宋体" w:eastAsia="宋体" w:cs="宋体"/>
          <w:b/>
          <w:sz w:val="24"/>
        </w:rPr>
        <w:t>2.19 计量单位</w:t>
      </w:r>
      <w:bookmarkEnd w:id="339"/>
      <w:bookmarkEnd w:id="340"/>
      <w:bookmarkEnd w:id="341"/>
      <w:bookmarkEnd w:id="344"/>
      <w:bookmarkEnd w:id="345"/>
      <w:bookmarkEnd w:id="346"/>
      <w:bookmarkEnd w:id="347"/>
      <w:bookmarkEnd w:id="348"/>
      <w:bookmarkEnd w:id="349"/>
      <w:bookmarkEnd w:id="350"/>
      <w:bookmarkEnd w:id="35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pPr>
        <w:spacing w:line="560" w:lineRule="exact"/>
        <w:ind w:firstLine="482" w:firstLineChars="200"/>
        <w:outlineLvl w:val="0"/>
        <w:rPr>
          <w:rFonts w:hint="eastAsia" w:ascii="宋体" w:hAnsi="宋体" w:eastAsia="宋体" w:cs="宋体"/>
          <w:b/>
          <w:sz w:val="24"/>
        </w:rPr>
      </w:pPr>
      <w:bookmarkStart w:id="352" w:name="_Toc279701263"/>
      <w:bookmarkStart w:id="353" w:name="_Toc3063"/>
      <w:bookmarkStart w:id="354" w:name="_Toc6296"/>
      <w:bookmarkStart w:id="355" w:name="_Toc10330"/>
      <w:bookmarkStart w:id="356" w:name="_Toc259093692"/>
      <w:bookmarkStart w:id="357" w:name="_Toc18567"/>
      <w:bookmarkStart w:id="358" w:name="_Toc22938"/>
      <w:bookmarkStart w:id="359" w:name="_Toc14479"/>
      <w:bookmarkStart w:id="360" w:name="_Toc28689"/>
      <w:bookmarkStart w:id="361" w:name="_Toc487900373"/>
      <w:bookmarkStart w:id="362" w:name="_Toc12773"/>
      <w:r>
        <w:rPr>
          <w:rFonts w:hint="eastAsia" w:ascii="宋体" w:hAnsi="宋体" w:eastAsia="宋体" w:cs="宋体"/>
          <w:b/>
          <w:sz w:val="24"/>
        </w:rPr>
        <w:t>2.20 合同使用的文字和适用的法律</w:t>
      </w:r>
      <w:bookmarkEnd w:id="352"/>
      <w:bookmarkEnd w:id="353"/>
      <w:bookmarkEnd w:id="354"/>
      <w:bookmarkEnd w:id="355"/>
      <w:bookmarkEnd w:id="356"/>
      <w:bookmarkEnd w:id="357"/>
      <w:bookmarkEnd w:id="358"/>
      <w:bookmarkEnd w:id="359"/>
      <w:bookmarkEnd w:id="360"/>
      <w:bookmarkEnd w:id="361"/>
      <w:bookmarkEnd w:id="36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2.20.1 合同使用汉语书就、变更和解释；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2.20.2 合同适用中华人民共和国法律。</w:t>
      </w:r>
    </w:p>
    <w:p>
      <w:pPr>
        <w:spacing w:line="560" w:lineRule="exact"/>
        <w:ind w:firstLine="482" w:firstLineChars="200"/>
        <w:outlineLvl w:val="0"/>
        <w:rPr>
          <w:rFonts w:hint="eastAsia" w:ascii="宋体" w:hAnsi="宋体" w:eastAsia="宋体" w:cs="宋体"/>
          <w:b/>
          <w:sz w:val="24"/>
        </w:rPr>
      </w:pPr>
      <w:bookmarkStart w:id="363" w:name="_Toc16673"/>
      <w:bookmarkStart w:id="364" w:name="_Toc21884"/>
      <w:bookmarkStart w:id="365" w:name="_Toc3148"/>
      <w:bookmarkStart w:id="366" w:name="_Toc12004"/>
      <w:bookmarkStart w:id="367" w:name="_Toc8121"/>
      <w:bookmarkStart w:id="368" w:name="_Toc32700"/>
      <w:bookmarkStart w:id="369" w:name="_Toc12254"/>
      <w:bookmarkStart w:id="370" w:name="_Toc259093693"/>
      <w:bookmarkStart w:id="371" w:name="_Toc279701264"/>
      <w:bookmarkStart w:id="372" w:name="_Toc13160"/>
      <w:bookmarkStart w:id="373" w:name="_Toc487900374"/>
      <w:r>
        <w:rPr>
          <w:rFonts w:hint="eastAsia" w:ascii="宋体" w:hAnsi="宋体" w:eastAsia="宋体" w:cs="宋体"/>
          <w:b/>
          <w:sz w:val="24"/>
        </w:rPr>
        <w:t>2.21 履约保证金</w:t>
      </w:r>
      <w:bookmarkEnd w:id="363"/>
      <w:bookmarkEnd w:id="364"/>
      <w:bookmarkEnd w:id="365"/>
      <w:bookmarkEnd w:id="366"/>
      <w:bookmarkEnd w:id="367"/>
      <w:bookmarkEnd w:id="368"/>
      <w:bookmarkEnd w:id="369"/>
      <w:bookmarkEnd w:id="370"/>
      <w:bookmarkEnd w:id="371"/>
      <w:bookmarkEnd w:id="37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2.21.1 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w:t>
      </w:r>
      <w:r>
        <w:rPr>
          <w:rFonts w:hint="eastAsia" w:ascii="宋体" w:hAnsi="宋体" w:eastAsia="宋体" w:cs="宋体"/>
          <w:sz w:val="24"/>
          <w:lang w:eastAsia="zh-CN"/>
        </w:rPr>
        <w:t>电汇、</w:t>
      </w:r>
      <w:r>
        <w:rPr>
          <w:rFonts w:hint="eastAsia" w:ascii="宋体" w:hAnsi="宋体" w:eastAsia="宋体" w:cs="宋体"/>
          <w:sz w:val="24"/>
          <w:lang w:val="en-US" w:eastAsia="zh-CN"/>
        </w:rPr>
        <w:t>转账、</w:t>
      </w:r>
      <w:r>
        <w:rPr>
          <w:rFonts w:hint="eastAsia" w:ascii="宋体" w:hAnsi="宋体" w:eastAsia="宋体" w:cs="宋体"/>
          <w:sz w:val="24"/>
        </w:rPr>
        <w:t>网银汇款等非现金形式，提交不超过合同价10%的履约保证金；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2.21.2  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约定期间内或者</w:t>
      </w:r>
      <w:r>
        <w:rPr>
          <w:rFonts w:hint="eastAsia" w:ascii="宋体" w:hAnsi="宋体" w:eastAsia="宋体" w:cs="宋体"/>
          <w:sz w:val="24"/>
          <w:lang w:eastAsia="zh-CN"/>
        </w:rPr>
        <w:t>服务</w:t>
      </w:r>
      <w:r>
        <w:rPr>
          <w:rFonts w:hint="eastAsia" w:ascii="宋体" w:hAnsi="宋体" w:eastAsia="宋体" w:cs="宋体"/>
          <w:sz w:val="24"/>
        </w:rPr>
        <w:t>质量保证期内不予退还或者应完全有效，前述约定期间届满或者</w:t>
      </w:r>
      <w:r>
        <w:rPr>
          <w:rFonts w:hint="eastAsia" w:ascii="宋体" w:hAnsi="宋体" w:eastAsia="宋体" w:cs="宋体"/>
          <w:sz w:val="24"/>
          <w:lang w:eastAsia="zh-CN"/>
        </w:rPr>
        <w:t>服务</w:t>
      </w:r>
      <w:r>
        <w:rPr>
          <w:rFonts w:hint="eastAsia" w:ascii="宋体" w:hAnsi="宋体" w:eastAsia="宋体" w:cs="宋体"/>
          <w:sz w:val="24"/>
        </w:rPr>
        <w:t>质量保证期届满之日起</w:t>
      </w:r>
      <w:r>
        <w:rPr>
          <w:rFonts w:hint="eastAsia" w:ascii="宋体" w:hAnsi="宋体" w:eastAsia="宋体" w:cs="宋体"/>
          <w:sz w:val="24"/>
          <w:u w:val="single"/>
        </w:rPr>
        <w:t xml:space="preserve">  </w:t>
      </w:r>
      <w:r>
        <w:rPr>
          <w:rFonts w:hint="eastAsia" w:ascii="宋体" w:hAnsi="宋体" w:eastAsia="宋体" w:cs="宋体"/>
          <w:sz w:val="24"/>
        </w:rPr>
        <w:t>个工作日内，甲方应将履约保证金退还乙方；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73"/>
    <w:p>
      <w:pPr>
        <w:spacing w:line="560" w:lineRule="exact"/>
        <w:ind w:firstLine="482" w:firstLineChars="200"/>
        <w:outlineLvl w:val="0"/>
        <w:rPr>
          <w:rFonts w:hint="eastAsia" w:ascii="宋体" w:hAnsi="宋体" w:eastAsia="宋体" w:cs="宋体"/>
          <w:b/>
          <w:sz w:val="24"/>
        </w:rPr>
      </w:pPr>
      <w:bookmarkStart w:id="374" w:name="_Toc27194"/>
      <w:bookmarkStart w:id="375" w:name="_Toc28857"/>
      <w:bookmarkStart w:id="376" w:name="_Toc26590"/>
      <w:bookmarkStart w:id="377" w:name="_Toc7112"/>
      <w:bookmarkStart w:id="378" w:name="_Toc14001"/>
      <w:bookmarkStart w:id="379" w:name="_Toc19890"/>
      <w:bookmarkStart w:id="380" w:name="_Toc12390"/>
      <w:bookmarkStart w:id="381" w:name="_Toc6885"/>
      <w:r>
        <w:rPr>
          <w:rFonts w:hint="eastAsia" w:ascii="宋体" w:hAnsi="宋体" w:eastAsia="宋体" w:cs="宋体"/>
          <w:b/>
          <w:sz w:val="24"/>
        </w:rPr>
        <w:t>2.22 合同份数</w:t>
      </w:r>
      <w:bookmarkEnd w:id="374"/>
      <w:bookmarkEnd w:id="375"/>
      <w:bookmarkEnd w:id="376"/>
      <w:bookmarkEnd w:id="377"/>
      <w:bookmarkEnd w:id="378"/>
      <w:bookmarkEnd w:id="379"/>
      <w:bookmarkEnd w:id="380"/>
      <w:bookmarkEnd w:id="38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Style w:val="89"/>
        <w:spacing w:line="560" w:lineRule="exact"/>
        <w:ind w:firstLine="0"/>
        <w:jc w:val="center"/>
        <w:rPr>
          <w:rFonts w:hint="eastAsia" w:ascii="宋体" w:hAnsi="宋体" w:eastAsia="宋体" w:cs="宋体"/>
          <w:b/>
          <w:szCs w:val="24"/>
        </w:rPr>
      </w:pPr>
      <w:r>
        <w:rPr>
          <w:rFonts w:hint="eastAsia" w:ascii="宋体" w:hAnsi="宋体" w:eastAsia="宋体" w:cs="宋体"/>
          <w:szCs w:val="24"/>
        </w:rPr>
        <w:br w:type="page"/>
      </w:r>
      <w:bookmarkStart w:id="382" w:name="_Toc331685784"/>
      <w:r>
        <w:rPr>
          <w:rFonts w:hint="eastAsia" w:ascii="宋体" w:hAnsi="宋体" w:eastAsia="宋体" w:cs="宋体"/>
          <w:b/>
          <w:szCs w:val="24"/>
        </w:rPr>
        <w:t>第三部分  合同专用条款</w:t>
      </w:r>
      <w:bookmarkEnd w:id="38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条款号</w:t>
            </w:r>
          </w:p>
        </w:tc>
        <w:tc>
          <w:tcPr>
            <w:tcW w:w="7633" w:type="dxa"/>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jc w:val="center"/>
              <w:rPr>
                <w:rFonts w:hint="eastAsia" w:ascii="宋体" w:hAnsi="宋体" w:eastAsia="宋体" w:cs="宋体"/>
                <w:sz w:val="24"/>
                <w:szCs w:val="24"/>
                <w:u w:val="none"/>
                <w:lang w:val="en-US" w:eastAsia="zh-CN"/>
              </w:rPr>
            </w:pPr>
          </w:p>
        </w:tc>
        <w:tc>
          <w:tcPr>
            <w:tcW w:w="7633" w:type="dxa"/>
            <w:noWrap w:val="0"/>
            <w:vAlign w:val="center"/>
          </w:tcPr>
          <w:p>
            <w:pPr>
              <w:spacing w:line="560" w:lineRule="exact"/>
              <w:rPr>
                <w:rFonts w:hint="eastAsia" w:ascii="宋体" w:hAnsi="宋体" w:eastAsia="宋体" w:cs="宋体"/>
                <w:sz w:val="24"/>
                <w:szCs w:val="24"/>
                <w:u w:val="none"/>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bl>
    <w:p>
      <w:pPr>
        <w:spacing w:after="156" w:line="560" w:lineRule="exact"/>
        <w:ind w:firstLine="480"/>
        <w:rPr>
          <w:rFonts w:hint="eastAsia" w:ascii="宋体" w:hAnsi="宋体" w:eastAsia="宋体" w:cs="宋体"/>
        </w:rPr>
      </w:pPr>
    </w:p>
    <w:p>
      <w:pPr>
        <w:tabs>
          <w:tab w:val="left" w:pos="940"/>
        </w:tabs>
        <w:bidi w:val="0"/>
        <w:jc w:val="left"/>
        <w:rPr>
          <w:rFonts w:hint="eastAsia" w:eastAsia="宋体"/>
          <w:lang w:eastAsia="zh-CN"/>
        </w:rPr>
      </w:pPr>
    </w:p>
    <w:p>
      <w:pPr>
        <w:pStyle w:val="2"/>
        <w:tabs>
          <w:tab w:val="left" w:pos="1262"/>
        </w:tabs>
        <w:ind w:right="19"/>
        <w:jc w:val="center"/>
        <w:rPr>
          <w:rFonts w:hint="eastAsia" w:ascii="宋体" w:hAnsi="宋体" w:eastAsia="宋体" w:cs="宋体"/>
          <w:b/>
          <w:bCs/>
          <w:sz w:val="36"/>
          <w:szCs w:val="36"/>
        </w:rPr>
      </w:pPr>
    </w:p>
    <w:p>
      <w:pPr>
        <w:spacing w:line="240" w:lineRule="auto"/>
        <w:jc w:val="center"/>
        <w:rPr>
          <w:rFonts w:hint="eastAsia" w:ascii="宋体" w:hAnsi="宋体" w:eastAsia="宋体" w:cs="宋体"/>
          <w:b/>
          <w:bCs/>
          <w:sz w:val="36"/>
          <w:szCs w:val="36"/>
        </w:rPr>
      </w:pPr>
    </w:p>
    <w:p>
      <w:pPr>
        <w:pStyle w:val="11"/>
        <w:rPr>
          <w:rFonts w:hint="eastAsia"/>
        </w:rPr>
      </w:pPr>
    </w:p>
    <w:bookmarkEnd w:id="89"/>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outlineLvl w:val="0"/>
        <w:rPr>
          <w:rFonts w:hint="eastAsia" w:ascii="宋体" w:hAnsi="宋体" w:eastAsia="宋体" w:cs="宋体"/>
          <w:b/>
          <w:bCs w:val="0"/>
          <w:color w:val="auto"/>
          <w:kern w:val="2"/>
          <w:sz w:val="44"/>
          <w:szCs w:val="44"/>
          <w:highlight w:val="none"/>
          <w:lang w:val="en-US" w:eastAsia="zh-CN" w:bidi="ar-SA"/>
        </w:rPr>
      </w:pPr>
      <w:bookmarkStart w:id="383" w:name="_Toc18603"/>
      <w:bookmarkStart w:id="384" w:name="_Toc23011"/>
      <w:bookmarkStart w:id="385" w:name="_Toc20988"/>
      <w:bookmarkStart w:id="386" w:name="_Toc7259"/>
      <w:bookmarkStart w:id="387" w:name="_Toc28171"/>
      <w:bookmarkStart w:id="388" w:name="_Toc381970843"/>
      <w:bookmarkStart w:id="389" w:name="_Toc12372"/>
      <w:bookmarkStart w:id="390" w:name="_Toc18512"/>
      <w:r>
        <w:rPr>
          <w:rFonts w:hint="eastAsia" w:ascii="宋体" w:hAnsi="宋体" w:eastAsia="宋体" w:cs="宋体"/>
          <w:color w:val="auto"/>
          <w:highlight w:val="none"/>
          <w:lang w:val="en-US" w:eastAsia="zh-CN"/>
        </w:rPr>
        <w:t xml:space="preserve">     </w:t>
      </w:r>
      <w:r>
        <w:rPr>
          <w:rFonts w:hint="eastAsia" w:ascii="宋体" w:hAnsi="宋体" w:eastAsia="宋体" w:cs="宋体"/>
          <w:b/>
          <w:bCs w:val="0"/>
          <w:color w:val="auto"/>
          <w:kern w:val="2"/>
          <w:sz w:val="44"/>
          <w:szCs w:val="44"/>
          <w:highlight w:val="none"/>
          <w:lang w:val="en-US" w:eastAsia="zh-CN" w:bidi="ar-SA"/>
        </w:rPr>
        <w:t xml:space="preserve">         </w:t>
      </w:r>
    </w:p>
    <w:tbl>
      <w:tblPr>
        <w:tblStyle w:val="29"/>
        <w:tblpPr w:leftFromText="180" w:rightFromText="180" w:vertAnchor="text" w:horzAnchor="page" w:tblpX="8650" w:tblpY="-37"/>
        <w:tblW w:w="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65" w:type="dxa"/>
            <w:noWrap w:val="0"/>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正</w:t>
            </w:r>
            <w:r>
              <w:rPr>
                <w:rFonts w:hint="eastAsia" w:ascii="宋体" w:hAnsi="宋体" w:eastAsia="宋体" w:cs="宋体"/>
                <w:b/>
                <w:color w:val="auto"/>
                <w:sz w:val="24"/>
                <w:lang w:val="en-US" w:eastAsia="zh-CN"/>
              </w:rPr>
              <w:t>/</w:t>
            </w:r>
            <w:r>
              <w:rPr>
                <w:rFonts w:hint="eastAsia" w:ascii="宋体" w:hAnsi="宋体" w:eastAsia="宋体" w:cs="宋体"/>
                <w:b/>
                <w:color w:val="auto"/>
                <w:sz w:val="24"/>
                <w:lang w:eastAsia="zh-CN"/>
              </w:rPr>
              <w:t>副</w:t>
            </w:r>
            <w:r>
              <w:rPr>
                <w:rFonts w:hint="eastAsia" w:ascii="宋体" w:hAnsi="宋体" w:eastAsia="宋体" w:cs="宋体"/>
                <w:b/>
                <w:color w:val="auto"/>
                <w:sz w:val="24"/>
              </w:rPr>
              <w:t>本</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center"/>
        <w:textAlignment w:val="auto"/>
        <w:outlineLvl w:val="0"/>
        <w:rPr>
          <w:rFonts w:hint="eastAsia" w:ascii="宋体" w:hAnsi="宋体" w:eastAsia="宋体" w:cs="宋体"/>
          <w:b/>
          <w:bCs w:val="0"/>
          <w:color w:val="auto"/>
          <w:kern w:val="2"/>
          <w:sz w:val="44"/>
          <w:szCs w:val="44"/>
          <w:highlight w:val="none"/>
          <w:lang w:val="en-US" w:eastAsia="zh-CN" w:bidi="ar-SA"/>
        </w:rPr>
      </w:pPr>
      <w:bookmarkStart w:id="391" w:name="_Toc31114"/>
      <w:r>
        <w:rPr>
          <w:rFonts w:hint="eastAsia" w:ascii="宋体" w:hAnsi="宋体" w:eastAsia="宋体" w:cs="宋体"/>
          <w:b/>
          <w:bCs w:val="0"/>
          <w:color w:val="auto"/>
          <w:kern w:val="2"/>
          <w:sz w:val="44"/>
          <w:szCs w:val="44"/>
          <w:highlight w:val="none"/>
          <w:lang w:val="en-US" w:eastAsia="zh-CN" w:bidi="ar-SA"/>
        </w:rPr>
        <w:t>第五章 投标文件格式</w:t>
      </w:r>
      <w:bookmarkEnd w:id="383"/>
      <w:bookmarkEnd w:id="384"/>
      <w:bookmarkEnd w:id="385"/>
      <w:bookmarkEnd w:id="386"/>
      <w:bookmarkEnd w:id="387"/>
      <w:bookmarkEnd w:id="388"/>
      <w:bookmarkEnd w:id="389"/>
      <w:bookmarkEnd w:id="391"/>
    </w:p>
    <w:p>
      <w:pPr>
        <w:pageBreakBefore w:val="0"/>
        <w:kinsoku/>
        <w:wordWrap/>
        <w:overflowPunct/>
        <w:topLinePunct w:val="0"/>
        <w:bidi w:val="0"/>
        <w:spacing w:line="360" w:lineRule="auto"/>
        <w:rPr>
          <w:rFonts w:hint="eastAsia" w:ascii="宋体" w:hAnsi="宋体" w:eastAsia="宋体" w:cs="宋体"/>
          <w:color w:val="auto"/>
        </w:rPr>
      </w:pPr>
      <w:r>
        <w:rPr>
          <w:rFonts w:hint="eastAsia" w:ascii="宋体" w:hAnsi="宋体" w:eastAsia="宋体" w:cs="宋体"/>
          <w:color w:val="auto"/>
        </w:rPr>
        <w:t xml:space="preserve">                                                                        </w:t>
      </w:r>
    </w:p>
    <w:p>
      <w:pPr>
        <w:pageBreakBefore w:val="0"/>
        <w:kinsoku/>
        <w:wordWrap/>
        <w:overflowPunct/>
        <w:topLinePunct w:val="0"/>
        <w:bidi w:val="0"/>
        <w:spacing w:line="360" w:lineRule="auto"/>
        <w:rPr>
          <w:rFonts w:hint="eastAsia" w:ascii="宋体" w:hAnsi="宋体" w:eastAsia="宋体" w:cs="宋体"/>
          <w:color w:val="auto"/>
        </w:rPr>
      </w:pPr>
    </w:p>
    <w:p>
      <w:pPr>
        <w:pageBreakBefore w:val="0"/>
        <w:kinsoku/>
        <w:wordWrap/>
        <w:overflowPunct/>
        <w:topLinePunct w:val="0"/>
        <w:bidi w:val="0"/>
        <w:spacing w:line="360" w:lineRule="auto"/>
        <w:rPr>
          <w:rFonts w:hint="eastAsia" w:ascii="宋体" w:hAnsi="宋体" w:eastAsia="宋体" w:cs="宋体"/>
          <w:color w:val="auto"/>
        </w:rPr>
      </w:pPr>
    </w:p>
    <w:p>
      <w:pPr>
        <w:pageBreakBefore w:val="0"/>
        <w:kinsoku/>
        <w:wordWrap/>
        <w:overflowPunct/>
        <w:topLinePunct w:val="0"/>
        <w:bidi w:val="0"/>
        <w:spacing w:line="360" w:lineRule="auto"/>
        <w:ind w:firstLine="960" w:firstLineChars="400"/>
        <w:rPr>
          <w:rFonts w:hint="eastAsia" w:ascii="宋体" w:hAnsi="宋体" w:eastAsia="宋体" w:cs="宋体"/>
          <w:color w:val="auto"/>
          <w:sz w:val="24"/>
        </w:rPr>
      </w:pPr>
    </w:p>
    <w:p>
      <w:pPr>
        <w:pageBreakBefore w:val="0"/>
        <w:kinsoku/>
        <w:wordWrap/>
        <w:overflowPunct/>
        <w:topLinePunct w:val="0"/>
        <w:bidi w:val="0"/>
        <w:spacing w:line="360" w:lineRule="auto"/>
        <w:ind w:firstLine="1120" w:firstLineChars="400"/>
        <w:rPr>
          <w:rFonts w:hint="eastAsia" w:ascii="宋体" w:hAnsi="宋体" w:eastAsia="宋体" w:cs="宋体"/>
          <w:color w:val="auto"/>
          <w:sz w:val="28"/>
          <w:szCs w:val="28"/>
        </w:rPr>
      </w:pPr>
    </w:p>
    <w:p>
      <w:pPr>
        <w:pageBreakBefore w:val="0"/>
        <w:kinsoku/>
        <w:wordWrap/>
        <w:overflowPunct/>
        <w:topLinePunct w:val="0"/>
        <w:bidi w:val="0"/>
        <w:spacing w:line="360" w:lineRule="auto"/>
        <w:ind w:firstLine="1120" w:firstLineChars="400"/>
        <w:rPr>
          <w:rFonts w:hint="eastAsia" w:ascii="宋体" w:hAnsi="宋体" w:eastAsia="宋体" w:cs="宋体"/>
          <w:color w:val="auto"/>
          <w:sz w:val="28"/>
          <w:szCs w:val="28"/>
          <w:u w:val="single"/>
          <w:lang w:val="en-US"/>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p>
    <w:p>
      <w:pPr>
        <w:pageBreakBefore w:val="0"/>
        <w:kinsoku/>
        <w:wordWrap/>
        <w:overflowPunct/>
        <w:topLinePunct w:val="0"/>
        <w:bidi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ageBreakBefore w:val="0"/>
        <w:kinsoku/>
        <w:wordWrap/>
        <w:overflowPunct/>
        <w:topLinePunct w:val="0"/>
        <w:bidi w:val="0"/>
        <w:spacing w:line="360" w:lineRule="auto"/>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编号：</w:t>
      </w:r>
      <w:r>
        <w:rPr>
          <w:rFonts w:hint="eastAsia" w:ascii="宋体" w:hAnsi="宋体" w:eastAsia="宋体" w:cs="宋体"/>
          <w:color w:val="auto"/>
          <w:sz w:val="28"/>
          <w:szCs w:val="28"/>
          <w:u w:val="single"/>
        </w:rPr>
        <w:t xml:space="preserve">                        </w:t>
      </w:r>
    </w:p>
    <w:p>
      <w:pPr>
        <w:pageBreakBefore w:val="0"/>
        <w:kinsoku/>
        <w:wordWrap/>
        <w:overflowPunct/>
        <w:topLinePunct w:val="0"/>
        <w:bidi w:val="0"/>
        <w:spacing w:line="360" w:lineRule="auto"/>
        <w:rPr>
          <w:rFonts w:hint="eastAsia" w:ascii="宋体" w:hAnsi="宋体" w:eastAsia="宋体" w:cs="宋体"/>
          <w:color w:val="auto"/>
          <w:sz w:val="28"/>
          <w:szCs w:val="28"/>
        </w:rPr>
      </w:pPr>
    </w:p>
    <w:p>
      <w:pPr>
        <w:pageBreakBefore w:val="0"/>
        <w:kinsoku/>
        <w:wordWrap/>
        <w:overflowPunct/>
        <w:topLinePunct w:val="0"/>
        <w:bidi w:val="0"/>
        <w:spacing w:line="360" w:lineRule="auto"/>
        <w:rPr>
          <w:rFonts w:hint="eastAsia" w:ascii="宋体" w:hAnsi="宋体" w:eastAsia="宋体" w:cs="宋体"/>
          <w:color w:val="auto"/>
          <w:sz w:val="28"/>
          <w:szCs w:val="28"/>
        </w:rPr>
      </w:pPr>
    </w:p>
    <w:p>
      <w:pPr>
        <w:pageBreakBefore w:val="0"/>
        <w:kinsoku/>
        <w:wordWrap/>
        <w:overflowPunct/>
        <w:topLinePunct w:val="0"/>
        <w:bidi w:val="0"/>
        <w:spacing w:line="360" w:lineRule="auto"/>
        <w:rPr>
          <w:rFonts w:hint="eastAsia" w:ascii="宋体" w:hAnsi="宋体" w:eastAsia="宋体" w:cs="宋体"/>
          <w:color w:val="auto"/>
          <w:sz w:val="28"/>
          <w:szCs w:val="28"/>
        </w:rPr>
      </w:pPr>
    </w:p>
    <w:p>
      <w:pPr>
        <w:pageBreakBefore w:val="0"/>
        <w:kinsoku/>
        <w:wordWrap/>
        <w:overflowPunct/>
        <w:topLinePunct w:val="0"/>
        <w:bidi w:val="0"/>
        <w:spacing w:line="360" w:lineRule="auto"/>
        <w:jc w:val="center"/>
        <w:outlineLvl w:val="0"/>
        <w:rPr>
          <w:rFonts w:hint="eastAsia" w:ascii="宋体" w:hAnsi="宋体" w:eastAsia="宋体" w:cs="宋体"/>
          <w:b/>
          <w:color w:val="auto"/>
          <w:sz w:val="36"/>
          <w:szCs w:val="36"/>
        </w:rPr>
      </w:pPr>
      <w:bookmarkStart w:id="392" w:name="_Toc14256"/>
      <w:r>
        <w:rPr>
          <w:rFonts w:hint="eastAsia" w:ascii="宋体" w:hAnsi="宋体" w:eastAsia="宋体" w:cs="宋体"/>
          <w:b/>
          <w:color w:val="auto"/>
          <w:sz w:val="36"/>
          <w:szCs w:val="36"/>
          <w:lang w:val="en-US" w:eastAsia="zh-CN"/>
        </w:rPr>
        <w:t>投  标</w:t>
      </w:r>
      <w:r>
        <w:rPr>
          <w:rFonts w:hint="eastAsia" w:ascii="宋体" w:hAnsi="宋体" w:eastAsia="宋体" w:cs="宋体"/>
          <w:b/>
          <w:color w:val="auto"/>
          <w:sz w:val="36"/>
          <w:szCs w:val="36"/>
        </w:rPr>
        <w:t xml:space="preserve">  文  件</w:t>
      </w:r>
      <w:bookmarkEnd w:id="392"/>
    </w:p>
    <w:p>
      <w:pPr>
        <w:pageBreakBefore w:val="0"/>
        <w:kinsoku/>
        <w:wordWrap/>
        <w:overflowPunct/>
        <w:topLinePunct w:val="0"/>
        <w:bidi w:val="0"/>
        <w:spacing w:line="360" w:lineRule="auto"/>
        <w:rPr>
          <w:rFonts w:hint="eastAsia" w:ascii="宋体" w:hAnsi="宋体" w:eastAsia="宋体" w:cs="宋体"/>
          <w:b/>
          <w:color w:val="auto"/>
          <w:sz w:val="32"/>
          <w:szCs w:val="32"/>
        </w:rPr>
      </w:pPr>
    </w:p>
    <w:p>
      <w:pPr>
        <w:pageBreakBefore w:val="0"/>
        <w:kinsoku/>
        <w:wordWrap/>
        <w:overflowPunct/>
        <w:topLinePunct w:val="0"/>
        <w:bidi w:val="0"/>
        <w:spacing w:line="360" w:lineRule="auto"/>
        <w:rPr>
          <w:rFonts w:hint="eastAsia" w:ascii="宋体" w:hAnsi="宋体" w:eastAsia="宋体" w:cs="宋体"/>
          <w:b/>
          <w:color w:val="auto"/>
          <w:sz w:val="32"/>
          <w:szCs w:val="32"/>
        </w:rPr>
      </w:pPr>
    </w:p>
    <w:p>
      <w:pPr>
        <w:pageBreakBefore w:val="0"/>
        <w:kinsoku/>
        <w:wordWrap/>
        <w:overflowPunct/>
        <w:topLinePunct w:val="0"/>
        <w:bidi w:val="0"/>
        <w:spacing w:line="360" w:lineRule="auto"/>
        <w:ind w:firstLine="960" w:firstLineChars="400"/>
        <w:rPr>
          <w:rFonts w:hint="eastAsia" w:ascii="宋体" w:hAnsi="宋体" w:eastAsia="宋体" w:cs="宋体"/>
          <w:color w:val="auto"/>
          <w:sz w:val="24"/>
          <w:lang w:eastAsia="zh-CN"/>
        </w:rPr>
      </w:pPr>
    </w:p>
    <w:p>
      <w:pPr>
        <w:pageBreakBefore w:val="0"/>
        <w:kinsoku/>
        <w:wordWrap/>
        <w:overflowPunct/>
        <w:topLinePunct w:val="0"/>
        <w:bidi w:val="0"/>
        <w:spacing w:line="360" w:lineRule="auto"/>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w:t>
      </w:r>
      <w:r>
        <w:rPr>
          <w:rFonts w:hint="eastAsia" w:ascii="宋体" w:hAnsi="宋体" w:eastAsia="宋体" w:cs="宋体"/>
          <w:color w:val="auto"/>
          <w:sz w:val="28"/>
          <w:szCs w:val="28"/>
          <w:lang w:eastAsia="zh-CN"/>
        </w:rPr>
        <w:t>公</w:t>
      </w:r>
      <w:r>
        <w:rPr>
          <w:rFonts w:hint="eastAsia" w:ascii="宋体" w:hAnsi="宋体" w:eastAsia="宋体" w:cs="宋体"/>
          <w:color w:val="auto"/>
          <w:sz w:val="28"/>
          <w:szCs w:val="28"/>
        </w:rPr>
        <w:t>章）</w:t>
      </w:r>
    </w:p>
    <w:p>
      <w:pPr>
        <w:pageBreakBefore w:val="0"/>
        <w:kinsoku/>
        <w:wordWrap/>
        <w:overflowPunct/>
        <w:topLinePunct w:val="0"/>
        <w:bidi w:val="0"/>
        <w:spacing w:line="360" w:lineRule="auto"/>
        <w:rPr>
          <w:rFonts w:hint="eastAsia" w:ascii="宋体" w:hAnsi="宋体" w:eastAsia="宋体" w:cs="宋体"/>
          <w:color w:val="auto"/>
          <w:sz w:val="28"/>
          <w:szCs w:val="28"/>
        </w:rPr>
      </w:pPr>
    </w:p>
    <w:p>
      <w:pPr>
        <w:pageBreakBefore w:val="0"/>
        <w:kinsoku/>
        <w:wordWrap/>
        <w:overflowPunct/>
        <w:topLinePunct w:val="0"/>
        <w:bidi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pPr>
        <w:pageBreakBefore w:val="0"/>
        <w:kinsoku/>
        <w:wordWrap/>
        <w:overflowPunct/>
        <w:topLinePunct w:val="0"/>
        <w:bidi w:val="0"/>
        <w:spacing w:line="360" w:lineRule="auto"/>
        <w:rPr>
          <w:rFonts w:hint="eastAsia" w:ascii="宋体" w:hAnsi="宋体" w:eastAsia="宋体" w:cs="宋体"/>
          <w:color w:val="auto"/>
          <w:sz w:val="28"/>
          <w:szCs w:val="28"/>
        </w:rPr>
      </w:pPr>
    </w:p>
    <w:p>
      <w:pPr>
        <w:pageBreakBefore w:val="0"/>
        <w:kinsoku/>
        <w:wordWrap/>
        <w:overflowPunct/>
        <w:topLinePunct w:val="0"/>
        <w:bidi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pPr>
        <w:jc w:val="center"/>
        <w:rPr>
          <w:rFonts w:hint="eastAsia" w:ascii="宋体" w:hAnsi="宋体" w:eastAsia="宋体" w:cs="宋体"/>
          <w:b/>
          <w:sz w:val="28"/>
          <w:szCs w:val="28"/>
          <w:lang w:val="en-US" w:eastAsia="zh-CN"/>
        </w:rPr>
      </w:pPr>
      <w:bookmarkStart w:id="393" w:name="_Toc30075_WPSOffice_Level2"/>
    </w:p>
    <w:p>
      <w:pPr>
        <w:pStyle w:val="11"/>
        <w:rPr>
          <w:rFonts w:hint="eastAsia" w:ascii="宋体" w:hAnsi="宋体" w:eastAsia="宋体" w:cs="宋体"/>
          <w:b/>
          <w:sz w:val="28"/>
          <w:szCs w:val="28"/>
          <w:lang w:val="en-US" w:eastAsia="zh-CN"/>
        </w:rPr>
      </w:pPr>
    </w:p>
    <w:p>
      <w:pPr>
        <w:rPr>
          <w:rFonts w:hint="eastAsia"/>
          <w:lang w:val="en-US" w:eastAsia="zh-CN"/>
        </w:rPr>
      </w:pPr>
    </w:p>
    <w:p>
      <w:pPr>
        <w:jc w:val="center"/>
        <w:rPr>
          <w:rFonts w:hint="eastAsia" w:ascii="宋体" w:hAnsi="宋体" w:eastAsia="宋体" w:cs="宋体"/>
          <w:b/>
          <w:sz w:val="30"/>
          <w:szCs w:val="30"/>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承诺函</w:t>
      </w:r>
      <w:bookmarkEnd w:id="393"/>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lang w:val="en-US"/>
        </w:rPr>
      </w:pPr>
      <w:r>
        <w:rPr>
          <w:rFonts w:hint="eastAsia" w:ascii="宋体" w:hAnsi="宋体" w:eastAsia="宋体" w:cs="宋体"/>
          <w:sz w:val="24"/>
        </w:rPr>
        <w:t>l、方已仔细研究了_________</w:t>
      </w:r>
      <w:r>
        <w:rPr>
          <w:rFonts w:hint="eastAsia" w:ascii="宋体" w:hAnsi="宋体" w:eastAsia="宋体" w:cs="宋体"/>
          <w:sz w:val="24"/>
          <w:u w:val="none"/>
        </w:rPr>
        <w:t>_____</w:t>
      </w:r>
      <w:r>
        <w:rPr>
          <w:rFonts w:hint="eastAsia" w:ascii="宋体" w:hAnsi="宋体" w:eastAsia="宋体" w:cs="宋体"/>
          <w:sz w:val="24"/>
          <w:u w:val="single"/>
        </w:rPr>
        <w:t>(项目名称</w:t>
      </w:r>
      <w:r>
        <w:rPr>
          <w:rFonts w:hint="eastAsia" w:ascii="宋体" w:hAnsi="宋体" w:eastAsia="宋体" w:cs="宋体"/>
          <w:sz w:val="24"/>
          <w:u w:val="single"/>
          <w:lang w:val="en-US" w:eastAsia="zh-CN"/>
        </w:rPr>
        <w:t>及项目编号</w:t>
      </w:r>
      <w:r>
        <w:rPr>
          <w:rFonts w:hint="eastAsia" w:ascii="宋体" w:hAnsi="宋体" w:eastAsia="宋体" w:cs="宋体"/>
          <w:sz w:val="24"/>
          <w:u w:val="single"/>
        </w:rPr>
        <w:t xml:space="preserve">) </w:t>
      </w:r>
      <w:r>
        <w:rPr>
          <w:rFonts w:hint="eastAsia" w:ascii="宋体" w:hAnsi="宋体" w:eastAsia="宋体" w:cs="宋体"/>
          <w:sz w:val="24"/>
        </w:rPr>
        <w:t>的招标文件的全部内容，愿意以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元</w:t>
      </w:r>
      <w:r>
        <w:rPr>
          <w:rFonts w:hint="eastAsia" w:ascii="宋体" w:hAnsi="宋体" w:eastAsia="宋体" w:cs="宋体"/>
          <w:sz w:val="24"/>
        </w:rPr>
        <w:t>为投标总报价。</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2、如果我方的</w:t>
      </w:r>
      <w:r>
        <w:rPr>
          <w:rFonts w:hint="eastAsia" w:ascii="宋体" w:hAnsi="宋体" w:eastAsia="宋体" w:cs="宋体"/>
          <w:sz w:val="24"/>
          <w:lang w:eastAsia="zh-CN"/>
        </w:rPr>
        <w:t>响应文件</w:t>
      </w:r>
      <w:r>
        <w:rPr>
          <w:rFonts w:hint="eastAsia" w:ascii="宋体" w:hAnsi="宋体" w:eastAsia="宋体" w:cs="宋体"/>
          <w:sz w:val="24"/>
        </w:rPr>
        <w:t>被接受，我方将严格履行</w:t>
      </w:r>
      <w:r>
        <w:rPr>
          <w:rFonts w:hint="eastAsia" w:ascii="宋体" w:hAnsi="宋体" w:eastAsia="宋体" w:cs="宋体"/>
          <w:sz w:val="24"/>
          <w:lang w:eastAsia="zh-CN"/>
        </w:rPr>
        <w:t>磋商文件</w:t>
      </w:r>
      <w:r>
        <w:rPr>
          <w:rFonts w:hint="eastAsia" w:ascii="宋体" w:hAnsi="宋体" w:eastAsia="宋体" w:cs="宋体"/>
          <w:sz w:val="24"/>
        </w:rPr>
        <w:t>中规定的每一项要求，按期、按质、按量履行供货义务</w:t>
      </w:r>
      <w:r>
        <w:rPr>
          <w:rFonts w:hint="eastAsia" w:ascii="宋体" w:hAnsi="宋体" w:eastAsia="宋体" w:cs="宋体"/>
          <w:sz w:val="24"/>
          <w:lang w:eastAsia="zh-CN"/>
        </w:rPr>
        <w:t>，</w:t>
      </w:r>
      <w:r>
        <w:rPr>
          <w:rFonts w:hint="eastAsia" w:ascii="宋体" w:hAnsi="宋体" w:eastAsia="宋体" w:cs="宋体"/>
          <w:sz w:val="24"/>
          <w:lang w:val="en-US" w:eastAsia="zh-CN"/>
        </w:rPr>
        <w:t>并在</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期限内完成本项目，并保证本项目的质量等级为：</w:t>
      </w:r>
      <w:r>
        <w:rPr>
          <w:rFonts w:hint="eastAsia" w:ascii="宋体" w:hAnsi="宋体" w:eastAsia="宋体" w:cs="宋体"/>
          <w:sz w:val="24"/>
          <w:u w:val="single"/>
          <w:lang w:val="en-US" w:eastAsia="zh-CN"/>
        </w:rPr>
        <w:t xml:space="preserve">  符合验收标准     </w:t>
      </w:r>
      <w:r>
        <w:rPr>
          <w:rFonts w:hint="eastAsia" w:ascii="宋体" w:hAnsi="宋体" w:eastAsia="宋体" w:cs="宋体"/>
          <w:sz w:val="24"/>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我方</w:t>
      </w:r>
      <w:r>
        <w:rPr>
          <w:rFonts w:hint="eastAsia" w:ascii="宋体" w:hAnsi="宋体" w:eastAsia="宋体" w:cs="宋体"/>
          <w:sz w:val="24"/>
        </w:rPr>
        <w:t>已详细阅读并理解了</w:t>
      </w:r>
      <w:r>
        <w:rPr>
          <w:rFonts w:hint="eastAsia" w:ascii="宋体" w:hAnsi="宋体" w:eastAsia="宋体" w:cs="宋体"/>
          <w:sz w:val="24"/>
          <w:lang w:eastAsia="zh-CN"/>
        </w:rPr>
        <w:t>磋商文件</w:t>
      </w:r>
      <w:r>
        <w:rPr>
          <w:rFonts w:hint="eastAsia" w:ascii="宋体" w:hAnsi="宋体" w:eastAsia="宋体" w:cs="宋体"/>
          <w:sz w:val="24"/>
        </w:rPr>
        <w:t>的全部，包括修改文件(如有的话)。我方完全理解并同意放弃对这方面有不明及误解的权利。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4、我方同意按</w:t>
      </w:r>
      <w:r>
        <w:rPr>
          <w:rFonts w:hint="eastAsia" w:ascii="宋体" w:hAnsi="宋体" w:eastAsia="宋体" w:cs="宋体"/>
          <w:sz w:val="24"/>
          <w:lang w:eastAsia="zh-CN"/>
        </w:rPr>
        <w:t>磋商文件</w:t>
      </w:r>
      <w:r>
        <w:rPr>
          <w:rFonts w:hint="eastAsia" w:ascii="宋体" w:hAnsi="宋体" w:eastAsia="宋体" w:cs="宋体"/>
          <w:sz w:val="24"/>
        </w:rPr>
        <w:t>中的规定，本</w:t>
      </w:r>
      <w:r>
        <w:rPr>
          <w:rFonts w:hint="eastAsia" w:ascii="宋体" w:hAnsi="宋体" w:eastAsia="宋体" w:cs="宋体"/>
          <w:sz w:val="24"/>
          <w:lang w:eastAsia="zh-CN"/>
        </w:rPr>
        <w:t>响应文件</w:t>
      </w:r>
      <w:r>
        <w:rPr>
          <w:rFonts w:hint="eastAsia" w:ascii="宋体" w:hAnsi="宋体" w:eastAsia="宋体" w:cs="宋体"/>
          <w:sz w:val="24"/>
        </w:rPr>
        <w:t>的有效期限为开标后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天，遵守本</w:t>
      </w:r>
      <w:r>
        <w:rPr>
          <w:rFonts w:hint="eastAsia" w:ascii="宋体" w:hAnsi="宋体" w:eastAsia="宋体" w:cs="宋体"/>
          <w:sz w:val="24"/>
          <w:lang w:eastAsia="zh-CN"/>
        </w:rPr>
        <w:t>响应文件</w:t>
      </w:r>
      <w:r>
        <w:rPr>
          <w:rFonts w:hint="eastAsia" w:ascii="宋体" w:hAnsi="宋体" w:eastAsia="宋体" w:cs="宋体"/>
          <w:sz w:val="24"/>
        </w:rPr>
        <w:t>中的承诺且在此期满之前均具有约束力。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5、我方愿意提供采购人在</w:t>
      </w:r>
      <w:r>
        <w:rPr>
          <w:rFonts w:hint="eastAsia" w:ascii="宋体" w:hAnsi="宋体" w:eastAsia="宋体" w:cs="宋体"/>
          <w:sz w:val="24"/>
          <w:lang w:eastAsia="zh-CN"/>
        </w:rPr>
        <w:t>磋商文件</w:t>
      </w:r>
      <w:r>
        <w:rPr>
          <w:rFonts w:hint="eastAsia" w:ascii="宋体" w:hAnsi="宋体" w:eastAsia="宋体" w:cs="宋体"/>
          <w:sz w:val="24"/>
        </w:rPr>
        <w:t>中要求的所有资料。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6、我方愿意遵守</w:t>
      </w:r>
      <w:r>
        <w:rPr>
          <w:rFonts w:hint="eastAsia" w:ascii="宋体" w:hAnsi="宋体" w:eastAsia="宋体" w:cs="宋体"/>
          <w:sz w:val="24"/>
          <w:lang w:eastAsia="zh-CN"/>
        </w:rPr>
        <w:t>磋商文件</w:t>
      </w:r>
      <w:r>
        <w:rPr>
          <w:rFonts w:hint="eastAsia" w:ascii="宋体" w:hAnsi="宋体" w:eastAsia="宋体" w:cs="宋体"/>
          <w:sz w:val="24"/>
        </w:rPr>
        <w:t>中所列的收费标准。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、我方完全理解贵方不一定接受最低价的投标或收到的任何投标的约定。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、我方愿意向贵方提供任何与本项投标有关的数据、情况和技术资料。若贵方需要，我方愿意提供我方作出的一切承诺的证明材料。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、我方在</w:t>
      </w:r>
      <w:r>
        <w:rPr>
          <w:rFonts w:hint="eastAsia" w:ascii="宋体" w:hAnsi="宋体" w:eastAsia="宋体" w:cs="宋体"/>
          <w:sz w:val="24"/>
          <w:lang w:eastAsia="zh-CN"/>
        </w:rPr>
        <w:t>响应文件</w:t>
      </w:r>
      <w:r>
        <w:rPr>
          <w:rFonts w:hint="eastAsia" w:ascii="宋体" w:hAnsi="宋体" w:eastAsia="宋体" w:cs="宋体"/>
          <w:sz w:val="24"/>
        </w:rPr>
        <w:t>和投标中所作的承诺在开标后保持有效，不作任何更改和变动。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、若我方获得中标，我方保证按有关规定支付服务费。我方承诺接受</w:t>
      </w:r>
      <w:r>
        <w:rPr>
          <w:rFonts w:hint="eastAsia" w:ascii="宋体" w:hAnsi="宋体" w:eastAsia="宋体" w:cs="宋体"/>
          <w:sz w:val="24"/>
          <w:lang w:eastAsia="zh-CN"/>
        </w:rPr>
        <w:t>磋商文件</w:t>
      </w:r>
      <w:r>
        <w:rPr>
          <w:rFonts w:hint="eastAsia" w:ascii="宋体" w:hAnsi="宋体" w:eastAsia="宋体" w:cs="宋体"/>
          <w:sz w:val="24"/>
        </w:rPr>
        <w:t>及澄清修改部分（如有）的全部条款（包括</w:t>
      </w:r>
      <w:r>
        <w:rPr>
          <w:rFonts w:hint="eastAsia" w:ascii="宋体" w:hAnsi="宋体" w:eastAsia="宋体" w:cs="宋体"/>
          <w:sz w:val="24"/>
          <w:lang w:eastAsia="zh-CN"/>
        </w:rPr>
        <w:t>响应文件</w:t>
      </w:r>
      <w:r>
        <w:rPr>
          <w:rFonts w:hint="eastAsia" w:ascii="宋体" w:hAnsi="宋体" w:eastAsia="宋体" w:cs="宋体"/>
          <w:sz w:val="24"/>
        </w:rPr>
        <w:t>递交截止时间、保证金、资格评审条件、中标标准以及采购需求等其他所有条款）且无任何异议，现向贵公司提出承诺报价。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所有有关标书的函电，请按下列地址联系：</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360" w:lineRule="auto"/>
        <w:ind w:firstLine="600" w:firstLineChars="200"/>
        <w:rPr>
          <w:rFonts w:hint="eastAsia" w:ascii="宋体" w:hAnsi="宋体" w:eastAsia="宋体" w:cs="宋体"/>
          <w:kern w:val="0"/>
          <w:sz w:val="24"/>
          <w:u w:val="single"/>
        </w:rPr>
      </w:pPr>
      <w:r>
        <w:rPr>
          <w:rFonts w:hint="eastAsia" w:ascii="宋体" w:hAnsi="宋体" w:eastAsia="宋体" w:cs="宋体"/>
          <w:spacing w:val="30"/>
          <w:kern w:val="0"/>
          <w:sz w:val="24"/>
          <w:lang w:eastAsia="zh-CN"/>
        </w:rPr>
        <w:t>供应商</w:t>
      </w:r>
      <w:r>
        <w:rPr>
          <w:rFonts w:hint="eastAsia" w:ascii="宋体" w:hAnsi="宋体" w:eastAsia="宋体" w:cs="宋体"/>
          <w:spacing w:val="30"/>
          <w:kern w:val="0"/>
          <w:sz w:val="24"/>
        </w:rPr>
        <w:t>名称</w:t>
      </w:r>
      <w:r>
        <w:rPr>
          <w:rFonts w:hint="eastAsia" w:ascii="宋体" w:hAnsi="宋体" w:eastAsia="宋体" w:cs="宋体"/>
          <w:spacing w:val="30"/>
          <w:kern w:val="0"/>
          <w:sz w:val="24"/>
          <w:lang w:eastAsia="zh-CN"/>
        </w:rPr>
        <w:t>（</w:t>
      </w:r>
      <w:r>
        <w:rPr>
          <w:rFonts w:hint="eastAsia" w:ascii="宋体" w:hAnsi="宋体" w:eastAsia="宋体" w:cs="宋体"/>
          <w:spacing w:val="30"/>
          <w:kern w:val="0"/>
          <w:sz w:val="24"/>
        </w:rPr>
        <w:t>盖</w:t>
      </w:r>
      <w:r>
        <w:rPr>
          <w:rFonts w:hint="eastAsia" w:ascii="宋体" w:hAnsi="宋体" w:eastAsia="宋体" w:cs="宋体"/>
          <w:spacing w:val="60"/>
          <w:kern w:val="0"/>
          <w:sz w:val="24"/>
        </w:rPr>
        <w:t>章</w:t>
      </w:r>
      <w:r>
        <w:rPr>
          <w:rFonts w:hint="eastAsia" w:ascii="宋体" w:hAnsi="宋体" w:eastAsia="宋体" w:cs="宋体"/>
          <w:spacing w:val="30"/>
          <w:kern w:val="0"/>
          <w:sz w:val="24"/>
          <w:lang w:eastAsia="zh-CN"/>
        </w:rPr>
        <w:t>）</w:t>
      </w:r>
      <w:r>
        <w:rPr>
          <w:rFonts w:hint="eastAsia" w:ascii="宋体" w:hAnsi="宋体" w:eastAsia="宋体" w:cs="宋体"/>
          <w:kern w:val="0"/>
          <w:sz w:val="24"/>
        </w:rPr>
        <w:t>：</w:t>
      </w:r>
      <w:r>
        <w:rPr>
          <w:rFonts w:hint="eastAsia" w:ascii="宋体" w:hAnsi="宋体" w:eastAsia="宋体" w:cs="宋体"/>
          <w:kern w:val="0"/>
          <w:sz w:val="24"/>
          <w:u w:val="single"/>
        </w:rPr>
        <w:t xml:space="preserve">                </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b w:val="0"/>
          <w:bCs/>
          <w:sz w:val="24"/>
          <w:szCs w:val="24"/>
          <w:lang w:val="en-US" w:eastAsia="zh-CN"/>
        </w:rPr>
        <w:t xml:space="preserve">法定代表人或授权委托人（签字或盖章）：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sz w:val="24"/>
          <w:szCs w:val="24"/>
        </w:rPr>
        <w:t xml:space="preserve">                                        </w:t>
      </w:r>
    </w:p>
    <w:p>
      <w:pPr>
        <w:spacing w:line="360" w:lineRule="auto"/>
        <w:ind w:firstLine="720" w:firstLineChars="300"/>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jc w:val="both"/>
        <w:rPr>
          <w:rFonts w:hint="eastAsia" w:ascii="宋体" w:hAnsi="宋体" w:eastAsia="宋体" w:cs="宋体"/>
          <w:b/>
          <w:sz w:val="28"/>
          <w:szCs w:val="28"/>
          <w:lang w:val="en-US" w:eastAsia="zh-CN"/>
        </w:rPr>
      </w:pPr>
    </w:p>
    <w:p>
      <w:pPr>
        <w:pStyle w:val="50"/>
        <w:rPr>
          <w:rFonts w:hint="eastAsia" w:ascii="宋体" w:hAnsi="宋体" w:eastAsia="宋体" w:cs="宋体"/>
          <w:b/>
          <w:sz w:val="28"/>
          <w:szCs w:val="28"/>
          <w:lang w:val="en-US" w:eastAsia="zh-CN"/>
        </w:rPr>
      </w:pPr>
    </w:p>
    <w:p>
      <w:pPr>
        <w:pStyle w:val="50"/>
        <w:rPr>
          <w:rFonts w:hint="eastAsia" w:ascii="宋体" w:hAnsi="宋体" w:eastAsia="宋体" w:cs="宋体"/>
          <w:b/>
          <w:sz w:val="28"/>
          <w:szCs w:val="28"/>
          <w:lang w:val="en-US" w:eastAsia="zh-CN"/>
        </w:rPr>
      </w:pPr>
    </w:p>
    <w:p>
      <w:pPr>
        <w:ind w:firstLine="2530" w:firstLineChars="900"/>
        <w:jc w:val="both"/>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法定代表人身份证明书</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企业类型：</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营业</w:t>
      </w:r>
      <w:r>
        <w:rPr>
          <w:rFonts w:hint="eastAsia" w:ascii="宋体" w:hAnsi="宋体" w:eastAsia="宋体" w:cs="宋体"/>
          <w:sz w:val="24"/>
          <w:lang w:eastAsia="zh-CN"/>
        </w:rPr>
        <w:t>期限</w:t>
      </w:r>
      <w:r>
        <w:rPr>
          <w:rFonts w:hint="eastAsia" w:ascii="宋体" w:hAnsi="宋体" w:eastAsia="宋体" w:cs="宋体"/>
          <w:sz w:val="24"/>
        </w:rPr>
        <w:t>：</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tbl>
      <w:tblPr>
        <w:tblStyle w:val="29"/>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bl>
    <w:p>
      <w:pPr>
        <w:wordWrap w:val="0"/>
        <w:spacing w:line="360" w:lineRule="auto"/>
        <w:ind w:firstLine="480" w:firstLineChars="200"/>
        <w:jc w:val="right"/>
        <w:rPr>
          <w:rFonts w:hint="eastAsia" w:ascii="宋体" w:hAnsi="宋体" w:eastAsia="宋体" w:cs="宋体"/>
          <w:sz w:val="24"/>
          <w:lang w:val="en-US" w:eastAsia="zh-CN"/>
        </w:rPr>
      </w:pPr>
    </w:p>
    <w:p>
      <w:pPr>
        <w:wordWrap w:val="0"/>
        <w:spacing w:line="360" w:lineRule="auto"/>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rPr>
        <w:t xml:space="preserve">                      </w:t>
      </w:r>
    </w:p>
    <w:p>
      <w:pPr>
        <w:pStyle w:val="4"/>
        <w:keepLines w:val="0"/>
        <w:pageBreakBefore w:val="0"/>
        <w:tabs>
          <w:tab w:val="left" w:pos="54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b w:val="0"/>
          <w:kern w:val="2"/>
          <w:sz w:val="24"/>
          <w:szCs w:val="24"/>
          <w:lang w:val="en-US" w:eastAsia="zh-CN" w:bidi="ar-SA"/>
        </w:rPr>
        <w:t>法定代表人（签字或盖章）：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注：1、法定代表人（企业负责人）为企业单位的主要行政负责人；</w:t>
      </w:r>
    </w:p>
    <w:p>
      <w:pPr>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2、内容必须填写真实、清楚、涂改无效，不得转让、买卖；</w:t>
      </w:r>
    </w:p>
    <w:p>
      <w:pPr>
        <w:keepLines w:val="0"/>
        <w:pageBreakBefore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3、将此证明提交对方作为合同附件。</w:t>
      </w:r>
    </w:p>
    <w:p>
      <w:pPr>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b w:val="0"/>
          <w:bCs/>
          <w:sz w:val="30"/>
          <w:szCs w:val="30"/>
          <w:lang w:val="en-US" w:eastAsia="zh-CN"/>
        </w:rPr>
      </w:pPr>
    </w:p>
    <w:p>
      <w:pP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法人代表授权书格式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lang w:eastAsia="zh-CN"/>
        </w:rPr>
        <w:t>（</w:t>
      </w:r>
      <w:r>
        <w:rPr>
          <w:rFonts w:hint="eastAsia" w:ascii="宋体" w:hAnsi="宋体" w:eastAsia="宋体" w:cs="宋体"/>
          <w:sz w:val="24"/>
          <w:u w:val="single"/>
        </w:rPr>
        <w:t>地区的名称）</w:t>
      </w:r>
      <w:r>
        <w:rPr>
          <w:rFonts w:hint="eastAsia" w:ascii="宋体" w:hAnsi="宋体" w:eastAsia="宋体" w:cs="宋体"/>
          <w:sz w:val="24"/>
        </w:rPr>
        <w:t>的（</w:t>
      </w:r>
      <w:r>
        <w:rPr>
          <w:rFonts w:hint="eastAsia" w:ascii="宋体" w:hAnsi="宋体" w:eastAsia="宋体" w:cs="宋体"/>
          <w:sz w:val="24"/>
          <w:u w:val="single"/>
        </w:rPr>
        <w:t>单位名称），</w:t>
      </w:r>
      <w:r>
        <w:rPr>
          <w:rFonts w:hint="eastAsia" w:ascii="宋体" w:hAnsi="宋体" w:eastAsia="宋体" w:cs="宋体"/>
          <w:sz w:val="24"/>
        </w:rPr>
        <w:t>在下面签字的法人代表</w:t>
      </w:r>
      <w:r>
        <w:rPr>
          <w:rFonts w:hint="eastAsia" w:ascii="宋体" w:hAnsi="宋体" w:eastAsia="宋体" w:cs="宋体"/>
          <w:sz w:val="24"/>
          <w:u w:val="single"/>
        </w:rPr>
        <w:t>（姓名、职务、身份证号码），</w:t>
      </w:r>
      <w:r>
        <w:rPr>
          <w:rFonts w:hint="eastAsia" w:ascii="宋体" w:hAnsi="宋体" w:eastAsia="宋体" w:cs="宋体"/>
          <w:sz w:val="24"/>
        </w:rPr>
        <w:t>代表本公司授权在下面签字的</w:t>
      </w:r>
      <w:r>
        <w:rPr>
          <w:rFonts w:hint="eastAsia" w:ascii="宋体" w:hAnsi="宋体" w:eastAsia="宋体" w:cs="宋体"/>
          <w:sz w:val="24"/>
          <w:u w:val="single"/>
        </w:rPr>
        <w:t>（被授权人的姓名、职务、身份证号码）</w:t>
      </w:r>
      <w:r>
        <w:rPr>
          <w:rFonts w:hint="eastAsia" w:ascii="宋体" w:hAnsi="宋体" w:eastAsia="宋体" w:cs="宋体"/>
          <w:sz w:val="24"/>
        </w:rPr>
        <w:t>为本公司的合法代理人，就</w:t>
      </w:r>
      <w:r>
        <w:rPr>
          <w:rFonts w:hint="eastAsia" w:ascii="宋体" w:hAnsi="宋体" w:eastAsia="宋体" w:cs="宋体"/>
          <w:sz w:val="24"/>
          <w:u w:val="single"/>
        </w:rPr>
        <w:t>（项目名称/编号）</w:t>
      </w:r>
      <w:r>
        <w:rPr>
          <w:rFonts w:hint="eastAsia" w:ascii="宋体" w:hAnsi="宋体" w:eastAsia="宋体" w:cs="宋体"/>
          <w:sz w:val="24"/>
        </w:rPr>
        <w:t>的投标，以本公司的名义处理一切与之有关的事务。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tbl>
      <w:tblPr>
        <w:tblStyle w:val="29"/>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授权人身份证反面</w:t>
            </w:r>
          </w:p>
        </w:tc>
      </w:tr>
    </w:tbl>
    <w:p>
      <w:pPr>
        <w:spacing w:line="360" w:lineRule="auto"/>
        <w:ind w:firstLine="480" w:firstLineChars="200"/>
        <w:jc w:val="both"/>
        <w:rPr>
          <w:rFonts w:hint="eastAsia" w:ascii="宋体" w:hAnsi="宋体" w:eastAsia="宋体" w:cs="宋体"/>
          <w:sz w:val="24"/>
          <w:lang w:val="en-US" w:eastAsia="zh-CN"/>
        </w:rPr>
      </w:pP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lang w:val="en-US" w:eastAsia="zh-CN"/>
        </w:rPr>
        <w:t>）</w:t>
      </w:r>
      <w:r>
        <w:rPr>
          <w:rFonts w:hint="eastAsia" w:ascii="宋体" w:hAnsi="宋体" w:eastAsia="宋体" w:cs="宋体"/>
          <w:sz w:val="24"/>
        </w:rPr>
        <w:t>：</w:t>
      </w:r>
    </w:p>
    <w:p>
      <w:pPr>
        <w:pStyle w:val="3"/>
        <w:rPr>
          <w:rFonts w:hint="eastAsia"/>
        </w:rPr>
      </w:pPr>
    </w:p>
    <w:p>
      <w:pPr>
        <w:spacing w:line="360" w:lineRule="auto"/>
        <w:ind w:firstLine="480" w:firstLineChars="200"/>
        <w:jc w:val="both"/>
        <w:rPr>
          <w:rFonts w:hint="eastAsia" w:ascii="宋体" w:hAnsi="宋体" w:eastAsia="宋体" w:cs="宋体"/>
          <w:sz w:val="24"/>
          <w:u w:val="single"/>
        </w:rPr>
      </w:pPr>
      <w:r>
        <w:rPr>
          <w:rFonts w:hint="eastAsia" w:ascii="宋体" w:hAnsi="宋体" w:eastAsia="宋体" w:cs="宋体"/>
          <w:sz w:val="24"/>
          <w:lang w:val="en-US" w:eastAsia="zh-CN"/>
        </w:rPr>
        <w:t>法定代表人或授权委托人（</w:t>
      </w:r>
      <w:r>
        <w:rPr>
          <w:rFonts w:hint="eastAsia" w:ascii="宋体" w:hAnsi="宋体" w:eastAsia="宋体" w:cs="宋体"/>
          <w:sz w:val="24"/>
        </w:rPr>
        <w:t>签字或盖章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p>
    <w:p>
      <w:pPr>
        <w:spacing w:line="360" w:lineRule="auto"/>
        <w:ind w:firstLine="480" w:firstLineChars="200"/>
        <w:jc w:val="both"/>
        <w:rPr>
          <w:rFonts w:hint="eastAsia" w:ascii="宋体" w:hAnsi="宋体" w:eastAsia="宋体" w:cs="宋体"/>
          <w:sz w:val="24"/>
          <w:u w:val="single"/>
        </w:rPr>
      </w:pPr>
      <w:r>
        <w:rPr>
          <w:rFonts w:hint="eastAsia" w:ascii="宋体" w:hAnsi="宋体" w:eastAsia="宋体" w:cs="宋体"/>
          <w:sz w:val="24"/>
        </w:rPr>
        <w:t>授权日期：</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480" w:firstLineChars="200"/>
        <w:rPr>
          <w:rFonts w:hint="eastAsia" w:ascii="宋体" w:hAnsi="宋体" w:eastAsia="宋体" w:cs="宋体"/>
          <w:b w:val="0"/>
          <w:bCs/>
          <w:sz w:val="24"/>
          <w:szCs w:val="24"/>
          <w:lang w:val="en-US" w:eastAsia="zh-CN"/>
        </w:rPr>
      </w:pPr>
    </w:p>
    <w:p>
      <w:pPr>
        <w:ind w:firstLine="480" w:firstLineChars="200"/>
        <w:rPr>
          <w:rFonts w:hint="eastAsia" w:ascii="宋体" w:hAnsi="宋体" w:eastAsia="宋体" w:cs="宋体"/>
          <w:lang w:val="en-US" w:eastAsia="zh-CN"/>
        </w:rPr>
      </w:pPr>
      <w:r>
        <w:rPr>
          <w:rFonts w:hint="eastAsia" w:ascii="宋体" w:hAnsi="宋体" w:eastAsia="宋体" w:cs="宋体"/>
          <w:b w:val="0"/>
          <w:bCs/>
          <w:sz w:val="24"/>
          <w:szCs w:val="24"/>
          <w:lang w:val="en-US" w:eastAsia="zh-CN"/>
        </w:rPr>
        <w:t>注：附近六个月（</w:t>
      </w:r>
      <w:r>
        <w:rPr>
          <w:rFonts w:hint="eastAsia" w:ascii="宋体" w:hAnsi="宋体" w:eastAsia="宋体" w:cs="宋体"/>
          <w:sz w:val="24"/>
          <w:szCs w:val="24"/>
          <w:lang w:val="en-US" w:eastAsia="zh-CN"/>
        </w:rPr>
        <w:t>2023年</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月）</w:t>
      </w:r>
      <w:r>
        <w:rPr>
          <w:rFonts w:hint="eastAsia" w:ascii="宋体" w:hAnsi="宋体" w:eastAsia="宋体" w:cs="宋体"/>
          <w:b w:val="0"/>
          <w:bCs/>
          <w:sz w:val="24"/>
          <w:szCs w:val="24"/>
          <w:lang w:val="en-US" w:eastAsia="zh-CN"/>
        </w:rPr>
        <w:t>由本单位社保缴费凭证（如退休人员须提供退休证）。</w:t>
      </w: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both"/>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pStyle w:val="9"/>
        <w:rPr>
          <w:rFonts w:hint="eastAsia" w:ascii="宋体" w:hAnsi="宋体" w:eastAsia="宋体" w:cs="宋体"/>
          <w:lang w:val="en-US" w:eastAsia="zh-CN"/>
        </w:rPr>
      </w:pPr>
    </w:p>
    <w:p>
      <w:pPr>
        <w:widowControl/>
        <w:jc w:val="center"/>
        <w:rPr>
          <w:rFonts w:hint="eastAsia" w:ascii="宋体" w:hAnsi="宋体" w:eastAsia="宋体" w:cs="宋体"/>
          <w:b/>
          <w:bCs/>
          <w:sz w:val="28"/>
          <w:szCs w:val="28"/>
        </w:rPr>
      </w:pPr>
      <w:r>
        <w:rPr>
          <w:rFonts w:hint="eastAsia" w:ascii="宋体" w:hAnsi="宋体" w:eastAsia="宋体" w:cs="宋体"/>
          <w:b/>
          <w:sz w:val="28"/>
          <w:szCs w:val="28"/>
          <w:lang w:val="en-US" w:eastAsia="zh-CN"/>
        </w:rPr>
        <w:t>四、</w:t>
      </w:r>
      <w:r>
        <w:rPr>
          <w:rFonts w:hint="eastAsia" w:ascii="宋体" w:hAnsi="宋体" w:eastAsia="宋体" w:cs="宋体"/>
          <w:b/>
          <w:bCs/>
          <w:kern w:val="0"/>
          <w:sz w:val="28"/>
          <w:szCs w:val="28"/>
          <w:lang w:val="en-US" w:eastAsia="zh-CN"/>
        </w:rPr>
        <w:t>开标一览</w:t>
      </w:r>
      <w:r>
        <w:rPr>
          <w:rFonts w:hint="eastAsia" w:ascii="宋体" w:hAnsi="宋体" w:eastAsia="宋体" w:cs="宋体"/>
          <w:b/>
          <w:bCs/>
          <w:kern w:val="0"/>
          <w:sz w:val="28"/>
          <w:szCs w:val="28"/>
        </w:rPr>
        <w:t>表</w:t>
      </w:r>
    </w:p>
    <w:tbl>
      <w:tblPr>
        <w:tblStyle w:val="29"/>
        <w:tblW w:w="8398" w:type="dxa"/>
        <w:tblInd w:w="135" w:type="dxa"/>
        <w:tblLayout w:type="fixed"/>
        <w:tblCellMar>
          <w:top w:w="0" w:type="dxa"/>
          <w:left w:w="108" w:type="dxa"/>
          <w:bottom w:w="0" w:type="dxa"/>
          <w:right w:w="108" w:type="dxa"/>
        </w:tblCellMar>
      </w:tblPr>
      <w:tblGrid>
        <w:gridCol w:w="1988"/>
        <w:gridCol w:w="2475"/>
        <w:gridCol w:w="1365"/>
        <w:gridCol w:w="2570"/>
      </w:tblGrid>
      <w:tr>
        <w:tblPrEx>
          <w:tblCellMar>
            <w:top w:w="0" w:type="dxa"/>
            <w:left w:w="108" w:type="dxa"/>
            <w:bottom w:w="0" w:type="dxa"/>
            <w:right w:w="108" w:type="dxa"/>
          </w:tblCellMar>
        </w:tblPrEx>
        <w:trPr>
          <w:cantSplit/>
          <w:trHeight w:val="767" w:hRule="atLeast"/>
        </w:trPr>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410" w:type="dxa"/>
            <w:gridSpan w:val="3"/>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410" w:type="dxa"/>
            <w:gridSpan w:val="3"/>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法</w:t>
            </w:r>
            <w:r>
              <w:rPr>
                <w:rFonts w:hint="eastAsia" w:ascii="宋体" w:hAnsi="宋体" w:eastAsia="宋体" w:cs="宋体"/>
                <w:sz w:val="24"/>
                <w:szCs w:val="24"/>
              </w:rPr>
              <w:t>定代表人</w:t>
            </w:r>
          </w:p>
        </w:tc>
        <w:tc>
          <w:tcPr>
            <w:tcW w:w="2475"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sz w:val="24"/>
                <w:szCs w:val="24"/>
              </w:rPr>
            </w:pPr>
          </w:p>
        </w:tc>
        <w:tc>
          <w:tcPr>
            <w:tcW w:w="1365"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tc>
        <w:tc>
          <w:tcPr>
            <w:tcW w:w="2570"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sz w:val="24"/>
                <w:szCs w:val="24"/>
              </w:rPr>
            </w:pPr>
          </w:p>
        </w:tc>
        <w:tc>
          <w:tcPr>
            <w:tcW w:w="1365"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tc>
        <w:tc>
          <w:tcPr>
            <w:tcW w:w="2570"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val="en-US" w:eastAsia="zh-CN"/>
              </w:rPr>
              <w:t>报</w:t>
            </w:r>
            <w:r>
              <w:rPr>
                <w:rFonts w:hint="eastAsia" w:ascii="宋体" w:hAnsi="宋体" w:eastAsia="宋体" w:cs="宋体"/>
                <w:sz w:val="24"/>
                <w:szCs w:val="24"/>
              </w:rPr>
              <w:t>价（</w:t>
            </w:r>
            <w:r>
              <w:rPr>
                <w:rFonts w:hint="eastAsia" w:ascii="宋体" w:hAnsi="宋体" w:eastAsia="宋体" w:cs="宋体"/>
                <w:sz w:val="24"/>
                <w:szCs w:val="24"/>
                <w:lang w:val="en-US" w:eastAsia="zh-CN"/>
              </w:rPr>
              <w:t>元</w:t>
            </w:r>
            <w:r>
              <w:rPr>
                <w:rFonts w:hint="eastAsia" w:ascii="宋体" w:hAnsi="宋体" w:eastAsia="宋体" w:cs="宋体"/>
                <w:sz w:val="24"/>
                <w:szCs w:val="24"/>
              </w:rPr>
              <w:t>）</w:t>
            </w:r>
          </w:p>
        </w:tc>
        <w:tc>
          <w:tcPr>
            <w:tcW w:w="6410" w:type="dxa"/>
            <w:gridSpan w:val="3"/>
            <w:tcBorders>
              <w:top w:val="single" w:color="auto" w:sz="4" w:space="0"/>
              <w:left w:val="nil"/>
              <w:bottom w:val="single" w:color="auto" w:sz="4" w:space="0"/>
              <w:right w:val="single" w:color="auto" w:sz="4" w:space="0"/>
            </w:tcBorders>
            <w:noWrap w:val="0"/>
            <w:vAlign w:val="center"/>
          </w:tcPr>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期</w:t>
            </w:r>
          </w:p>
        </w:tc>
        <w:tc>
          <w:tcPr>
            <w:tcW w:w="6410" w:type="dxa"/>
            <w:gridSpan w:val="3"/>
            <w:tcBorders>
              <w:top w:val="single" w:color="auto" w:sz="4" w:space="0"/>
              <w:left w:val="nil"/>
              <w:bottom w:val="single" w:color="auto" w:sz="4" w:space="0"/>
              <w:right w:val="single" w:color="auto" w:sz="4" w:space="0"/>
            </w:tcBorders>
            <w:noWrap w:val="0"/>
            <w:vAlign w:val="center"/>
          </w:tcPr>
          <w:p>
            <w:pPr>
              <w:snapToGrid w:val="0"/>
              <w:spacing w:line="360" w:lineRule="auto"/>
              <w:ind w:right="105" w:rightChars="50"/>
              <w:rPr>
                <w:rFonts w:hint="eastAsia" w:ascii="宋体" w:hAnsi="宋体" w:eastAsia="宋体" w:cs="宋体"/>
                <w:sz w:val="24"/>
                <w:szCs w:val="24"/>
                <w:u w:val="single"/>
                <w:lang w:val="en-US" w:eastAsia="zh-CN"/>
              </w:rPr>
            </w:pPr>
            <w:r>
              <w:rPr>
                <w:rFonts w:hint="eastAsia" w:ascii="宋体" w:hAnsi="宋体" w:eastAsia="宋体" w:cs="宋体"/>
                <w:sz w:val="24"/>
                <w:szCs w:val="24"/>
              </w:rPr>
              <w:t> </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w:t>
            </w:r>
          </w:p>
        </w:tc>
        <w:tc>
          <w:tcPr>
            <w:tcW w:w="6410" w:type="dxa"/>
            <w:gridSpan w:val="3"/>
            <w:tcBorders>
              <w:top w:val="single" w:color="auto" w:sz="4" w:space="0"/>
              <w:left w:val="nil"/>
              <w:bottom w:val="single" w:color="auto" w:sz="4" w:space="0"/>
              <w:right w:val="single" w:color="auto" w:sz="4" w:space="0"/>
            </w:tcBorders>
            <w:noWrap w:val="0"/>
            <w:vAlign w:val="center"/>
          </w:tcPr>
          <w:p>
            <w:pPr>
              <w:snapToGrid w:val="0"/>
              <w:spacing w:line="360" w:lineRule="auto"/>
              <w:ind w:right="105" w:rightChars="50"/>
              <w:rPr>
                <w:rFonts w:hint="eastAsia" w:ascii="宋体" w:hAnsi="宋体" w:eastAsia="宋体" w:cs="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p>
        </w:tc>
      </w:tr>
    </w:tbl>
    <w:p>
      <w:pPr>
        <w:adjustRightInd w:val="0"/>
        <w:snapToGrid w:val="0"/>
        <w:spacing w:line="360" w:lineRule="auto"/>
        <w:ind w:right="-733" w:rightChars="-349" w:firstLine="480" w:firstLineChars="200"/>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投标人名称 (盖章) ：                                            </w:t>
      </w:r>
    </w:p>
    <w:p>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法定代表人 (签字或盖章) ：                                           </w:t>
      </w:r>
    </w:p>
    <w:p>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          年      月      日</w:t>
      </w:r>
    </w:p>
    <w:p>
      <w:pPr>
        <w:snapToGrid w:val="0"/>
        <w:spacing w:line="360" w:lineRule="auto"/>
        <w:jc w:val="left"/>
        <w:rPr>
          <w:rFonts w:hint="eastAsia" w:ascii="宋体" w:hAnsi="宋体" w:eastAsia="宋体" w:cs="宋体"/>
          <w:sz w:val="24"/>
          <w:szCs w:val="24"/>
          <w:highlight w:val="none"/>
          <w:lang w:val="en-US" w:eastAsia="zh-CN"/>
        </w:rPr>
      </w:pPr>
    </w:p>
    <w:p>
      <w:pPr>
        <w:snapToGrid w:val="0"/>
        <w:spacing w:line="360" w:lineRule="auto"/>
        <w:jc w:val="left"/>
        <w:rPr>
          <w:rFonts w:hint="eastAsia" w:ascii="宋体" w:hAnsi="宋体" w:eastAsia="宋体" w:cs="宋体"/>
          <w:sz w:val="24"/>
          <w:szCs w:val="24"/>
          <w:highlight w:val="none"/>
          <w:lang w:val="en-US" w:eastAsia="zh-CN"/>
        </w:rPr>
      </w:pPr>
    </w:p>
    <w:p>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  1、单项报价不得超过各品类单项最高限价，总价不得超过本项目最高投标限价，否则做无效报 价处理。</w:t>
      </w:r>
    </w:p>
    <w:p>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2、任何有选择或有条件的投标总价或表中某一包填写多个报价，均将导致投标被拒绝；</w:t>
      </w:r>
    </w:p>
    <w:p>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3、本次采购的服务由中标投标人根据采购人要求满足此项目需求，投标人报价时须注意投标总价为 投标人最终报价，投标人报价须包括参加师生的食宿，培训场地费、景点门票费、往返交通费 (按实报实 销由中标投标人统一购买) 、后勤保障人员及管理人员的劳务费等一切费用。</w:t>
      </w:r>
    </w:p>
    <w:p>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4、大写标注：壹、贰、叁、肆、伍、陆、柒、捌、玖、拾、佰、仟、万、亿。</w:t>
      </w:r>
    </w:p>
    <w:p>
      <w:pPr>
        <w:snapToGrid w:val="0"/>
        <w:spacing w:line="360" w:lineRule="auto"/>
        <w:jc w:val="left"/>
        <w:rPr>
          <w:rFonts w:hint="eastAsia" w:ascii="宋体" w:hAnsi="宋体" w:eastAsia="宋体" w:cs="宋体"/>
          <w:sz w:val="24"/>
          <w:szCs w:val="24"/>
          <w:highlight w:val="none"/>
          <w:lang w:val="en-US" w:eastAsia="zh-CN"/>
        </w:rPr>
        <w:sectPr>
          <w:footerReference r:id="rId14" w:type="default"/>
          <w:pgSz w:w="11905" w:h="16839"/>
          <w:pgMar w:top="400" w:right="658" w:bottom="534" w:left="884" w:header="0" w:footer="374" w:gutter="0"/>
          <w:cols w:space="720" w:num="1"/>
        </w:sectPr>
      </w:pPr>
      <w:r>
        <w:rPr>
          <w:rFonts w:hint="eastAsia" w:ascii="宋体" w:hAnsi="宋体" w:eastAsia="宋体" w:cs="宋体"/>
          <w:sz w:val="24"/>
          <w:szCs w:val="24"/>
          <w:highlight w:val="none"/>
          <w:lang w:val="en-US" w:eastAsia="zh-CN"/>
        </w:rPr>
        <w:t>5、投标人应提供该项目保证质量和服务的承诺及项目实施方案。</w:t>
      </w:r>
    </w:p>
    <w:p>
      <w:pPr>
        <w:spacing w:line="360" w:lineRule="auto"/>
        <w:jc w:val="both"/>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明细报价表</w:t>
      </w:r>
    </w:p>
    <w:p>
      <w:pPr>
        <w:widowControl/>
        <w:spacing w:line="44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项目名称：</w:t>
      </w:r>
    </w:p>
    <w:p>
      <w:pPr>
        <w:spacing w:line="36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项目编号：</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 xml:space="preserve"> </w:t>
      </w:r>
    </w:p>
    <w:tbl>
      <w:tblPr>
        <w:tblStyle w:val="29"/>
        <w:tblW w:w="8607"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9"/>
        <w:gridCol w:w="3091"/>
        <w:gridCol w:w="2602"/>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1369" w:type="dxa"/>
            <w:noWrap w:val="0"/>
            <w:vAlign w:val="center"/>
          </w:tcPr>
          <w:p>
            <w:pPr>
              <w:pStyle w:val="78"/>
              <w:spacing w:before="1"/>
              <w:ind w:left="223"/>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91" w:type="dxa"/>
            <w:noWrap w:val="0"/>
            <w:vAlign w:val="center"/>
          </w:tcPr>
          <w:p>
            <w:pPr>
              <w:pStyle w:val="78"/>
              <w:spacing w:before="1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服务内容</w:t>
            </w:r>
          </w:p>
        </w:tc>
        <w:tc>
          <w:tcPr>
            <w:tcW w:w="2602" w:type="dxa"/>
            <w:noWrap w:val="0"/>
            <w:vAlign w:val="center"/>
          </w:tcPr>
          <w:p>
            <w:pPr>
              <w:pStyle w:val="78"/>
              <w:spacing w:before="157"/>
              <w:ind w:left="895" w:right="867"/>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报价</w:t>
            </w:r>
          </w:p>
        </w:tc>
        <w:tc>
          <w:tcPr>
            <w:tcW w:w="1545" w:type="dxa"/>
            <w:noWrap w:val="0"/>
            <w:vAlign w:val="center"/>
          </w:tcPr>
          <w:p>
            <w:pPr>
              <w:pStyle w:val="78"/>
              <w:tabs>
                <w:tab w:val="left" w:pos="1049"/>
              </w:tabs>
              <w:spacing w:before="1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369" w:type="dxa"/>
            <w:noWrap w:val="0"/>
            <w:vAlign w:val="center"/>
          </w:tcPr>
          <w:p>
            <w:pPr>
              <w:pStyle w:val="78"/>
              <w:spacing w:before="71"/>
              <w:ind w:left="234" w:right="2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091" w:type="dxa"/>
            <w:noWrap w:val="0"/>
            <w:vAlign w:val="center"/>
          </w:tcPr>
          <w:p>
            <w:pPr>
              <w:pStyle w:val="78"/>
              <w:jc w:val="center"/>
              <w:rPr>
                <w:rFonts w:hint="eastAsia" w:ascii="宋体" w:hAnsi="宋体" w:eastAsia="宋体" w:cs="宋体"/>
                <w:color w:val="auto"/>
                <w:sz w:val="22"/>
                <w:highlight w:val="none"/>
              </w:rPr>
            </w:pPr>
          </w:p>
        </w:tc>
        <w:tc>
          <w:tcPr>
            <w:tcW w:w="2602" w:type="dxa"/>
            <w:noWrap w:val="0"/>
            <w:vAlign w:val="center"/>
          </w:tcPr>
          <w:p>
            <w:pPr>
              <w:pStyle w:val="78"/>
              <w:jc w:val="center"/>
              <w:rPr>
                <w:rFonts w:hint="eastAsia" w:ascii="宋体" w:hAnsi="宋体" w:eastAsia="宋体" w:cs="宋体"/>
                <w:color w:val="auto"/>
                <w:sz w:val="22"/>
                <w:highlight w:val="none"/>
              </w:rPr>
            </w:pPr>
          </w:p>
        </w:tc>
        <w:tc>
          <w:tcPr>
            <w:tcW w:w="1545" w:type="dxa"/>
            <w:noWrap w:val="0"/>
            <w:vAlign w:val="center"/>
          </w:tcPr>
          <w:p>
            <w:pPr>
              <w:pStyle w:val="78"/>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1369" w:type="dxa"/>
            <w:noWrap w:val="0"/>
            <w:vAlign w:val="center"/>
          </w:tcPr>
          <w:p>
            <w:pPr>
              <w:pStyle w:val="78"/>
              <w:spacing w:line="256" w:lineRule="exact"/>
              <w:ind w:left="234" w:right="2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91" w:type="dxa"/>
            <w:noWrap w:val="0"/>
            <w:vAlign w:val="center"/>
          </w:tcPr>
          <w:p>
            <w:pPr>
              <w:pStyle w:val="78"/>
              <w:jc w:val="center"/>
              <w:rPr>
                <w:rFonts w:hint="eastAsia" w:ascii="宋体" w:hAnsi="宋体" w:eastAsia="宋体" w:cs="宋体"/>
                <w:color w:val="auto"/>
                <w:sz w:val="20"/>
                <w:highlight w:val="none"/>
              </w:rPr>
            </w:pPr>
          </w:p>
        </w:tc>
        <w:tc>
          <w:tcPr>
            <w:tcW w:w="2602" w:type="dxa"/>
            <w:noWrap w:val="0"/>
            <w:vAlign w:val="center"/>
          </w:tcPr>
          <w:p>
            <w:pPr>
              <w:pStyle w:val="78"/>
              <w:jc w:val="center"/>
              <w:rPr>
                <w:rFonts w:hint="eastAsia" w:ascii="宋体" w:hAnsi="宋体" w:eastAsia="宋体" w:cs="宋体"/>
                <w:color w:val="auto"/>
                <w:sz w:val="20"/>
                <w:highlight w:val="none"/>
              </w:rPr>
            </w:pPr>
          </w:p>
        </w:tc>
        <w:tc>
          <w:tcPr>
            <w:tcW w:w="1545" w:type="dxa"/>
            <w:noWrap w:val="0"/>
            <w:vAlign w:val="center"/>
          </w:tcPr>
          <w:p>
            <w:pPr>
              <w:pStyle w:val="78"/>
              <w:jc w:val="center"/>
              <w:rPr>
                <w:rFonts w:hint="eastAsia" w:ascii="宋体" w:hAnsi="宋体" w:eastAsia="宋体" w:cs="宋体"/>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369" w:type="dxa"/>
            <w:noWrap w:val="0"/>
            <w:vAlign w:val="center"/>
          </w:tcPr>
          <w:p>
            <w:pPr>
              <w:pStyle w:val="78"/>
              <w:spacing w:before="1" w:line="255" w:lineRule="exact"/>
              <w:ind w:left="234" w:right="2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091" w:type="dxa"/>
            <w:noWrap w:val="0"/>
            <w:vAlign w:val="center"/>
          </w:tcPr>
          <w:p>
            <w:pPr>
              <w:pStyle w:val="78"/>
              <w:jc w:val="center"/>
              <w:rPr>
                <w:rFonts w:hint="eastAsia" w:ascii="宋体" w:hAnsi="宋体" w:eastAsia="宋体" w:cs="宋体"/>
                <w:color w:val="auto"/>
                <w:sz w:val="20"/>
                <w:highlight w:val="none"/>
              </w:rPr>
            </w:pPr>
          </w:p>
        </w:tc>
        <w:tc>
          <w:tcPr>
            <w:tcW w:w="2602" w:type="dxa"/>
            <w:noWrap w:val="0"/>
            <w:vAlign w:val="center"/>
          </w:tcPr>
          <w:p>
            <w:pPr>
              <w:pStyle w:val="78"/>
              <w:jc w:val="center"/>
              <w:rPr>
                <w:rFonts w:hint="eastAsia" w:ascii="宋体" w:hAnsi="宋体" w:eastAsia="宋体" w:cs="宋体"/>
                <w:color w:val="auto"/>
                <w:sz w:val="20"/>
                <w:highlight w:val="none"/>
              </w:rPr>
            </w:pPr>
          </w:p>
        </w:tc>
        <w:tc>
          <w:tcPr>
            <w:tcW w:w="1545" w:type="dxa"/>
            <w:noWrap w:val="0"/>
            <w:vAlign w:val="center"/>
          </w:tcPr>
          <w:p>
            <w:pPr>
              <w:pStyle w:val="78"/>
              <w:jc w:val="center"/>
              <w:rPr>
                <w:rFonts w:hint="eastAsia" w:ascii="宋体" w:hAnsi="宋体" w:eastAsia="宋体" w:cs="宋体"/>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trPr>
        <w:tc>
          <w:tcPr>
            <w:tcW w:w="1369" w:type="dxa"/>
            <w:noWrap w:val="0"/>
            <w:vAlign w:val="center"/>
          </w:tcPr>
          <w:p>
            <w:pPr>
              <w:pStyle w:val="78"/>
              <w:spacing w:line="255" w:lineRule="exact"/>
              <w:ind w:left="234" w:right="2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091" w:type="dxa"/>
            <w:noWrap w:val="0"/>
            <w:vAlign w:val="center"/>
          </w:tcPr>
          <w:p>
            <w:pPr>
              <w:pStyle w:val="78"/>
              <w:jc w:val="center"/>
              <w:rPr>
                <w:rFonts w:hint="eastAsia" w:ascii="宋体" w:hAnsi="宋体" w:eastAsia="宋体" w:cs="宋体"/>
                <w:color w:val="auto"/>
                <w:sz w:val="20"/>
                <w:highlight w:val="none"/>
              </w:rPr>
            </w:pPr>
          </w:p>
        </w:tc>
        <w:tc>
          <w:tcPr>
            <w:tcW w:w="2602" w:type="dxa"/>
            <w:noWrap w:val="0"/>
            <w:vAlign w:val="center"/>
          </w:tcPr>
          <w:p>
            <w:pPr>
              <w:pStyle w:val="78"/>
              <w:jc w:val="center"/>
              <w:rPr>
                <w:rFonts w:hint="eastAsia" w:ascii="宋体" w:hAnsi="宋体" w:eastAsia="宋体" w:cs="宋体"/>
                <w:color w:val="auto"/>
                <w:sz w:val="20"/>
                <w:highlight w:val="none"/>
              </w:rPr>
            </w:pPr>
          </w:p>
        </w:tc>
        <w:tc>
          <w:tcPr>
            <w:tcW w:w="1545" w:type="dxa"/>
            <w:noWrap w:val="0"/>
            <w:vAlign w:val="center"/>
          </w:tcPr>
          <w:p>
            <w:pPr>
              <w:pStyle w:val="78"/>
              <w:jc w:val="center"/>
              <w:rPr>
                <w:rFonts w:hint="eastAsia" w:ascii="宋体" w:hAnsi="宋体" w:eastAsia="宋体" w:cs="宋体"/>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1369" w:type="dxa"/>
            <w:noWrap w:val="0"/>
            <w:vAlign w:val="center"/>
          </w:tcPr>
          <w:p>
            <w:pPr>
              <w:pStyle w:val="78"/>
              <w:spacing w:line="256" w:lineRule="exact"/>
              <w:ind w:left="234" w:right="2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091" w:type="dxa"/>
            <w:noWrap w:val="0"/>
            <w:vAlign w:val="center"/>
          </w:tcPr>
          <w:p>
            <w:pPr>
              <w:pStyle w:val="78"/>
              <w:jc w:val="center"/>
              <w:rPr>
                <w:rFonts w:hint="eastAsia" w:ascii="宋体" w:hAnsi="宋体" w:eastAsia="宋体" w:cs="宋体"/>
                <w:color w:val="auto"/>
                <w:sz w:val="20"/>
                <w:highlight w:val="none"/>
              </w:rPr>
            </w:pPr>
          </w:p>
        </w:tc>
        <w:tc>
          <w:tcPr>
            <w:tcW w:w="2602" w:type="dxa"/>
            <w:noWrap w:val="0"/>
            <w:vAlign w:val="center"/>
          </w:tcPr>
          <w:p>
            <w:pPr>
              <w:pStyle w:val="78"/>
              <w:jc w:val="center"/>
              <w:rPr>
                <w:rFonts w:hint="eastAsia" w:ascii="宋体" w:hAnsi="宋体" w:eastAsia="宋体" w:cs="宋体"/>
                <w:color w:val="auto"/>
                <w:sz w:val="20"/>
                <w:highlight w:val="none"/>
              </w:rPr>
            </w:pPr>
          </w:p>
        </w:tc>
        <w:tc>
          <w:tcPr>
            <w:tcW w:w="1545" w:type="dxa"/>
            <w:noWrap w:val="0"/>
            <w:vAlign w:val="center"/>
          </w:tcPr>
          <w:p>
            <w:pPr>
              <w:pStyle w:val="78"/>
              <w:jc w:val="center"/>
              <w:rPr>
                <w:rFonts w:hint="eastAsia" w:ascii="宋体" w:hAnsi="宋体" w:eastAsia="宋体" w:cs="宋体"/>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369" w:type="dxa"/>
            <w:noWrap w:val="0"/>
            <w:vAlign w:val="center"/>
          </w:tcPr>
          <w:p>
            <w:pPr>
              <w:pStyle w:val="78"/>
              <w:spacing w:before="69"/>
              <w:ind w:left="234" w:right="2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091" w:type="dxa"/>
            <w:noWrap w:val="0"/>
            <w:vAlign w:val="center"/>
          </w:tcPr>
          <w:p>
            <w:pPr>
              <w:pStyle w:val="78"/>
              <w:jc w:val="center"/>
              <w:rPr>
                <w:rFonts w:hint="eastAsia" w:ascii="宋体" w:hAnsi="宋体" w:eastAsia="宋体" w:cs="宋体"/>
                <w:color w:val="auto"/>
                <w:sz w:val="22"/>
                <w:highlight w:val="none"/>
              </w:rPr>
            </w:pPr>
          </w:p>
        </w:tc>
        <w:tc>
          <w:tcPr>
            <w:tcW w:w="2602" w:type="dxa"/>
            <w:noWrap w:val="0"/>
            <w:vAlign w:val="center"/>
          </w:tcPr>
          <w:p>
            <w:pPr>
              <w:pStyle w:val="78"/>
              <w:jc w:val="center"/>
              <w:rPr>
                <w:rFonts w:hint="eastAsia" w:ascii="宋体" w:hAnsi="宋体" w:eastAsia="宋体" w:cs="宋体"/>
                <w:color w:val="auto"/>
                <w:sz w:val="22"/>
                <w:highlight w:val="none"/>
              </w:rPr>
            </w:pPr>
          </w:p>
        </w:tc>
        <w:tc>
          <w:tcPr>
            <w:tcW w:w="1545" w:type="dxa"/>
            <w:noWrap w:val="0"/>
            <w:vAlign w:val="center"/>
          </w:tcPr>
          <w:p>
            <w:pPr>
              <w:pStyle w:val="78"/>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1369" w:type="dxa"/>
            <w:noWrap w:val="0"/>
            <w:vAlign w:val="center"/>
          </w:tcPr>
          <w:p>
            <w:pPr>
              <w:pStyle w:val="78"/>
              <w:spacing w:line="256" w:lineRule="exact"/>
              <w:ind w:left="234" w:right="2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091" w:type="dxa"/>
            <w:noWrap w:val="0"/>
            <w:vAlign w:val="center"/>
          </w:tcPr>
          <w:p>
            <w:pPr>
              <w:pStyle w:val="78"/>
              <w:jc w:val="center"/>
              <w:rPr>
                <w:rFonts w:hint="eastAsia" w:ascii="宋体" w:hAnsi="宋体" w:eastAsia="宋体" w:cs="宋体"/>
                <w:color w:val="auto"/>
                <w:sz w:val="20"/>
                <w:highlight w:val="none"/>
              </w:rPr>
            </w:pPr>
          </w:p>
        </w:tc>
        <w:tc>
          <w:tcPr>
            <w:tcW w:w="2602" w:type="dxa"/>
            <w:noWrap w:val="0"/>
            <w:vAlign w:val="center"/>
          </w:tcPr>
          <w:p>
            <w:pPr>
              <w:pStyle w:val="78"/>
              <w:jc w:val="center"/>
              <w:rPr>
                <w:rFonts w:hint="eastAsia" w:ascii="宋体" w:hAnsi="宋体" w:eastAsia="宋体" w:cs="宋体"/>
                <w:color w:val="auto"/>
                <w:sz w:val="20"/>
                <w:highlight w:val="none"/>
              </w:rPr>
            </w:pPr>
          </w:p>
        </w:tc>
        <w:tc>
          <w:tcPr>
            <w:tcW w:w="1545" w:type="dxa"/>
            <w:noWrap w:val="0"/>
            <w:vAlign w:val="center"/>
          </w:tcPr>
          <w:p>
            <w:pPr>
              <w:pStyle w:val="78"/>
              <w:jc w:val="center"/>
              <w:rPr>
                <w:rFonts w:hint="eastAsia" w:ascii="宋体" w:hAnsi="宋体" w:eastAsia="宋体" w:cs="宋体"/>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7062" w:type="dxa"/>
            <w:gridSpan w:val="3"/>
            <w:noWrap w:val="0"/>
            <w:vAlign w:val="center"/>
          </w:tcPr>
          <w:p>
            <w:pPr>
              <w:pStyle w:val="78"/>
              <w:spacing w:before="3" w:line="288" w:lineRule="exact"/>
              <w:ind w:right="2322"/>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c>
          <w:tcPr>
            <w:tcW w:w="1545" w:type="dxa"/>
            <w:noWrap w:val="0"/>
            <w:vAlign w:val="center"/>
          </w:tcPr>
          <w:p>
            <w:pPr>
              <w:pStyle w:val="78"/>
              <w:jc w:val="center"/>
              <w:rPr>
                <w:rFonts w:hint="eastAsia" w:ascii="宋体" w:hAnsi="宋体" w:eastAsia="宋体" w:cs="宋体"/>
                <w:color w:val="auto"/>
                <w:sz w:val="22"/>
                <w:highlight w:val="none"/>
              </w:rPr>
            </w:pPr>
          </w:p>
        </w:tc>
      </w:tr>
    </w:tbl>
    <w:p>
      <w:pPr>
        <w:pStyle w:val="9"/>
        <w:tabs>
          <w:tab w:val="left" w:pos="4696"/>
        </w:tabs>
        <w:ind w:firstLine="476" w:firstLineChars="200"/>
        <w:rPr>
          <w:rFonts w:hint="eastAsia" w:ascii="宋体" w:hAnsi="宋体" w:eastAsia="宋体" w:cs="宋体"/>
          <w:color w:val="auto"/>
          <w:spacing w:val="-1"/>
          <w:highlight w:val="none"/>
        </w:rPr>
      </w:pPr>
    </w:p>
    <w:p>
      <w:pPr>
        <w:spacing w:before="65" w:line="227" w:lineRule="auto"/>
        <w:ind w:left="46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投标人名称 (盖章)：</w:t>
      </w:r>
    </w:p>
    <w:p>
      <w:pPr>
        <w:spacing w:before="241" w:line="227" w:lineRule="auto"/>
        <w:ind w:left="467"/>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法定代表人 (签字或盖章)：</w:t>
      </w:r>
    </w:p>
    <w:p>
      <w:pPr>
        <w:spacing w:before="49" w:line="228" w:lineRule="auto"/>
        <w:ind w:left="558"/>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日期：          年     月      日</w:t>
      </w:r>
    </w:p>
    <w:p>
      <w:pPr>
        <w:spacing w:before="262" w:line="232" w:lineRule="auto"/>
        <w:ind w:left="236"/>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注：  1 、投标人必须填写报价明细表且明细表中需包含服务需求表中所有内容，否则将导致投标被拒绝。</w:t>
      </w:r>
    </w:p>
    <w:p>
      <w:pPr>
        <w:spacing w:before="294" w:line="264" w:lineRule="exact"/>
        <w:ind w:left="607"/>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2、报价分析表中的“投标总价”应等于“开标一览表”中的“投标总价”。</w:t>
      </w:r>
    </w:p>
    <w:p>
      <w:pPr>
        <w:spacing w:before="281" w:line="263" w:lineRule="exact"/>
        <w:ind w:left="659"/>
        <w:outlineLvl w:val="2"/>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 、报价项目填报不下的，可自行扩展</w:t>
      </w:r>
    </w:p>
    <w:p>
      <w:pPr>
        <w:ind w:firstLine="482" w:firstLineChars="200"/>
        <w:jc w:val="center"/>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sz w:val="24"/>
        </w:rPr>
        <w:br w:type="page"/>
      </w:r>
      <w:r>
        <w:rPr>
          <w:rFonts w:hint="eastAsia" w:ascii="宋体" w:hAnsi="宋体" w:eastAsia="宋体" w:cs="宋体"/>
          <w:b/>
          <w:bCs/>
          <w:color w:val="auto"/>
          <w:sz w:val="28"/>
          <w:szCs w:val="28"/>
          <w:highlight w:val="none"/>
          <w:u w:val="none"/>
          <w:lang w:val="en-US" w:eastAsia="zh-CN"/>
        </w:rPr>
        <w:t>六、基本情况表</w:t>
      </w:r>
    </w:p>
    <w:p>
      <w:pPr>
        <w:pStyle w:val="9"/>
        <w:rPr>
          <w:rFonts w:hint="eastAsia" w:ascii="宋体" w:hAnsi="宋体" w:eastAsia="宋体" w:cs="宋体"/>
          <w:lang w:val="en-US" w:eastAsia="zh-CN"/>
        </w:rPr>
      </w:pPr>
      <w:r>
        <w:rPr>
          <w:rFonts w:hint="eastAsia" w:ascii="宋体" w:hAnsi="宋体" w:eastAsia="宋体" w:cs="宋体"/>
          <w:color w:val="000000"/>
          <w:sz w:val="24"/>
          <w:szCs w:val="24"/>
          <w:highlight w:val="none"/>
        </w:rPr>
        <w:t>供应商简介（供应商基本情况介绍，包括：人员、生产能力、技术设备、技术状况等，不够可以自制表格）</w:t>
      </w:r>
    </w:p>
    <w:tbl>
      <w:tblPr>
        <w:tblStyle w:val="29"/>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单位名称</w:t>
            </w:r>
          </w:p>
        </w:tc>
        <w:tc>
          <w:tcPr>
            <w:tcW w:w="7818" w:type="dxa"/>
            <w:gridSpan w:val="9"/>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tc>
        <w:tc>
          <w:tcPr>
            <w:tcW w:w="7818" w:type="dxa"/>
            <w:gridSpan w:val="9"/>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主管部门</w:t>
            </w:r>
          </w:p>
        </w:tc>
        <w:tc>
          <w:tcPr>
            <w:tcW w:w="124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687"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w:t>
            </w:r>
          </w:p>
        </w:tc>
        <w:tc>
          <w:tcPr>
            <w:tcW w:w="1649"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792"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职务</w:t>
            </w:r>
          </w:p>
        </w:tc>
        <w:tc>
          <w:tcPr>
            <w:tcW w:w="145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经济类型</w:t>
            </w:r>
          </w:p>
        </w:tc>
        <w:tc>
          <w:tcPr>
            <w:tcW w:w="124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687"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授权代表</w:t>
            </w:r>
          </w:p>
        </w:tc>
        <w:tc>
          <w:tcPr>
            <w:tcW w:w="1649"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792"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职务</w:t>
            </w:r>
          </w:p>
        </w:tc>
        <w:tc>
          <w:tcPr>
            <w:tcW w:w="145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邮编</w:t>
            </w:r>
          </w:p>
        </w:tc>
        <w:tc>
          <w:tcPr>
            <w:tcW w:w="124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687"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1649"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792"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w:t>
            </w:r>
          </w:p>
        </w:tc>
        <w:tc>
          <w:tcPr>
            <w:tcW w:w="145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单位简介及机构</w:t>
            </w:r>
          </w:p>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设置</w:t>
            </w:r>
          </w:p>
        </w:tc>
        <w:tc>
          <w:tcPr>
            <w:tcW w:w="7818" w:type="dxa"/>
            <w:gridSpan w:val="9"/>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单位优势及特长</w:t>
            </w:r>
          </w:p>
        </w:tc>
        <w:tc>
          <w:tcPr>
            <w:tcW w:w="7818" w:type="dxa"/>
            <w:gridSpan w:val="9"/>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单位概况</w:t>
            </w:r>
          </w:p>
        </w:tc>
        <w:tc>
          <w:tcPr>
            <w:tcW w:w="124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注册资本</w:t>
            </w:r>
          </w:p>
        </w:tc>
        <w:tc>
          <w:tcPr>
            <w:tcW w:w="1460" w:type="dxa"/>
            <w:noWrap w:val="0"/>
            <w:vAlign w:val="center"/>
          </w:tcPr>
          <w:p>
            <w:pPr>
              <w:tabs>
                <w:tab w:val="left" w:pos="540"/>
              </w:tabs>
              <w:ind w:left="-132" w:leftChars="-64" w:right="-105" w:rightChars="-50" w:hanging="2"/>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万元</w:t>
            </w:r>
          </w:p>
        </w:tc>
        <w:tc>
          <w:tcPr>
            <w:tcW w:w="162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占地面积</w:t>
            </w:r>
          </w:p>
        </w:tc>
        <w:tc>
          <w:tcPr>
            <w:tcW w:w="3498" w:type="dxa"/>
            <w:gridSpan w:val="5"/>
            <w:noWrap w:val="0"/>
            <w:vAlign w:val="center"/>
          </w:tcPr>
          <w:p>
            <w:pPr>
              <w:tabs>
                <w:tab w:val="left" w:pos="540"/>
              </w:tabs>
              <w:ind w:right="-105" w:rightChars="-5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24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职工总数</w:t>
            </w:r>
          </w:p>
        </w:tc>
        <w:tc>
          <w:tcPr>
            <w:tcW w:w="1460" w:type="dxa"/>
            <w:noWrap w:val="0"/>
            <w:vAlign w:val="center"/>
          </w:tcPr>
          <w:p>
            <w:pPr>
              <w:tabs>
                <w:tab w:val="left" w:pos="540"/>
              </w:tabs>
              <w:ind w:left="-132" w:leftChars="-64" w:right="-105" w:rightChars="-50" w:hanging="2"/>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w:t>
            </w:r>
          </w:p>
        </w:tc>
        <w:tc>
          <w:tcPr>
            <w:tcW w:w="162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建筑面积</w:t>
            </w:r>
          </w:p>
        </w:tc>
        <w:tc>
          <w:tcPr>
            <w:tcW w:w="3498" w:type="dxa"/>
            <w:gridSpan w:val="5"/>
            <w:noWrap w:val="0"/>
            <w:vAlign w:val="center"/>
          </w:tcPr>
          <w:p>
            <w:pPr>
              <w:tabs>
                <w:tab w:val="left" w:pos="540"/>
              </w:tabs>
              <w:ind w:right="-105" w:rightChars="-5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240" w:type="dxa"/>
            <w:vMerge w:val="restart"/>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资产情况</w:t>
            </w:r>
          </w:p>
        </w:tc>
        <w:tc>
          <w:tcPr>
            <w:tcW w:w="146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净资产</w:t>
            </w:r>
          </w:p>
        </w:tc>
        <w:tc>
          <w:tcPr>
            <w:tcW w:w="162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万元</w:t>
            </w:r>
          </w:p>
        </w:tc>
        <w:tc>
          <w:tcPr>
            <w:tcW w:w="3498" w:type="dxa"/>
            <w:gridSpan w:val="5"/>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240" w:type="dxa"/>
            <w:vMerge w:val="continue"/>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46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负债</w:t>
            </w:r>
          </w:p>
        </w:tc>
        <w:tc>
          <w:tcPr>
            <w:tcW w:w="162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万元</w:t>
            </w:r>
          </w:p>
        </w:tc>
        <w:tc>
          <w:tcPr>
            <w:tcW w:w="3498" w:type="dxa"/>
            <w:gridSpan w:val="5"/>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财务状况</w:t>
            </w:r>
          </w:p>
        </w:tc>
        <w:tc>
          <w:tcPr>
            <w:tcW w:w="124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年度</w:t>
            </w:r>
          </w:p>
        </w:tc>
        <w:tc>
          <w:tcPr>
            <w:tcW w:w="146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主营收入</w:t>
            </w:r>
          </w:p>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（万元）</w:t>
            </w:r>
          </w:p>
        </w:tc>
        <w:tc>
          <w:tcPr>
            <w:tcW w:w="162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收入总额</w:t>
            </w:r>
          </w:p>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（万元）</w:t>
            </w:r>
          </w:p>
        </w:tc>
        <w:tc>
          <w:tcPr>
            <w:tcW w:w="126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利润总额（万元）</w:t>
            </w:r>
          </w:p>
        </w:tc>
        <w:tc>
          <w:tcPr>
            <w:tcW w:w="108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净利润（万元）</w:t>
            </w:r>
          </w:p>
        </w:tc>
        <w:tc>
          <w:tcPr>
            <w:tcW w:w="1158"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24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20</w:t>
            </w:r>
            <w:r>
              <w:rPr>
                <w:rFonts w:hint="eastAsia" w:ascii="宋体" w:hAnsi="宋体" w:eastAsia="宋体" w:cs="宋体"/>
                <w:color w:val="000000"/>
                <w:sz w:val="24"/>
                <w:szCs w:val="24"/>
                <w:highlight w:val="none"/>
                <w:lang w:val="en-US" w:eastAsia="zh-CN"/>
              </w:rPr>
              <w:t>21年</w:t>
            </w:r>
          </w:p>
        </w:tc>
        <w:tc>
          <w:tcPr>
            <w:tcW w:w="146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62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26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08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158"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24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lang w:val="en-US" w:eastAsia="zh-CN"/>
              </w:rPr>
            </w:pPr>
          </w:p>
        </w:tc>
        <w:tc>
          <w:tcPr>
            <w:tcW w:w="146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62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26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08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158"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24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lang w:val="en-US" w:eastAsia="zh-CN"/>
              </w:rPr>
            </w:pPr>
          </w:p>
        </w:tc>
        <w:tc>
          <w:tcPr>
            <w:tcW w:w="1460"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62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26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080" w:type="dxa"/>
            <w:gridSpan w:val="2"/>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c>
          <w:tcPr>
            <w:tcW w:w="1158" w:type="dxa"/>
            <w:noWrap w:val="0"/>
            <w:vAlign w:val="center"/>
          </w:tcPr>
          <w:p>
            <w:pPr>
              <w:tabs>
                <w:tab w:val="left" w:pos="540"/>
              </w:tabs>
              <w:ind w:left="-132" w:leftChars="-64" w:right="-105" w:rightChars="-50" w:hanging="2"/>
              <w:jc w:val="center"/>
              <w:rPr>
                <w:rFonts w:hint="eastAsia" w:ascii="宋体" w:hAnsi="宋体" w:eastAsia="宋体" w:cs="宋体"/>
                <w:color w:val="000000"/>
                <w:sz w:val="24"/>
                <w:szCs w:val="24"/>
                <w:highlight w:val="none"/>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w:t>
      </w:r>
      <w:r>
        <w:rPr>
          <w:rFonts w:hint="eastAsia" w:ascii="宋体" w:hAnsi="宋体" w:eastAsia="宋体" w:cs="宋体"/>
          <w:sz w:val="24"/>
        </w:rPr>
        <w:t>人（盖章或签字）：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00" w:lineRule="auto"/>
        <w:rPr>
          <w:rFonts w:hint="eastAsia" w:ascii="宋体" w:hAnsi="宋体" w:cs="宋体"/>
          <w:color w:val="000000"/>
          <w:sz w:val="24"/>
        </w:rPr>
      </w:pPr>
    </w:p>
    <w:p>
      <w:pPr>
        <w:spacing w:line="300" w:lineRule="auto"/>
        <w:rPr>
          <w:rFonts w:hint="eastAsia" w:ascii="宋体" w:hAnsi="宋体" w:cs="宋体"/>
          <w:color w:val="000000"/>
          <w:sz w:val="24"/>
        </w:rPr>
      </w:pPr>
      <w:r>
        <w:rPr>
          <w:rFonts w:hint="eastAsia" w:ascii="宋体" w:hAnsi="宋体" w:cs="宋体"/>
          <w:color w:val="000000"/>
          <w:sz w:val="24"/>
        </w:rPr>
        <w:t>注：</w:t>
      </w:r>
      <w:r>
        <w:rPr>
          <w:rFonts w:hint="eastAsia" w:ascii="宋体" w:hAnsi="宋体" w:cs="宋体"/>
          <w:color w:val="000000"/>
          <w:sz w:val="24"/>
          <w:lang w:eastAsia="zh-CN"/>
        </w:rPr>
        <w:t>供应商</w:t>
      </w:r>
      <w:r>
        <w:rPr>
          <w:rFonts w:hint="eastAsia" w:ascii="宋体" w:hAnsi="宋体" w:cs="宋体"/>
          <w:color w:val="000000"/>
          <w:sz w:val="24"/>
        </w:rPr>
        <w:t>应根据</w:t>
      </w:r>
      <w:r>
        <w:rPr>
          <w:rFonts w:hint="eastAsia" w:ascii="宋体" w:hAnsi="宋体" w:cs="宋体"/>
          <w:color w:val="000000"/>
          <w:sz w:val="24"/>
          <w:lang w:eastAsia="zh-CN"/>
        </w:rPr>
        <w:t>供应商</w:t>
      </w:r>
      <w:r>
        <w:rPr>
          <w:rFonts w:hint="eastAsia" w:ascii="宋体" w:hAnsi="宋体" w:cs="宋体"/>
          <w:color w:val="000000"/>
          <w:sz w:val="24"/>
        </w:rPr>
        <w:t>须知</w:t>
      </w:r>
      <w:r>
        <w:rPr>
          <w:rFonts w:hint="eastAsia" w:ascii="宋体" w:hAnsi="宋体" w:cs="宋体"/>
          <w:color w:val="000000"/>
          <w:sz w:val="24"/>
          <w:lang w:val="en-US" w:eastAsia="zh-CN"/>
        </w:rPr>
        <w:t>前附表</w:t>
      </w:r>
      <w:r>
        <w:rPr>
          <w:rFonts w:hint="eastAsia" w:ascii="宋体" w:hAnsi="宋体" w:cs="宋体"/>
          <w:color w:val="000000"/>
          <w:sz w:val="24"/>
        </w:rPr>
        <w:t>的要求在本表后附相关证明材料。</w:t>
      </w:r>
    </w:p>
    <w:p>
      <w:pPr>
        <w:ind w:firstLine="602" w:firstLineChars="200"/>
        <w:jc w:val="center"/>
        <w:rPr>
          <w:rFonts w:hint="eastAsia" w:ascii="宋体" w:hAnsi="宋体" w:eastAsia="宋体" w:cs="宋体"/>
          <w:b/>
          <w:sz w:val="28"/>
          <w:szCs w:val="28"/>
        </w:rPr>
      </w:pPr>
      <w:r>
        <w:rPr>
          <w:rFonts w:hint="eastAsia" w:ascii="宋体" w:hAnsi="宋体" w:eastAsia="宋体" w:cs="宋体"/>
          <w:b/>
          <w:sz w:val="30"/>
          <w:szCs w:val="30"/>
          <w:lang w:val="en-US" w:eastAsia="zh-CN"/>
        </w:rPr>
        <w:br w:type="page"/>
      </w:r>
      <w:r>
        <w:rPr>
          <w:rFonts w:hint="eastAsia" w:ascii="宋体" w:hAnsi="宋体" w:eastAsia="宋体" w:cs="宋体"/>
          <w:b/>
          <w:sz w:val="28"/>
          <w:szCs w:val="28"/>
          <w:lang w:val="en-US" w:eastAsia="zh-CN"/>
        </w:rPr>
        <w:t>七、</w:t>
      </w:r>
      <w:r>
        <w:rPr>
          <w:rFonts w:hint="eastAsia" w:ascii="宋体" w:hAnsi="宋体" w:eastAsia="宋体" w:cs="宋体"/>
          <w:b/>
          <w:sz w:val="28"/>
          <w:szCs w:val="28"/>
        </w:rPr>
        <w:t>关于资格的声明函</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none"/>
          <w:lang w:val="en-US" w:eastAsia="zh-CN"/>
        </w:rPr>
        <w:t>采购人：</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关于贵方</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日第（项目编号）招标公告关于</w:t>
      </w:r>
      <w:r>
        <w:rPr>
          <w:rFonts w:hint="eastAsia" w:ascii="宋体" w:hAnsi="宋体" w:eastAsia="宋体" w:cs="宋体"/>
          <w:sz w:val="24"/>
          <w:u w:val="single"/>
        </w:rPr>
        <w:t>“     ”</w:t>
      </w:r>
      <w:r>
        <w:rPr>
          <w:rFonts w:hint="eastAsia" w:ascii="宋体" w:hAnsi="宋体" w:eastAsia="宋体" w:cs="宋体"/>
          <w:sz w:val="24"/>
        </w:rPr>
        <w:t>项目，本签字人愿意参加投标，并有能力提供</w:t>
      </w:r>
      <w:r>
        <w:rPr>
          <w:rFonts w:hint="eastAsia" w:ascii="宋体" w:hAnsi="宋体" w:eastAsia="宋体" w:cs="宋体"/>
          <w:sz w:val="24"/>
          <w:u w:val="single"/>
        </w:rPr>
        <w:t>（项目名称）</w:t>
      </w:r>
      <w:r>
        <w:rPr>
          <w:rFonts w:hint="eastAsia" w:ascii="宋体" w:hAnsi="宋体" w:eastAsia="宋体" w:cs="宋体"/>
          <w:sz w:val="24"/>
        </w:rPr>
        <w:t>项目中的</w:t>
      </w:r>
      <w:r>
        <w:rPr>
          <w:rFonts w:hint="eastAsia" w:ascii="宋体" w:hAnsi="宋体" w:eastAsia="宋体" w:cs="宋体"/>
          <w:sz w:val="24"/>
          <w:u w:val="single"/>
        </w:rPr>
        <w:t>（</w:t>
      </w:r>
      <w:r>
        <w:rPr>
          <w:rFonts w:hint="eastAsia" w:ascii="宋体" w:hAnsi="宋体" w:eastAsia="宋体" w:cs="宋体"/>
          <w:sz w:val="24"/>
          <w:u w:val="single"/>
          <w:lang w:val="en-US" w:eastAsia="zh-CN"/>
        </w:rPr>
        <w:t>项目</w:t>
      </w:r>
      <w:r>
        <w:rPr>
          <w:rFonts w:hint="eastAsia" w:ascii="宋体" w:hAnsi="宋体" w:eastAsia="宋体" w:cs="宋体"/>
          <w:sz w:val="24"/>
          <w:u w:val="single"/>
        </w:rPr>
        <w:t>编号）</w:t>
      </w:r>
      <w:r>
        <w:rPr>
          <w:rFonts w:hint="eastAsia" w:ascii="宋体" w:hAnsi="宋体" w:eastAsia="宋体" w:cs="宋体"/>
          <w:sz w:val="24"/>
        </w:rPr>
        <w:t>相关服务，并保证所提交的所有文件和说明是真实和准确的。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签字人姓名、职务：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lang w:val="en-US" w:eastAsia="zh-CN"/>
        </w:rPr>
      </w:pPr>
      <w:r>
        <w:rPr>
          <w:rFonts w:hint="eastAsia" w:ascii="宋体" w:hAnsi="宋体" w:eastAsia="宋体" w:cs="宋体"/>
          <w:sz w:val="24"/>
        </w:rPr>
        <w:t>授权签署本资格文件人：</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传真：</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邮编：</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w:t>
      </w:r>
      <w:r>
        <w:rPr>
          <w:rFonts w:hint="eastAsia" w:ascii="宋体" w:hAnsi="宋体" w:eastAsia="宋体" w:cs="宋体"/>
          <w:sz w:val="24"/>
        </w:rPr>
        <w:t>人（盖章或签字）：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反商业贿赂承诺书</w:t>
      </w:r>
    </w:p>
    <w:p>
      <w:pPr>
        <w:pStyle w:val="10"/>
        <w:spacing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我公司承诺在</w:t>
      </w:r>
      <w:r>
        <w:rPr>
          <w:rFonts w:hint="eastAsia" w:ascii="宋体" w:hAnsi="宋体" w:eastAsia="宋体" w:cs="宋体"/>
          <w:b w:val="0"/>
          <w:sz w:val="24"/>
          <w:szCs w:val="24"/>
          <w:u w:val="single"/>
        </w:rPr>
        <w:t>（项目名称、项目编号、合同包号）</w:t>
      </w:r>
      <w:r>
        <w:rPr>
          <w:rFonts w:hint="eastAsia" w:ascii="宋体" w:hAnsi="宋体" w:eastAsia="宋体" w:cs="宋体"/>
          <w:b w:val="0"/>
          <w:sz w:val="24"/>
          <w:szCs w:val="24"/>
        </w:rPr>
        <w:t xml:space="preserve">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0"/>
        <w:spacing w:line="360" w:lineRule="auto"/>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lang w:eastAsia="zh-CN"/>
        </w:rPr>
        <w:t>供应商</w:t>
      </w:r>
      <w:r>
        <w:rPr>
          <w:rFonts w:hint="eastAsia" w:ascii="宋体" w:hAnsi="宋体" w:eastAsia="宋体" w:cs="宋体"/>
          <w:b w:val="0"/>
          <w:sz w:val="24"/>
          <w:szCs w:val="24"/>
        </w:rPr>
        <w:t>（盖章）：</w:t>
      </w:r>
    </w:p>
    <w:p>
      <w:pPr>
        <w:pStyle w:val="10"/>
        <w:spacing w:line="360" w:lineRule="auto"/>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法定代表人或</w:t>
      </w:r>
      <w:r>
        <w:rPr>
          <w:rFonts w:hint="eastAsia" w:ascii="宋体" w:hAnsi="宋体" w:eastAsia="宋体" w:cs="宋体"/>
          <w:b w:val="0"/>
          <w:sz w:val="24"/>
          <w:szCs w:val="24"/>
          <w:lang w:val="en-US" w:eastAsia="zh-CN"/>
        </w:rPr>
        <w:t>授权委托人</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签字或盖章</w:t>
      </w:r>
      <w:r>
        <w:rPr>
          <w:rFonts w:hint="eastAsia" w:ascii="宋体" w:hAnsi="宋体" w:eastAsia="宋体" w:cs="宋体"/>
          <w:b w:val="0"/>
          <w:sz w:val="24"/>
          <w:szCs w:val="24"/>
          <w:lang w:eastAsia="zh-CN"/>
        </w:rPr>
        <w:t>）</w:t>
      </w:r>
      <w:r>
        <w:rPr>
          <w:rFonts w:hint="eastAsia" w:ascii="宋体" w:hAnsi="宋体" w:eastAsia="宋体" w:cs="宋体"/>
          <w:b w:val="0"/>
          <w:sz w:val="24"/>
          <w:szCs w:val="24"/>
        </w:rPr>
        <w:t>：</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numPr>
          <w:ilvl w:val="0"/>
          <w:numId w:val="0"/>
        </w:numPr>
        <w:spacing w:line="300" w:lineRule="auto"/>
        <w:jc w:val="center"/>
        <w:rPr>
          <w:rFonts w:hint="eastAsia" w:ascii="宋体" w:hAnsi="宋体" w:eastAsia="宋体" w:cs="宋体"/>
        </w:rPr>
      </w:pPr>
      <w:r>
        <w:rPr>
          <w:rFonts w:hint="eastAsia" w:ascii="宋体" w:hAnsi="宋体" w:eastAsia="宋体" w:cs="宋体"/>
          <w:b/>
          <w:color w:val="auto"/>
          <w:sz w:val="30"/>
          <w:szCs w:val="30"/>
        </w:rPr>
        <w:br w:type="page"/>
      </w:r>
      <w:r>
        <w:rPr>
          <w:rFonts w:hint="eastAsia" w:ascii="宋体" w:hAnsi="宋体" w:eastAsia="宋体" w:cs="宋体"/>
          <w:b/>
          <w:color w:val="auto"/>
          <w:sz w:val="30"/>
          <w:szCs w:val="30"/>
          <w:lang w:val="en-US" w:eastAsia="zh-CN"/>
        </w:rPr>
        <w:t>九</w:t>
      </w:r>
      <w:r>
        <w:rPr>
          <w:rFonts w:hint="eastAsia" w:ascii="宋体" w:hAnsi="宋体" w:eastAsia="宋体" w:cs="宋体"/>
          <w:b/>
          <w:color w:val="auto"/>
          <w:sz w:val="30"/>
          <w:szCs w:val="30"/>
          <w:lang w:val="en-US" w:eastAsia="zh-CN"/>
        </w:rPr>
        <w:t>、近</w:t>
      </w:r>
      <w:r>
        <w:rPr>
          <w:rFonts w:hint="eastAsia" w:ascii="宋体" w:hAnsi="宋体" w:eastAsia="宋体" w:cs="宋体"/>
          <w:b/>
          <w:color w:val="auto"/>
          <w:sz w:val="30"/>
          <w:szCs w:val="30"/>
          <w:highlight w:val="none"/>
          <w:lang w:val="en-US" w:eastAsia="zh-CN"/>
        </w:rPr>
        <w:t>两年承接的类似</w:t>
      </w:r>
      <w:r>
        <w:rPr>
          <w:rFonts w:hint="eastAsia" w:ascii="宋体" w:hAnsi="宋体" w:eastAsia="宋体" w:cs="宋体"/>
          <w:b/>
          <w:color w:val="auto"/>
          <w:sz w:val="30"/>
          <w:szCs w:val="30"/>
          <w:lang w:val="en-US" w:eastAsia="zh-CN"/>
        </w:rPr>
        <w:t>项目情况表</w:t>
      </w:r>
    </w:p>
    <w:tbl>
      <w:tblPr>
        <w:tblStyle w:val="29"/>
        <w:tblW w:w="9287"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41"/>
        <w:gridCol w:w="1763"/>
        <w:gridCol w:w="1700"/>
        <w:gridCol w:w="1450"/>
        <w:gridCol w:w="1550"/>
        <w:gridCol w:w="896"/>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02" w:hRule="atLeast"/>
        </w:trPr>
        <w:tc>
          <w:tcPr>
            <w:tcW w:w="641"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763"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170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项目地址</w:t>
            </w:r>
          </w:p>
        </w:tc>
        <w:tc>
          <w:tcPr>
            <w:tcW w:w="145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合同内容</w:t>
            </w:r>
          </w:p>
        </w:tc>
        <w:tc>
          <w:tcPr>
            <w:tcW w:w="155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合同总价</w:t>
            </w:r>
          </w:p>
        </w:tc>
        <w:tc>
          <w:tcPr>
            <w:tcW w:w="896" w:type="dxa"/>
            <w:noWrap w:val="0"/>
            <w:vAlign w:val="center"/>
          </w:tcPr>
          <w:p>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联系人</w:t>
            </w:r>
          </w:p>
        </w:tc>
        <w:tc>
          <w:tcPr>
            <w:tcW w:w="1287" w:type="dxa"/>
            <w:noWrap w:val="0"/>
            <w:vAlign w:val="center"/>
          </w:tcPr>
          <w:p>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02" w:hRule="atLeast"/>
        </w:trPr>
        <w:tc>
          <w:tcPr>
            <w:tcW w:w="641"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63"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0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4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5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896"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287"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02" w:hRule="atLeast"/>
        </w:trPr>
        <w:tc>
          <w:tcPr>
            <w:tcW w:w="641"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63"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0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4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5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896"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287"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03" w:hRule="atLeast"/>
        </w:trPr>
        <w:tc>
          <w:tcPr>
            <w:tcW w:w="641"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63"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0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4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5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896"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287"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02" w:hRule="atLeast"/>
        </w:trPr>
        <w:tc>
          <w:tcPr>
            <w:tcW w:w="641"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63"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0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4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5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896"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287"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02" w:hRule="atLeast"/>
        </w:trPr>
        <w:tc>
          <w:tcPr>
            <w:tcW w:w="641"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63"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0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4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5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896"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287"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03" w:hRule="atLeast"/>
        </w:trPr>
        <w:tc>
          <w:tcPr>
            <w:tcW w:w="641"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63"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0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4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5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896"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287"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02" w:hRule="atLeast"/>
        </w:trPr>
        <w:tc>
          <w:tcPr>
            <w:tcW w:w="641"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63"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0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4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5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896"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287"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02" w:hRule="atLeast"/>
        </w:trPr>
        <w:tc>
          <w:tcPr>
            <w:tcW w:w="641"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63"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0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4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5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896"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287"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03" w:hRule="atLeast"/>
        </w:trPr>
        <w:tc>
          <w:tcPr>
            <w:tcW w:w="641"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合计</w:t>
            </w:r>
          </w:p>
        </w:tc>
        <w:tc>
          <w:tcPr>
            <w:tcW w:w="1763"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70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4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550"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896"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c>
          <w:tcPr>
            <w:tcW w:w="1287" w:type="dxa"/>
            <w:noWrap w:val="0"/>
            <w:vAlign w:val="center"/>
          </w:tcPr>
          <w:p>
            <w:pPr>
              <w:autoSpaceDE w:val="0"/>
              <w:autoSpaceDN w:val="0"/>
              <w:adjustRightInd w:val="0"/>
              <w:spacing w:line="480" w:lineRule="exact"/>
              <w:jc w:val="center"/>
              <w:rPr>
                <w:rFonts w:hint="eastAsia" w:ascii="宋体" w:hAnsi="宋体" w:eastAsia="宋体" w:cs="宋体"/>
                <w:color w:val="000000"/>
                <w:sz w:val="24"/>
                <w:szCs w:val="24"/>
                <w:highlight w:val="none"/>
              </w:rPr>
            </w:pPr>
          </w:p>
        </w:tc>
      </w:tr>
    </w:tbl>
    <w:p>
      <w:pPr>
        <w:rPr>
          <w:rFonts w:hint="eastAsia" w:ascii="宋体" w:hAnsi="宋体" w:eastAsia="宋体" w:cs="宋体"/>
        </w:rPr>
      </w:pPr>
    </w:p>
    <w:p>
      <w:pPr>
        <w:keepNext w:val="0"/>
        <w:keepLines w:val="0"/>
        <w:pageBreakBefore w:val="0"/>
        <w:widowControl w:val="0"/>
        <w:kinsoku/>
        <w:wordWrap/>
        <w:overflowPunct/>
        <w:topLinePunct w:val="0"/>
        <w:bidi w:val="0"/>
        <w:snapToGrid/>
        <w:spacing w:line="6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后附:1、本表后附中标通知书或合同协议书复印件，具体时间要求见供应商须知前附表。</w:t>
      </w:r>
    </w:p>
    <w:p>
      <w:pPr>
        <w:pStyle w:val="11"/>
        <w:keepNext w:val="0"/>
        <w:keepLines w:val="0"/>
        <w:pageBreakBefore w:val="0"/>
        <w:widowControl w:val="0"/>
        <w:kinsoku/>
        <w:wordWrap/>
        <w:overflowPunct/>
        <w:topLinePunct w:val="0"/>
        <w:bidi w:val="0"/>
        <w:snapToGrid/>
        <w:spacing w:line="600" w:lineRule="exact"/>
        <w:ind w:firstLine="960" w:firstLineChars="400"/>
        <w:textAlignment w:val="auto"/>
        <w:rPr>
          <w:rFonts w:hint="eastAsia"/>
          <w:lang w:val="en-US" w:eastAsia="zh-CN"/>
        </w:rPr>
      </w:pPr>
      <w:r>
        <w:rPr>
          <w:rFonts w:hint="eastAsia"/>
          <w:lang w:val="en-US" w:eastAsia="zh-CN"/>
        </w:rPr>
        <w:t>2、业绩不实而造成的废标，由供应商自行承担</w:t>
      </w:r>
    </w:p>
    <w:p>
      <w:pPr>
        <w:pStyle w:val="11"/>
        <w:keepNext w:val="0"/>
        <w:keepLines w:val="0"/>
        <w:pageBreakBefore w:val="0"/>
        <w:widowControl w:val="0"/>
        <w:kinsoku/>
        <w:wordWrap/>
        <w:overflowPunct/>
        <w:topLinePunct w:val="0"/>
        <w:bidi w:val="0"/>
        <w:snapToGrid/>
        <w:spacing w:line="600" w:lineRule="exact"/>
        <w:ind w:firstLine="960" w:firstLineChars="400"/>
        <w:textAlignment w:val="auto"/>
        <w:rPr>
          <w:rFonts w:hint="eastAsia"/>
          <w:lang w:val="en-US" w:eastAsia="zh-CN"/>
        </w:rPr>
      </w:pPr>
      <w:r>
        <w:rPr>
          <w:rFonts w:hint="eastAsia"/>
          <w:lang w:val="en-US" w:eastAsia="zh-CN"/>
        </w:rPr>
        <w:t>3、此表如填写不下，可另附页</w:t>
      </w:r>
    </w:p>
    <w:p>
      <w:pPr>
        <w:spacing w:line="360" w:lineRule="auto"/>
        <w:ind w:firstLine="480" w:firstLineChars="200"/>
        <w:rPr>
          <w:rFonts w:hint="eastAsia" w:ascii="宋体" w:hAnsi="宋体" w:eastAsia="宋体" w:cs="宋体"/>
          <w:sz w:val="24"/>
          <w:lang w:eastAsia="zh-CN"/>
        </w:rPr>
      </w:pPr>
    </w:p>
    <w:p>
      <w:pPr>
        <w:spacing w:line="360" w:lineRule="auto"/>
        <w:ind w:firstLine="480" w:firstLineChars="200"/>
        <w:rPr>
          <w:rFonts w:hint="eastAsia" w:ascii="宋体" w:hAnsi="宋体" w:eastAsia="宋体" w:cs="宋体"/>
          <w:sz w:val="24"/>
          <w:lang w:eastAsia="zh-CN"/>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 xml:space="preserve">（盖章）：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pStyle w:val="7"/>
        <w:rPr>
          <w:rFonts w:hint="eastAsia" w:ascii="宋体" w:hAnsi="宋体" w:eastAsia="宋体" w:cs="宋体"/>
        </w:rPr>
      </w:pPr>
    </w:p>
    <w:p>
      <w:pPr>
        <w:numPr>
          <w:ilvl w:val="0"/>
          <w:numId w:val="9"/>
        </w:numPr>
        <w:ind w:firstLine="562" w:firstLineChars="200"/>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项目拟投入的主要人员一览表</w:t>
      </w:r>
    </w:p>
    <w:p>
      <w:pPr>
        <w:pStyle w:val="15"/>
        <w:tabs>
          <w:tab w:val="left" w:pos="6300"/>
        </w:tabs>
        <w:snapToGrid w:val="0"/>
        <w:spacing w:line="500" w:lineRule="exact"/>
        <w:ind w:left="0" w:leftChars="0" w:firstLine="480" w:firstLineChars="200"/>
        <w:rPr>
          <w:rFonts w:hint="eastAsia" w:ascii="宋体" w:hAnsi="宋体" w:eastAsia="宋体" w:cs="宋体"/>
          <w:lang w:val="en-US" w:eastAsia="zh-CN"/>
        </w:rPr>
      </w:pPr>
      <w:r>
        <w:rPr>
          <w:rFonts w:hint="eastAsia" w:ascii="宋体" w:hAnsi="宋体" w:eastAsia="宋体" w:cs="宋体"/>
          <w:color w:val="auto"/>
          <w:kern w:val="2"/>
          <w:sz w:val="24"/>
          <w:szCs w:val="24"/>
          <w:highlight w:val="none"/>
          <w:lang w:val="en-US" w:eastAsia="zh-CN" w:bidi="ar-SA"/>
        </w:rPr>
        <w:t>项目名称：</w:t>
      </w:r>
    </w:p>
    <w:tbl>
      <w:tblPr>
        <w:tblStyle w:val="29"/>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1311"/>
        <w:gridCol w:w="1311"/>
        <w:gridCol w:w="1311"/>
        <w:gridCol w:w="1311"/>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pPr>
              <w:snapToGrid w:val="0"/>
              <w:spacing w:line="453" w:lineRule="atLeast"/>
              <w:rPr>
                <w:rFonts w:hint="eastAsia" w:ascii="宋体" w:hAnsi="宋体" w:eastAsia="宋体" w:cs="宋体"/>
                <w:bCs/>
                <w:color w:val="000000"/>
                <w:sz w:val="24"/>
                <w:szCs w:val="24"/>
              </w:rPr>
            </w:pPr>
            <w:r>
              <w:rPr>
                <w:rFonts w:hint="eastAsia" w:ascii="宋体" w:hAnsi="宋体" w:eastAsia="宋体" w:cs="宋体"/>
                <w:bCs/>
                <w:color w:val="000000"/>
                <w:sz w:val="24"/>
                <w:szCs w:val="24"/>
              </w:rPr>
              <w:t>职务</w:t>
            </w:r>
          </w:p>
        </w:tc>
        <w:tc>
          <w:tcPr>
            <w:tcW w:w="1153" w:type="dxa"/>
            <w:vMerge w:val="restart"/>
            <w:noWrap w:val="0"/>
            <w:vAlign w:val="center"/>
          </w:tcPr>
          <w:p>
            <w:pPr>
              <w:snapToGrid w:val="0"/>
              <w:spacing w:line="453" w:lineRule="atLeast"/>
              <w:rPr>
                <w:rFonts w:hint="eastAsia" w:ascii="宋体" w:hAnsi="宋体" w:eastAsia="宋体" w:cs="宋体"/>
                <w:bCs/>
                <w:color w:val="000000"/>
                <w:sz w:val="24"/>
                <w:szCs w:val="24"/>
              </w:rPr>
            </w:pPr>
            <w:r>
              <w:rPr>
                <w:rFonts w:hint="eastAsia" w:ascii="宋体" w:hAnsi="宋体" w:eastAsia="宋体" w:cs="宋体"/>
                <w:bCs/>
                <w:color w:val="000000"/>
                <w:sz w:val="24"/>
                <w:szCs w:val="24"/>
              </w:rPr>
              <w:t>姓名</w:t>
            </w:r>
          </w:p>
        </w:tc>
        <w:tc>
          <w:tcPr>
            <w:tcW w:w="5244" w:type="dxa"/>
            <w:gridSpan w:val="4"/>
            <w:noWrap w:val="0"/>
            <w:vAlign w:val="center"/>
          </w:tcPr>
          <w:p>
            <w:pPr>
              <w:snapToGrid w:val="0"/>
              <w:spacing w:line="453" w:lineRule="atLeast"/>
              <w:rPr>
                <w:rFonts w:hint="eastAsia" w:ascii="宋体" w:hAnsi="宋体" w:eastAsia="宋体" w:cs="宋体"/>
                <w:bCs/>
                <w:color w:val="000000"/>
                <w:sz w:val="24"/>
                <w:szCs w:val="24"/>
              </w:rPr>
            </w:pPr>
            <w:r>
              <w:rPr>
                <w:rFonts w:hint="eastAsia" w:ascii="宋体" w:hAnsi="宋体" w:eastAsia="宋体" w:cs="宋体"/>
                <w:bCs/>
                <w:color w:val="000000"/>
                <w:sz w:val="24"/>
                <w:szCs w:val="24"/>
              </w:rPr>
              <w:t>执业或职业资格证明</w:t>
            </w:r>
          </w:p>
        </w:tc>
        <w:tc>
          <w:tcPr>
            <w:tcW w:w="742" w:type="dxa"/>
            <w:noWrap w:val="0"/>
            <w:vAlign w:val="center"/>
          </w:tcPr>
          <w:p>
            <w:pPr>
              <w:snapToGrid w:val="0"/>
              <w:spacing w:line="453" w:lineRule="atLeast"/>
              <w:rPr>
                <w:rFonts w:hint="eastAsia" w:ascii="宋体" w:hAnsi="宋体" w:eastAsia="宋体" w:cs="宋体"/>
                <w:bCs/>
                <w:color w:val="000000"/>
                <w:sz w:val="24"/>
                <w:szCs w:val="24"/>
              </w:rPr>
            </w:pPr>
            <w:r>
              <w:rPr>
                <w:rFonts w:hint="eastAsia" w:ascii="宋体" w:hAnsi="宋体" w:eastAsia="宋体" w:cs="宋体"/>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pPr>
              <w:snapToGrid w:val="0"/>
              <w:spacing w:line="453" w:lineRule="atLeast"/>
              <w:rPr>
                <w:rFonts w:hint="eastAsia" w:ascii="宋体" w:hAnsi="宋体" w:eastAsia="宋体" w:cs="宋体"/>
                <w:bCs/>
                <w:color w:val="000000"/>
                <w:sz w:val="24"/>
                <w:szCs w:val="24"/>
              </w:rPr>
            </w:pPr>
          </w:p>
        </w:tc>
        <w:tc>
          <w:tcPr>
            <w:tcW w:w="1153" w:type="dxa"/>
            <w:vMerge w:val="continue"/>
            <w:noWrap w:val="0"/>
            <w:vAlign w:val="center"/>
          </w:tcPr>
          <w:p>
            <w:pPr>
              <w:snapToGrid w:val="0"/>
              <w:spacing w:line="453" w:lineRule="atLeast"/>
              <w:rPr>
                <w:rFonts w:hint="eastAsia" w:ascii="宋体" w:hAnsi="宋体" w:eastAsia="宋体" w:cs="宋体"/>
                <w:bCs/>
                <w:color w:val="000000"/>
                <w:sz w:val="24"/>
                <w:szCs w:val="24"/>
              </w:rPr>
            </w:pPr>
          </w:p>
        </w:tc>
        <w:tc>
          <w:tcPr>
            <w:tcW w:w="1311" w:type="dxa"/>
            <w:noWrap w:val="0"/>
            <w:vAlign w:val="center"/>
          </w:tcPr>
          <w:p>
            <w:pPr>
              <w:snapToGrid w:val="0"/>
              <w:spacing w:line="453" w:lineRule="atLeast"/>
              <w:rPr>
                <w:rFonts w:hint="eastAsia" w:ascii="宋体" w:hAnsi="宋体" w:eastAsia="宋体" w:cs="宋体"/>
                <w:bCs/>
                <w:color w:val="000000"/>
                <w:sz w:val="24"/>
                <w:szCs w:val="24"/>
              </w:rPr>
            </w:pPr>
            <w:r>
              <w:rPr>
                <w:rFonts w:hint="eastAsia" w:ascii="宋体" w:hAnsi="宋体" w:eastAsia="宋体" w:cs="宋体"/>
                <w:bCs/>
                <w:color w:val="000000"/>
                <w:sz w:val="24"/>
                <w:szCs w:val="24"/>
              </w:rPr>
              <w:t>证书名称</w:t>
            </w:r>
          </w:p>
        </w:tc>
        <w:tc>
          <w:tcPr>
            <w:tcW w:w="1311" w:type="dxa"/>
            <w:noWrap w:val="0"/>
            <w:vAlign w:val="center"/>
          </w:tcPr>
          <w:p>
            <w:pPr>
              <w:snapToGrid w:val="0"/>
              <w:spacing w:line="453" w:lineRule="atLeast"/>
              <w:rPr>
                <w:rFonts w:hint="eastAsia" w:ascii="宋体" w:hAnsi="宋体" w:eastAsia="宋体" w:cs="宋体"/>
                <w:bCs/>
                <w:color w:val="000000"/>
                <w:sz w:val="24"/>
                <w:szCs w:val="24"/>
              </w:rPr>
            </w:pPr>
            <w:r>
              <w:rPr>
                <w:rFonts w:hint="eastAsia" w:ascii="宋体" w:hAnsi="宋体" w:eastAsia="宋体" w:cs="宋体"/>
                <w:bCs/>
                <w:color w:val="000000"/>
                <w:sz w:val="24"/>
                <w:szCs w:val="24"/>
              </w:rPr>
              <w:t>级别</w:t>
            </w:r>
          </w:p>
        </w:tc>
        <w:tc>
          <w:tcPr>
            <w:tcW w:w="1311" w:type="dxa"/>
            <w:noWrap w:val="0"/>
            <w:vAlign w:val="center"/>
          </w:tcPr>
          <w:p>
            <w:pPr>
              <w:snapToGrid w:val="0"/>
              <w:spacing w:line="453" w:lineRule="atLeast"/>
              <w:rPr>
                <w:rFonts w:hint="eastAsia" w:ascii="宋体" w:hAnsi="宋体" w:eastAsia="宋体" w:cs="宋体"/>
                <w:bCs/>
                <w:color w:val="000000"/>
                <w:sz w:val="24"/>
                <w:szCs w:val="24"/>
              </w:rPr>
            </w:pPr>
            <w:r>
              <w:rPr>
                <w:rFonts w:hint="eastAsia" w:ascii="宋体" w:hAnsi="宋体" w:eastAsia="宋体" w:cs="宋体"/>
                <w:bCs/>
                <w:color w:val="000000"/>
                <w:sz w:val="24"/>
                <w:szCs w:val="24"/>
              </w:rPr>
              <w:t>证号</w:t>
            </w:r>
          </w:p>
        </w:tc>
        <w:tc>
          <w:tcPr>
            <w:tcW w:w="1311" w:type="dxa"/>
            <w:noWrap w:val="0"/>
            <w:vAlign w:val="center"/>
          </w:tcPr>
          <w:p>
            <w:pPr>
              <w:snapToGrid w:val="0"/>
              <w:spacing w:line="453" w:lineRule="atLeast"/>
              <w:rPr>
                <w:rFonts w:hint="eastAsia" w:ascii="宋体" w:hAnsi="宋体" w:eastAsia="宋体" w:cs="宋体"/>
                <w:bCs/>
                <w:color w:val="000000"/>
                <w:sz w:val="24"/>
                <w:szCs w:val="24"/>
              </w:rPr>
            </w:pPr>
            <w:r>
              <w:rPr>
                <w:rFonts w:hint="eastAsia" w:ascii="宋体" w:hAnsi="宋体" w:eastAsia="宋体" w:cs="宋体"/>
                <w:bCs/>
                <w:color w:val="000000"/>
                <w:sz w:val="24"/>
                <w:szCs w:val="24"/>
              </w:rPr>
              <w:t>专业</w:t>
            </w:r>
          </w:p>
        </w:tc>
        <w:tc>
          <w:tcPr>
            <w:tcW w:w="742" w:type="dxa"/>
            <w:noWrap w:val="0"/>
            <w:vAlign w:val="center"/>
          </w:tcPr>
          <w:p>
            <w:pPr>
              <w:snapToGrid w:val="0"/>
              <w:spacing w:line="453" w:lineRule="atLeast"/>
              <w:rPr>
                <w:rFonts w:hint="eastAsia" w:ascii="宋体" w:hAnsi="宋体" w:eastAsia="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napToGrid w:val="0"/>
              <w:spacing w:line="453" w:lineRule="atLeast"/>
              <w:rPr>
                <w:rFonts w:hint="eastAsia" w:ascii="宋体" w:hAnsi="宋体" w:eastAsia="宋体" w:cs="宋体"/>
                <w:bCs/>
                <w:color w:val="000000"/>
                <w:sz w:val="24"/>
                <w:szCs w:val="24"/>
              </w:rPr>
            </w:pPr>
            <w:r>
              <w:rPr>
                <w:rFonts w:hint="eastAsia" w:ascii="宋体" w:hAnsi="宋体" w:eastAsia="宋体" w:cs="宋体"/>
                <w:bCs/>
                <w:color w:val="000000"/>
                <w:sz w:val="24"/>
                <w:szCs w:val="24"/>
              </w:rPr>
              <w:t>项目负责人</w:t>
            </w:r>
          </w:p>
        </w:tc>
        <w:tc>
          <w:tcPr>
            <w:tcW w:w="1153" w:type="dxa"/>
            <w:noWrap w:val="0"/>
            <w:vAlign w:val="center"/>
          </w:tcPr>
          <w:p>
            <w:pPr>
              <w:snapToGrid w:val="0"/>
              <w:spacing w:line="453" w:lineRule="atLeast"/>
              <w:rPr>
                <w:rFonts w:hint="eastAsia" w:ascii="宋体" w:hAnsi="宋体" w:eastAsia="宋体" w:cs="宋体"/>
                <w:bCs/>
                <w:color w:val="000000"/>
                <w:sz w:val="24"/>
                <w:szCs w:val="24"/>
              </w:rPr>
            </w:pPr>
          </w:p>
        </w:tc>
        <w:tc>
          <w:tcPr>
            <w:tcW w:w="1311" w:type="dxa"/>
            <w:noWrap w:val="0"/>
            <w:vAlign w:val="center"/>
          </w:tcPr>
          <w:p>
            <w:pPr>
              <w:snapToGrid w:val="0"/>
              <w:spacing w:line="453" w:lineRule="atLeast"/>
              <w:rPr>
                <w:rFonts w:hint="eastAsia" w:ascii="宋体" w:hAnsi="宋体" w:eastAsia="宋体" w:cs="宋体"/>
                <w:bCs/>
                <w:color w:val="000000"/>
                <w:sz w:val="24"/>
                <w:szCs w:val="24"/>
              </w:rPr>
            </w:pPr>
          </w:p>
        </w:tc>
        <w:tc>
          <w:tcPr>
            <w:tcW w:w="1311" w:type="dxa"/>
            <w:noWrap w:val="0"/>
            <w:vAlign w:val="center"/>
          </w:tcPr>
          <w:p>
            <w:pPr>
              <w:snapToGrid w:val="0"/>
              <w:spacing w:line="453" w:lineRule="atLeast"/>
              <w:rPr>
                <w:rFonts w:hint="eastAsia" w:ascii="宋体" w:hAnsi="宋体" w:eastAsia="宋体" w:cs="宋体"/>
                <w:bCs/>
                <w:color w:val="000000"/>
                <w:sz w:val="24"/>
                <w:szCs w:val="24"/>
              </w:rPr>
            </w:pPr>
          </w:p>
        </w:tc>
        <w:tc>
          <w:tcPr>
            <w:tcW w:w="1311" w:type="dxa"/>
            <w:noWrap w:val="0"/>
            <w:vAlign w:val="center"/>
          </w:tcPr>
          <w:p>
            <w:pPr>
              <w:snapToGrid w:val="0"/>
              <w:spacing w:line="453" w:lineRule="atLeast"/>
              <w:rPr>
                <w:rFonts w:hint="eastAsia" w:ascii="宋体" w:hAnsi="宋体" w:eastAsia="宋体" w:cs="宋体"/>
                <w:bCs/>
                <w:color w:val="000000"/>
                <w:sz w:val="24"/>
                <w:szCs w:val="24"/>
              </w:rPr>
            </w:pPr>
          </w:p>
        </w:tc>
        <w:tc>
          <w:tcPr>
            <w:tcW w:w="1311" w:type="dxa"/>
            <w:noWrap w:val="0"/>
            <w:vAlign w:val="center"/>
          </w:tcPr>
          <w:p>
            <w:pPr>
              <w:snapToGrid w:val="0"/>
              <w:spacing w:line="453" w:lineRule="atLeast"/>
              <w:rPr>
                <w:rFonts w:hint="eastAsia" w:ascii="宋体" w:hAnsi="宋体" w:eastAsia="宋体" w:cs="宋体"/>
                <w:bCs/>
                <w:color w:val="000000"/>
                <w:sz w:val="24"/>
                <w:szCs w:val="24"/>
              </w:rPr>
            </w:pPr>
          </w:p>
        </w:tc>
        <w:tc>
          <w:tcPr>
            <w:tcW w:w="742" w:type="dxa"/>
            <w:noWrap w:val="0"/>
            <w:vAlign w:val="center"/>
          </w:tcPr>
          <w:p>
            <w:pPr>
              <w:snapToGrid w:val="0"/>
              <w:spacing w:line="453" w:lineRule="atLeast"/>
              <w:rPr>
                <w:rFonts w:hint="eastAsia" w:ascii="宋体" w:hAnsi="宋体" w:eastAsia="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napToGrid w:val="0"/>
              <w:spacing w:line="453" w:lineRule="atLeast"/>
              <w:rPr>
                <w:rFonts w:hint="eastAsia" w:ascii="宋体" w:hAnsi="宋体" w:eastAsia="宋体" w:cs="宋体"/>
                <w:bCs/>
                <w:color w:val="000000"/>
                <w:sz w:val="24"/>
                <w:szCs w:val="24"/>
              </w:rPr>
            </w:pPr>
            <w:r>
              <w:rPr>
                <w:rFonts w:hint="eastAsia" w:ascii="宋体" w:hAnsi="宋体" w:eastAsia="宋体" w:cs="宋体"/>
                <w:bCs/>
                <w:color w:val="000000"/>
                <w:sz w:val="24"/>
                <w:szCs w:val="24"/>
              </w:rPr>
              <w:t>其他</w:t>
            </w:r>
            <w:r>
              <w:rPr>
                <w:rFonts w:hint="eastAsia" w:ascii="宋体" w:hAnsi="宋体" w:eastAsia="宋体" w:cs="宋体"/>
                <w:bCs/>
                <w:color w:val="000000"/>
                <w:sz w:val="24"/>
                <w:szCs w:val="24"/>
                <w:lang w:val="en-US" w:eastAsia="zh-CN"/>
              </w:rPr>
              <w:t>相关专业</w:t>
            </w:r>
            <w:r>
              <w:rPr>
                <w:rFonts w:hint="eastAsia" w:ascii="宋体" w:hAnsi="宋体" w:eastAsia="宋体" w:cs="宋体"/>
                <w:bCs/>
                <w:color w:val="000000"/>
                <w:sz w:val="24"/>
                <w:szCs w:val="24"/>
              </w:rPr>
              <w:t>人员</w:t>
            </w:r>
          </w:p>
        </w:tc>
        <w:tc>
          <w:tcPr>
            <w:tcW w:w="1153" w:type="dxa"/>
            <w:noWrap w:val="0"/>
            <w:vAlign w:val="center"/>
          </w:tcPr>
          <w:p>
            <w:pPr>
              <w:snapToGrid w:val="0"/>
              <w:spacing w:line="453" w:lineRule="atLeast"/>
              <w:rPr>
                <w:rFonts w:hint="eastAsia" w:ascii="宋体" w:hAnsi="宋体" w:eastAsia="宋体" w:cs="宋体"/>
                <w:bCs/>
                <w:color w:val="000000"/>
                <w:sz w:val="24"/>
                <w:szCs w:val="24"/>
              </w:rPr>
            </w:pPr>
          </w:p>
        </w:tc>
        <w:tc>
          <w:tcPr>
            <w:tcW w:w="1311" w:type="dxa"/>
            <w:noWrap w:val="0"/>
            <w:vAlign w:val="center"/>
          </w:tcPr>
          <w:p>
            <w:pPr>
              <w:snapToGrid w:val="0"/>
              <w:spacing w:line="453" w:lineRule="atLeast"/>
              <w:rPr>
                <w:rFonts w:hint="eastAsia" w:ascii="宋体" w:hAnsi="宋体" w:eastAsia="宋体" w:cs="宋体"/>
                <w:bCs/>
                <w:color w:val="000000"/>
                <w:sz w:val="24"/>
                <w:szCs w:val="24"/>
              </w:rPr>
            </w:pPr>
          </w:p>
        </w:tc>
        <w:tc>
          <w:tcPr>
            <w:tcW w:w="1311" w:type="dxa"/>
            <w:noWrap w:val="0"/>
            <w:vAlign w:val="center"/>
          </w:tcPr>
          <w:p>
            <w:pPr>
              <w:snapToGrid w:val="0"/>
              <w:spacing w:line="453" w:lineRule="atLeast"/>
              <w:rPr>
                <w:rFonts w:hint="eastAsia" w:ascii="宋体" w:hAnsi="宋体" w:eastAsia="宋体" w:cs="宋体"/>
                <w:bCs/>
                <w:color w:val="000000"/>
                <w:sz w:val="24"/>
                <w:szCs w:val="24"/>
              </w:rPr>
            </w:pPr>
          </w:p>
        </w:tc>
        <w:tc>
          <w:tcPr>
            <w:tcW w:w="1311" w:type="dxa"/>
            <w:noWrap w:val="0"/>
            <w:vAlign w:val="center"/>
          </w:tcPr>
          <w:p>
            <w:pPr>
              <w:snapToGrid w:val="0"/>
              <w:spacing w:line="453" w:lineRule="atLeast"/>
              <w:rPr>
                <w:rFonts w:hint="eastAsia" w:ascii="宋体" w:hAnsi="宋体" w:eastAsia="宋体" w:cs="宋体"/>
                <w:bCs/>
                <w:color w:val="000000"/>
                <w:sz w:val="24"/>
                <w:szCs w:val="24"/>
              </w:rPr>
            </w:pPr>
          </w:p>
        </w:tc>
        <w:tc>
          <w:tcPr>
            <w:tcW w:w="1311" w:type="dxa"/>
            <w:noWrap w:val="0"/>
            <w:vAlign w:val="center"/>
          </w:tcPr>
          <w:p>
            <w:pPr>
              <w:snapToGrid w:val="0"/>
              <w:spacing w:line="453" w:lineRule="atLeast"/>
              <w:rPr>
                <w:rFonts w:hint="eastAsia" w:ascii="宋体" w:hAnsi="宋体" w:eastAsia="宋体" w:cs="宋体"/>
                <w:bCs/>
                <w:color w:val="000000"/>
                <w:sz w:val="24"/>
                <w:szCs w:val="24"/>
              </w:rPr>
            </w:pPr>
          </w:p>
        </w:tc>
        <w:tc>
          <w:tcPr>
            <w:tcW w:w="742" w:type="dxa"/>
            <w:noWrap w:val="0"/>
            <w:vAlign w:val="center"/>
          </w:tcPr>
          <w:p>
            <w:pPr>
              <w:snapToGrid w:val="0"/>
              <w:spacing w:line="453" w:lineRule="atLeast"/>
              <w:rPr>
                <w:rFonts w:hint="eastAsia" w:ascii="宋体" w:hAnsi="宋体" w:eastAsia="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napToGrid w:val="0"/>
              <w:spacing w:line="453" w:lineRule="atLeast"/>
              <w:rPr>
                <w:rFonts w:hint="eastAsia" w:ascii="宋体" w:hAnsi="宋体" w:eastAsia="宋体" w:cs="宋体"/>
                <w:bCs/>
                <w:color w:val="000000"/>
                <w:sz w:val="24"/>
                <w:szCs w:val="24"/>
              </w:rPr>
            </w:pPr>
          </w:p>
        </w:tc>
        <w:tc>
          <w:tcPr>
            <w:tcW w:w="1153"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742" w:type="dxa"/>
            <w:noWrap w:val="0"/>
            <w:vAlign w:val="top"/>
          </w:tcPr>
          <w:p>
            <w:pPr>
              <w:snapToGrid w:val="0"/>
              <w:spacing w:line="453" w:lineRule="atLeast"/>
              <w:rPr>
                <w:rFonts w:hint="eastAsia" w:ascii="宋体" w:hAnsi="宋体" w:eastAsia="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napToGrid w:val="0"/>
              <w:spacing w:line="453" w:lineRule="atLeast"/>
              <w:rPr>
                <w:rFonts w:hint="eastAsia" w:ascii="宋体" w:hAnsi="宋体" w:eastAsia="宋体" w:cs="宋体"/>
                <w:bCs/>
                <w:color w:val="000000"/>
                <w:sz w:val="24"/>
                <w:szCs w:val="24"/>
              </w:rPr>
            </w:pPr>
          </w:p>
        </w:tc>
        <w:tc>
          <w:tcPr>
            <w:tcW w:w="1153"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742" w:type="dxa"/>
            <w:noWrap w:val="0"/>
            <w:vAlign w:val="top"/>
          </w:tcPr>
          <w:p>
            <w:pPr>
              <w:snapToGrid w:val="0"/>
              <w:spacing w:line="453" w:lineRule="atLeast"/>
              <w:rPr>
                <w:rFonts w:hint="eastAsia" w:ascii="宋体" w:hAnsi="宋体" w:eastAsia="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napToGrid w:val="0"/>
              <w:spacing w:line="453" w:lineRule="atLeast"/>
              <w:rPr>
                <w:rFonts w:hint="eastAsia" w:ascii="宋体" w:hAnsi="宋体" w:eastAsia="宋体" w:cs="宋体"/>
                <w:bCs/>
                <w:color w:val="000000"/>
                <w:sz w:val="24"/>
                <w:szCs w:val="24"/>
              </w:rPr>
            </w:pPr>
          </w:p>
        </w:tc>
        <w:tc>
          <w:tcPr>
            <w:tcW w:w="1153"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1311" w:type="dxa"/>
            <w:noWrap w:val="0"/>
            <w:vAlign w:val="top"/>
          </w:tcPr>
          <w:p>
            <w:pPr>
              <w:snapToGrid w:val="0"/>
              <w:spacing w:line="453" w:lineRule="atLeast"/>
              <w:rPr>
                <w:rFonts w:hint="eastAsia" w:ascii="宋体" w:hAnsi="宋体" w:eastAsia="宋体" w:cs="宋体"/>
                <w:bCs/>
                <w:color w:val="000000"/>
                <w:sz w:val="24"/>
                <w:szCs w:val="24"/>
              </w:rPr>
            </w:pPr>
          </w:p>
        </w:tc>
        <w:tc>
          <w:tcPr>
            <w:tcW w:w="742" w:type="dxa"/>
            <w:noWrap w:val="0"/>
            <w:vAlign w:val="top"/>
          </w:tcPr>
          <w:p>
            <w:pPr>
              <w:snapToGrid w:val="0"/>
              <w:spacing w:line="453" w:lineRule="atLeast"/>
              <w:rPr>
                <w:rFonts w:hint="eastAsia" w:ascii="宋体" w:hAnsi="宋体" w:eastAsia="宋体" w:cs="宋体"/>
                <w:bCs/>
                <w:color w:val="000000"/>
                <w:sz w:val="24"/>
                <w:szCs w:val="24"/>
              </w:rPr>
            </w:pPr>
          </w:p>
        </w:tc>
      </w:tr>
    </w:tbl>
    <w:p>
      <w:pPr>
        <w:pStyle w:val="15"/>
        <w:tabs>
          <w:tab w:val="left" w:pos="6300"/>
        </w:tabs>
        <w:snapToGrid w:val="0"/>
        <w:spacing w:line="500" w:lineRule="exact"/>
        <w:ind w:left="0" w:leftChars="0" w:firstLine="420" w:firstLineChars="200"/>
        <w:rPr>
          <w:rFonts w:hint="eastAsia" w:ascii="宋体" w:hAnsi="宋体" w:eastAsia="宋体" w:cs="宋体"/>
          <w:lang w:val="en-US" w:eastAsia="zh-CN"/>
        </w:rPr>
      </w:pPr>
    </w:p>
    <w:p>
      <w:pPr>
        <w:keepNext w:val="0"/>
        <w:keepLines w:val="0"/>
        <w:pageBreakBefore w:val="0"/>
        <w:widowControl w:val="0"/>
        <w:tabs>
          <w:tab w:val="left" w:pos="6375"/>
        </w:tabs>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sz w:val="24"/>
        </w:rPr>
        <w:t>要求：</w:t>
      </w:r>
      <w:r>
        <w:rPr>
          <w:rFonts w:hint="eastAsia" w:ascii="宋体" w:hAnsi="宋体" w:eastAsia="宋体" w:cs="宋体"/>
          <w:sz w:val="24"/>
          <w:lang w:val="en-US" w:eastAsia="zh-CN"/>
        </w:rPr>
        <w:t>1、表</w:t>
      </w:r>
      <w:r>
        <w:rPr>
          <w:rFonts w:hint="eastAsia" w:ascii="宋体" w:hAnsi="宋体" w:eastAsia="宋体" w:cs="宋体"/>
          <w:bCs/>
          <w:sz w:val="24"/>
          <w:lang w:val="en-US" w:eastAsia="zh-CN"/>
        </w:rPr>
        <w:t>后附相关人员证件（须提供相关证书证明文件、身份证明、劳动合同证明及经验业绩等）磋商文件要求的相关资料复印件加盖鲜章。</w:t>
      </w:r>
    </w:p>
    <w:p>
      <w:pPr>
        <w:pStyle w:val="50"/>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spacing w:line="360" w:lineRule="auto"/>
        <w:rPr>
          <w:rFonts w:hint="eastAsia" w:ascii="宋体" w:hAnsi="宋体" w:eastAsia="宋体" w:cs="宋体"/>
          <w:sz w:val="24"/>
          <w:lang w:val="en-US" w:eastAsia="zh-CN"/>
        </w:rPr>
      </w:pPr>
    </w:p>
    <w:p>
      <w:pPr>
        <w:spacing w:line="360" w:lineRule="auto"/>
        <w:ind w:firstLine="480" w:firstLineChars="200"/>
        <w:rPr>
          <w:rFonts w:hint="eastAsia" w:ascii="宋体" w:hAnsi="宋体" w:eastAsia="宋体" w:cs="宋体"/>
          <w:sz w:val="24"/>
          <w:lang w:val="en-US" w:eastAsia="zh-CN"/>
        </w:rPr>
      </w:pP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 xml:space="preserve">                   供应商（盖章）</w:t>
      </w:r>
      <w:r>
        <w:rPr>
          <w:rFonts w:hint="eastAsia" w:ascii="宋体" w:hAnsi="宋体" w:eastAsia="宋体" w:cs="宋体"/>
          <w:sz w:val="24"/>
        </w:rPr>
        <w:t xml:space="preserve">： </w:t>
      </w:r>
    </w:p>
    <w:p>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法定代表人或代理人（盖章或签字）：</w:t>
      </w:r>
    </w:p>
    <w:p>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450" w:lineRule="atLeast"/>
        <w:jc w:val="both"/>
        <w:rPr>
          <w:rFonts w:hint="eastAsia" w:ascii="宋体" w:hAnsi="宋体" w:eastAsia="宋体" w:cs="宋体"/>
          <w:b/>
          <w:bCs/>
          <w:sz w:val="28"/>
          <w:szCs w:val="28"/>
          <w:lang w:val="en-US" w:eastAsia="zh-CN"/>
        </w:rPr>
      </w:pPr>
    </w:p>
    <w:bookmarkEnd w:id="390"/>
    <w:p>
      <w:pPr>
        <w:pStyle w:val="5"/>
        <w:numPr>
          <w:ilvl w:val="0"/>
          <w:numId w:val="0"/>
        </w:num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3"/>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3"/>
        <w:rPr>
          <w:rFonts w:hint="eastAsia"/>
          <w:lang w:val="en-US" w:eastAsia="zh-CN"/>
        </w:rPr>
      </w:pPr>
    </w:p>
    <w:p>
      <w:pPr>
        <w:rPr>
          <w:rFonts w:hint="eastAsia" w:ascii="宋体" w:hAnsi="宋体" w:eastAsia="宋体" w:cs="宋体"/>
          <w:lang w:val="en-US" w:eastAsia="zh-CN"/>
        </w:rPr>
      </w:pPr>
    </w:p>
    <w:p>
      <w:pPr>
        <w:pStyle w:val="5"/>
        <w:numPr>
          <w:ilvl w:val="0"/>
          <w:numId w:val="9"/>
        </w:numPr>
        <w:ind w:left="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实施方案、服务方案及应急预案措施（格式自拟格式自拟）</w:t>
      </w:r>
    </w:p>
    <w:p>
      <w:pPr>
        <w:spacing w:before="218" w:line="225" w:lineRule="auto"/>
        <w:ind w:left="4189"/>
        <w:rPr>
          <w:rFonts w:ascii="Arial"/>
          <w:sz w:val="21"/>
        </w:rPr>
      </w:pPr>
      <w:r>
        <w:rPr>
          <w:rFonts w:ascii="宋体" w:hAnsi="宋体" w:eastAsia="宋体" w:cs="宋体"/>
          <w:spacing w:val="6"/>
          <w:sz w:val="31"/>
          <w:szCs w:val="31"/>
        </w:rPr>
        <w:t>实</w:t>
      </w:r>
      <w:r>
        <w:rPr>
          <w:rFonts w:ascii="宋体" w:hAnsi="宋体" w:eastAsia="宋体" w:cs="宋体"/>
          <w:spacing w:val="5"/>
          <w:sz w:val="31"/>
          <w:szCs w:val="31"/>
        </w:rPr>
        <w:t>施方案</w:t>
      </w:r>
    </w:p>
    <w:p>
      <w:pPr>
        <w:spacing w:before="66" w:line="228" w:lineRule="auto"/>
        <w:ind w:left="461"/>
        <w:outlineLvl w:val="2"/>
        <w:rPr>
          <w:rFonts w:ascii="宋体" w:hAnsi="宋体" w:eastAsia="宋体" w:cs="宋体"/>
          <w:sz w:val="20"/>
          <w:szCs w:val="20"/>
        </w:rPr>
      </w:pPr>
      <w:r>
        <w:rPr>
          <w:rFonts w:ascii="Times New Roman" w:hAnsi="Times New Roman" w:eastAsia="Times New Roman" w:cs="Times New Roman"/>
          <w:spacing w:val="-9"/>
          <w:sz w:val="20"/>
          <w:szCs w:val="20"/>
        </w:rPr>
        <w:t>1</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  项目实施方案；</w:t>
      </w:r>
    </w:p>
    <w:p>
      <w:pPr>
        <w:spacing w:line="251" w:lineRule="auto"/>
        <w:rPr>
          <w:rFonts w:ascii="Arial"/>
          <w:sz w:val="21"/>
        </w:rPr>
      </w:pPr>
    </w:p>
    <w:p>
      <w:pPr>
        <w:spacing w:before="65" w:line="227" w:lineRule="auto"/>
        <w:ind w:left="455"/>
        <w:rPr>
          <w:rFonts w:ascii="宋体" w:hAnsi="宋体" w:eastAsia="宋体" w:cs="宋体"/>
          <w:sz w:val="20"/>
          <w:szCs w:val="20"/>
        </w:rPr>
      </w:pPr>
      <w:r>
        <w:rPr>
          <w:rFonts w:ascii="宋体" w:hAnsi="宋体" w:eastAsia="宋体" w:cs="宋体"/>
          <w:spacing w:val="22"/>
          <w:sz w:val="20"/>
          <w:szCs w:val="20"/>
        </w:rPr>
        <w:t>(</w:t>
      </w:r>
      <w:r>
        <w:rPr>
          <w:rFonts w:ascii="Times New Roman" w:hAnsi="Times New Roman" w:eastAsia="Times New Roman" w:cs="Times New Roman"/>
          <w:spacing w:val="16"/>
          <w:sz w:val="20"/>
          <w:szCs w:val="20"/>
        </w:rPr>
        <w:t>1</w:t>
      </w:r>
      <w:r>
        <w:rPr>
          <w:rFonts w:ascii="宋体" w:hAnsi="宋体" w:eastAsia="宋体" w:cs="宋体"/>
          <w:spacing w:val="11"/>
          <w:sz w:val="20"/>
          <w:szCs w:val="20"/>
        </w:rPr>
        <w:t>) 对本项目背景和工作内容的理解和分析 (格式自拟)</w:t>
      </w:r>
    </w:p>
    <w:p>
      <w:pPr>
        <w:spacing w:line="283" w:lineRule="auto"/>
        <w:rPr>
          <w:rFonts w:ascii="Arial"/>
          <w:sz w:val="21"/>
        </w:rPr>
      </w:pPr>
    </w:p>
    <w:p>
      <w:pPr>
        <w:spacing w:before="66" w:line="227" w:lineRule="auto"/>
        <w:ind w:left="455"/>
        <w:rPr>
          <w:rFonts w:ascii="宋体" w:hAnsi="宋体" w:eastAsia="宋体" w:cs="宋体"/>
          <w:sz w:val="20"/>
          <w:szCs w:val="20"/>
        </w:rPr>
      </w:pPr>
      <w:r>
        <w:rPr>
          <w:rFonts w:ascii="宋体" w:hAnsi="宋体" w:eastAsia="宋体" w:cs="宋体"/>
          <w:spacing w:val="17"/>
          <w:sz w:val="20"/>
          <w:szCs w:val="20"/>
        </w:rPr>
        <w:t>(</w:t>
      </w:r>
      <w:r>
        <w:rPr>
          <w:rFonts w:ascii="Times New Roman" w:hAnsi="Times New Roman" w:eastAsia="Times New Roman" w:cs="Times New Roman"/>
          <w:spacing w:val="12"/>
          <w:sz w:val="20"/>
          <w:szCs w:val="20"/>
        </w:rPr>
        <w:t>2</w:t>
      </w:r>
      <w:r>
        <w:rPr>
          <w:rFonts w:ascii="宋体" w:hAnsi="宋体" w:eastAsia="宋体" w:cs="宋体"/>
          <w:spacing w:val="12"/>
          <w:sz w:val="20"/>
          <w:szCs w:val="20"/>
        </w:rPr>
        <w:t>) 项目实施和安排计划 (格式自拟)</w:t>
      </w:r>
    </w:p>
    <w:p>
      <w:pPr>
        <w:spacing w:line="283" w:lineRule="auto"/>
        <w:rPr>
          <w:rFonts w:ascii="Arial"/>
          <w:sz w:val="21"/>
        </w:rPr>
      </w:pPr>
    </w:p>
    <w:p>
      <w:pPr>
        <w:spacing w:before="65" w:line="227" w:lineRule="auto"/>
        <w:ind w:left="455"/>
        <w:rPr>
          <w:rFonts w:ascii="Arial"/>
          <w:sz w:val="21"/>
        </w:rPr>
      </w:pPr>
      <w:r>
        <w:rPr>
          <w:rFonts w:ascii="宋体" w:hAnsi="宋体" w:eastAsia="宋体" w:cs="宋体"/>
          <w:spacing w:val="22"/>
          <w:sz w:val="20"/>
          <w:szCs w:val="20"/>
        </w:rPr>
        <w:t>(</w:t>
      </w:r>
      <w:r>
        <w:rPr>
          <w:rFonts w:ascii="Times New Roman" w:hAnsi="Times New Roman" w:eastAsia="Times New Roman" w:cs="Times New Roman"/>
          <w:spacing w:val="14"/>
          <w:sz w:val="20"/>
          <w:szCs w:val="20"/>
        </w:rPr>
        <w:t>3</w:t>
      </w:r>
      <w:r>
        <w:rPr>
          <w:rFonts w:ascii="宋体" w:hAnsi="宋体" w:eastAsia="宋体" w:cs="宋体"/>
          <w:spacing w:val="11"/>
          <w:sz w:val="20"/>
          <w:szCs w:val="20"/>
        </w:rPr>
        <w:t>) 拟投入的项负责人及主要人员的相关证明文件、身份证明及工作经历，可附表说明；</w:t>
      </w:r>
    </w:p>
    <w:p>
      <w:pPr>
        <w:spacing w:before="66" w:line="228" w:lineRule="auto"/>
        <w:ind w:left="405"/>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4"/>
          <w:sz w:val="20"/>
          <w:szCs w:val="20"/>
        </w:rPr>
        <w:t>4</w:t>
      </w:r>
      <w:r>
        <w:rPr>
          <w:rFonts w:ascii="宋体" w:hAnsi="宋体" w:eastAsia="宋体" w:cs="宋体"/>
          <w:spacing w:val="14"/>
          <w:sz w:val="20"/>
          <w:szCs w:val="20"/>
        </w:rPr>
        <w:t>) 其他证明文件复印件。</w:t>
      </w:r>
    </w:p>
    <w:p>
      <w:pPr>
        <w:spacing w:line="251" w:lineRule="auto"/>
        <w:rPr>
          <w:rFonts w:ascii="Arial"/>
          <w:sz w:val="21"/>
        </w:rPr>
      </w:pPr>
    </w:p>
    <w:p>
      <w:pPr>
        <w:spacing w:before="66" w:line="228" w:lineRule="auto"/>
        <w:ind w:left="447"/>
        <w:rPr>
          <w:rFonts w:ascii="宋体" w:hAnsi="宋体" w:eastAsia="宋体" w:cs="宋体"/>
          <w:sz w:val="20"/>
          <w:szCs w:val="20"/>
        </w:rPr>
      </w:pPr>
      <w:r>
        <w:rPr>
          <w:rFonts w:ascii="宋体" w:hAnsi="宋体" w:eastAsia="宋体" w:cs="宋体"/>
          <w:spacing w:val="12"/>
          <w:sz w:val="20"/>
          <w:szCs w:val="20"/>
        </w:rPr>
        <w:t>上</w:t>
      </w:r>
      <w:r>
        <w:rPr>
          <w:rFonts w:ascii="宋体" w:hAnsi="宋体" w:eastAsia="宋体" w:cs="宋体"/>
          <w:spacing w:val="9"/>
          <w:sz w:val="20"/>
          <w:szCs w:val="20"/>
        </w:rPr>
        <w:t>述内容包括但不限于，如有不足，请自行补充提供。</w:t>
      </w:r>
    </w:p>
    <w:p>
      <w:p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3"/>
        <w:numPr>
          <w:ilvl w:val="0"/>
          <w:numId w:val="0"/>
        </w:numPr>
        <w:spacing w:before="0" w:line="240" w:lineRule="atLeast"/>
        <w:jc w:val="center"/>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十二、中小企业声明函、残疾人福利性单位声明函、监狱企业的证明文件</w:t>
      </w:r>
    </w:p>
    <w:p>
      <w:pPr>
        <w:spacing w:line="240" w:lineRule="auto"/>
        <w:jc w:val="center"/>
        <w:rPr>
          <w:rFonts w:hint="eastAsia" w:ascii="宋体" w:hAnsi="宋体" w:eastAsia="宋体" w:cs="宋体"/>
          <w:b w:val="0"/>
          <w:bCs w:val="0"/>
          <w:kern w:val="0"/>
          <w:sz w:val="24"/>
          <w:szCs w:val="24"/>
          <w:lang w:val="en-US" w:eastAsia="zh-CN" w:bidi="ar-SA"/>
        </w:rPr>
      </w:pPr>
    </w:p>
    <w:p>
      <w:pPr>
        <w:spacing w:line="240" w:lineRule="auto"/>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中小微企业声明函</w:t>
      </w:r>
    </w:p>
    <w:p>
      <w:pPr>
        <w:spacing w:line="240" w:lineRule="auto"/>
        <w:rPr>
          <w:rFonts w:hint="eastAsia" w:ascii="宋体" w:hAnsi="宋体" w:eastAsia="宋体" w:cs="宋体"/>
          <w:b w:val="0"/>
          <w:bCs w:val="0"/>
          <w:kern w:val="0"/>
          <w:sz w:val="24"/>
          <w:szCs w:val="24"/>
          <w:lang w:val="en-US" w:eastAsia="zh-CN" w:bidi="ar-SA"/>
        </w:rPr>
      </w:pPr>
    </w:p>
    <w:p>
      <w:pPr>
        <w:spacing w:line="240" w:lineRule="auto"/>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本公司</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（公司名称）郑重声明，根据《政府采购促进中小企业发展管理办法》（财库﹝2020﹞46 号）的规定，本公司</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（公司名称）参加</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（单位名称）的</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项目名称）采购活动，项目的供应商全部为符合政策要求的中小企业（或者：服务全部由符合政策要求的中小企业承接）。相关企业（含联合体中的中小企业、签订分包意向协议的中小微企业）的具体情况如下：</w:t>
      </w:r>
    </w:p>
    <w:p>
      <w:pPr>
        <w:spacing w:line="240" w:lineRule="auto"/>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（项目名称） ，属于（采购文件中明确的所属行业）；承建（承接）企业为</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（公司名称），从业人员</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人，营业收入为</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万元，资产总额为</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 xml:space="preserve">万元，属于（中型企业、小型企业、微型企业）； </w:t>
      </w:r>
    </w:p>
    <w:p>
      <w:pPr>
        <w:spacing w:line="240" w:lineRule="auto"/>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以上企业，不属于大企业的分支机构，不存在控股股东为大企业的情形，也不存在与大企业的负责人为同一人的情形。</w:t>
      </w:r>
    </w:p>
    <w:p>
      <w:pPr>
        <w:spacing w:line="240" w:lineRule="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 xml:space="preserve">本企业对上述声明内容的真实性负责。如有虚假，将依法承担相应责任。 </w:t>
      </w:r>
    </w:p>
    <w:p>
      <w:pPr>
        <w:spacing w:line="240" w:lineRule="auto"/>
        <w:rPr>
          <w:rFonts w:hint="eastAsia" w:ascii="宋体" w:hAnsi="宋体" w:eastAsia="宋体" w:cs="宋体"/>
          <w:b w:val="0"/>
          <w:bCs w:val="0"/>
          <w:kern w:val="0"/>
          <w:sz w:val="24"/>
          <w:szCs w:val="24"/>
          <w:lang w:val="en-US" w:eastAsia="zh-CN" w:bidi="ar-SA"/>
        </w:rPr>
      </w:pPr>
    </w:p>
    <w:p>
      <w:pPr>
        <w:spacing w:line="240" w:lineRule="auto"/>
        <w:rPr>
          <w:rFonts w:hint="eastAsia" w:ascii="宋体" w:hAnsi="宋体" w:eastAsia="宋体" w:cs="宋体"/>
          <w:b w:val="0"/>
          <w:bCs w:val="0"/>
          <w:kern w:val="0"/>
          <w:sz w:val="24"/>
          <w:szCs w:val="24"/>
          <w:lang w:val="en-US" w:eastAsia="zh-CN" w:bidi="ar-SA"/>
        </w:rPr>
      </w:pPr>
    </w:p>
    <w:p>
      <w:pPr>
        <w:spacing w:line="240" w:lineRule="auto"/>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 xml:space="preserve">                                             企业名称（盖章）： </w:t>
      </w:r>
    </w:p>
    <w:p>
      <w:pPr>
        <w:spacing w:line="240" w:lineRule="auto"/>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 xml:space="preserve">                                    日 期： </w:t>
      </w:r>
    </w:p>
    <w:p>
      <w:pPr>
        <w:pStyle w:val="3"/>
        <w:numPr>
          <w:ilvl w:val="0"/>
          <w:numId w:val="0"/>
        </w:numPr>
        <w:ind w:left="240" w:leftChars="0"/>
        <w:rPr>
          <w:rFonts w:hint="eastAsia"/>
          <w:lang w:val="en-US" w:eastAsia="zh-CN"/>
        </w:rPr>
      </w:pPr>
    </w:p>
    <w:p>
      <w:pPr>
        <w:rPr>
          <w:rFonts w:hint="eastAsia"/>
          <w:lang w:val="en-US" w:eastAsia="zh-CN"/>
        </w:rPr>
      </w:pPr>
    </w:p>
    <w:p>
      <w:pPr>
        <w:spacing w:line="240" w:lineRule="auto"/>
        <w:rPr>
          <w:rFonts w:hint="eastAsia" w:ascii="宋体" w:hAnsi="宋体" w:eastAsia="宋体" w:cs="宋体"/>
          <w:sz w:val="23"/>
          <w:szCs w:val="23"/>
        </w:rPr>
      </w:pPr>
      <w:r>
        <w:rPr>
          <w:rFonts w:hint="eastAsia" w:ascii="宋体" w:hAnsi="宋体" w:eastAsia="宋体" w:cs="宋体"/>
          <w:sz w:val="23"/>
          <w:szCs w:val="23"/>
        </w:rPr>
        <w:t xml:space="preserve"> </w:t>
      </w:r>
      <w:r>
        <w:rPr>
          <w:rFonts w:hint="eastAsia" w:ascii="宋体" w:hAnsi="宋体" w:eastAsia="宋体" w:cs="宋体"/>
          <w:b/>
          <w:bCs/>
          <w:sz w:val="23"/>
          <w:szCs w:val="23"/>
          <w:lang w:val="en-US" w:eastAsia="zh-CN"/>
        </w:rPr>
        <w:t xml:space="preserve">  </w:t>
      </w:r>
      <w:r>
        <w:rPr>
          <w:rFonts w:hint="eastAsia" w:ascii="宋体" w:hAnsi="宋体" w:eastAsia="宋体" w:cs="宋体"/>
          <w:b/>
          <w:bCs/>
          <w:sz w:val="23"/>
          <w:szCs w:val="23"/>
        </w:rPr>
        <w:t>备注：从业人员、营业收入、资产总额填报上一年度数据，无上一年度数据的新成立企业可不填报</w:t>
      </w:r>
    </w:p>
    <w:p>
      <w:pPr>
        <w:pStyle w:val="3"/>
        <w:numPr>
          <w:ilvl w:val="0"/>
          <w:numId w:val="0"/>
        </w:numPr>
        <w:ind w:left="240" w:leftChars="0"/>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spacing w:line="240" w:lineRule="atLeast"/>
        <w:jc w:val="center"/>
        <w:rPr>
          <w:rFonts w:hint="eastAsia" w:ascii="宋体" w:hAnsi="宋体" w:eastAsia="宋体" w:cs="宋体"/>
          <w:color w:val="auto"/>
          <w:kern w:val="2"/>
          <w:sz w:val="24"/>
          <w:szCs w:val="24"/>
          <w:lang w:val="en-US" w:eastAsia="zh-CN" w:bidi="ar-SA"/>
        </w:rPr>
      </w:pPr>
    </w:p>
    <w:p>
      <w:pPr>
        <w:pStyle w:val="3"/>
        <w:numPr>
          <w:ilvl w:val="0"/>
          <w:numId w:val="0"/>
        </w:numPr>
        <w:spacing w:before="0" w:line="240" w:lineRule="atLeast"/>
        <w:jc w:val="center"/>
        <w:rPr>
          <w:rFonts w:hint="eastAsia"/>
          <w:b/>
          <w:bCs/>
          <w:lang w:val="en-US" w:eastAsia="zh-CN"/>
        </w:rPr>
      </w:pPr>
      <w:bookmarkStart w:id="394" w:name="_Toc2621"/>
      <w:bookmarkStart w:id="395" w:name="_Toc515647825"/>
      <w:bookmarkStart w:id="396" w:name="_Toc3420"/>
      <w:bookmarkStart w:id="397" w:name="OLE_LINK14"/>
      <w:bookmarkStart w:id="398" w:name="_Toc32586"/>
      <w:bookmarkStart w:id="399" w:name="_Toc20113"/>
      <w:bookmarkStart w:id="400" w:name="_Toc17559"/>
      <w:bookmarkStart w:id="401" w:name="_Toc732"/>
      <w:bookmarkStart w:id="402" w:name="_Toc19284"/>
      <w:bookmarkStart w:id="403" w:name="_Toc26931"/>
      <w:bookmarkStart w:id="404" w:name="_Toc24860"/>
      <w:bookmarkStart w:id="405" w:name="_Toc15294"/>
      <w:bookmarkStart w:id="406" w:name="_Toc30849"/>
      <w:bookmarkStart w:id="407" w:name="_Toc13117"/>
      <w:bookmarkStart w:id="408" w:name="_Toc4244"/>
      <w:bookmarkStart w:id="409" w:name="_Toc14454"/>
      <w:bookmarkStart w:id="410" w:name="_Toc23068"/>
      <w:bookmarkStart w:id="411" w:name="_Toc13947"/>
      <w:bookmarkStart w:id="412" w:name="OLE_LINK13"/>
      <w:r>
        <w:rPr>
          <w:rFonts w:hint="eastAsia" w:ascii="宋体" w:hAnsi="宋体" w:eastAsia="宋体" w:cs="宋体"/>
          <w:b/>
          <w:bCs/>
          <w:color w:val="auto"/>
          <w:kern w:val="2"/>
          <w:sz w:val="24"/>
          <w:szCs w:val="24"/>
          <w:lang w:val="en-US" w:eastAsia="zh-CN" w:bidi="ar-SA"/>
        </w:rPr>
        <w:t>残疾人福利性单位声明函</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pPr>
        <w:spacing w:line="240" w:lineRule="auto"/>
        <w:jc w:val="center"/>
        <w:rPr>
          <w:rFonts w:hint="eastAsia" w:ascii="宋体" w:hAnsi="宋体" w:eastAsia="宋体" w:cs="宋体"/>
          <w:sz w:val="24"/>
          <w:szCs w:val="24"/>
        </w:rPr>
      </w:pPr>
      <w:r>
        <w:rPr>
          <w:rFonts w:hint="eastAsia" w:ascii="宋体" w:hAnsi="宋体" w:eastAsia="宋体" w:cs="宋体"/>
          <w:sz w:val="23"/>
          <w:szCs w:val="23"/>
          <w:lang w:val="en-US" w:eastAsia="zh-CN"/>
        </w:rPr>
        <w:t xml:space="preserve">   </w:t>
      </w:r>
      <w:r>
        <w:rPr>
          <w:rFonts w:hint="eastAsia" w:ascii="宋体" w:hAnsi="宋体"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spacing w:line="240" w:lineRule="auto"/>
        <w:rPr>
          <w:rFonts w:hint="eastAsia" w:ascii="宋体" w:hAnsi="宋体" w:eastAsia="宋体" w:cs="宋体"/>
          <w:sz w:val="24"/>
          <w:szCs w:val="24"/>
        </w:rPr>
      </w:pPr>
    </w:p>
    <w:p>
      <w:pPr>
        <w:spacing w:line="240" w:lineRule="auto"/>
        <w:jc w:val="right"/>
        <w:rPr>
          <w:rFonts w:hint="eastAsia" w:ascii="宋体" w:hAnsi="宋体" w:eastAsia="宋体" w:cs="宋体"/>
          <w:sz w:val="24"/>
          <w:szCs w:val="24"/>
        </w:rPr>
      </w:pP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名称（单位盖公章）：</w:t>
      </w:r>
    </w:p>
    <w:p>
      <w:pPr>
        <w:spacing w:line="24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  期：</w:t>
      </w:r>
    </w:p>
    <w:p>
      <w:pPr>
        <w:spacing w:line="240" w:lineRule="auto"/>
        <w:jc w:val="left"/>
        <w:rPr>
          <w:rFonts w:hint="eastAsia" w:ascii="宋体" w:hAnsi="宋体" w:eastAsia="宋体" w:cs="宋体"/>
          <w:b/>
          <w:bCs/>
          <w:color w:val="auto"/>
          <w:kern w:val="2"/>
          <w:sz w:val="24"/>
          <w:szCs w:val="24"/>
          <w:lang w:val="en-US" w:eastAsia="zh-CN" w:bidi="ar-SA"/>
        </w:rPr>
      </w:pPr>
    </w:p>
    <w:p>
      <w:pPr>
        <w:spacing w:line="240" w:lineRule="auto"/>
        <w:ind w:firstLine="2891" w:firstLineChars="1200"/>
        <w:jc w:val="left"/>
        <w:rPr>
          <w:rFonts w:hint="eastAsia" w:ascii="宋体" w:hAnsi="宋体" w:eastAsia="宋体" w:cs="宋体"/>
          <w:b/>
          <w:bCs/>
          <w:color w:val="auto"/>
          <w:kern w:val="2"/>
          <w:sz w:val="24"/>
          <w:szCs w:val="24"/>
          <w:lang w:val="en-US" w:eastAsia="zh-CN" w:bidi="ar-SA"/>
        </w:rPr>
      </w:pPr>
    </w:p>
    <w:p>
      <w:pPr>
        <w:spacing w:line="240" w:lineRule="auto"/>
        <w:ind w:firstLine="2891" w:firstLineChars="1200"/>
        <w:jc w:val="left"/>
        <w:rPr>
          <w:rFonts w:hint="eastAsia" w:ascii="宋体" w:hAnsi="宋体" w:eastAsia="宋体" w:cs="宋体"/>
          <w:b/>
          <w:bCs/>
          <w:color w:val="auto"/>
          <w:kern w:val="2"/>
          <w:sz w:val="24"/>
          <w:szCs w:val="24"/>
          <w:lang w:val="en-US" w:eastAsia="zh-CN" w:bidi="ar-SA"/>
        </w:rPr>
      </w:pPr>
    </w:p>
    <w:p>
      <w:pPr>
        <w:spacing w:line="240" w:lineRule="auto"/>
        <w:ind w:firstLine="2891" w:firstLineChars="120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监狱企业的证明文件（如有）</w:t>
      </w:r>
    </w:p>
    <w:p>
      <w:pPr>
        <w:spacing w:line="240" w:lineRule="auto"/>
        <w:ind w:firstLine="460" w:firstLineChars="200"/>
        <w:rPr>
          <w:rFonts w:hint="eastAsia" w:ascii="宋体" w:hAnsi="宋体" w:eastAsia="宋体" w:cs="宋体"/>
          <w:sz w:val="23"/>
          <w:szCs w:val="23"/>
        </w:rPr>
      </w:pPr>
      <w:r>
        <w:rPr>
          <w:rFonts w:hint="eastAsia" w:ascii="宋体" w:hAnsi="宋体" w:eastAsia="宋体" w:cs="宋体"/>
          <w:sz w:val="23"/>
          <w:szCs w:val="23"/>
        </w:rPr>
        <w:t>说明：监狱企业参加政府采购活动时，应当提供由省级以上监狱管理局、戒毒管理局（含新疆生产建设兵团）出具的属于监狱企业的证明文件，并加盖</w:t>
      </w:r>
      <w:r>
        <w:rPr>
          <w:rFonts w:hint="eastAsia" w:ascii="宋体" w:hAnsi="宋体" w:eastAsia="宋体" w:cs="宋体"/>
          <w:sz w:val="23"/>
          <w:szCs w:val="23"/>
          <w:lang w:eastAsia="zh-CN"/>
        </w:rPr>
        <w:t>供应商</w:t>
      </w:r>
      <w:r>
        <w:rPr>
          <w:rFonts w:hint="eastAsia" w:ascii="宋体" w:hAnsi="宋体" w:eastAsia="宋体" w:cs="宋体"/>
          <w:sz w:val="23"/>
          <w:szCs w:val="23"/>
        </w:rPr>
        <w:t>公章。</w:t>
      </w:r>
    </w:p>
    <w:p>
      <w:pPr>
        <w:spacing w:line="360" w:lineRule="auto"/>
        <w:jc w:val="center"/>
        <w:rPr>
          <w:rFonts w:hint="eastAsia" w:ascii="宋体" w:hAnsi="宋体" w:eastAsia="宋体" w:cs="宋体"/>
          <w:b/>
          <w:color w:val="000000"/>
          <w:kern w:val="2"/>
          <w:sz w:val="24"/>
          <w:szCs w:val="24"/>
          <w:lang w:val="en-US" w:eastAsia="zh-CN" w:bidi="ar-SA"/>
        </w:rPr>
      </w:pPr>
    </w:p>
    <w:p>
      <w:pPr>
        <w:numPr>
          <w:ilvl w:val="0"/>
          <w:numId w:val="0"/>
        </w:numPr>
        <w:rPr>
          <w:rFonts w:hint="eastAsia"/>
          <w:lang w:val="en-US" w:eastAsia="zh-CN"/>
        </w:rPr>
      </w:pPr>
    </w:p>
    <w:p>
      <w:pPr>
        <w:ind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十三、其他资料（目录没有的供应商认为有必要提交的材料）</w:t>
      </w:r>
    </w:p>
    <w:p>
      <w:pPr>
        <w:pStyle w:val="50"/>
        <w:rPr>
          <w:rFonts w:hint="eastAsia"/>
          <w:lang w:val="en-US" w:eastAsia="zh-CN"/>
        </w:rPr>
      </w:pPr>
    </w:p>
    <w:p>
      <w:pPr>
        <w:pStyle w:val="15"/>
        <w:spacing w:line="300" w:lineRule="auto"/>
        <w:ind w:left="0" w:leftChars="0" w:firstLine="0" w:firstLineChars="0"/>
        <w:jc w:val="both"/>
        <w:rPr>
          <w:rFonts w:hint="eastAsia" w:ascii="宋体" w:hAnsi="宋体" w:eastAsia="宋体" w:cs="宋体"/>
          <w:b/>
          <w:bCs/>
          <w:color w:val="000000"/>
          <w:sz w:val="24"/>
          <w:szCs w:val="24"/>
          <w:lang w:eastAsia="zh-CN"/>
        </w:rPr>
      </w:pPr>
      <w:r>
        <w:rPr>
          <w:rFonts w:hint="eastAsia" w:ascii="宋体" w:hAnsi="宋体" w:cs="宋体"/>
          <w:b/>
          <w:bCs/>
          <w:color w:val="000000"/>
          <w:spacing w:val="60"/>
          <w:sz w:val="24"/>
          <w:szCs w:val="24"/>
        </w:rPr>
        <w:t>注意事项</w:t>
      </w:r>
      <w:r>
        <w:rPr>
          <w:rFonts w:hint="eastAsia" w:ascii="宋体" w:hAnsi="宋体" w:cs="宋体"/>
          <w:b/>
          <w:bCs/>
          <w:color w:val="000000"/>
          <w:spacing w:val="60"/>
          <w:sz w:val="24"/>
          <w:szCs w:val="24"/>
          <w:lang w:eastAsia="zh-CN"/>
        </w:rPr>
        <w:t>：</w:t>
      </w:r>
    </w:p>
    <w:p>
      <w:pPr>
        <w:spacing w:line="300" w:lineRule="auto"/>
        <w:rPr>
          <w:rFonts w:hint="eastAsia" w:ascii="宋体" w:hAnsi="宋体" w:cs="宋体"/>
          <w:b/>
          <w:bCs/>
          <w:color w:val="000000"/>
          <w:sz w:val="24"/>
        </w:rPr>
      </w:pPr>
      <w:r>
        <w:rPr>
          <w:rFonts w:hint="eastAsia" w:ascii="宋体" w:hAnsi="宋体" w:cs="宋体"/>
          <w:b/>
          <w:bCs/>
          <w:color w:val="000000"/>
          <w:sz w:val="24"/>
        </w:rPr>
        <w:t>1、投标单位（供应商）对所附表格中要求的资料和询问应做出肯定的回答。</w:t>
      </w:r>
    </w:p>
    <w:p>
      <w:pPr>
        <w:spacing w:line="300" w:lineRule="auto"/>
        <w:rPr>
          <w:rFonts w:hint="eastAsia" w:ascii="宋体" w:hAnsi="宋体" w:cs="宋体"/>
          <w:b/>
          <w:bCs/>
          <w:color w:val="000000"/>
          <w:sz w:val="24"/>
        </w:rPr>
      </w:pPr>
      <w:r>
        <w:rPr>
          <w:rFonts w:hint="eastAsia" w:ascii="宋体" w:hAnsi="宋体" w:cs="宋体"/>
          <w:b/>
          <w:bCs/>
          <w:color w:val="000000"/>
          <w:sz w:val="24"/>
        </w:rPr>
        <w:t>2、招标文件的签字人应保证他所做的声明及对一切问题的回答的真实性和准确。</w:t>
      </w:r>
    </w:p>
    <w:p>
      <w:pPr>
        <w:spacing w:line="300" w:lineRule="auto"/>
        <w:rPr>
          <w:rFonts w:hint="eastAsia" w:ascii="宋体" w:hAnsi="宋体" w:cs="宋体"/>
          <w:b/>
          <w:bCs/>
          <w:color w:val="000000"/>
          <w:sz w:val="24"/>
        </w:rPr>
      </w:pPr>
      <w:r>
        <w:rPr>
          <w:rFonts w:hint="eastAsia" w:ascii="宋体" w:hAnsi="宋体" w:cs="宋体"/>
          <w:b/>
          <w:bCs/>
          <w:color w:val="000000"/>
          <w:sz w:val="24"/>
        </w:rPr>
        <w:t>3、</w:t>
      </w:r>
      <w:r>
        <w:rPr>
          <w:rFonts w:hint="eastAsia" w:ascii="宋体" w:hAnsi="宋体" w:cs="宋体"/>
          <w:b/>
          <w:bCs/>
          <w:color w:val="000000"/>
          <w:sz w:val="24"/>
          <w:lang w:eastAsia="zh-CN"/>
        </w:rPr>
        <w:t>供应商</w:t>
      </w:r>
      <w:r>
        <w:rPr>
          <w:rFonts w:hint="eastAsia" w:ascii="宋体" w:hAnsi="宋体" w:cs="宋体"/>
          <w:b/>
          <w:bCs/>
          <w:color w:val="000000"/>
          <w:sz w:val="24"/>
        </w:rPr>
        <w:t>提供的招标文件将由招标人使用，并据此进行评价和判断，确定</w:t>
      </w:r>
      <w:r>
        <w:rPr>
          <w:rFonts w:hint="eastAsia" w:ascii="宋体" w:hAnsi="宋体" w:cs="宋体"/>
          <w:b/>
          <w:bCs/>
          <w:color w:val="000000"/>
          <w:sz w:val="24"/>
          <w:lang w:eastAsia="zh-CN"/>
        </w:rPr>
        <w:t>供应商</w:t>
      </w:r>
      <w:r>
        <w:rPr>
          <w:rFonts w:hint="eastAsia" w:ascii="宋体" w:hAnsi="宋体" w:cs="宋体"/>
          <w:b/>
          <w:bCs/>
          <w:color w:val="000000"/>
          <w:sz w:val="24"/>
        </w:rPr>
        <w:t>的能力。</w:t>
      </w:r>
    </w:p>
    <w:p>
      <w:pPr>
        <w:spacing w:line="300" w:lineRule="auto"/>
        <w:rPr>
          <w:rFonts w:hint="eastAsia" w:ascii="宋体" w:hAnsi="宋体" w:eastAsia="宋体" w:cs="宋体"/>
          <w:b/>
          <w:bCs/>
          <w:color w:val="000000"/>
          <w:sz w:val="24"/>
          <w:lang w:eastAsia="zh-CN"/>
        </w:rPr>
        <w:sectPr>
          <w:pgSz w:w="11906" w:h="16838"/>
          <w:pgMar w:top="1440" w:right="1803" w:bottom="1440" w:left="1803"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cs="宋体"/>
          <w:b/>
          <w:bCs/>
          <w:color w:val="000000"/>
          <w:sz w:val="24"/>
        </w:rPr>
        <w:t>4、投标单位（供应商）提交的文件将给予保密，但不退还</w:t>
      </w:r>
      <w:r>
        <w:rPr>
          <w:rFonts w:hint="eastAsia" w:ascii="宋体" w:hAnsi="宋体" w:cs="宋体"/>
          <w:b/>
          <w:bCs/>
          <w:color w:val="000000"/>
          <w:sz w:val="24"/>
          <w:lang w:eastAsia="zh-CN"/>
        </w:rPr>
        <w:t>。</w:t>
      </w:r>
    </w:p>
    <w:p>
      <w:pPr>
        <w:pStyle w:val="7"/>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widowControl/>
        <w:jc w:val="both"/>
        <w:rPr>
          <w:rFonts w:hint="eastAsia" w:ascii="宋体" w:hAnsi="宋体" w:eastAsia="宋体" w:cs="宋体"/>
          <w:b/>
          <w:bCs/>
          <w:kern w:val="0"/>
          <w:sz w:val="28"/>
          <w:szCs w:val="28"/>
          <w:lang w:eastAsia="zh-CN"/>
        </w:rPr>
      </w:pPr>
    </w:p>
    <w:p>
      <w:pPr>
        <w:widowControl/>
        <w:ind w:firstLine="562" w:firstLineChars="200"/>
        <w:jc w:val="center"/>
        <w:rPr>
          <w:rFonts w:hint="eastAsia" w:ascii="宋体" w:hAnsi="宋体" w:eastAsia="宋体" w:cs="宋体"/>
          <w:b/>
          <w:bCs/>
          <w:kern w:val="0"/>
          <w:sz w:val="28"/>
          <w:szCs w:val="28"/>
          <w:lang w:eastAsia="zh-CN"/>
        </w:rPr>
      </w:pPr>
    </w:p>
    <w:p>
      <w:pPr>
        <w:spacing w:line="360" w:lineRule="auto"/>
        <w:ind w:right="17"/>
        <w:jc w:val="left"/>
        <w:rPr>
          <w:rFonts w:hint="eastAsia" w:ascii="宋体" w:hAnsi="宋体" w:eastAsia="宋体" w:cs="宋体"/>
        </w:rPr>
      </w:pPr>
    </w:p>
    <w:sectPr>
      <w:headerReference r:id="rId16" w:type="first"/>
      <w:footerReference r:id="rId19" w:type="first"/>
      <w:headerReference r:id="rId15" w:type="default"/>
      <w:footerReference r:id="rId17" w:type="default"/>
      <w:footerReference r:id="rId18" w:type="even"/>
      <w:pgSz w:w="11906" w:h="16838"/>
      <w:pgMar w:top="1418" w:right="1418" w:bottom="1418"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31"/>
        <w:tab w:val="clear" w:pos="4153"/>
      </w:tabs>
    </w:pP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fldChar w:fldCharType="end"/>
    </w:r>
  </w:p>
  <w:p>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27</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gFpd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5sgFpd8BAAC/AwAADgAAAAAA&#10;AAABACAAAAAeAQAAZHJzL2Uyb0RvYy54bWxQSwUGAAAAAAYABgBZAQAAb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904"/>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31"/>
        <w:tab w:val="clear" w:pos="4153"/>
      </w:tabs>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QCQN8BAAC/AwAADgAAAGRycy9lMm9Eb2MueG1srVPBjtMwEL0j8Q+W&#10;7zRptU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1QCQN8BAAC/AwAADgAAAAAA&#10;AAABACAAAAAeAQAAZHJzL2Uyb0RvYy54bWxQSwUGAAAAAAYABgBZAQAAb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4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XsM8kBAACa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1ewzyQEAAJo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74</w:t>
                    </w:r>
                    <w:r>
                      <w:fldChar w:fldCharType="end"/>
                    </w:r>
                  </w:p>
                </w:txbxContent>
              </v:textbox>
            </v:shape>
          </w:pict>
        </mc:Fallback>
      </mc:AlternateContent>
    </w:r>
  </w:p>
  <w:p>
    <w:pPr>
      <w:pStyle w:val="1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6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ZffhN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ZW&#10;Z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hl9+E3gEAAL8DAAAOAAAAAAAA&#10;AAEAIAAAAB4BAABkcnMvZTJvRG9jLnhtbFBLBQYAAAAABgAGAFkBAABu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0"/>
      </w:pBdr>
      <w:ind w:right="-420" w:rightChars="-200"/>
      <w:jc w:val="both"/>
      <w:rPr>
        <w:rFonts w:hint="eastAsia" w:ascii="宋体" w:hAnsi="宋体" w:eastAsia="宋体" w:cs="宋体"/>
        <w:b/>
        <w:bCs w:val="0"/>
        <w:sz w:val="21"/>
        <w:szCs w:val="21"/>
        <w:lang w:val="en-US" w:eastAsia="zh-CN"/>
      </w:rPr>
    </w:pPr>
    <w:r>
      <w:rPr>
        <w:rFonts w:hint="eastAsia" w:ascii="宋体" w:hAnsi="宋体" w:eastAsia="宋体" w:cs="宋体"/>
        <w:b/>
        <w:bCs w:val="0"/>
        <w:sz w:val="21"/>
        <w:szCs w:val="21"/>
        <w:u w:val="none"/>
        <w:lang w:val="en-US" w:eastAsia="zh-CN"/>
      </w:rPr>
      <w:t xml:space="preserve">       </w:t>
    </w:r>
  </w:p>
  <w:p>
    <w:pPr>
      <w:pStyle w:val="19"/>
      <w:pBdr>
        <w:bottom w:val="none" w:color="auto" w:sz="0" w:space="0"/>
      </w:pBd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AA80E"/>
    <w:multiLevelType w:val="singleLevel"/>
    <w:tmpl w:val="8A4AA80E"/>
    <w:lvl w:ilvl="0" w:tentative="0">
      <w:start w:val="1"/>
      <w:numFmt w:val="decimal"/>
      <w:suff w:val="nothing"/>
      <w:lvlText w:val="%1、"/>
      <w:lvlJc w:val="left"/>
    </w:lvl>
  </w:abstractNum>
  <w:abstractNum w:abstractNumId="1">
    <w:nsid w:val="91BD31F8"/>
    <w:multiLevelType w:val="singleLevel"/>
    <w:tmpl w:val="91BD31F8"/>
    <w:lvl w:ilvl="0" w:tentative="0">
      <w:start w:val="1"/>
      <w:numFmt w:val="chineseCounting"/>
      <w:suff w:val="nothing"/>
      <w:lvlText w:val="%1、"/>
      <w:lvlJc w:val="left"/>
      <w:rPr>
        <w:rFonts w:hint="eastAsia"/>
      </w:rPr>
    </w:lvl>
  </w:abstractNum>
  <w:abstractNum w:abstractNumId="2">
    <w:nsid w:val="932577E4"/>
    <w:multiLevelType w:val="singleLevel"/>
    <w:tmpl w:val="932577E4"/>
    <w:lvl w:ilvl="0" w:tentative="0">
      <w:start w:val="4"/>
      <w:numFmt w:val="chineseCounting"/>
      <w:lvlText w:val="第%1章"/>
      <w:lvlJc w:val="left"/>
      <w:rPr>
        <w:rFonts w:hint="eastAsia"/>
      </w:rPr>
    </w:lvl>
  </w:abstractNum>
  <w:abstractNum w:abstractNumId="3">
    <w:nsid w:val="9C29B4C9"/>
    <w:multiLevelType w:val="singleLevel"/>
    <w:tmpl w:val="9C29B4C9"/>
    <w:lvl w:ilvl="0" w:tentative="0">
      <w:start w:val="10"/>
      <w:numFmt w:val="chineseCounting"/>
      <w:suff w:val="nothing"/>
      <w:lvlText w:val="%1、"/>
      <w:lvlJc w:val="left"/>
      <w:rPr>
        <w:rFonts w:hint="eastAsia"/>
      </w:rPr>
    </w:lvl>
  </w:abstractNum>
  <w:abstractNum w:abstractNumId="4">
    <w:nsid w:val="01A041BA"/>
    <w:multiLevelType w:val="singleLevel"/>
    <w:tmpl w:val="01A041BA"/>
    <w:lvl w:ilvl="0" w:tentative="0">
      <w:start w:val="6"/>
      <w:numFmt w:val="chineseCounting"/>
      <w:suff w:val="nothing"/>
      <w:lvlText w:val="%1、"/>
      <w:lvlJc w:val="left"/>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4184300A"/>
    <w:multiLevelType w:val="multilevel"/>
    <w:tmpl w:val="4184300A"/>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73E366F"/>
    <w:multiLevelType w:val="singleLevel"/>
    <w:tmpl w:val="473E366F"/>
    <w:lvl w:ilvl="0" w:tentative="0">
      <w:start w:val="3"/>
      <w:numFmt w:val="chineseCounting"/>
      <w:suff w:val="space"/>
      <w:lvlText w:val="第%1章"/>
      <w:lvlJc w:val="left"/>
      <w:rPr>
        <w:rFonts w:hint="eastAsia"/>
      </w:rPr>
    </w:lvl>
  </w:abstractNum>
  <w:abstractNum w:abstractNumId="8">
    <w:nsid w:val="4C3560FA"/>
    <w:multiLevelType w:val="multilevel"/>
    <w:tmpl w:val="4C3560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0"/>
  </w:num>
  <w:num w:numId="4">
    <w:abstractNumId w:val="8"/>
  </w:num>
  <w:num w:numId="5">
    <w:abstractNumId w:val="7"/>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YTBlMGY5YTVlMGI4ZmIzN2Q3MTM3Y2FhMDBmNTAifQ=="/>
  </w:docVars>
  <w:rsids>
    <w:rsidRoot w:val="00172A27"/>
    <w:rsid w:val="00002E9D"/>
    <w:rsid w:val="00012549"/>
    <w:rsid w:val="00013C25"/>
    <w:rsid w:val="00015E0B"/>
    <w:rsid w:val="00022425"/>
    <w:rsid w:val="00023864"/>
    <w:rsid w:val="00033C83"/>
    <w:rsid w:val="00033E4E"/>
    <w:rsid w:val="00041CE7"/>
    <w:rsid w:val="000439C5"/>
    <w:rsid w:val="00044FBC"/>
    <w:rsid w:val="000479E7"/>
    <w:rsid w:val="00056812"/>
    <w:rsid w:val="00065094"/>
    <w:rsid w:val="00070A46"/>
    <w:rsid w:val="00072A4F"/>
    <w:rsid w:val="00074820"/>
    <w:rsid w:val="00075EB2"/>
    <w:rsid w:val="0007735B"/>
    <w:rsid w:val="000801F1"/>
    <w:rsid w:val="00095016"/>
    <w:rsid w:val="000D0095"/>
    <w:rsid w:val="000D3B37"/>
    <w:rsid w:val="000E0CB7"/>
    <w:rsid w:val="000F1870"/>
    <w:rsid w:val="001039D0"/>
    <w:rsid w:val="0011207E"/>
    <w:rsid w:val="00113FE5"/>
    <w:rsid w:val="0012374A"/>
    <w:rsid w:val="00130004"/>
    <w:rsid w:val="00132585"/>
    <w:rsid w:val="00144AB8"/>
    <w:rsid w:val="00155EC9"/>
    <w:rsid w:val="00166860"/>
    <w:rsid w:val="00167175"/>
    <w:rsid w:val="0017307D"/>
    <w:rsid w:val="0017471B"/>
    <w:rsid w:val="00176D04"/>
    <w:rsid w:val="00182FFB"/>
    <w:rsid w:val="00195C99"/>
    <w:rsid w:val="001961BB"/>
    <w:rsid w:val="001A08A8"/>
    <w:rsid w:val="001C3FE6"/>
    <w:rsid w:val="001E1037"/>
    <w:rsid w:val="001E1B7A"/>
    <w:rsid w:val="001E5BC8"/>
    <w:rsid w:val="001E608D"/>
    <w:rsid w:val="001F7766"/>
    <w:rsid w:val="00212FB2"/>
    <w:rsid w:val="00212FB8"/>
    <w:rsid w:val="00224099"/>
    <w:rsid w:val="00224B5C"/>
    <w:rsid w:val="00227CFF"/>
    <w:rsid w:val="002406D4"/>
    <w:rsid w:val="002438C2"/>
    <w:rsid w:val="0024456D"/>
    <w:rsid w:val="00247109"/>
    <w:rsid w:val="00247960"/>
    <w:rsid w:val="0025102C"/>
    <w:rsid w:val="00252FCE"/>
    <w:rsid w:val="00255992"/>
    <w:rsid w:val="00262576"/>
    <w:rsid w:val="00276ED0"/>
    <w:rsid w:val="00284A17"/>
    <w:rsid w:val="002A36B6"/>
    <w:rsid w:val="002A61E2"/>
    <w:rsid w:val="002B6B60"/>
    <w:rsid w:val="002C2BBC"/>
    <w:rsid w:val="002C45C1"/>
    <w:rsid w:val="002D059E"/>
    <w:rsid w:val="002D6BB4"/>
    <w:rsid w:val="002F3B36"/>
    <w:rsid w:val="00305CAF"/>
    <w:rsid w:val="003115A3"/>
    <w:rsid w:val="003128B8"/>
    <w:rsid w:val="00314AA6"/>
    <w:rsid w:val="00320E57"/>
    <w:rsid w:val="00323F83"/>
    <w:rsid w:val="00324D55"/>
    <w:rsid w:val="00325F05"/>
    <w:rsid w:val="0032795B"/>
    <w:rsid w:val="003339FE"/>
    <w:rsid w:val="00341FEE"/>
    <w:rsid w:val="00347D0D"/>
    <w:rsid w:val="00351FD0"/>
    <w:rsid w:val="00364D87"/>
    <w:rsid w:val="00367C6C"/>
    <w:rsid w:val="003749ED"/>
    <w:rsid w:val="003770FC"/>
    <w:rsid w:val="00381FC8"/>
    <w:rsid w:val="0038761F"/>
    <w:rsid w:val="0039284E"/>
    <w:rsid w:val="0039374D"/>
    <w:rsid w:val="003A1073"/>
    <w:rsid w:val="003A3CE5"/>
    <w:rsid w:val="003B4EA3"/>
    <w:rsid w:val="003D4F37"/>
    <w:rsid w:val="003E3BEA"/>
    <w:rsid w:val="003E577E"/>
    <w:rsid w:val="003F5A1B"/>
    <w:rsid w:val="00404BAD"/>
    <w:rsid w:val="00424932"/>
    <w:rsid w:val="00424F57"/>
    <w:rsid w:val="004343AA"/>
    <w:rsid w:val="00437FFE"/>
    <w:rsid w:val="004429EC"/>
    <w:rsid w:val="004473A5"/>
    <w:rsid w:val="00473620"/>
    <w:rsid w:val="00475A71"/>
    <w:rsid w:val="004903FC"/>
    <w:rsid w:val="00495D2D"/>
    <w:rsid w:val="004A0232"/>
    <w:rsid w:val="004A3F33"/>
    <w:rsid w:val="004A5BF8"/>
    <w:rsid w:val="004B0976"/>
    <w:rsid w:val="004B1050"/>
    <w:rsid w:val="004D28DE"/>
    <w:rsid w:val="004D5C34"/>
    <w:rsid w:val="004E52FB"/>
    <w:rsid w:val="004F1A37"/>
    <w:rsid w:val="004F394E"/>
    <w:rsid w:val="004F5995"/>
    <w:rsid w:val="004F60EC"/>
    <w:rsid w:val="004F6DB0"/>
    <w:rsid w:val="004F6ECA"/>
    <w:rsid w:val="004F718A"/>
    <w:rsid w:val="005139AD"/>
    <w:rsid w:val="00522BD0"/>
    <w:rsid w:val="0052664F"/>
    <w:rsid w:val="00544004"/>
    <w:rsid w:val="005457D3"/>
    <w:rsid w:val="00552ED9"/>
    <w:rsid w:val="00562055"/>
    <w:rsid w:val="0056608C"/>
    <w:rsid w:val="0057383A"/>
    <w:rsid w:val="00574158"/>
    <w:rsid w:val="00581400"/>
    <w:rsid w:val="005854B3"/>
    <w:rsid w:val="00585DFA"/>
    <w:rsid w:val="005A2E75"/>
    <w:rsid w:val="005A3B20"/>
    <w:rsid w:val="005B5004"/>
    <w:rsid w:val="005C1EE8"/>
    <w:rsid w:val="005C2DEB"/>
    <w:rsid w:val="005D32BB"/>
    <w:rsid w:val="005D67BC"/>
    <w:rsid w:val="005E0920"/>
    <w:rsid w:val="005E59BF"/>
    <w:rsid w:val="005E5B87"/>
    <w:rsid w:val="005F35A9"/>
    <w:rsid w:val="005F5E35"/>
    <w:rsid w:val="006018A0"/>
    <w:rsid w:val="00602164"/>
    <w:rsid w:val="0060313A"/>
    <w:rsid w:val="00605342"/>
    <w:rsid w:val="00606574"/>
    <w:rsid w:val="006124BC"/>
    <w:rsid w:val="0062676E"/>
    <w:rsid w:val="006330AC"/>
    <w:rsid w:val="00640450"/>
    <w:rsid w:val="006436A5"/>
    <w:rsid w:val="00680D0C"/>
    <w:rsid w:val="00681293"/>
    <w:rsid w:val="006902F7"/>
    <w:rsid w:val="00691BA8"/>
    <w:rsid w:val="006952DB"/>
    <w:rsid w:val="00696FD2"/>
    <w:rsid w:val="006A3549"/>
    <w:rsid w:val="006B30E3"/>
    <w:rsid w:val="006B39A4"/>
    <w:rsid w:val="006B682F"/>
    <w:rsid w:val="006B7B2F"/>
    <w:rsid w:val="006C28CF"/>
    <w:rsid w:val="006D2315"/>
    <w:rsid w:val="006D5D42"/>
    <w:rsid w:val="006D6D45"/>
    <w:rsid w:val="006E13D6"/>
    <w:rsid w:val="006E2474"/>
    <w:rsid w:val="006E4862"/>
    <w:rsid w:val="006E5338"/>
    <w:rsid w:val="006F05C5"/>
    <w:rsid w:val="006F157F"/>
    <w:rsid w:val="006F2CBF"/>
    <w:rsid w:val="00706F7F"/>
    <w:rsid w:val="00723B7F"/>
    <w:rsid w:val="00724A03"/>
    <w:rsid w:val="00731628"/>
    <w:rsid w:val="007329FB"/>
    <w:rsid w:val="007340A5"/>
    <w:rsid w:val="00737B68"/>
    <w:rsid w:val="007411A7"/>
    <w:rsid w:val="007416B2"/>
    <w:rsid w:val="00741F77"/>
    <w:rsid w:val="007447FB"/>
    <w:rsid w:val="00764401"/>
    <w:rsid w:val="0077092A"/>
    <w:rsid w:val="007743C7"/>
    <w:rsid w:val="00784F3B"/>
    <w:rsid w:val="007875D1"/>
    <w:rsid w:val="00795667"/>
    <w:rsid w:val="007A17EA"/>
    <w:rsid w:val="007A6432"/>
    <w:rsid w:val="007A6D14"/>
    <w:rsid w:val="007B11C2"/>
    <w:rsid w:val="007C0F9B"/>
    <w:rsid w:val="007E1F75"/>
    <w:rsid w:val="007F0DA0"/>
    <w:rsid w:val="007F32B9"/>
    <w:rsid w:val="007F5AB0"/>
    <w:rsid w:val="00800ECC"/>
    <w:rsid w:val="00816638"/>
    <w:rsid w:val="008179BD"/>
    <w:rsid w:val="00822BFC"/>
    <w:rsid w:val="0082539F"/>
    <w:rsid w:val="00832E86"/>
    <w:rsid w:val="00850F95"/>
    <w:rsid w:val="0085458B"/>
    <w:rsid w:val="00860C21"/>
    <w:rsid w:val="00861580"/>
    <w:rsid w:val="00862DAF"/>
    <w:rsid w:val="00872934"/>
    <w:rsid w:val="0087303C"/>
    <w:rsid w:val="00876E55"/>
    <w:rsid w:val="00886F93"/>
    <w:rsid w:val="00890FD5"/>
    <w:rsid w:val="008914DD"/>
    <w:rsid w:val="00893651"/>
    <w:rsid w:val="00896A94"/>
    <w:rsid w:val="00897CA2"/>
    <w:rsid w:val="008B0C8A"/>
    <w:rsid w:val="008B25E3"/>
    <w:rsid w:val="008C2E4F"/>
    <w:rsid w:val="008D1A01"/>
    <w:rsid w:val="008D3636"/>
    <w:rsid w:val="008D4EE8"/>
    <w:rsid w:val="008D58DA"/>
    <w:rsid w:val="008D62E2"/>
    <w:rsid w:val="008E4A66"/>
    <w:rsid w:val="008F1BB5"/>
    <w:rsid w:val="008F721A"/>
    <w:rsid w:val="00905BEC"/>
    <w:rsid w:val="0091092E"/>
    <w:rsid w:val="00913B7D"/>
    <w:rsid w:val="00915B3A"/>
    <w:rsid w:val="00920323"/>
    <w:rsid w:val="00921A75"/>
    <w:rsid w:val="00922D60"/>
    <w:rsid w:val="00923967"/>
    <w:rsid w:val="00926A0E"/>
    <w:rsid w:val="00941AB2"/>
    <w:rsid w:val="00941EB1"/>
    <w:rsid w:val="00946572"/>
    <w:rsid w:val="00955E05"/>
    <w:rsid w:val="0096135A"/>
    <w:rsid w:val="0097366C"/>
    <w:rsid w:val="0097542D"/>
    <w:rsid w:val="00984B19"/>
    <w:rsid w:val="00991E64"/>
    <w:rsid w:val="00994E52"/>
    <w:rsid w:val="00995105"/>
    <w:rsid w:val="009A14BF"/>
    <w:rsid w:val="009A3F6F"/>
    <w:rsid w:val="009A420C"/>
    <w:rsid w:val="009B710E"/>
    <w:rsid w:val="009C22FE"/>
    <w:rsid w:val="009D00F4"/>
    <w:rsid w:val="009E090D"/>
    <w:rsid w:val="009E32A8"/>
    <w:rsid w:val="009F1C53"/>
    <w:rsid w:val="009F2363"/>
    <w:rsid w:val="009F661D"/>
    <w:rsid w:val="009F7947"/>
    <w:rsid w:val="00A00019"/>
    <w:rsid w:val="00A11C0A"/>
    <w:rsid w:val="00A13712"/>
    <w:rsid w:val="00A1392B"/>
    <w:rsid w:val="00A157D2"/>
    <w:rsid w:val="00A17E31"/>
    <w:rsid w:val="00A23600"/>
    <w:rsid w:val="00A25DB6"/>
    <w:rsid w:val="00A27B0F"/>
    <w:rsid w:val="00A37748"/>
    <w:rsid w:val="00A403D1"/>
    <w:rsid w:val="00A54C8E"/>
    <w:rsid w:val="00A5651F"/>
    <w:rsid w:val="00A936AE"/>
    <w:rsid w:val="00A94B62"/>
    <w:rsid w:val="00AA44A8"/>
    <w:rsid w:val="00AB29ED"/>
    <w:rsid w:val="00AB724F"/>
    <w:rsid w:val="00AC2103"/>
    <w:rsid w:val="00AC23D3"/>
    <w:rsid w:val="00AD0FCC"/>
    <w:rsid w:val="00AD2CA6"/>
    <w:rsid w:val="00AD5994"/>
    <w:rsid w:val="00AE317B"/>
    <w:rsid w:val="00AF2D33"/>
    <w:rsid w:val="00AF2F0B"/>
    <w:rsid w:val="00AF3A4E"/>
    <w:rsid w:val="00B035D0"/>
    <w:rsid w:val="00B054AA"/>
    <w:rsid w:val="00B06C11"/>
    <w:rsid w:val="00B10F16"/>
    <w:rsid w:val="00B1132F"/>
    <w:rsid w:val="00B129C6"/>
    <w:rsid w:val="00B241CD"/>
    <w:rsid w:val="00B31858"/>
    <w:rsid w:val="00B35AF8"/>
    <w:rsid w:val="00B4401A"/>
    <w:rsid w:val="00B4564C"/>
    <w:rsid w:val="00B469C6"/>
    <w:rsid w:val="00B52396"/>
    <w:rsid w:val="00B64590"/>
    <w:rsid w:val="00B665BC"/>
    <w:rsid w:val="00B76400"/>
    <w:rsid w:val="00B8428A"/>
    <w:rsid w:val="00B915BB"/>
    <w:rsid w:val="00BA2C7C"/>
    <w:rsid w:val="00BA595E"/>
    <w:rsid w:val="00BB24A5"/>
    <w:rsid w:val="00BB62BD"/>
    <w:rsid w:val="00BB6F0C"/>
    <w:rsid w:val="00BD3237"/>
    <w:rsid w:val="00BF28ED"/>
    <w:rsid w:val="00C05A31"/>
    <w:rsid w:val="00C147F8"/>
    <w:rsid w:val="00C351D3"/>
    <w:rsid w:val="00C62234"/>
    <w:rsid w:val="00C822EA"/>
    <w:rsid w:val="00C935E9"/>
    <w:rsid w:val="00C96383"/>
    <w:rsid w:val="00C96505"/>
    <w:rsid w:val="00CB325D"/>
    <w:rsid w:val="00CC6B63"/>
    <w:rsid w:val="00CC77EF"/>
    <w:rsid w:val="00CE219B"/>
    <w:rsid w:val="00CE7B97"/>
    <w:rsid w:val="00CF044A"/>
    <w:rsid w:val="00CF7287"/>
    <w:rsid w:val="00D01EF6"/>
    <w:rsid w:val="00D04A4D"/>
    <w:rsid w:val="00D16297"/>
    <w:rsid w:val="00D22F6E"/>
    <w:rsid w:val="00D243A8"/>
    <w:rsid w:val="00D24E40"/>
    <w:rsid w:val="00D3601C"/>
    <w:rsid w:val="00D5232C"/>
    <w:rsid w:val="00D57B9F"/>
    <w:rsid w:val="00D66189"/>
    <w:rsid w:val="00D70F53"/>
    <w:rsid w:val="00D7215F"/>
    <w:rsid w:val="00D816AE"/>
    <w:rsid w:val="00D825AB"/>
    <w:rsid w:val="00D94536"/>
    <w:rsid w:val="00D955C6"/>
    <w:rsid w:val="00DA222B"/>
    <w:rsid w:val="00DA4C81"/>
    <w:rsid w:val="00DB019E"/>
    <w:rsid w:val="00DB11DC"/>
    <w:rsid w:val="00DB4113"/>
    <w:rsid w:val="00DC216C"/>
    <w:rsid w:val="00DC6B18"/>
    <w:rsid w:val="00DD4DB8"/>
    <w:rsid w:val="00DE48F8"/>
    <w:rsid w:val="00DE56BC"/>
    <w:rsid w:val="00DF0E83"/>
    <w:rsid w:val="00DF3173"/>
    <w:rsid w:val="00E16486"/>
    <w:rsid w:val="00E17C07"/>
    <w:rsid w:val="00E24C02"/>
    <w:rsid w:val="00E26C41"/>
    <w:rsid w:val="00E3638C"/>
    <w:rsid w:val="00E4186E"/>
    <w:rsid w:val="00E4460C"/>
    <w:rsid w:val="00E47053"/>
    <w:rsid w:val="00E55637"/>
    <w:rsid w:val="00E62F95"/>
    <w:rsid w:val="00E649B7"/>
    <w:rsid w:val="00E66283"/>
    <w:rsid w:val="00E66480"/>
    <w:rsid w:val="00E7190C"/>
    <w:rsid w:val="00E75E26"/>
    <w:rsid w:val="00E80094"/>
    <w:rsid w:val="00EB4A0D"/>
    <w:rsid w:val="00EB7246"/>
    <w:rsid w:val="00EB72DE"/>
    <w:rsid w:val="00EC13CE"/>
    <w:rsid w:val="00EC15CE"/>
    <w:rsid w:val="00EC32A3"/>
    <w:rsid w:val="00EC6577"/>
    <w:rsid w:val="00EC7321"/>
    <w:rsid w:val="00ED0D51"/>
    <w:rsid w:val="00ED238A"/>
    <w:rsid w:val="00ED2537"/>
    <w:rsid w:val="00ED4C58"/>
    <w:rsid w:val="00ED716C"/>
    <w:rsid w:val="00EE0F71"/>
    <w:rsid w:val="00EE145A"/>
    <w:rsid w:val="00EE5C10"/>
    <w:rsid w:val="00EF1CCA"/>
    <w:rsid w:val="00EF4AA7"/>
    <w:rsid w:val="00F00633"/>
    <w:rsid w:val="00F019E5"/>
    <w:rsid w:val="00F03804"/>
    <w:rsid w:val="00F11614"/>
    <w:rsid w:val="00F2606D"/>
    <w:rsid w:val="00F269A0"/>
    <w:rsid w:val="00F416C3"/>
    <w:rsid w:val="00F42570"/>
    <w:rsid w:val="00F518E1"/>
    <w:rsid w:val="00F533A9"/>
    <w:rsid w:val="00F558FB"/>
    <w:rsid w:val="00F65322"/>
    <w:rsid w:val="00F66DA1"/>
    <w:rsid w:val="00F76EA3"/>
    <w:rsid w:val="00F9059F"/>
    <w:rsid w:val="00F90C65"/>
    <w:rsid w:val="00F9276C"/>
    <w:rsid w:val="00FB07E0"/>
    <w:rsid w:val="00FB4B18"/>
    <w:rsid w:val="00FB5A4A"/>
    <w:rsid w:val="00FB7E49"/>
    <w:rsid w:val="00FC1C6F"/>
    <w:rsid w:val="00FC582F"/>
    <w:rsid w:val="00FF378B"/>
    <w:rsid w:val="00FF71B4"/>
    <w:rsid w:val="00FF7A1A"/>
    <w:rsid w:val="01004A1F"/>
    <w:rsid w:val="01995E38"/>
    <w:rsid w:val="01AD0CB9"/>
    <w:rsid w:val="021A27AB"/>
    <w:rsid w:val="021E2ECB"/>
    <w:rsid w:val="023948F9"/>
    <w:rsid w:val="023A4BFB"/>
    <w:rsid w:val="024E68F9"/>
    <w:rsid w:val="0261662C"/>
    <w:rsid w:val="0268776C"/>
    <w:rsid w:val="026F7E43"/>
    <w:rsid w:val="029307AF"/>
    <w:rsid w:val="02943A5C"/>
    <w:rsid w:val="02BD021B"/>
    <w:rsid w:val="0318497E"/>
    <w:rsid w:val="0343417B"/>
    <w:rsid w:val="03E21E11"/>
    <w:rsid w:val="03F434D0"/>
    <w:rsid w:val="03FD5653"/>
    <w:rsid w:val="045443E8"/>
    <w:rsid w:val="04622E2D"/>
    <w:rsid w:val="0470220D"/>
    <w:rsid w:val="048B7990"/>
    <w:rsid w:val="04A76E08"/>
    <w:rsid w:val="04B12A26"/>
    <w:rsid w:val="04BF763A"/>
    <w:rsid w:val="04C005A7"/>
    <w:rsid w:val="04CC57A4"/>
    <w:rsid w:val="04E23328"/>
    <w:rsid w:val="050D4849"/>
    <w:rsid w:val="05184AB9"/>
    <w:rsid w:val="053E20FC"/>
    <w:rsid w:val="058E0D9C"/>
    <w:rsid w:val="059F3E9B"/>
    <w:rsid w:val="05A30C49"/>
    <w:rsid w:val="05C20259"/>
    <w:rsid w:val="05DD4BB2"/>
    <w:rsid w:val="05F36190"/>
    <w:rsid w:val="06420522"/>
    <w:rsid w:val="069C42F2"/>
    <w:rsid w:val="06CB577E"/>
    <w:rsid w:val="06D80E87"/>
    <w:rsid w:val="06D85CEA"/>
    <w:rsid w:val="06DD67AC"/>
    <w:rsid w:val="06E72E78"/>
    <w:rsid w:val="06EA3BC7"/>
    <w:rsid w:val="06FF01C2"/>
    <w:rsid w:val="073F4FD8"/>
    <w:rsid w:val="0748610D"/>
    <w:rsid w:val="076B3510"/>
    <w:rsid w:val="07834437"/>
    <w:rsid w:val="07A4456D"/>
    <w:rsid w:val="07AC1028"/>
    <w:rsid w:val="07C71FF9"/>
    <w:rsid w:val="07D22B47"/>
    <w:rsid w:val="07D7113E"/>
    <w:rsid w:val="08005DE2"/>
    <w:rsid w:val="081C13FC"/>
    <w:rsid w:val="0823222D"/>
    <w:rsid w:val="083844E5"/>
    <w:rsid w:val="084C38DA"/>
    <w:rsid w:val="08570A08"/>
    <w:rsid w:val="08AD6D2E"/>
    <w:rsid w:val="08D77B6F"/>
    <w:rsid w:val="08DB6856"/>
    <w:rsid w:val="08E15F2C"/>
    <w:rsid w:val="08EC2F0B"/>
    <w:rsid w:val="09342882"/>
    <w:rsid w:val="09493E77"/>
    <w:rsid w:val="095124B6"/>
    <w:rsid w:val="09BF1E8A"/>
    <w:rsid w:val="09CC5188"/>
    <w:rsid w:val="09EA08C2"/>
    <w:rsid w:val="0A1D1AB3"/>
    <w:rsid w:val="0A4E393A"/>
    <w:rsid w:val="0A650C83"/>
    <w:rsid w:val="0A6C3DC0"/>
    <w:rsid w:val="0A70032E"/>
    <w:rsid w:val="0AA7129C"/>
    <w:rsid w:val="0AA92E57"/>
    <w:rsid w:val="0AC534D0"/>
    <w:rsid w:val="0AC736EC"/>
    <w:rsid w:val="0ACE33BA"/>
    <w:rsid w:val="0AD13A76"/>
    <w:rsid w:val="0AE55920"/>
    <w:rsid w:val="0B0009AC"/>
    <w:rsid w:val="0B2E7328"/>
    <w:rsid w:val="0B402BE1"/>
    <w:rsid w:val="0B637D4D"/>
    <w:rsid w:val="0B6A175D"/>
    <w:rsid w:val="0B8561B6"/>
    <w:rsid w:val="0B882838"/>
    <w:rsid w:val="0BC50E17"/>
    <w:rsid w:val="0C565EA2"/>
    <w:rsid w:val="0C803B53"/>
    <w:rsid w:val="0CB9263B"/>
    <w:rsid w:val="0CC872A8"/>
    <w:rsid w:val="0D0308B5"/>
    <w:rsid w:val="0D0310AE"/>
    <w:rsid w:val="0D0326C7"/>
    <w:rsid w:val="0D116EA1"/>
    <w:rsid w:val="0D1D1C55"/>
    <w:rsid w:val="0D7855AA"/>
    <w:rsid w:val="0DB02216"/>
    <w:rsid w:val="0DC6431B"/>
    <w:rsid w:val="0DEB7307"/>
    <w:rsid w:val="0E1F1160"/>
    <w:rsid w:val="0E214EC1"/>
    <w:rsid w:val="0ECF140C"/>
    <w:rsid w:val="0EE8588F"/>
    <w:rsid w:val="0F130CAE"/>
    <w:rsid w:val="0F18757C"/>
    <w:rsid w:val="0F443553"/>
    <w:rsid w:val="0F53480B"/>
    <w:rsid w:val="0F582B65"/>
    <w:rsid w:val="0F594185"/>
    <w:rsid w:val="0F6E05DA"/>
    <w:rsid w:val="0F80752C"/>
    <w:rsid w:val="0F950A66"/>
    <w:rsid w:val="0FA43322"/>
    <w:rsid w:val="0FD45C07"/>
    <w:rsid w:val="0FFB4D40"/>
    <w:rsid w:val="0FFF75E7"/>
    <w:rsid w:val="1034683D"/>
    <w:rsid w:val="10380A55"/>
    <w:rsid w:val="10496C84"/>
    <w:rsid w:val="105853DF"/>
    <w:rsid w:val="10621666"/>
    <w:rsid w:val="10686DD7"/>
    <w:rsid w:val="10A127E7"/>
    <w:rsid w:val="110558B5"/>
    <w:rsid w:val="111128AA"/>
    <w:rsid w:val="11252001"/>
    <w:rsid w:val="113969C6"/>
    <w:rsid w:val="114C66F9"/>
    <w:rsid w:val="115A0E16"/>
    <w:rsid w:val="11A71B81"/>
    <w:rsid w:val="11AC7198"/>
    <w:rsid w:val="11BC5AD0"/>
    <w:rsid w:val="11DD31DA"/>
    <w:rsid w:val="11FC55B2"/>
    <w:rsid w:val="120A60A9"/>
    <w:rsid w:val="122370ED"/>
    <w:rsid w:val="122D2087"/>
    <w:rsid w:val="122E4051"/>
    <w:rsid w:val="12326942"/>
    <w:rsid w:val="12370766"/>
    <w:rsid w:val="124B075F"/>
    <w:rsid w:val="12597320"/>
    <w:rsid w:val="125A7678"/>
    <w:rsid w:val="128E1CC4"/>
    <w:rsid w:val="12C778AC"/>
    <w:rsid w:val="13003AE0"/>
    <w:rsid w:val="131F2C9D"/>
    <w:rsid w:val="13225964"/>
    <w:rsid w:val="13386F35"/>
    <w:rsid w:val="13574276"/>
    <w:rsid w:val="13AA0F2E"/>
    <w:rsid w:val="13E1581F"/>
    <w:rsid w:val="145853B5"/>
    <w:rsid w:val="145E0C1D"/>
    <w:rsid w:val="14733F9D"/>
    <w:rsid w:val="147A532B"/>
    <w:rsid w:val="150A6B0E"/>
    <w:rsid w:val="15276C05"/>
    <w:rsid w:val="15342804"/>
    <w:rsid w:val="15802E15"/>
    <w:rsid w:val="158C17BA"/>
    <w:rsid w:val="159458AE"/>
    <w:rsid w:val="15A5791F"/>
    <w:rsid w:val="15CD4CF1"/>
    <w:rsid w:val="15FA1192"/>
    <w:rsid w:val="16111574"/>
    <w:rsid w:val="162515D4"/>
    <w:rsid w:val="163A2FC4"/>
    <w:rsid w:val="163F682C"/>
    <w:rsid w:val="16A14674"/>
    <w:rsid w:val="16B56AEF"/>
    <w:rsid w:val="16BC6D34"/>
    <w:rsid w:val="16C861C7"/>
    <w:rsid w:val="16D36F75"/>
    <w:rsid w:val="16DF7FDA"/>
    <w:rsid w:val="16F2564D"/>
    <w:rsid w:val="172577D0"/>
    <w:rsid w:val="17387EEB"/>
    <w:rsid w:val="176A1687"/>
    <w:rsid w:val="176F0CB4"/>
    <w:rsid w:val="178A43A5"/>
    <w:rsid w:val="179C63C1"/>
    <w:rsid w:val="17B7332C"/>
    <w:rsid w:val="17C148C8"/>
    <w:rsid w:val="17EC5589"/>
    <w:rsid w:val="17FB0D9E"/>
    <w:rsid w:val="18022E64"/>
    <w:rsid w:val="18035CC4"/>
    <w:rsid w:val="18174EB8"/>
    <w:rsid w:val="18277E87"/>
    <w:rsid w:val="18450A85"/>
    <w:rsid w:val="184D2F2A"/>
    <w:rsid w:val="18553EC6"/>
    <w:rsid w:val="185F1CFA"/>
    <w:rsid w:val="18807179"/>
    <w:rsid w:val="188350F6"/>
    <w:rsid w:val="188E3A9B"/>
    <w:rsid w:val="18B352B0"/>
    <w:rsid w:val="18BE612E"/>
    <w:rsid w:val="18D206B5"/>
    <w:rsid w:val="18F733EE"/>
    <w:rsid w:val="19081158"/>
    <w:rsid w:val="19103171"/>
    <w:rsid w:val="191D28E9"/>
    <w:rsid w:val="19295166"/>
    <w:rsid w:val="19826137"/>
    <w:rsid w:val="19940C3D"/>
    <w:rsid w:val="19BE215E"/>
    <w:rsid w:val="1A2E587B"/>
    <w:rsid w:val="1A7D7923"/>
    <w:rsid w:val="1ABD41C4"/>
    <w:rsid w:val="1AF81AB0"/>
    <w:rsid w:val="1AFB6754"/>
    <w:rsid w:val="1B1E6BFC"/>
    <w:rsid w:val="1B311875"/>
    <w:rsid w:val="1B3D4EA8"/>
    <w:rsid w:val="1B4D553A"/>
    <w:rsid w:val="1B9242D8"/>
    <w:rsid w:val="1BD619E1"/>
    <w:rsid w:val="1BDC7796"/>
    <w:rsid w:val="1BEE2243"/>
    <w:rsid w:val="1C0D6840"/>
    <w:rsid w:val="1C161DDD"/>
    <w:rsid w:val="1C247518"/>
    <w:rsid w:val="1C3E1334"/>
    <w:rsid w:val="1CE033CB"/>
    <w:rsid w:val="1CF40AA1"/>
    <w:rsid w:val="1D181B85"/>
    <w:rsid w:val="1D477165"/>
    <w:rsid w:val="1D7F1C04"/>
    <w:rsid w:val="1D8608D3"/>
    <w:rsid w:val="1D9974E6"/>
    <w:rsid w:val="1DA37B71"/>
    <w:rsid w:val="1DD12460"/>
    <w:rsid w:val="1DE7773C"/>
    <w:rsid w:val="1E45197E"/>
    <w:rsid w:val="1E642047"/>
    <w:rsid w:val="1E6432D4"/>
    <w:rsid w:val="1E9D4A6C"/>
    <w:rsid w:val="1F027852"/>
    <w:rsid w:val="1F0C0D1E"/>
    <w:rsid w:val="1F2B3DF2"/>
    <w:rsid w:val="1F4F6FE5"/>
    <w:rsid w:val="1F625836"/>
    <w:rsid w:val="1F6A2B6C"/>
    <w:rsid w:val="1F9F75C9"/>
    <w:rsid w:val="1FA45952"/>
    <w:rsid w:val="1FC965E5"/>
    <w:rsid w:val="1FD51855"/>
    <w:rsid w:val="1FD51BFB"/>
    <w:rsid w:val="20015C12"/>
    <w:rsid w:val="2016279D"/>
    <w:rsid w:val="202B1BD0"/>
    <w:rsid w:val="203767C6"/>
    <w:rsid w:val="203E796F"/>
    <w:rsid w:val="204F58BE"/>
    <w:rsid w:val="20931227"/>
    <w:rsid w:val="20A958A1"/>
    <w:rsid w:val="20DC7572"/>
    <w:rsid w:val="20DD3991"/>
    <w:rsid w:val="20EC4DFB"/>
    <w:rsid w:val="20F469FC"/>
    <w:rsid w:val="20FF5D14"/>
    <w:rsid w:val="21110DC5"/>
    <w:rsid w:val="212136FE"/>
    <w:rsid w:val="21346CD6"/>
    <w:rsid w:val="213F55CA"/>
    <w:rsid w:val="215B14AC"/>
    <w:rsid w:val="215D225D"/>
    <w:rsid w:val="2189573A"/>
    <w:rsid w:val="219F4623"/>
    <w:rsid w:val="21B93AE0"/>
    <w:rsid w:val="21D6257E"/>
    <w:rsid w:val="21E464DA"/>
    <w:rsid w:val="21FE791B"/>
    <w:rsid w:val="21FF50C2"/>
    <w:rsid w:val="2229259D"/>
    <w:rsid w:val="225278E7"/>
    <w:rsid w:val="2265586D"/>
    <w:rsid w:val="226C110E"/>
    <w:rsid w:val="22764D91"/>
    <w:rsid w:val="2287186D"/>
    <w:rsid w:val="22941CAE"/>
    <w:rsid w:val="22965904"/>
    <w:rsid w:val="2298179E"/>
    <w:rsid w:val="22F54EC7"/>
    <w:rsid w:val="235D4208"/>
    <w:rsid w:val="237467A2"/>
    <w:rsid w:val="2375458A"/>
    <w:rsid w:val="237E7851"/>
    <w:rsid w:val="23810484"/>
    <w:rsid w:val="239B517E"/>
    <w:rsid w:val="23A370A1"/>
    <w:rsid w:val="23DA058E"/>
    <w:rsid w:val="23DB592B"/>
    <w:rsid w:val="23E7405F"/>
    <w:rsid w:val="23ED4BCB"/>
    <w:rsid w:val="242D5F16"/>
    <w:rsid w:val="248A00EC"/>
    <w:rsid w:val="249E0C13"/>
    <w:rsid w:val="24B108F5"/>
    <w:rsid w:val="24E421FF"/>
    <w:rsid w:val="24F453F6"/>
    <w:rsid w:val="251A23D6"/>
    <w:rsid w:val="251D2BF8"/>
    <w:rsid w:val="25283319"/>
    <w:rsid w:val="255D6CFF"/>
    <w:rsid w:val="25DF2A30"/>
    <w:rsid w:val="263317DE"/>
    <w:rsid w:val="26404A98"/>
    <w:rsid w:val="26453C0D"/>
    <w:rsid w:val="26671C15"/>
    <w:rsid w:val="26766BB3"/>
    <w:rsid w:val="26983F65"/>
    <w:rsid w:val="26A622ED"/>
    <w:rsid w:val="26AA5F44"/>
    <w:rsid w:val="26EA27E4"/>
    <w:rsid w:val="274477FD"/>
    <w:rsid w:val="274978CC"/>
    <w:rsid w:val="27663A45"/>
    <w:rsid w:val="27767BD4"/>
    <w:rsid w:val="27B14018"/>
    <w:rsid w:val="27C41669"/>
    <w:rsid w:val="27C938B3"/>
    <w:rsid w:val="27FE740A"/>
    <w:rsid w:val="282658B1"/>
    <w:rsid w:val="2836631F"/>
    <w:rsid w:val="28445F24"/>
    <w:rsid w:val="28893937"/>
    <w:rsid w:val="28A40E75"/>
    <w:rsid w:val="28C35206"/>
    <w:rsid w:val="28CB21A2"/>
    <w:rsid w:val="28DE303C"/>
    <w:rsid w:val="28FD2EF5"/>
    <w:rsid w:val="298962E5"/>
    <w:rsid w:val="29DC3E1A"/>
    <w:rsid w:val="29E928DF"/>
    <w:rsid w:val="2A344E12"/>
    <w:rsid w:val="2A691C72"/>
    <w:rsid w:val="2A734788"/>
    <w:rsid w:val="2AE26636"/>
    <w:rsid w:val="2AE76610"/>
    <w:rsid w:val="2AF4778E"/>
    <w:rsid w:val="2B124147"/>
    <w:rsid w:val="2B1C0A93"/>
    <w:rsid w:val="2B3D04CF"/>
    <w:rsid w:val="2B494EBA"/>
    <w:rsid w:val="2B8C78FE"/>
    <w:rsid w:val="2B942D1F"/>
    <w:rsid w:val="2BCE6231"/>
    <w:rsid w:val="2BD06678"/>
    <w:rsid w:val="2BE617CC"/>
    <w:rsid w:val="2C137FE1"/>
    <w:rsid w:val="2C1B184E"/>
    <w:rsid w:val="2C475E98"/>
    <w:rsid w:val="2C7C39CF"/>
    <w:rsid w:val="2C8C7532"/>
    <w:rsid w:val="2CA70830"/>
    <w:rsid w:val="2CEA52EC"/>
    <w:rsid w:val="2D085772"/>
    <w:rsid w:val="2D371BB4"/>
    <w:rsid w:val="2D734AAD"/>
    <w:rsid w:val="2DC003C5"/>
    <w:rsid w:val="2DDE64D3"/>
    <w:rsid w:val="2E344345"/>
    <w:rsid w:val="2E540B33"/>
    <w:rsid w:val="2E9E6955"/>
    <w:rsid w:val="2EA80FBB"/>
    <w:rsid w:val="2EAE2349"/>
    <w:rsid w:val="2EB61DDB"/>
    <w:rsid w:val="2ECB4CA9"/>
    <w:rsid w:val="2F1F62EF"/>
    <w:rsid w:val="2F221578"/>
    <w:rsid w:val="2F522CD5"/>
    <w:rsid w:val="2F5F6A49"/>
    <w:rsid w:val="2FCB5C15"/>
    <w:rsid w:val="2FD61B58"/>
    <w:rsid w:val="2FEE30A2"/>
    <w:rsid w:val="2FFF357E"/>
    <w:rsid w:val="301663F8"/>
    <w:rsid w:val="303F40A8"/>
    <w:rsid w:val="30406F02"/>
    <w:rsid w:val="305F38FB"/>
    <w:rsid w:val="306A22A0"/>
    <w:rsid w:val="307A24E3"/>
    <w:rsid w:val="30C65728"/>
    <w:rsid w:val="30C776F3"/>
    <w:rsid w:val="31046251"/>
    <w:rsid w:val="3172736B"/>
    <w:rsid w:val="31756F2E"/>
    <w:rsid w:val="319475D5"/>
    <w:rsid w:val="31F2254D"/>
    <w:rsid w:val="32026C34"/>
    <w:rsid w:val="320F4EAD"/>
    <w:rsid w:val="32345989"/>
    <w:rsid w:val="325A4CAF"/>
    <w:rsid w:val="32917FB8"/>
    <w:rsid w:val="32A63A63"/>
    <w:rsid w:val="32A87713"/>
    <w:rsid w:val="32AA2DA3"/>
    <w:rsid w:val="32CC3408"/>
    <w:rsid w:val="331A6B72"/>
    <w:rsid w:val="331D35FA"/>
    <w:rsid w:val="335814F8"/>
    <w:rsid w:val="335C2374"/>
    <w:rsid w:val="338D69D1"/>
    <w:rsid w:val="33D23870"/>
    <w:rsid w:val="33E54C50"/>
    <w:rsid w:val="33FE4F1E"/>
    <w:rsid w:val="34002ADC"/>
    <w:rsid w:val="346D235F"/>
    <w:rsid w:val="346F062E"/>
    <w:rsid w:val="348002E4"/>
    <w:rsid w:val="348C4192"/>
    <w:rsid w:val="348F7C43"/>
    <w:rsid w:val="34BD5DC0"/>
    <w:rsid w:val="34CC0EE0"/>
    <w:rsid w:val="34EA31B9"/>
    <w:rsid w:val="34EB1C02"/>
    <w:rsid w:val="3529411B"/>
    <w:rsid w:val="35382AF9"/>
    <w:rsid w:val="35756575"/>
    <w:rsid w:val="357B7096"/>
    <w:rsid w:val="3590245B"/>
    <w:rsid w:val="35B53FBD"/>
    <w:rsid w:val="36064819"/>
    <w:rsid w:val="36154A5C"/>
    <w:rsid w:val="361D2E3B"/>
    <w:rsid w:val="36373D14"/>
    <w:rsid w:val="364762F1"/>
    <w:rsid w:val="366D64EE"/>
    <w:rsid w:val="367D6CB8"/>
    <w:rsid w:val="36817FCA"/>
    <w:rsid w:val="368952A5"/>
    <w:rsid w:val="36C52798"/>
    <w:rsid w:val="36D41B08"/>
    <w:rsid w:val="37503F9E"/>
    <w:rsid w:val="37555A58"/>
    <w:rsid w:val="37850378"/>
    <w:rsid w:val="37BC1633"/>
    <w:rsid w:val="37E961A0"/>
    <w:rsid w:val="380620B8"/>
    <w:rsid w:val="380E59BD"/>
    <w:rsid w:val="3820263F"/>
    <w:rsid w:val="382B35D6"/>
    <w:rsid w:val="385A50D1"/>
    <w:rsid w:val="385B2C68"/>
    <w:rsid w:val="385E6B8E"/>
    <w:rsid w:val="38821B46"/>
    <w:rsid w:val="38997BC6"/>
    <w:rsid w:val="38AF2F46"/>
    <w:rsid w:val="3909073E"/>
    <w:rsid w:val="3924646C"/>
    <w:rsid w:val="39326E2A"/>
    <w:rsid w:val="39357695"/>
    <w:rsid w:val="393A4851"/>
    <w:rsid w:val="394B1556"/>
    <w:rsid w:val="39510104"/>
    <w:rsid w:val="395B757C"/>
    <w:rsid w:val="395F496C"/>
    <w:rsid w:val="396E4BAF"/>
    <w:rsid w:val="39A637C8"/>
    <w:rsid w:val="39B80A00"/>
    <w:rsid w:val="39FD15CB"/>
    <w:rsid w:val="39FE5367"/>
    <w:rsid w:val="3A0472C2"/>
    <w:rsid w:val="3A1F6F77"/>
    <w:rsid w:val="3A2636DC"/>
    <w:rsid w:val="3A3D65F1"/>
    <w:rsid w:val="3AAF36D1"/>
    <w:rsid w:val="3ACF6422"/>
    <w:rsid w:val="3ACF78CF"/>
    <w:rsid w:val="3AD2717E"/>
    <w:rsid w:val="3AE076E5"/>
    <w:rsid w:val="3AED0911"/>
    <w:rsid w:val="3AED35A6"/>
    <w:rsid w:val="3AEF1693"/>
    <w:rsid w:val="3AFC22C2"/>
    <w:rsid w:val="3B196D9D"/>
    <w:rsid w:val="3B38218D"/>
    <w:rsid w:val="3B38274B"/>
    <w:rsid w:val="3B387C80"/>
    <w:rsid w:val="3B44206B"/>
    <w:rsid w:val="3B4C04DD"/>
    <w:rsid w:val="3B765B87"/>
    <w:rsid w:val="3B7D32FB"/>
    <w:rsid w:val="3BA67798"/>
    <w:rsid w:val="3BC520F7"/>
    <w:rsid w:val="3BDB1347"/>
    <w:rsid w:val="3BF50158"/>
    <w:rsid w:val="3BF77BCE"/>
    <w:rsid w:val="3C1934F7"/>
    <w:rsid w:val="3C44609B"/>
    <w:rsid w:val="3C863421"/>
    <w:rsid w:val="3C88242C"/>
    <w:rsid w:val="3C8C1F1C"/>
    <w:rsid w:val="3CC65551"/>
    <w:rsid w:val="3CDB7AF6"/>
    <w:rsid w:val="3CF170B5"/>
    <w:rsid w:val="3CFC1110"/>
    <w:rsid w:val="3D0D1CB4"/>
    <w:rsid w:val="3D2B5E15"/>
    <w:rsid w:val="3D430101"/>
    <w:rsid w:val="3D462CD7"/>
    <w:rsid w:val="3D5567B2"/>
    <w:rsid w:val="3D6E1622"/>
    <w:rsid w:val="3DAA74AD"/>
    <w:rsid w:val="3DD84CED"/>
    <w:rsid w:val="3DDE0DA0"/>
    <w:rsid w:val="3DF83F1F"/>
    <w:rsid w:val="3E027BBC"/>
    <w:rsid w:val="3E0C41AF"/>
    <w:rsid w:val="3E1026D9"/>
    <w:rsid w:val="3E2C1B45"/>
    <w:rsid w:val="3E2E7003"/>
    <w:rsid w:val="3E711639"/>
    <w:rsid w:val="3E7733C3"/>
    <w:rsid w:val="3E990920"/>
    <w:rsid w:val="3EAB66A1"/>
    <w:rsid w:val="3EB21725"/>
    <w:rsid w:val="3EFB0C93"/>
    <w:rsid w:val="3F56236D"/>
    <w:rsid w:val="3F9E1F74"/>
    <w:rsid w:val="3FA00BB8"/>
    <w:rsid w:val="3FA702E8"/>
    <w:rsid w:val="3FB8139F"/>
    <w:rsid w:val="3FBA0D00"/>
    <w:rsid w:val="3FC45529"/>
    <w:rsid w:val="3FDA4D4C"/>
    <w:rsid w:val="3FE25D4C"/>
    <w:rsid w:val="3FE61943"/>
    <w:rsid w:val="3FE721CB"/>
    <w:rsid w:val="3FEB3D33"/>
    <w:rsid w:val="3FFB2D06"/>
    <w:rsid w:val="40127D6C"/>
    <w:rsid w:val="401D10DD"/>
    <w:rsid w:val="40300E10"/>
    <w:rsid w:val="40503261"/>
    <w:rsid w:val="40572841"/>
    <w:rsid w:val="405A7C3B"/>
    <w:rsid w:val="40694322"/>
    <w:rsid w:val="4081166C"/>
    <w:rsid w:val="40AE11FF"/>
    <w:rsid w:val="41061B71"/>
    <w:rsid w:val="41066137"/>
    <w:rsid w:val="415D5C35"/>
    <w:rsid w:val="41A05B22"/>
    <w:rsid w:val="41B356F2"/>
    <w:rsid w:val="41BD4926"/>
    <w:rsid w:val="41CF4659"/>
    <w:rsid w:val="41E567E1"/>
    <w:rsid w:val="41E608BD"/>
    <w:rsid w:val="421502BE"/>
    <w:rsid w:val="426C1EA8"/>
    <w:rsid w:val="42B06238"/>
    <w:rsid w:val="42D00689"/>
    <w:rsid w:val="43165787"/>
    <w:rsid w:val="43263403"/>
    <w:rsid w:val="43275A42"/>
    <w:rsid w:val="43292842"/>
    <w:rsid w:val="434B7937"/>
    <w:rsid w:val="43910CF8"/>
    <w:rsid w:val="43996CCD"/>
    <w:rsid w:val="43A04192"/>
    <w:rsid w:val="43B81849"/>
    <w:rsid w:val="43BE34B5"/>
    <w:rsid w:val="43BF6A6C"/>
    <w:rsid w:val="44202F4A"/>
    <w:rsid w:val="44384C9D"/>
    <w:rsid w:val="446C69B5"/>
    <w:rsid w:val="44820BD4"/>
    <w:rsid w:val="449A3CC3"/>
    <w:rsid w:val="44A1408B"/>
    <w:rsid w:val="44BD0C61"/>
    <w:rsid w:val="44DF4BB3"/>
    <w:rsid w:val="44F31500"/>
    <w:rsid w:val="456D75B1"/>
    <w:rsid w:val="45813EBC"/>
    <w:rsid w:val="45952C55"/>
    <w:rsid w:val="45984F2B"/>
    <w:rsid w:val="45E5444B"/>
    <w:rsid w:val="45E87A97"/>
    <w:rsid w:val="45F7510B"/>
    <w:rsid w:val="46136DB4"/>
    <w:rsid w:val="46623CEE"/>
    <w:rsid w:val="466D20DF"/>
    <w:rsid w:val="467B07B0"/>
    <w:rsid w:val="46A77952"/>
    <w:rsid w:val="46B856BC"/>
    <w:rsid w:val="46D1677D"/>
    <w:rsid w:val="470515FC"/>
    <w:rsid w:val="47285D3D"/>
    <w:rsid w:val="472B40E0"/>
    <w:rsid w:val="47944F1E"/>
    <w:rsid w:val="47A619B8"/>
    <w:rsid w:val="47AA08F8"/>
    <w:rsid w:val="47E274B2"/>
    <w:rsid w:val="482F19AD"/>
    <w:rsid w:val="48602047"/>
    <w:rsid w:val="48855A71"/>
    <w:rsid w:val="48BF55BC"/>
    <w:rsid w:val="48D103FC"/>
    <w:rsid w:val="48DE5274"/>
    <w:rsid w:val="48FC3F85"/>
    <w:rsid w:val="490E505E"/>
    <w:rsid w:val="49115557"/>
    <w:rsid w:val="4938116D"/>
    <w:rsid w:val="493A4AAE"/>
    <w:rsid w:val="496F5CB6"/>
    <w:rsid w:val="497A30FC"/>
    <w:rsid w:val="499F4FB9"/>
    <w:rsid w:val="49E6291A"/>
    <w:rsid w:val="49EA3CB1"/>
    <w:rsid w:val="49EA4990"/>
    <w:rsid w:val="4A203CA4"/>
    <w:rsid w:val="4A397B67"/>
    <w:rsid w:val="4A4323BF"/>
    <w:rsid w:val="4AB84C85"/>
    <w:rsid w:val="4AC21BA8"/>
    <w:rsid w:val="4AEA24B9"/>
    <w:rsid w:val="4AF05E35"/>
    <w:rsid w:val="4B045822"/>
    <w:rsid w:val="4B0C39C7"/>
    <w:rsid w:val="4B182BCD"/>
    <w:rsid w:val="4B2652EA"/>
    <w:rsid w:val="4B2A676E"/>
    <w:rsid w:val="4B38341B"/>
    <w:rsid w:val="4B482955"/>
    <w:rsid w:val="4B8544C6"/>
    <w:rsid w:val="4BBF4D72"/>
    <w:rsid w:val="4BDB5400"/>
    <w:rsid w:val="4C056156"/>
    <w:rsid w:val="4C0C384B"/>
    <w:rsid w:val="4C9468D7"/>
    <w:rsid w:val="4CBE5B71"/>
    <w:rsid w:val="4CF51418"/>
    <w:rsid w:val="4D4E34DC"/>
    <w:rsid w:val="4D556A22"/>
    <w:rsid w:val="4D573E80"/>
    <w:rsid w:val="4D665E71"/>
    <w:rsid w:val="4DB07BB4"/>
    <w:rsid w:val="4DB82445"/>
    <w:rsid w:val="4DBE1319"/>
    <w:rsid w:val="4DE4148C"/>
    <w:rsid w:val="4DE63B58"/>
    <w:rsid w:val="4DE927B6"/>
    <w:rsid w:val="4DFA0F23"/>
    <w:rsid w:val="4E1C7344"/>
    <w:rsid w:val="4E2731C3"/>
    <w:rsid w:val="4E7E29CE"/>
    <w:rsid w:val="4EA40C60"/>
    <w:rsid w:val="4EB11B87"/>
    <w:rsid w:val="4EB25EDA"/>
    <w:rsid w:val="4F3501F1"/>
    <w:rsid w:val="4F4915A7"/>
    <w:rsid w:val="4F552EF2"/>
    <w:rsid w:val="4F890607"/>
    <w:rsid w:val="4FAE58AE"/>
    <w:rsid w:val="4FD317B8"/>
    <w:rsid w:val="4FE747CF"/>
    <w:rsid w:val="4FE95F17"/>
    <w:rsid w:val="4FF72CE4"/>
    <w:rsid w:val="501A2F43"/>
    <w:rsid w:val="501E0C85"/>
    <w:rsid w:val="507C775A"/>
    <w:rsid w:val="50CF2D34"/>
    <w:rsid w:val="50D70916"/>
    <w:rsid w:val="50DC69AD"/>
    <w:rsid w:val="50E8236B"/>
    <w:rsid w:val="50EB3762"/>
    <w:rsid w:val="50F0342F"/>
    <w:rsid w:val="50F80BA4"/>
    <w:rsid w:val="50FA71E6"/>
    <w:rsid w:val="50FB7CE5"/>
    <w:rsid w:val="50FF30A5"/>
    <w:rsid w:val="51325034"/>
    <w:rsid w:val="51385D77"/>
    <w:rsid w:val="514F30C0"/>
    <w:rsid w:val="519C0810"/>
    <w:rsid w:val="51A511A2"/>
    <w:rsid w:val="51F461E0"/>
    <w:rsid w:val="522D51B0"/>
    <w:rsid w:val="52614E59"/>
    <w:rsid w:val="526B3F2A"/>
    <w:rsid w:val="52AD105E"/>
    <w:rsid w:val="52C44581"/>
    <w:rsid w:val="52DC0984"/>
    <w:rsid w:val="533F3DCB"/>
    <w:rsid w:val="535624E4"/>
    <w:rsid w:val="536F587B"/>
    <w:rsid w:val="538A357F"/>
    <w:rsid w:val="53A5521A"/>
    <w:rsid w:val="53B276D5"/>
    <w:rsid w:val="53BD2563"/>
    <w:rsid w:val="53E627F7"/>
    <w:rsid w:val="542C7268"/>
    <w:rsid w:val="544113E6"/>
    <w:rsid w:val="546E7D01"/>
    <w:rsid w:val="54705828"/>
    <w:rsid w:val="54901A26"/>
    <w:rsid w:val="54D34309"/>
    <w:rsid w:val="54E6652D"/>
    <w:rsid w:val="55072548"/>
    <w:rsid w:val="55345B75"/>
    <w:rsid w:val="555B0286"/>
    <w:rsid w:val="55980A4A"/>
    <w:rsid w:val="559C15A2"/>
    <w:rsid w:val="559D43FA"/>
    <w:rsid w:val="55A03EEB"/>
    <w:rsid w:val="55AD03B6"/>
    <w:rsid w:val="55C47146"/>
    <w:rsid w:val="55CD2CA5"/>
    <w:rsid w:val="55D10548"/>
    <w:rsid w:val="55F36710"/>
    <w:rsid w:val="560F33E5"/>
    <w:rsid w:val="56332CDC"/>
    <w:rsid w:val="56585840"/>
    <w:rsid w:val="56815862"/>
    <w:rsid w:val="568F76DC"/>
    <w:rsid w:val="56A745AE"/>
    <w:rsid w:val="56C02A96"/>
    <w:rsid w:val="56C105BC"/>
    <w:rsid w:val="56C37E91"/>
    <w:rsid w:val="56E667D8"/>
    <w:rsid w:val="56FC33A3"/>
    <w:rsid w:val="57183C68"/>
    <w:rsid w:val="57482A8C"/>
    <w:rsid w:val="57547004"/>
    <w:rsid w:val="57572CCF"/>
    <w:rsid w:val="57686347"/>
    <w:rsid w:val="57835872"/>
    <w:rsid w:val="578D50B4"/>
    <w:rsid w:val="579637F7"/>
    <w:rsid w:val="57A203EE"/>
    <w:rsid w:val="57B230AE"/>
    <w:rsid w:val="581A7CDE"/>
    <w:rsid w:val="587B479B"/>
    <w:rsid w:val="58A20A2D"/>
    <w:rsid w:val="58C375A8"/>
    <w:rsid w:val="58CE6FC1"/>
    <w:rsid w:val="591470C9"/>
    <w:rsid w:val="59262FBE"/>
    <w:rsid w:val="59352B9C"/>
    <w:rsid w:val="595474C6"/>
    <w:rsid w:val="59656A79"/>
    <w:rsid w:val="59831B59"/>
    <w:rsid w:val="59914276"/>
    <w:rsid w:val="59A53C98"/>
    <w:rsid w:val="59A55F73"/>
    <w:rsid w:val="59FF5F31"/>
    <w:rsid w:val="5A0F2BFE"/>
    <w:rsid w:val="5A1629CD"/>
    <w:rsid w:val="5A2B2F85"/>
    <w:rsid w:val="5A4B6B1B"/>
    <w:rsid w:val="5A677290"/>
    <w:rsid w:val="5A6A0406"/>
    <w:rsid w:val="5A76346C"/>
    <w:rsid w:val="5A885DFB"/>
    <w:rsid w:val="5A8E4CC4"/>
    <w:rsid w:val="5A937C42"/>
    <w:rsid w:val="5AA54F10"/>
    <w:rsid w:val="5ACC12DE"/>
    <w:rsid w:val="5ADC3C17"/>
    <w:rsid w:val="5AEB5BE9"/>
    <w:rsid w:val="5B14572D"/>
    <w:rsid w:val="5B5B0FE0"/>
    <w:rsid w:val="5B8027F4"/>
    <w:rsid w:val="5B834092"/>
    <w:rsid w:val="5B8B1508"/>
    <w:rsid w:val="5B991BA7"/>
    <w:rsid w:val="5BD208C1"/>
    <w:rsid w:val="5BDC23BE"/>
    <w:rsid w:val="5BF2255E"/>
    <w:rsid w:val="5C07582D"/>
    <w:rsid w:val="5C237623"/>
    <w:rsid w:val="5C576978"/>
    <w:rsid w:val="5C5D0D87"/>
    <w:rsid w:val="5C5F68AD"/>
    <w:rsid w:val="5C7D4F86"/>
    <w:rsid w:val="5C8B3C02"/>
    <w:rsid w:val="5CA96087"/>
    <w:rsid w:val="5CBB5282"/>
    <w:rsid w:val="5D0631CD"/>
    <w:rsid w:val="5D3C274B"/>
    <w:rsid w:val="5D421944"/>
    <w:rsid w:val="5D5F468B"/>
    <w:rsid w:val="5D6A483F"/>
    <w:rsid w:val="5DAA1DAA"/>
    <w:rsid w:val="5DAF73C1"/>
    <w:rsid w:val="5DB52F89"/>
    <w:rsid w:val="5E0D5F05"/>
    <w:rsid w:val="5E2044B5"/>
    <w:rsid w:val="5E3F3E96"/>
    <w:rsid w:val="5E9058E9"/>
    <w:rsid w:val="5EC549C2"/>
    <w:rsid w:val="5EFD0600"/>
    <w:rsid w:val="5EFD415C"/>
    <w:rsid w:val="5F65716A"/>
    <w:rsid w:val="5F68008D"/>
    <w:rsid w:val="5F797C86"/>
    <w:rsid w:val="5F877E84"/>
    <w:rsid w:val="5FA32F55"/>
    <w:rsid w:val="5FA466E8"/>
    <w:rsid w:val="60030678"/>
    <w:rsid w:val="600A4D82"/>
    <w:rsid w:val="600E783B"/>
    <w:rsid w:val="603101FD"/>
    <w:rsid w:val="60484180"/>
    <w:rsid w:val="605913FC"/>
    <w:rsid w:val="605D5C3C"/>
    <w:rsid w:val="60C43183"/>
    <w:rsid w:val="60E063A0"/>
    <w:rsid w:val="60EE1C6F"/>
    <w:rsid w:val="610B50E5"/>
    <w:rsid w:val="611C68D1"/>
    <w:rsid w:val="61342601"/>
    <w:rsid w:val="61477F59"/>
    <w:rsid w:val="61590011"/>
    <w:rsid w:val="615E238B"/>
    <w:rsid w:val="617E1AA8"/>
    <w:rsid w:val="617F28DC"/>
    <w:rsid w:val="61955F84"/>
    <w:rsid w:val="61C97636"/>
    <w:rsid w:val="61F06D28"/>
    <w:rsid w:val="62174724"/>
    <w:rsid w:val="623155E0"/>
    <w:rsid w:val="623C705C"/>
    <w:rsid w:val="623F023C"/>
    <w:rsid w:val="62404A8B"/>
    <w:rsid w:val="62725DF9"/>
    <w:rsid w:val="62C3746A"/>
    <w:rsid w:val="62F87114"/>
    <w:rsid w:val="63452778"/>
    <w:rsid w:val="63520783"/>
    <w:rsid w:val="636602F6"/>
    <w:rsid w:val="63717BED"/>
    <w:rsid w:val="63B74AF8"/>
    <w:rsid w:val="63CB2D80"/>
    <w:rsid w:val="63CD3345"/>
    <w:rsid w:val="63D44A00"/>
    <w:rsid w:val="63E853DA"/>
    <w:rsid w:val="63EE6769"/>
    <w:rsid w:val="64066C42"/>
    <w:rsid w:val="644840CB"/>
    <w:rsid w:val="645A5BAC"/>
    <w:rsid w:val="645F123D"/>
    <w:rsid w:val="647B7FFD"/>
    <w:rsid w:val="64A532CB"/>
    <w:rsid w:val="64EC55EE"/>
    <w:rsid w:val="652410FC"/>
    <w:rsid w:val="653064D9"/>
    <w:rsid w:val="65337417"/>
    <w:rsid w:val="653463FD"/>
    <w:rsid w:val="65456AA4"/>
    <w:rsid w:val="654834CB"/>
    <w:rsid w:val="655D7702"/>
    <w:rsid w:val="655F1E1A"/>
    <w:rsid w:val="657C1AA7"/>
    <w:rsid w:val="65BE5148"/>
    <w:rsid w:val="65FF07B9"/>
    <w:rsid w:val="66014DAE"/>
    <w:rsid w:val="661A01A1"/>
    <w:rsid w:val="6620480A"/>
    <w:rsid w:val="66224751"/>
    <w:rsid w:val="66324612"/>
    <w:rsid w:val="66495ED8"/>
    <w:rsid w:val="66AC655F"/>
    <w:rsid w:val="66F26570"/>
    <w:rsid w:val="66F64BE1"/>
    <w:rsid w:val="6715336F"/>
    <w:rsid w:val="67364863"/>
    <w:rsid w:val="67506584"/>
    <w:rsid w:val="675A5551"/>
    <w:rsid w:val="67696832"/>
    <w:rsid w:val="67737443"/>
    <w:rsid w:val="678205D7"/>
    <w:rsid w:val="67852F40"/>
    <w:rsid w:val="67AE06E9"/>
    <w:rsid w:val="67C0671C"/>
    <w:rsid w:val="67E97964"/>
    <w:rsid w:val="68572B2F"/>
    <w:rsid w:val="685A43CD"/>
    <w:rsid w:val="68617509"/>
    <w:rsid w:val="6870599E"/>
    <w:rsid w:val="68713B77"/>
    <w:rsid w:val="68A970BB"/>
    <w:rsid w:val="68DF2D08"/>
    <w:rsid w:val="68FC5484"/>
    <w:rsid w:val="690507DD"/>
    <w:rsid w:val="690A7AE2"/>
    <w:rsid w:val="691B0E81"/>
    <w:rsid w:val="691E189E"/>
    <w:rsid w:val="692950CA"/>
    <w:rsid w:val="692D1EFC"/>
    <w:rsid w:val="696977F9"/>
    <w:rsid w:val="696F5C56"/>
    <w:rsid w:val="69731BEA"/>
    <w:rsid w:val="69850A0B"/>
    <w:rsid w:val="69AF0748"/>
    <w:rsid w:val="69BC0264"/>
    <w:rsid w:val="69C645D7"/>
    <w:rsid w:val="69C66694"/>
    <w:rsid w:val="69C67F6C"/>
    <w:rsid w:val="69CD6B71"/>
    <w:rsid w:val="69D550CD"/>
    <w:rsid w:val="69DA7573"/>
    <w:rsid w:val="69DB067E"/>
    <w:rsid w:val="69F820EF"/>
    <w:rsid w:val="6A4D2583"/>
    <w:rsid w:val="6AA06A0F"/>
    <w:rsid w:val="6AA42176"/>
    <w:rsid w:val="6AD14E1A"/>
    <w:rsid w:val="6AD42215"/>
    <w:rsid w:val="6AF02DC7"/>
    <w:rsid w:val="6B304241"/>
    <w:rsid w:val="6B32518D"/>
    <w:rsid w:val="6B493E11"/>
    <w:rsid w:val="6B577EAA"/>
    <w:rsid w:val="6B881251"/>
    <w:rsid w:val="6B8D65F3"/>
    <w:rsid w:val="6BD9385B"/>
    <w:rsid w:val="6BDE5695"/>
    <w:rsid w:val="6C024566"/>
    <w:rsid w:val="6C030E4B"/>
    <w:rsid w:val="6C21187E"/>
    <w:rsid w:val="6C305B70"/>
    <w:rsid w:val="6C3A254B"/>
    <w:rsid w:val="6C62692E"/>
    <w:rsid w:val="6CD2751F"/>
    <w:rsid w:val="6CEA1DFC"/>
    <w:rsid w:val="6D6D06FE"/>
    <w:rsid w:val="6D7D261A"/>
    <w:rsid w:val="6D9258E0"/>
    <w:rsid w:val="6DA47552"/>
    <w:rsid w:val="6DAC0B3C"/>
    <w:rsid w:val="6DAC1227"/>
    <w:rsid w:val="6DC103FE"/>
    <w:rsid w:val="6DD62748"/>
    <w:rsid w:val="6E26547D"/>
    <w:rsid w:val="6E615A33"/>
    <w:rsid w:val="6E821AD0"/>
    <w:rsid w:val="6E9B26F3"/>
    <w:rsid w:val="6EAD34A8"/>
    <w:rsid w:val="6EB178F7"/>
    <w:rsid w:val="6ECB36B4"/>
    <w:rsid w:val="6EDA214C"/>
    <w:rsid w:val="6EF748C6"/>
    <w:rsid w:val="6EFF64A4"/>
    <w:rsid w:val="6F412504"/>
    <w:rsid w:val="6F52416F"/>
    <w:rsid w:val="6F53381E"/>
    <w:rsid w:val="6F746E0B"/>
    <w:rsid w:val="6FCF1B97"/>
    <w:rsid w:val="6FD477B8"/>
    <w:rsid w:val="6FE92FB4"/>
    <w:rsid w:val="6FF45107"/>
    <w:rsid w:val="70001227"/>
    <w:rsid w:val="700A317F"/>
    <w:rsid w:val="700D048B"/>
    <w:rsid w:val="704020FA"/>
    <w:rsid w:val="70446700"/>
    <w:rsid w:val="705160B5"/>
    <w:rsid w:val="706B361B"/>
    <w:rsid w:val="70B328CC"/>
    <w:rsid w:val="70BA672D"/>
    <w:rsid w:val="70BD46C6"/>
    <w:rsid w:val="70F826B0"/>
    <w:rsid w:val="712E4557"/>
    <w:rsid w:val="71493231"/>
    <w:rsid w:val="715863BC"/>
    <w:rsid w:val="71705377"/>
    <w:rsid w:val="71866233"/>
    <w:rsid w:val="71B9750E"/>
    <w:rsid w:val="720B7BA7"/>
    <w:rsid w:val="72377F2E"/>
    <w:rsid w:val="724229F6"/>
    <w:rsid w:val="72655E48"/>
    <w:rsid w:val="72AA7CFF"/>
    <w:rsid w:val="72C03C5E"/>
    <w:rsid w:val="72D52FCE"/>
    <w:rsid w:val="73133AF6"/>
    <w:rsid w:val="73286E3E"/>
    <w:rsid w:val="733D1EE9"/>
    <w:rsid w:val="734C0CA2"/>
    <w:rsid w:val="738844E4"/>
    <w:rsid w:val="739438D7"/>
    <w:rsid w:val="73AF1A71"/>
    <w:rsid w:val="73D66DB1"/>
    <w:rsid w:val="73FE4457"/>
    <w:rsid w:val="7400407A"/>
    <w:rsid w:val="74081181"/>
    <w:rsid w:val="745D327B"/>
    <w:rsid w:val="748579A9"/>
    <w:rsid w:val="748862D7"/>
    <w:rsid w:val="74982505"/>
    <w:rsid w:val="74B80DF9"/>
    <w:rsid w:val="74DA266E"/>
    <w:rsid w:val="74DC2630"/>
    <w:rsid w:val="74E7492C"/>
    <w:rsid w:val="7567112B"/>
    <w:rsid w:val="75680129"/>
    <w:rsid w:val="75717A2D"/>
    <w:rsid w:val="75A33EED"/>
    <w:rsid w:val="75A86778"/>
    <w:rsid w:val="75A979F5"/>
    <w:rsid w:val="75C17839"/>
    <w:rsid w:val="760659DE"/>
    <w:rsid w:val="760B34D5"/>
    <w:rsid w:val="760B3801"/>
    <w:rsid w:val="76501315"/>
    <w:rsid w:val="767945B8"/>
    <w:rsid w:val="768A0573"/>
    <w:rsid w:val="76A71125"/>
    <w:rsid w:val="76AD7DBE"/>
    <w:rsid w:val="76B10C3D"/>
    <w:rsid w:val="76D7083E"/>
    <w:rsid w:val="77000EC7"/>
    <w:rsid w:val="77070A0C"/>
    <w:rsid w:val="77087B9F"/>
    <w:rsid w:val="77100A78"/>
    <w:rsid w:val="771F6F0D"/>
    <w:rsid w:val="772B75E9"/>
    <w:rsid w:val="77336515"/>
    <w:rsid w:val="773503D5"/>
    <w:rsid w:val="77471A98"/>
    <w:rsid w:val="77972F48"/>
    <w:rsid w:val="77C61E95"/>
    <w:rsid w:val="78146346"/>
    <w:rsid w:val="78235A90"/>
    <w:rsid w:val="78261AA0"/>
    <w:rsid w:val="783A38D3"/>
    <w:rsid w:val="78463590"/>
    <w:rsid w:val="785003DA"/>
    <w:rsid w:val="7871055B"/>
    <w:rsid w:val="788F5713"/>
    <w:rsid w:val="78C20168"/>
    <w:rsid w:val="78DC47E1"/>
    <w:rsid w:val="78F12E51"/>
    <w:rsid w:val="79030169"/>
    <w:rsid w:val="79042CF6"/>
    <w:rsid w:val="79091C23"/>
    <w:rsid w:val="790C526F"/>
    <w:rsid w:val="7927750B"/>
    <w:rsid w:val="79283153"/>
    <w:rsid w:val="795868CF"/>
    <w:rsid w:val="79915775"/>
    <w:rsid w:val="79BA6AD4"/>
    <w:rsid w:val="79D73ACF"/>
    <w:rsid w:val="7A044199"/>
    <w:rsid w:val="7A0B5527"/>
    <w:rsid w:val="7A1F7224"/>
    <w:rsid w:val="7A24483B"/>
    <w:rsid w:val="7A3E58FC"/>
    <w:rsid w:val="7A543372"/>
    <w:rsid w:val="7A7237F8"/>
    <w:rsid w:val="7A8D23E0"/>
    <w:rsid w:val="7AB7212A"/>
    <w:rsid w:val="7AEB5A1E"/>
    <w:rsid w:val="7B1B2183"/>
    <w:rsid w:val="7B4C2F0B"/>
    <w:rsid w:val="7B8E48DC"/>
    <w:rsid w:val="7BAE567E"/>
    <w:rsid w:val="7BE6624C"/>
    <w:rsid w:val="7BFD5343"/>
    <w:rsid w:val="7C29438A"/>
    <w:rsid w:val="7C2D5908"/>
    <w:rsid w:val="7C473B00"/>
    <w:rsid w:val="7C5A5E62"/>
    <w:rsid w:val="7C8F243F"/>
    <w:rsid w:val="7C907F65"/>
    <w:rsid w:val="7C9932BE"/>
    <w:rsid w:val="7CA2616F"/>
    <w:rsid w:val="7CB97FC1"/>
    <w:rsid w:val="7CC71A01"/>
    <w:rsid w:val="7CEF5A0F"/>
    <w:rsid w:val="7D180313"/>
    <w:rsid w:val="7D254B52"/>
    <w:rsid w:val="7D2964C4"/>
    <w:rsid w:val="7D3A5873"/>
    <w:rsid w:val="7D6F0955"/>
    <w:rsid w:val="7DB07571"/>
    <w:rsid w:val="7DB40379"/>
    <w:rsid w:val="7DBA7990"/>
    <w:rsid w:val="7DD10993"/>
    <w:rsid w:val="7DD23DA8"/>
    <w:rsid w:val="7DE65EF4"/>
    <w:rsid w:val="7DE844FD"/>
    <w:rsid w:val="7E2716CB"/>
    <w:rsid w:val="7E435034"/>
    <w:rsid w:val="7E571590"/>
    <w:rsid w:val="7E8201C2"/>
    <w:rsid w:val="7E857F9E"/>
    <w:rsid w:val="7EC873B0"/>
    <w:rsid w:val="7EC95805"/>
    <w:rsid w:val="7ECC3056"/>
    <w:rsid w:val="7EE70E76"/>
    <w:rsid w:val="7EF22D0D"/>
    <w:rsid w:val="7EF84FD8"/>
    <w:rsid w:val="7F2568C5"/>
    <w:rsid w:val="7F7E49ED"/>
    <w:rsid w:val="7FCD60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1"/>
    <w:basedOn w:val="1"/>
    <w:next w:val="1"/>
    <w:link w:val="35"/>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48"/>
    <w:qFormat/>
    <w:uiPriority w:val="0"/>
    <w:pPr>
      <w:keepNext/>
      <w:keepLines/>
      <w:spacing w:line="413" w:lineRule="auto"/>
      <w:outlineLvl w:val="1"/>
    </w:pPr>
    <w:rPr>
      <w:rFonts w:ascii="Arial" w:hAnsi="Arial" w:eastAsia="黑体"/>
      <w:b/>
      <w:sz w:val="32"/>
    </w:rPr>
  </w:style>
  <w:style w:type="paragraph" w:styleId="4">
    <w:name w:val="heading 3"/>
    <w:basedOn w:val="1"/>
    <w:next w:val="1"/>
    <w:link w:val="37"/>
    <w:qFormat/>
    <w:uiPriority w:val="0"/>
    <w:pPr>
      <w:keepNext/>
      <w:widowControl/>
      <w:spacing w:before="240" w:beforeLines="0" w:after="60" w:afterLines="0"/>
      <w:jc w:val="left"/>
      <w:outlineLvl w:val="2"/>
    </w:pPr>
    <w:rPr>
      <w:rFonts w:ascii="Cambria" w:hAnsi="Cambria"/>
      <w:b/>
      <w:bCs/>
      <w:kern w:val="0"/>
      <w:sz w:val="26"/>
      <w:szCs w:val="26"/>
      <w:lang w:eastAsia="en-US"/>
    </w:rPr>
  </w:style>
  <w:style w:type="character" w:default="1" w:styleId="31">
    <w:name w:val="Default Paragraph Font"/>
    <w:uiPriority w:val="0"/>
  </w:style>
  <w:style w:type="table" w:default="1" w:styleId="29">
    <w:name w:val="Normal Table"/>
    <w:unhideWhenUsed/>
    <w:uiPriority w:val="99"/>
    <w:tblPr>
      <w:tblStyle w:val="29"/>
      <w:tblCellMar>
        <w:top w:w="0" w:type="dxa"/>
        <w:left w:w="108" w:type="dxa"/>
        <w:bottom w:w="0" w:type="dxa"/>
        <w:right w:w="108" w:type="dxa"/>
      </w:tblCellMar>
    </w:tblPr>
  </w:style>
  <w:style w:type="paragraph" w:styleId="5">
    <w:name w:val="Normal Indent"/>
    <w:basedOn w:val="1"/>
    <w:next w:val="1"/>
    <w:link w:val="38"/>
    <w:unhideWhenUsed/>
    <w:uiPriority w:val="0"/>
    <w:pPr>
      <w:ind w:firstLine="420" w:firstLineChars="200"/>
    </w:pPr>
  </w:style>
  <w:style w:type="paragraph" w:styleId="6">
    <w:name w:val="Document Map"/>
    <w:basedOn w:val="1"/>
    <w:link w:val="39"/>
    <w:uiPriority w:val="0"/>
    <w:rPr>
      <w:rFonts w:ascii="宋体"/>
      <w:sz w:val="18"/>
      <w:szCs w:val="18"/>
    </w:rPr>
  </w:style>
  <w:style w:type="paragraph" w:styleId="7">
    <w:name w:val="toa heading"/>
    <w:basedOn w:val="1"/>
    <w:next w:val="1"/>
    <w:unhideWhenUsed/>
    <w:qFormat/>
    <w:uiPriority w:val="99"/>
    <w:pPr>
      <w:spacing w:before="120"/>
    </w:pPr>
    <w:rPr>
      <w:rFonts w:ascii="Cambria" w:hAnsi="Cambria"/>
      <w:sz w:val="24"/>
    </w:rPr>
  </w:style>
  <w:style w:type="paragraph" w:styleId="8">
    <w:name w:val="annotation text"/>
    <w:basedOn w:val="1"/>
    <w:uiPriority w:val="0"/>
    <w:pPr>
      <w:jc w:val="left"/>
    </w:pPr>
  </w:style>
  <w:style w:type="paragraph" w:styleId="9">
    <w:name w:val="Body Text"/>
    <w:basedOn w:val="1"/>
    <w:next w:val="1"/>
    <w:link w:val="40"/>
    <w:uiPriority w:val="0"/>
    <w:pPr>
      <w:spacing w:after="120" w:afterLines="0"/>
    </w:pPr>
    <w:rPr>
      <w:kern w:val="0"/>
      <w:sz w:val="24"/>
    </w:rPr>
  </w:style>
  <w:style w:type="paragraph" w:styleId="10">
    <w:name w:val="Body Text Indent"/>
    <w:basedOn w:val="1"/>
    <w:next w:val="11"/>
    <w:link w:val="41"/>
    <w:uiPriority w:val="0"/>
    <w:pPr>
      <w:ind w:firstLine="630"/>
    </w:pPr>
    <w:rPr>
      <w:rFonts w:eastAsia="楷体_GB2312"/>
      <w:kern w:val="0"/>
      <w:sz w:val="20"/>
      <w:szCs w:val="20"/>
    </w:rPr>
  </w:style>
  <w:style w:type="paragraph" w:customStyle="1" w:styleId="1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List 2"/>
    <w:basedOn w:val="1"/>
    <w:qFormat/>
    <w:uiPriority w:val="0"/>
    <w:pPr>
      <w:ind w:left="100" w:leftChars="200" w:hanging="200" w:hangingChars="200"/>
    </w:pPr>
  </w:style>
  <w:style w:type="paragraph" w:styleId="13">
    <w:name w:val="toc 3"/>
    <w:basedOn w:val="1"/>
    <w:next w:val="1"/>
    <w:uiPriority w:val="0"/>
    <w:pPr>
      <w:snapToGrid w:val="0"/>
      <w:spacing w:line="360" w:lineRule="auto"/>
      <w:ind w:left="400" w:leftChars="400"/>
      <w:jc w:val="left"/>
    </w:pPr>
    <w:rPr>
      <w:rFonts w:ascii="Times New Roman" w:hAnsi="Times New Roman"/>
      <w:kern w:val="0"/>
      <w:sz w:val="24"/>
      <w:szCs w:val="20"/>
    </w:rPr>
  </w:style>
  <w:style w:type="paragraph" w:styleId="14">
    <w:name w:val="Plain Text"/>
    <w:basedOn w:val="1"/>
    <w:next w:val="1"/>
    <w:link w:val="42"/>
    <w:qFormat/>
    <w:uiPriority w:val="0"/>
    <w:rPr>
      <w:rFonts w:ascii="宋体" w:hAnsi="Courier New"/>
      <w:color w:val="000000"/>
      <w:kern w:val="0"/>
      <w:szCs w:val="20"/>
    </w:rPr>
  </w:style>
  <w:style w:type="paragraph" w:styleId="15">
    <w:name w:val="Date"/>
    <w:basedOn w:val="1"/>
    <w:next w:val="1"/>
    <w:qFormat/>
    <w:uiPriority w:val="0"/>
    <w:pPr>
      <w:ind w:left="100" w:leftChars="2500"/>
    </w:pPr>
  </w:style>
  <w:style w:type="paragraph" w:styleId="16">
    <w:name w:val="Body Text Indent 2"/>
    <w:basedOn w:val="1"/>
    <w:link w:val="43"/>
    <w:unhideWhenUsed/>
    <w:uiPriority w:val="99"/>
    <w:pPr>
      <w:spacing w:after="120" w:line="480" w:lineRule="auto"/>
      <w:ind w:left="420" w:leftChars="200"/>
    </w:pPr>
  </w:style>
  <w:style w:type="paragraph" w:styleId="17">
    <w:name w:val="Balloon Text"/>
    <w:basedOn w:val="1"/>
    <w:link w:val="44"/>
    <w:uiPriority w:val="0"/>
    <w:rPr>
      <w:kern w:val="0"/>
      <w:sz w:val="18"/>
      <w:szCs w:val="18"/>
    </w:rPr>
  </w:style>
  <w:style w:type="paragraph" w:styleId="18">
    <w:name w:val="footer"/>
    <w:basedOn w:val="1"/>
    <w:next w:val="1"/>
    <w:link w:val="45"/>
    <w:uiPriority w:val="0"/>
    <w:pPr>
      <w:tabs>
        <w:tab w:val="center" w:pos="4153"/>
        <w:tab w:val="right" w:pos="8306"/>
      </w:tabs>
      <w:snapToGrid w:val="0"/>
      <w:jc w:val="left"/>
    </w:pPr>
    <w:rPr>
      <w:rFonts w:ascii="Calibri" w:hAnsi="Calibri"/>
      <w:kern w:val="0"/>
      <w:sz w:val="18"/>
      <w:szCs w:val="18"/>
    </w:rPr>
  </w:style>
  <w:style w:type="paragraph" w:styleId="19">
    <w:name w:val="header"/>
    <w:basedOn w:val="1"/>
    <w:link w:val="46"/>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qFormat/>
    <w:uiPriority w:val="39"/>
    <w:pPr>
      <w:ind w:firstLine="200" w:firstLineChars="200"/>
    </w:pPr>
    <w:rPr>
      <w:rFonts w:cs="Calibri"/>
      <w:bCs/>
      <w:sz w:val="20"/>
      <w:szCs w:val="20"/>
    </w:rPr>
  </w:style>
  <w:style w:type="paragraph" w:styleId="21">
    <w:name w:val="List"/>
    <w:basedOn w:val="1"/>
    <w:qFormat/>
    <w:uiPriority w:val="0"/>
    <w:pPr>
      <w:ind w:left="200" w:hanging="200" w:hangingChars="200"/>
    </w:pPr>
  </w:style>
  <w:style w:type="paragraph" w:styleId="22">
    <w:name w:val="footnote text"/>
    <w:basedOn w:val="1"/>
    <w:next w:val="9"/>
    <w:qFormat/>
    <w:uiPriority w:val="99"/>
    <w:pPr>
      <w:snapToGrid w:val="0"/>
      <w:jc w:val="left"/>
    </w:pPr>
    <w:rPr>
      <w:sz w:val="18"/>
    </w:rPr>
  </w:style>
  <w:style w:type="paragraph" w:styleId="23">
    <w:name w:val="Body Text Indent 3"/>
    <w:basedOn w:val="1"/>
    <w:link w:val="47"/>
    <w:uiPriority w:val="0"/>
    <w:pPr>
      <w:spacing w:line="440" w:lineRule="exact"/>
      <w:ind w:firstLine="412" w:firstLineChars="200"/>
    </w:pPr>
    <w:rPr>
      <w:rFonts w:ascii="宋体" w:hAnsi="宋体"/>
      <w:kern w:val="0"/>
      <w:sz w:val="20"/>
      <w:szCs w:val="20"/>
    </w:rPr>
  </w:style>
  <w:style w:type="paragraph" w:styleId="24">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5">
    <w:name w:val="List Continue 2"/>
    <w:basedOn w:val="1"/>
    <w:uiPriority w:val="0"/>
    <w:pPr>
      <w:spacing w:after="120" w:afterLines="0"/>
      <w:ind w:left="840" w:leftChars="400"/>
    </w:pPr>
  </w:style>
  <w:style w:type="paragraph" w:styleId="26">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27">
    <w:name w:val="Body Text First Indent"/>
    <w:basedOn w:val="9"/>
    <w:next w:val="1"/>
    <w:unhideWhenUsed/>
    <w:qFormat/>
    <w:uiPriority w:val="0"/>
    <w:pPr>
      <w:spacing w:before="0" w:beforeLines="0" w:after="120" w:afterLines="0" w:line="312" w:lineRule="atLeast"/>
      <w:ind w:firstLine="420" w:firstLineChars="100"/>
    </w:pPr>
    <w:rPr>
      <w:sz w:val="21"/>
    </w:rPr>
  </w:style>
  <w:style w:type="paragraph" w:styleId="28">
    <w:name w:val="Body Text First Indent 2"/>
    <w:basedOn w:val="10"/>
    <w:qFormat/>
    <w:uiPriority w:val="0"/>
    <w:pPr>
      <w:spacing w:after="120"/>
      <w:ind w:left="420" w:leftChars="200" w:firstLine="420" w:firstLineChars="200"/>
    </w:pPr>
    <w:rPr>
      <w:rFonts w:ascii="Times New Roman" w:hAnsi="Times New Roman" w:eastAsia="宋体"/>
      <w:kern w:val="0"/>
      <w:sz w:val="20"/>
      <w:lang w:val="en-US" w:eastAsia="zh-CN"/>
    </w:rPr>
  </w:style>
  <w:style w:type="table" w:styleId="30">
    <w:name w:val="Table Grid"/>
    <w:basedOn w:val="29"/>
    <w:uiPriority w:val="0"/>
    <w:pPr>
      <w:widowControl w:val="0"/>
      <w:jc w:val="both"/>
    </w:pPr>
    <w:tblPr>
      <w:tblStyle w:val="2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uiPriority w:val="0"/>
    <w:rPr>
      <w:rFonts w:cs="Times New Roman"/>
    </w:rPr>
  </w:style>
  <w:style w:type="character" w:styleId="33">
    <w:name w:val="FollowedHyperlink"/>
    <w:uiPriority w:val="0"/>
    <w:rPr>
      <w:rFonts w:cs="Times New Roman"/>
      <w:color w:val="800080"/>
      <w:u w:val="single"/>
    </w:rPr>
  </w:style>
  <w:style w:type="character" w:styleId="34">
    <w:name w:val="Hyperlink"/>
    <w:basedOn w:val="31"/>
    <w:uiPriority w:val="0"/>
    <w:rPr>
      <w:rFonts w:cs="Times New Roman"/>
      <w:color w:val="0000FF"/>
      <w:u w:val="single"/>
    </w:rPr>
  </w:style>
  <w:style w:type="character" w:customStyle="1" w:styleId="35">
    <w:name w:val="标题 1 Char"/>
    <w:link w:val="2"/>
    <w:uiPriority w:val="0"/>
    <w:rPr>
      <w:rFonts w:ascii="Times New Roman" w:hAnsi="Times New Roman"/>
      <w:b/>
      <w:bCs/>
      <w:kern w:val="44"/>
      <w:sz w:val="44"/>
      <w:szCs w:val="44"/>
    </w:rPr>
  </w:style>
  <w:style w:type="character" w:customStyle="1" w:styleId="36">
    <w:name w:val="标题 2 字符"/>
    <w:link w:val="3"/>
    <w:qFormat/>
    <w:uiPriority w:val="0"/>
    <w:rPr>
      <w:rFonts w:ascii="Calibri Light" w:hAnsi="Calibri Light"/>
      <w:b/>
      <w:bCs/>
      <w:sz w:val="32"/>
      <w:szCs w:val="32"/>
    </w:rPr>
  </w:style>
  <w:style w:type="character" w:customStyle="1" w:styleId="37">
    <w:name w:val="标题 3 Char"/>
    <w:link w:val="4"/>
    <w:uiPriority w:val="0"/>
    <w:rPr>
      <w:rFonts w:ascii="Cambria" w:hAnsi="Cambria" w:eastAsia="宋体" w:cs="Times New Roman"/>
      <w:b/>
      <w:bCs/>
      <w:kern w:val="0"/>
      <w:sz w:val="26"/>
      <w:szCs w:val="26"/>
      <w:lang w:eastAsia="en-US"/>
    </w:rPr>
  </w:style>
  <w:style w:type="character" w:customStyle="1" w:styleId="38">
    <w:name w:val="正文缩进 Char"/>
    <w:link w:val="5"/>
    <w:uiPriority w:val="0"/>
    <w:rPr>
      <w:rFonts w:ascii="Times New Roman" w:hAnsi="Times New Roman"/>
      <w:kern w:val="2"/>
      <w:sz w:val="21"/>
      <w:szCs w:val="24"/>
    </w:rPr>
  </w:style>
  <w:style w:type="character" w:customStyle="1" w:styleId="39">
    <w:name w:val="文档结构图 Char"/>
    <w:link w:val="6"/>
    <w:uiPriority w:val="0"/>
    <w:rPr>
      <w:rFonts w:ascii="宋体" w:hAnsi="Times New Roman"/>
      <w:kern w:val="2"/>
      <w:sz w:val="18"/>
      <w:szCs w:val="18"/>
    </w:rPr>
  </w:style>
  <w:style w:type="character" w:customStyle="1" w:styleId="40">
    <w:name w:val="正文文本 Char"/>
    <w:link w:val="9"/>
    <w:uiPriority w:val="0"/>
    <w:rPr>
      <w:rFonts w:ascii="Times New Roman" w:hAnsi="Times New Roman" w:eastAsia="宋体" w:cs="Times New Roman"/>
      <w:sz w:val="24"/>
      <w:szCs w:val="24"/>
    </w:rPr>
  </w:style>
  <w:style w:type="character" w:customStyle="1" w:styleId="41">
    <w:name w:val="正文文本缩进 Char"/>
    <w:link w:val="10"/>
    <w:uiPriority w:val="0"/>
    <w:rPr>
      <w:rFonts w:ascii="Times New Roman" w:hAnsi="Times New Roman" w:eastAsia="楷体_GB2312" w:cs="Times New Roman"/>
      <w:sz w:val="20"/>
      <w:szCs w:val="20"/>
    </w:rPr>
  </w:style>
  <w:style w:type="character" w:customStyle="1" w:styleId="42">
    <w:name w:val="纯文本 Char"/>
    <w:link w:val="14"/>
    <w:qFormat/>
    <w:uiPriority w:val="0"/>
    <w:rPr>
      <w:rFonts w:ascii="宋体" w:hAnsi="Courier New"/>
      <w:color w:val="000000"/>
      <w:sz w:val="21"/>
    </w:rPr>
  </w:style>
  <w:style w:type="character" w:customStyle="1" w:styleId="43">
    <w:name w:val="正文文本缩进 2 Char"/>
    <w:link w:val="16"/>
    <w:semiHidden/>
    <w:uiPriority w:val="99"/>
    <w:rPr>
      <w:rFonts w:ascii="Times New Roman" w:hAnsi="Times New Roman"/>
      <w:kern w:val="2"/>
      <w:sz w:val="21"/>
      <w:szCs w:val="24"/>
    </w:rPr>
  </w:style>
  <w:style w:type="character" w:customStyle="1" w:styleId="44">
    <w:name w:val="批注框文本 Char"/>
    <w:link w:val="17"/>
    <w:uiPriority w:val="0"/>
    <w:rPr>
      <w:rFonts w:ascii="Times New Roman" w:hAnsi="Times New Roman" w:eastAsia="宋体" w:cs="Times New Roman"/>
      <w:sz w:val="18"/>
      <w:szCs w:val="18"/>
    </w:rPr>
  </w:style>
  <w:style w:type="character" w:customStyle="1" w:styleId="45">
    <w:name w:val="页脚 Char"/>
    <w:link w:val="18"/>
    <w:uiPriority w:val="0"/>
    <w:rPr>
      <w:rFonts w:cs="Times New Roman"/>
      <w:sz w:val="18"/>
      <w:szCs w:val="18"/>
    </w:rPr>
  </w:style>
  <w:style w:type="character" w:customStyle="1" w:styleId="46">
    <w:name w:val="页眉 Char"/>
    <w:link w:val="19"/>
    <w:uiPriority w:val="0"/>
    <w:rPr>
      <w:rFonts w:cs="Times New Roman"/>
      <w:sz w:val="18"/>
      <w:szCs w:val="18"/>
    </w:rPr>
  </w:style>
  <w:style w:type="character" w:customStyle="1" w:styleId="47">
    <w:name w:val="正文文本缩进 3 Char"/>
    <w:link w:val="23"/>
    <w:uiPriority w:val="0"/>
    <w:rPr>
      <w:rFonts w:ascii="宋体" w:hAnsi="宋体" w:eastAsia="宋体" w:cs="Times New Roman"/>
      <w:sz w:val="20"/>
      <w:szCs w:val="20"/>
    </w:rPr>
  </w:style>
  <w:style w:type="character" w:customStyle="1" w:styleId="48">
    <w:name w:val="标题 2 Char"/>
    <w:basedOn w:val="31"/>
    <w:link w:val="3"/>
    <w:qFormat/>
    <w:uiPriority w:val="9"/>
    <w:rPr>
      <w:rFonts w:ascii="Arial" w:hAnsi="Arial" w:eastAsia="黑体"/>
      <w:b/>
      <w:sz w:val="32"/>
    </w:rPr>
  </w:style>
  <w:style w:type="paragraph" w:customStyle="1" w:styleId="49">
    <w:name w:val="Heading3"/>
    <w:basedOn w:val="1"/>
    <w:next w:val="1"/>
    <w:qFormat/>
    <w:uiPriority w:val="0"/>
    <w:pPr>
      <w:keepNext/>
      <w:keepLines/>
      <w:spacing w:before="260" w:after="260" w:line="416" w:lineRule="auto"/>
      <w:ind w:firstLine="200" w:firstLineChars="200"/>
      <w:jc w:val="both"/>
      <w:textAlignment w:val="baseline"/>
    </w:pPr>
    <w:rPr>
      <w:rFonts w:ascii="Calibri" w:hAnsi="Calibri"/>
      <w:b/>
      <w:sz w:val="32"/>
      <w:szCs w:val="20"/>
      <w:lang w:val="en-US" w:bidi="ar-SA"/>
    </w:rPr>
  </w:style>
  <w:style w:type="paragraph" w:customStyle="1" w:styleId="50">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51">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52">
    <w:name w:val="表格文字 Char"/>
    <w:link w:val="53"/>
    <w:uiPriority w:val="0"/>
    <w:rPr>
      <w:rFonts w:ascii="Times New Roman" w:hAnsi="Times New Roman"/>
      <w:bCs/>
      <w:spacing w:val="10"/>
      <w:sz w:val="24"/>
    </w:rPr>
  </w:style>
  <w:style w:type="paragraph" w:customStyle="1" w:styleId="53">
    <w:name w:val="表格文字"/>
    <w:basedOn w:val="1"/>
    <w:link w:val="52"/>
    <w:uiPriority w:val="0"/>
    <w:pPr>
      <w:spacing w:before="25" w:after="25"/>
      <w:jc w:val="left"/>
    </w:pPr>
    <w:rPr>
      <w:bCs/>
      <w:spacing w:val="10"/>
      <w:kern w:val="0"/>
      <w:sz w:val="24"/>
      <w:szCs w:val="20"/>
    </w:rPr>
  </w:style>
  <w:style w:type="character" w:customStyle="1" w:styleId="54">
    <w:name w:val="Balloon Text Char"/>
    <w:uiPriority w:val="0"/>
    <w:rPr>
      <w:rFonts w:ascii="Times New Roman" w:hAnsi="Times New Roman" w:eastAsia="宋体"/>
      <w:sz w:val="18"/>
    </w:rPr>
  </w:style>
  <w:style w:type="character" w:customStyle="1" w:styleId="55">
    <w:name w:val="10_0"/>
    <w:qFormat/>
    <w:uiPriority w:val="0"/>
    <w:rPr>
      <w:rFonts w:hint="default" w:ascii="Times New Roman" w:hAnsi="Times New Roman" w:eastAsia="宋体" w:cs="Times New Roman"/>
    </w:rPr>
  </w:style>
  <w:style w:type="character" w:customStyle="1" w:styleId="56">
    <w:name w:val="样式 样式 样式 样式 内容 + 首行缩进:  2 字符18 + 首行缩进:  5.71 厘米 + 首行缩进:  8.04 厘米... Char Char"/>
    <w:link w:val="57"/>
    <w:uiPriority w:val="0"/>
    <w:rPr>
      <w:rFonts w:ascii="Trebuchet MS" w:hAnsi="Trebuchet MS" w:eastAsia="宋体"/>
      <w:b/>
      <w:color w:val="333333"/>
      <w:sz w:val="24"/>
    </w:rPr>
  </w:style>
  <w:style w:type="paragraph" w:customStyle="1" w:styleId="57">
    <w:name w:val="样式 样式 样式 样式 内容 + 首行缩进:  2 字符18 + 首行缩进:  5.71 厘米 + 首行缩进:  8.04 厘米..."/>
    <w:basedOn w:val="1"/>
    <w:link w:val="56"/>
    <w:uiPriority w:val="0"/>
    <w:pPr>
      <w:widowControl/>
      <w:spacing w:before="93" w:beforeLines="30" w:line="360" w:lineRule="auto"/>
      <w:ind w:firstLine="482" w:firstLineChars="200"/>
      <w:jc w:val="center"/>
    </w:pPr>
    <w:rPr>
      <w:rFonts w:ascii="Trebuchet MS" w:hAnsi="Trebuchet MS"/>
      <w:b/>
      <w:color w:val="333333"/>
      <w:kern w:val="0"/>
      <w:sz w:val="24"/>
      <w:szCs w:val="20"/>
    </w:rPr>
  </w:style>
  <w:style w:type="character" w:customStyle="1" w:styleId="58">
    <w:name w:val="apple-converted-space"/>
    <w:basedOn w:val="31"/>
    <w:uiPriority w:val="0"/>
  </w:style>
  <w:style w:type="character" w:customStyle="1" w:styleId="59">
    <w:name w:val="HTML Markup"/>
    <w:uiPriority w:val="0"/>
    <w:rPr>
      <w:vanish/>
      <w:color w:val="FF0000"/>
    </w:rPr>
  </w:style>
  <w:style w:type="character" w:customStyle="1" w:styleId="60">
    <w:name w:val="NormalCharacter"/>
    <w:semiHidden/>
    <w:qFormat/>
    <w:uiPriority w:val="0"/>
  </w:style>
  <w:style w:type="paragraph" w:customStyle="1" w:styleId="61">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6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3">
    <w:name w:val="Char Char Char Char"/>
    <w:basedOn w:val="1"/>
    <w:qFormat/>
    <w:uiPriority w:val="0"/>
    <w:rPr>
      <w:szCs w:val="21"/>
    </w:rPr>
  </w:style>
  <w:style w:type="paragraph" w:customStyle="1" w:styleId="64">
    <w:name w:val="Body Text Indent"/>
    <w:basedOn w:val="1"/>
    <w:uiPriority w:val="0"/>
    <w:pPr>
      <w:ind w:firstLine="630"/>
    </w:pPr>
    <w:rPr>
      <w:rFonts w:eastAsia="楷体_GB2312"/>
      <w:kern w:val="0"/>
      <w:sz w:val="30"/>
      <w:szCs w:val="20"/>
    </w:rPr>
  </w:style>
  <w:style w:type="paragraph" w:customStyle="1" w:styleId="65">
    <w:name w:val="Char Char1 Char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66">
    <w:name w:val=" Char Char Char Char Char Char Char Char Char Char Char Char"/>
    <w:basedOn w:val="1"/>
    <w:uiPriority w:val="0"/>
  </w:style>
  <w:style w:type="paragraph" w:customStyle="1" w:styleId="67">
    <w:name w:val="标题 5（有编号）（绿盟科技）"/>
    <w:basedOn w:val="1"/>
    <w:next w:val="68"/>
    <w:qFormat/>
    <w:uiPriority w:val="0"/>
    <w:pPr>
      <w:keepNext/>
      <w:keepLines/>
      <w:numPr>
        <w:ilvl w:val="4"/>
        <w:numId w:val="1"/>
      </w:numPr>
      <w:spacing w:before="280" w:after="156" w:line="377" w:lineRule="auto"/>
      <w:jc w:val="left"/>
      <w:outlineLvl w:val="4"/>
    </w:pPr>
    <w:rPr>
      <w:rFonts w:ascii="Arial" w:hAnsi="Arial" w:eastAsia="黑体"/>
      <w:sz w:val="24"/>
      <w:szCs w:val="28"/>
    </w:rPr>
  </w:style>
  <w:style w:type="paragraph" w:customStyle="1" w:styleId="6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0">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1">
    <w:name w:val="正文文本缩进1"/>
    <w:basedOn w:val="1"/>
    <w:uiPriority w:val="0"/>
    <w:pPr>
      <w:ind w:firstLine="630"/>
    </w:pPr>
    <w:rPr>
      <w:rFonts w:eastAsia="楷体_GB2312"/>
      <w:sz w:val="30"/>
      <w:szCs w:val="20"/>
    </w:rPr>
  </w:style>
  <w:style w:type="paragraph" w:customStyle="1" w:styleId="72">
    <w:name w:val="xl25"/>
    <w:basedOn w:val="1"/>
    <w:uiPriority w:val="0"/>
    <w:pPr>
      <w:widowControl/>
      <w:spacing w:before="100" w:beforeLines="0" w:beforeAutospacing="1" w:after="100" w:afterLines="0" w:afterAutospacing="1"/>
      <w:textAlignment w:val="center"/>
    </w:pPr>
    <w:rPr>
      <w:rFonts w:ascii="宋体" w:hAnsi="宋体"/>
      <w:kern w:val="0"/>
      <w:sz w:val="18"/>
      <w:szCs w:val="18"/>
    </w:rPr>
  </w:style>
  <w:style w:type="paragraph" w:customStyle="1" w:styleId="73">
    <w:name w:val="Char"/>
    <w:basedOn w:val="1"/>
    <w:uiPriority w:val="0"/>
    <w:rPr>
      <w:szCs w:val="21"/>
    </w:rPr>
  </w:style>
  <w:style w:type="paragraph" w:customStyle="1" w:styleId="74">
    <w:name w:val="无间隔1"/>
    <w:uiPriority w:val="0"/>
    <w:pPr>
      <w:widowControl w:val="0"/>
      <w:spacing w:line="360" w:lineRule="auto"/>
      <w:jc w:val="center"/>
    </w:pPr>
    <w:rPr>
      <w:rFonts w:ascii="Times New Roman" w:hAnsi="Times New Roman"/>
      <w:b/>
      <w:color w:val="000000"/>
      <w:kern w:val="2"/>
      <w:sz w:val="21"/>
      <w:szCs w:val="21"/>
      <w:lang w:val="zh-CN" w:eastAsia="zh-CN" w:bidi="ar-SA"/>
    </w:rPr>
  </w:style>
  <w:style w:type="paragraph" w:customStyle="1" w:styleId="75">
    <w:name w:val="列出段落1"/>
    <w:basedOn w:val="1"/>
    <w:uiPriority w:val="0"/>
    <w:pPr>
      <w:ind w:firstLine="420" w:firstLineChars="200"/>
    </w:pPr>
  </w:style>
  <w:style w:type="paragraph" w:customStyle="1" w:styleId="76">
    <w:name w:val="xl37"/>
    <w:basedOn w:val="1"/>
    <w:uiPriority w:val="0"/>
    <w:pPr>
      <w:widowControl/>
      <w:pBdr>
        <w:left w:val="single" w:color="auto" w:sz="8" w:space="0"/>
        <w:right w:val="single" w:color="auto" w:sz="4" w:space="0"/>
      </w:pBdr>
      <w:spacing w:before="100" w:beforeLines="0" w:beforeAutospacing="1" w:after="100" w:afterLines="0" w:afterAutospacing="1"/>
      <w:jc w:val="center"/>
      <w:textAlignment w:val="center"/>
    </w:pPr>
    <w:rPr>
      <w:rFonts w:ascii="宋体" w:hAnsi="宋体"/>
      <w:kern w:val="0"/>
      <w:sz w:val="18"/>
      <w:szCs w:val="18"/>
    </w:rPr>
  </w:style>
  <w:style w:type="paragraph" w:customStyle="1" w:styleId="77">
    <w:name w:val="Body Text Indent 3"/>
    <w:basedOn w:val="1"/>
    <w:uiPriority w:val="0"/>
    <w:pPr>
      <w:spacing w:line="440" w:lineRule="exact"/>
      <w:ind w:firstLine="412" w:firstLineChars="200"/>
    </w:pPr>
    <w:rPr>
      <w:rFonts w:ascii="宋体" w:hAnsi="宋体"/>
      <w:kern w:val="0"/>
      <w:sz w:val="20"/>
      <w:szCs w:val="20"/>
    </w:rPr>
  </w:style>
  <w:style w:type="paragraph" w:customStyle="1" w:styleId="78">
    <w:name w:val="Table Paragraph"/>
    <w:basedOn w:val="1"/>
    <w:qFormat/>
    <w:uiPriority w:val="1"/>
    <w:rPr>
      <w:rFonts w:ascii="宋体" w:hAnsi="宋体" w:eastAsia="宋体" w:cs="宋体"/>
      <w:lang w:val="zh-CN" w:eastAsia="zh-CN" w:bidi="zh-CN"/>
    </w:rPr>
  </w:style>
  <w:style w:type="paragraph" w:customStyle="1" w:styleId="79">
    <w:name w:val="正文式样"/>
    <w:basedOn w:val="5"/>
    <w:uiPriority w:val="0"/>
    <w:pPr>
      <w:ind w:firstLine="601" w:firstLineChars="0"/>
    </w:pPr>
    <w:rPr>
      <w:sz w:val="28"/>
      <w:szCs w:val="20"/>
    </w:rPr>
  </w:style>
  <w:style w:type="paragraph" w:customStyle="1" w:styleId="80">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Body text|1"/>
    <w:basedOn w:val="1"/>
    <w:qFormat/>
    <w:uiPriority w:val="0"/>
    <w:pPr>
      <w:spacing w:line="408" w:lineRule="auto"/>
      <w:ind w:firstLine="400"/>
    </w:pPr>
    <w:rPr>
      <w:rFonts w:ascii="宋体" w:hAnsi="宋体" w:eastAsia="宋体" w:cs="宋体"/>
      <w:sz w:val="26"/>
      <w:szCs w:val="26"/>
      <w:lang w:val="zh-TW" w:eastAsia="zh-TW" w:bidi="zh-TW"/>
    </w:rPr>
  </w:style>
  <w:style w:type="paragraph" w:customStyle="1" w:styleId="8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List Paragraph"/>
    <w:basedOn w:val="1"/>
    <w:uiPriority w:val="0"/>
    <w:pPr>
      <w:ind w:firstLine="420" w:firstLineChars="200"/>
    </w:pPr>
    <w:rPr>
      <w:rFonts w:ascii="Calibri" w:hAnsi="Calibri"/>
      <w:szCs w:val="22"/>
    </w:rPr>
  </w:style>
  <w:style w:type="paragraph" w:customStyle="1" w:styleId="85">
    <w:name w:val="样式 左侧:  0.74 厘米"/>
    <w:basedOn w:val="1"/>
    <w:qFormat/>
    <w:uiPriority w:val="0"/>
    <w:pPr>
      <w:spacing w:line="360" w:lineRule="auto"/>
      <w:ind w:left="620" w:hanging="200" w:hangingChars="200"/>
    </w:pPr>
    <w:rPr>
      <w:rFonts w:ascii="Times New Roman" w:hAnsi="Times New Roman" w:eastAsia="宋体" w:cs="Times New Roman"/>
      <w:kern w:val="0"/>
      <w:sz w:val="20"/>
      <w:szCs w:val="20"/>
    </w:rPr>
  </w:style>
  <w:style w:type="table" w:customStyle="1" w:styleId="86">
    <w:name w:val="Table Normal_0"/>
    <w:unhideWhenUsed/>
    <w:qFormat/>
    <w:uiPriority w:val="2"/>
    <w:pPr>
      <w:widowControl w:val="0"/>
    </w:pPr>
    <w:rPr>
      <w:sz w:val="22"/>
      <w:szCs w:val="22"/>
      <w:lang w:eastAsia="en-US"/>
    </w:rPr>
    <w:tblPr>
      <w:tblStyle w:val="29"/>
      <w:tblCellMar>
        <w:top w:w="0" w:type="dxa"/>
        <w:left w:w="0" w:type="dxa"/>
        <w:bottom w:w="0" w:type="dxa"/>
        <w:right w:w="0" w:type="dxa"/>
      </w:tblCellMar>
    </w:tblPr>
  </w:style>
  <w:style w:type="paragraph" w:customStyle="1" w:styleId="87">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88">
    <w:name w:val="WPSOffice手动目录 1"/>
    <w:uiPriority w:val="0"/>
    <w:pPr>
      <w:ind w:leftChars="0"/>
    </w:pPr>
    <w:rPr>
      <w:sz w:val="20"/>
      <w:szCs w:val="20"/>
    </w:rPr>
  </w:style>
  <w:style w:type="paragraph" w:customStyle="1" w:styleId="8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90">
    <w:name w:val="纯文本1"/>
    <w:basedOn w:val="1"/>
    <w:qFormat/>
    <w:uiPriority w:val="0"/>
    <w:rPr>
      <w:rFonts w:ascii="宋体" w:hAnsi="Courier New"/>
      <w:kern w:val="0"/>
      <w:sz w:val="20"/>
      <w:szCs w:val="20"/>
    </w:rPr>
  </w:style>
  <w:style w:type="table" w:customStyle="1" w:styleId="91">
    <w:name w:val="Table Normal"/>
    <w:unhideWhenUsed/>
    <w:qFormat/>
    <w:uiPriority w:val="0"/>
    <w:tblPr>
      <w:tblStyle w:val="29"/>
      <w:tblCellMar>
        <w:top w:w="0" w:type="dxa"/>
        <w:left w:w="0" w:type="dxa"/>
        <w:bottom w:w="0" w:type="dxa"/>
        <w:right w:w="0" w:type="dxa"/>
      </w:tblCellMar>
    </w:tblPr>
  </w:style>
  <w:style w:type="paragraph" w:customStyle="1" w:styleId="92">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29320</Words>
  <Characters>30481</Characters>
  <Lines>117</Lines>
  <Paragraphs>32</Paragraphs>
  <TotalTime>0</TotalTime>
  <ScaleCrop>false</ScaleCrop>
  <LinksUpToDate>false</LinksUpToDate>
  <CharactersWithSpaces>33281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2018-06-25T10:47:00Z</dcterms:created>
  <dc:creator>admin</dc:creator>
  <cp:lastModifiedBy>她说：</cp:lastModifiedBy>
  <cp:lastPrinted>2023-04-10T04:05:14Z</cp:lastPrinted>
  <dcterms:modified xsi:type="dcterms:W3CDTF">2023-08-14T11:40:45Z</dcterms:modified>
  <dc:title>设计招标文件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8D03CB4D7C354B608AF87C3C207A50C4_13</vt:lpwstr>
  </property>
</Properties>
</file>