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宋体" w:hAnsi="宋体" w:cs="宋体"/>
          <w:b/>
          <w:sz w:val="24"/>
          <w:szCs w:val="24"/>
        </w:rPr>
      </w:pPr>
      <w:r>
        <w:rPr>
          <w:rFonts w:hint="eastAsia" w:ascii="宋体" w:hAnsi="宋体" w:cs="宋体"/>
          <w:b/>
          <w:sz w:val="24"/>
          <w:szCs w:val="24"/>
        </w:rPr>
        <w:t xml:space="preserve"> 项目编码：XJJP-2023-083</w:t>
      </w:r>
    </w:p>
    <w:p>
      <w:pPr>
        <w:pStyle w:val="28"/>
        <w:ind w:firstLine="210"/>
      </w:pPr>
    </w:p>
    <w:p>
      <w:pPr>
        <w:jc w:val="center"/>
        <w:rPr>
          <w:b/>
          <w:bCs/>
          <w:sz w:val="56"/>
          <w:szCs w:val="52"/>
        </w:rPr>
      </w:pPr>
      <w:r>
        <w:rPr>
          <w:rFonts w:hint="eastAsia"/>
          <w:b/>
          <w:bCs/>
          <w:sz w:val="56"/>
          <w:szCs w:val="52"/>
        </w:rPr>
        <w:t>巩留县2023年教育系统所需大宗食材、半成品配送采购项目</w:t>
      </w:r>
    </w:p>
    <w:p>
      <w:pPr>
        <w:pStyle w:val="36"/>
        <w:spacing w:line="360" w:lineRule="auto"/>
        <w:ind w:firstLine="0" w:firstLineChars="0"/>
        <w:rPr>
          <w:rFonts w:ascii="宋体"/>
          <w:b/>
          <w:sz w:val="36"/>
          <w:szCs w:val="36"/>
          <w:lang w:val="en-US"/>
        </w:rPr>
      </w:pPr>
    </w:p>
    <w:p>
      <w:pPr>
        <w:autoSpaceDE w:val="0"/>
        <w:autoSpaceDN w:val="0"/>
        <w:adjustRightInd w:val="0"/>
        <w:spacing w:line="360" w:lineRule="auto"/>
        <w:jc w:val="center"/>
        <w:rPr>
          <w:rFonts w:ascii="宋体" w:cs="宋体"/>
          <w:b/>
          <w:sz w:val="72"/>
          <w:szCs w:val="72"/>
        </w:rPr>
      </w:pPr>
      <w:r>
        <w:rPr>
          <w:rFonts w:hint="eastAsia" w:ascii="宋体" w:hAnsi="宋体" w:cs="宋体"/>
          <w:b/>
          <w:sz w:val="72"/>
          <w:szCs w:val="72"/>
        </w:rPr>
        <w:t>招标文件</w:t>
      </w:r>
    </w:p>
    <w:p>
      <w:pPr>
        <w:pStyle w:val="36"/>
        <w:ind w:firstLine="0" w:firstLineChars="0"/>
        <w:rPr>
          <w:rFonts w:ascii="宋体" w:cs="宋体"/>
          <w:b/>
          <w:sz w:val="84"/>
          <w:szCs w:val="84"/>
        </w:rPr>
      </w:pPr>
    </w:p>
    <w:p>
      <w:pPr>
        <w:autoSpaceDN w:val="0"/>
        <w:spacing w:beforeAutospacing="1" w:afterAutospacing="1" w:line="360" w:lineRule="auto"/>
        <w:ind w:firstLine="643" w:firstLineChars="200"/>
        <w:rPr>
          <w:rFonts w:ascii="宋体" w:hAnsi="宋体"/>
          <w:b/>
          <w:sz w:val="32"/>
          <w:szCs w:val="32"/>
          <w:u w:val="single"/>
        </w:rPr>
      </w:pPr>
      <w:r>
        <w:rPr>
          <w:rFonts w:hint="eastAsia"/>
          <w:b/>
          <w:sz w:val="32"/>
          <w:szCs w:val="32"/>
        </w:rPr>
        <w:t>采购</w:t>
      </w:r>
      <w:r>
        <w:rPr>
          <w:rFonts w:hint="eastAsia" w:ascii="宋体" w:hAnsi="宋体"/>
          <w:b/>
          <w:sz w:val="32"/>
          <w:szCs w:val="32"/>
        </w:rPr>
        <w:t>人:</w:t>
      </w:r>
      <w:r>
        <w:rPr>
          <w:rFonts w:hint="eastAsia" w:ascii="宋体" w:hAnsi="宋体"/>
          <w:b/>
          <w:sz w:val="32"/>
          <w:szCs w:val="32"/>
          <w:u w:val="single"/>
        </w:rPr>
        <w:t xml:space="preserve">  巩留县教育局  </w:t>
      </w:r>
      <w:r>
        <w:rPr>
          <w:rFonts w:hint="eastAsia" w:ascii="宋体" w:hAnsi="宋体"/>
          <w:b/>
          <w:sz w:val="32"/>
          <w:szCs w:val="32"/>
        </w:rPr>
        <w:t>（盖章）</w:t>
      </w:r>
    </w:p>
    <w:p>
      <w:pPr>
        <w:autoSpaceDN w:val="0"/>
        <w:spacing w:beforeAutospacing="1" w:afterAutospacing="1" w:line="360" w:lineRule="auto"/>
        <w:ind w:firstLine="643" w:firstLineChars="200"/>
        <w:rPr>
          <w:rFonts w:ascii="宋体" w:hAnsi="宋体"/>
          <w:b/>
          <w:sz w:val="32"/>
          <w:szCs w:val="32"/>
        </w:rPr>
      </w:pPr>
      <w:r>
        <w:rPr>
          <w:rFonts w:hint="eastAsia" w:ascii="宋体" w:hAnsi="宋体"/>
          <w:b/>
          <w:sz w:val="32"/>
          <w:szCs w:val="32"/>
        </w:rPr>
        <w:t>联系人：</w:t>
      </w:r>
      <w:r>
        <w:rPr>
          <w:rFonts w:hint="eastAsia" w:ascii="宋体" w:hAnsi="宋体"/>
          <w:b/>
          <w:sz w:val="32"/>
          <w:szCs w:val="32"/>
          <w:u w:val="single"/>
        </w:rPr>
        <w:t xml:space="preserve"> 昂沙 </w:t>
      </w:r>
    </w:p>
    <w:p>
      <w:pPr>
        <w:autoSpaceDN w:val="0"/>
        <w:spacing w:beforeAutospacing="1" w:afterAutospacing="1" w:line="360" w:lineRule="auto"/>
        <w:ind w:firstLine="643" w:firstLineChars="200"/>
        <w:rPr>
          <w:rFonts w:ascii="宋体" w:hAnsi="宋体"/>
          <w:b/>
          <w:sz w:val="32"/>
          <w:szCs w:val="32"/>
        </w:rPr>
      </w:pPr>
      <w:r>
        <w:rPr>
          <w:rFonts w:hint="eastAsia" w:ascii="宋体" w:hAnsi="宋体"/>
          <w:b/>
          <w:sz w:val="32"/>
          <w:szCs w:val="32"/>
        </w:rPr>
        <w:t>联系电话：</w:t>
      </w:r>
      <w:r>
        <w:rPr>
          <w:rFonts w:hint="eastAsia" w:ascii="宋体" w:hAnsi="宋体"/>
          <w:b/>
          <w:sz w:val="32"/>
          <w:szCs w:val="32"/>
          <w:u w:val="single"/>
        </w:rPr>
        <w:t xml:space="preserve"> 13679922509 </w:t>
      </w:r>
    </w:p>
    <w:p>
      <w:pPr>
        <w:autoSpaceDN w:val="0"/>
        <w:spacing w:beforeAutospacing="1" w:afterAutospacing="1" w:line="360" w:lineRule="auto"/>
        <w:ind w:firstLine="643" w:firstLineChars="200"/>
        <w:rPr>
          <w:rFonts w:ascii="宋体" w:hAnsi="宋体"/>
          <w:b/>
          <w:sz w:val="32"/>
          <w:szCs w:val="32"/>
          <w:u w:val="thick"/>
        </w:rPr>
      </w:pPr>
      <w:r>
        <w:rPr>
          <w:rFonts w:hint="eastAsia"/>
          <w:b/>
          <w:sz w:val="32"/>
          <w:szCs w:val="32"/>
        </w:rPr>
        <w:t>采购</w:t>
      </w:r>
      <w:r>
        <w:rPr>
          <w:rFonts w:hint="eastAsia" w:ascii="宋体" w:hAnsi="宋体"/>
          <w:b/>
          <w:sz w:val="32"/>
          <w:szCs w:val="32"/>
        </w:rPr>
        <w:t>代理机构:</w:t>
      </w:r>
      <w:r>
        <w:rPr>
          <w:rFonts w:hint="eastAsia" w:ascii="宋体" w:hAnsi="宋体"/>
          <w:b/>
          <w:sz w:val="32"/>
          <w:szCs w:val="32"/>
          <w:u w:val="single"/>
        </w:rPr>
        <w:t xml:space="preserve"> 新疆金磐工程管理咨询有限公司 </w:t>
      </w:r>
      <w:r>
        <w:rPr>
          <w:rFonts w:hint="eastAsia" w:ascii="宋体" w:hAnsi="宋体"/>
          <w:b/>
          <w:sz w:val="32"/>
          <w:szCs w:val="32"/>
        </w:rPr>
        <w:t>（盖章）</w:t>
      </w:r>
    </w:p>
    <w:p>
      <w:pPr>
        <w:pStyle w:val="14"/>
        <w:spacing w:line="360" w:lineRule="auto"/>
        <w:ind w:firstLine="643" w:firstLineChars="200"/>
        <w:rPr>
          <w:rFonts w:hAnsi="宋体"/>
          <w:b/>
          <w:sz w:val="32"/>
          <w:szCs w:val="32"/>
          <w:u w:val="thick"/>
        </w:rPr>
      </w:pPr>
      <w:r>
        <w:rPr>
          <w:rFonts w:hint="eastAsia"/>
          <w:b/>
          <w:sz w:val="32"/>
          <w:szCs w:val="32"/>
        </w:rPr>
        <w:t>联系人</w:t>
      </w:r>
      <w:r>
        <w:rPr>
          <w:rFonts w:hint="eastAsia" w:hAnsi="宋体"/>
          <w:b/>
          <w:sz w:val="32"/>
          <w:szCs w:val="32"/>
        </w:rPr>
        <w:t>：</w:t>
      </w:r>
      <w:r>
        <w:rPr>
          <w:rFonts w:hint="eastAsia" w:hAnsi="宋体"/>
          <w:b/>
          <w:sz w:val="32"/>
          <w:szCs w:val="32"/>
          <w:u w:val="single"/>
        </w:rPr>
        <w:t xml:space="preserve"> 陈嘉俊 </w:t>
      </w:r>
    </w:p>
    <w:p>
      <w:pPr>
        <w:autoSpaceDN w:val="0"/>
        <w:spacing w:beforeAutospacing="1" w:afterAutospacing="1" w:line="360" w:lineRule="auto"/>
        <w:ind w:firstLine="643" w:firstLineChars="200"/>
        <w:rPr>
          <w:b/>
          <w:sz w:val="32"/>
          <w:szCs w:val="32"/>
          <w:u w:val="single"/>
        </w:rPr>
      </w:pPr>
      <w:r>
        <w:rPr>
          <w:rFonts w:hint="eastAsia" w:ascii="宋体" w:hAnsi="宋体"/>
          <w:b/>
          <w:sz w:val="32"/>
          <w:szCs w:val="32"/>
        </w:rPr>
        <w:t>联系电话：</w:t>
      </w:r>
      <w:r>
        <w:rPr>
          <w:rFonts w:hint="eastAsia" w:ascii="宋体" w:hAnsi="宋体"/>
          <w:b/>
          <w:sz w:val="32"/>
          <w:szCs w:val="32"/>
          <w:u w:val="single"/>
        </w:rPr>
        <w:t xml:space="preserve"> 13699977766 </w:t>
      </w:r>
    </w:p>
    <w:p>
      <w:pPr>
        <w:pStyle w:val="14"/>
        <w:jc w:val="center"/>
        <w:rPr>
          <w:b/>
          <w:sz w:val="36"/>
          <w:szCs w:val="36"/>
        </w:rPr>
      </w:pPr>
    </w:p>
    <w:p>
      <w:pPr>
        <w:pStyle w:val="14"/>
        <w:jc w:val="center"/>
        <w:rPr>
          <w:b/>
          <w:sz w:val="36"/>
          <w:szCs w:val="36"/>
        </w:rPr>
      </w:pPr>
    </w:p>
    <w:p>
      <w:pPr>
        <w:pStyle w:val="14"/>
        <w:jc w:val="center"/>
        <w:rPr>
          <w:b/>
          <w:sz w:val="36"/>
          <w:szCs w:val="36"/>
        </w:rPr>
      </w:pPr>
    </w:p>
    <w:p>
      <w:pPr>
        <w:pStyle w:val="14"/>
        <w:jc w:val="center"/>
        <w:rPr>
          <w:b/>
          <w:sz w:val="36"/>
          <w:szCs w:val="36"/>
        </w:rPr>
      </w:pPr>
    </w:p>
    <w:p>
      <w:pPr>
        <w:pStyle w:val="14"/>
        <w:jc w:val="center"/>
        <w:rPr>
          <w:b/>
          <w:lang w:val="zh-CN"/>
        </w:rPr>
      </w:pPr>
      <w:r>
        <w:rPr>
          <w:rFonts w:hint="eastAsia"/>
          <w:b/>
          <w:sz w:val="36"/>
          <w:szCs w:val="36"/>
        </w:rPr>
        <w:t>2023年08月</w:t>
      </w:r>
    </w:p>
    <w:p>
      <w:pPr>
        <w:pStyle w:val="61"/>
        <w:adjustRightInd w:val="0"/>
        <w:snapToGrid w:val="0"/>
        <w:jc w:val="center"/>
        <w:rPr>
          <w:b/>
          <w:color w:val="auto"/>
        </w:rPr>
      </w:pPr>
      <w:r>
        <w:rPr>
          <w:b/>
          <w:color w:val="auto"/>
          <w:lang w:val="zh-CN"/>
        </w:rPr>
        <w:t>目录</w:t>
      </w:r>
    </w:p>
    <w:p>
      <w:pPr>
        <w:pStyle w:val="20"/>
        <w:tabs>
          <w:tab w:val="right" w:leader="dot" w:pos="9073"/>
          <w:tab w:val="clear" w:pos="9628"/>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"_Toc6720" </w:instrText>
      </w:r>
      <w:r>
        <w:fldChar w:fldCharType="separate"/>
      </w:r>
      <w:r>
        <w:rPr>
          <w:rFonts w:ascii="仿宋" w:hAnsi="仿宋" w:eastAsia="仿宋"/>
          <w:bCs/>
          <w:kern w:val="0"/>
          <w:szCs w:val="32"/>
        </w:rPr>
        <w:t xml:space="preserve">第一章 </w:t>
      </w:r>
      <w:r>
        <w:rPr>
          <w:rFonts w:hint="eastAsia" w:ascii="仿宋" w:hAnsi="仿宋" w:eastAsia="仿宋" w:cs="仿宋"/>
          <w:bCs/>
          <w:kern w:val="0"/>
          <w:szCs w:val="32"/>
        </w:rPr>
        <w:t>招标公告</w:t>
      </w:r>
      <w:r>
        <w:tab/>
      </w:r>
      <w:r>
        <w:fldChar w:fldCharType="begin"/>
      </w:r>
      <w:r>
        <w:instrText xml:space="preserve"> PAGEREF _Toc6720 \h </w:instrText>
      </w:r>
      <w:r>
        <w:fldChar w:fldCharType="separate"/>
      </w:r>
      <w:r>
        <w:t>3</w:t>
      </w:r>
      <w:r>
        <w:fldChar w:fldCharType="end"/>
      </w:r>
      <w:r>
        <w:fldChar w:fldCharType="end"/>
      </w:r>
    </w:p>
    <w:p>
      <w:pPr>
        <w:pStyle w:val="20"/>
        <w:tabs>
          <w:tab w:val="right" w:leader="dot" w:pos="9073"/>
          <w:tab w:val="clear" w:pos="9628"/>
        </w:tabs>
      </w:pPr>
      <w:r>
        <w:fldChar w:fldCharType="begin"/>
      </w:r>
      <w:r>
        <w:instrText xml:space="preserve"> HYPERLINK \l "_Toc9775" </w:instrText>
      </w:r>
      <w:r>
        <w:fldChar w:fldCharType="separate"/>
      </w:r>
      <w:r>
        <w:rPr>
          <w:rFonts w:hint="eastAsia" w:ascii="仿宋" w:hAnsi="仿宋" w:eastAsia="仿宋" w:cs="仿宋"/>
          <w:szCs w:val="32"/>
        </w:rPr>
        <w:t>第二章 投标须知前附表</w:t>
      </w:r>
      <w:r>
        <w:tab/>
      </w:r>
      <w:r>
        <w:rPr>
          <w:rFonts w:hint="eastAsia"/>
        </w:rPr>
        <w:t>5</w:t>
      </w:r>
      <w:r>
        <w:rPr>
          <w:rFonts w:hint="eastAsia"/>
        </w:rPr>
        <w:fldChar w:fldCharType="end"/>
      </w:r>
    </w:p>
    <w:p>
      <w:pPr>
        <w:pStyle w:val="20"/>
        <w:tabs>
          <w:tab w:val="right" w:leader="dot" w:pos="9073"/>
          <w:tab w:val="clear" w:pos="9628"/>
        </w:tabs>
      </w:pPr>
      <w:r>
        <w:fldChar w:fldCharType="begin"/>
      </w:r>
      <w:r>
        <w:instrText xml:space="preserve"> HYPERLINK \l "_Toc8089" </w:instrText>
      </w:r>
      <w:r>
        <w:fldChar w:fldCharType="separate"/>
      </w:r>
      <w:r>
        <w:rPr>
          <w:rFonts w:hint="eastAsia" w:ascii="仿宋" w:hAnsi="仿宋" w:eastAsia="仿宋" w:cs="仿宋"/>
          <w:kern w:val="44"/>
          <w:szCs w:val="32"/>
        </w:rPr>
        <w:t>第三章投标人须知</w:t>
      </w:r>
      <w:r>
        <w:tab/>
      </w:r>
      <w:r>
        <w:fldChar w:fldCharType="begin"/>
      </w:r>
      <w:r>
        <w:instrText xml:space="preserve"> PAGEREF _Toc8089 \h </w:instrText>
      </w:r>
      <w:r>
        <w:fldChar w:fldCharType="separate"/>
      </w:r>
      <w:r>
        <w:t>1</w:t>
      </w:r>
      <w:r>
        <w:rPr>
          <w:rFonts w:hint="eastAsia"/>
        </w:rPr>
        <w:t>1</w:t>
      </w:r>
      <w:r>
        <w:fldChar w:fldCharType="end"/>
      </w:r>
      <w:r>
        <w:fldChar w:fldCharType="end"/>
      </w:r>
    </w:p>
    <w:p>
      <w:pPr>
        <w:pStyle w:val="20"/>
        <w:tabs>
          <w:tab w:val="right" w:leader="dot" w:pos="9073"/>
          <w:tab w:val="clear" w:pos="9628"/>
        </w:tabs>
      </w:pPr>
      <w:r>
        <w:fldChar w:fldCharType="begin"/>
      </w:r>
      <w:r>
        <w:instrText xml:space="preserve"> HYPERLINK \l "_Toc646" </w:instrText>
      </w:r>
      <w:r>
        <w:fldChar w:fldCharType="separate"/>
      </w:r>
      <w:r>
        <w:rPr>
          <w:rFonts w:hint="eastAsia" w:ascii="仿宋" w:hAnsi="仿宋" w:eastAsia="仿宋" w:cs="仿宋"/>
          <w:bCs/>
          <w:kern w:val="44"/>
          <w:szCs w:val="30"/>
        </w:rPr>
        <w:t>第四章 合同格式</w:t>
      </w:r>
      <w:r>
        <w:tab/>
      </w:r>
      <w:r>
        <w:rPr>
          <w:rFonts w:hint="eastAsia"/>
        </w:rPr>
        <w:t>3</w:t>
      </w:r>
      <w:r>
        <w:rPr>
          <w:rFonts w:hint="eastAsia"/>
        </w:rPr>
        <w:fldChar w:fldCharType="end"/>
      </w:r>
      <w:r>
        <w:rPr>
          <w:rFonts w:hint="eastAsia"/>
        </w:rPr>
        <w:t>5</w:t>
      </w:r>
    </w:p>
    <w:p>
      <w:pPr>
        <w:pStyle w:val="20"/>
        <w:tabs>
          <w:tab w:val="right" w:leader="dot" w:pos="9073"/>
          <w:tab w:val="clear" w:pos="9628"/>
        </w:tabs>
      </w:pPr>
      <w:r>
        <w:fldChar w:fldCharType="begin"/>
      </w:r>
      <w:r>
        <w:instrText xml:space="preserve"> HYPERLINK \l "_Toc6497" </w:instrText>
      </w:r>
      <w:r>
        <w:fldChar w:fldCharType="separate"/>
      </w:r>
      <w:r>
        <w:rPr>
          <w:rFonts w:hint="eastAsia" w:ascii="仿宋" w:hAnsi="仿宋" w:eastAsia="仿宋" w:cs="仿宋"/>
          <w:szCs w:val="30"/>
        </w:rPr>
        <w:t>第五章 采购需求</w:t>
      </w:r>
      <w:r>
        <w:tab/>
      </w:r>
      <w:r>
        <w:rPr>
          <w:rFonts w:hint="eastAsia"/>
        </w:rPr>
        <w:t>4</w:t>
      </w:r>
      <w:r>
        <w:rPr>
          <w:rFonts w:hint="eastAsia"/>
        </w:rPr>
        <w:fldChar w:fldCharType="end"/>
      </w:r>
      <w:r>
        <w:rPr>
          <w:rFonts w:hint="eastAsia"/>
        </w:rPr>
        <w:t>9</w:t>
      </w:r>
    </w:p>
    <w:p>
      <w:pPr>
        <w:pStyle w:val="20"/>
        <w:tabs>
          <w:tab w:val="right" w:leader="dot" w:pos="9073"/>
          <w:tab w:val="clear" w:pos="9628"/>
        </w:tabs>
        <w:rPr>
          <w:rFonts w:asciiTheme="minorEastAsia" w:hAnsiTheme="minorEastAsia" w:cstheme="minorEastAsia"/>
          <w:sz w:val="28"/>
          <w:szCs w:val="28"/>
          <w:highlight w:val="yellow"/>
        </w:rPr>
      </w:pPr>
      <w:r>
        <w:fldChar w:fldCharType="begin"/>
      </w:r>
      <w:r>
        <w:instrText xml:space="preserve"> HYPERLINK \l "_Toc14947" </w:instrText>
      </w:r>
      <w:r>
        <w:fldChar w:fldCharType="separate"/>
      </w:r>
      <w:r>
        <w:rPr>
          <w:rFonts w:hint="eastAsia" w:ascii="仿宋" w:hAnsi="仿宋" w:eastAsia="仿宋" w:cs="仿宋"/>
          <w:szCs w:val="30"/>
        </w:rPr>
        <w:t>第六章 投标文件部分格式</w:t>
      </w:r>
      <w:r>
        <w:tab/>
      </w:r>
      <w:r>
        <w:t>5</w:t>
      </w:r>
      <w:r>
        <w:fldChar w:fldCharType="end"/>
      </w:r>
      <w:r>
        <w:rPr>
          <w:rFonts w:hint="eastAsia" w:asciiTheme="minorEastAsia" w:hAnsiTheme="minorEastAsia" w:cstheme="minorEastAsia"/>
          <w:szCs w:val="28"/>
        </w:rPr>
        <w:fldChar w:fldCharType="end"/>
      </w:r>
      <w:r>
        <w:rPr>
          <w:rFonts w:hint="eastAsia"/>
          <w:szCs w:val="28"/>
        </w:rPr>
        <w:t>2</w:t>
      </w:r>
    </w:p>
    <w:p>
      <w:pPr>
        <w:rPr>
          <w:highlight w:val="yellow"/>
        </w:rPr>
      </w:pPr>
    </w:p>
    <w:p>
      <w:pPr>
        <w:rPr>
          <w:highlight w:val="yellow"/>
        </w:rPr>
      </w:pPr>
    </w:p>
    <w:p>
      <w:pPr>
        <w:rPr>
          <w:highlight w:val="yellow"/>
        </w:rPr>
      </w:pPr>
    </w:p>
    <w:p>
      <w:pPr>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36"/>
        <w:ind w:firstLine="560"/>
        <w:rPr>
          <w:rFonts w:asciiTheme="minorEastAsia" w:hAnsiTheme="minorEastAsia" w:cstheme="minorEastAsia"/>
          <w:sz w:val="28"/>
          <w:szCs w:val="28"/>
          <w:highlight w:val="yellow"/>
        </w:rPr>
      </w:pPr>
    </w:p>
    <w:p>
      <w:pPr>
        <w:pStyle w:val="22"/>
        <w:rPr>
          <w:szCs w:val="44"/>
          <w:highlight w:val="yellow"/>
        </w:rPr>
      </w:pPr>
    </w:p>
    <w:p>
      <w:pPr>
        <w:pStyle w:val="22"/>
        <w:rPr>
          <w:szCs w:val="44"/>
          <w:highlight w:val="yellow"/>
        </w:rPr>
      </w:pPr>
    </w:p>
    <w:p>
      <w:pPr>
        <w:pStyle w:val="22"/>
        <w:rPr>
          <w:szCs w:val="44"/>
          <w:highlight w:val="yellow"/>
        </w:rPr>
      </w:pPr>
    </w:p>
    <w:p>
      <w:pPr>
        <w:pStyle w:val="22"/>
        <w:rPr>
          <w:szCs w:val="44"/>
          <w:highlight w:val="yellow"/>
        </w:rPr>
      </w:pPr>
    </w:p>
    <w:p>
      <w:pPr>
        <w:pStyle w:val="22"/>
        <w:rPr>
          <w:szCs w:val="44"/>
          <w:highlight w:val="yellow"/>
        </w:rPr>
      </w:pPr>
    </w:p>
    <w:p>
      <w:pPr>
        <w:pStyle w:val="22"/>
        <w:rPr>
          <w:szCs w:val="44"/>
          <w:highlight w:val="yellow"/>
        </w:rPr>
      </w:pPr>
    </w:p>
    <w:p>
      <w:pPr>
        <w:pStyle w:val="22"/>
        <w:rPr>
          <w:szCs w:val="44"/>
          <w:highlight w:val="yellow"/>
        </w:rPr>
      </w:pPr>
    </w:p>
    <w:p>
      <w:pPr>
        <w:pStyle w:val="22"/>
        <w:rPr>
          <w:szCs w:val="44"/>
          <w:highlight w:val="yellow"/>
        </w:rPr>
      </w:pPr>
    </w:p>
    <w:p>
      <w:pPr>
        <w:rPr>
          <w:highlight w:val="yellow"/>
        </w:rPr>
      </w:pPr>
    </w:p>
    <w:p>
      <w:pPr>
        <w:rPr>
          <w:szCs w:val="44"/>
          <w:highlight w:val="yellow"/>
        </w:rPr>
      </w:pPr>
    </w:p>
    <w:p>
      <w:pPr>
        <w:pStyle w:val="28"/>
        <w:ind w:firstLine="210"/>
        <w:rPr>
          <w:highlight w:val="yellow"/>
        </w:rPr>
      </w:pPr>
    </w:p>
    <w:p>
      <w:pPr>
        <w:pStyle w:val="36"/>
        <w:ind w:firstLine="420"/>
        <w:rPr>
          <w:szCs w:val="44"/>
          <w:highlight w:val="yellow"/>
        </w:rPr>
      </w:pPr>
    </w:p>
    <w:p>
      <w:pPr>
        <w:pStyle w:val="36"/>
        <w:ind w:firstLine="420"/>
        <w:rPr>
          <w:szCs w:val="44"/>
          <w:highlight w:val="yellow"/>
        </w:rPr>
      </w:pPr>
    </w:p>
    <w:p>
      <w:pPr>
        <w:pStyle w:val="36"/>
        <w:ind w:firstLine="420"/>
        <w:rPr>
          <w:szCs w:val="44"/>
          <w:highlight w:val="yellow"/>
        </w:rPr>
      </w:pPr>
    </w:p>
    <w:p>
      <w:pPr>
        <w:pStyle w:val="36"/>
        <w:ind w:firstLine="420"/>
        <w:rPr>
          <w:szCs w:val="44"/>
          <w:highlight w:val="yellow"/>
        </w:rPr>
      </w:pPr>
    </w:p>
    <w:p>
      <w:pPr>
        <w:pStyle w:val="36"/>
        <w:ind w:firstLine="420"/>
        <w:rPr>
          <w:szCs w:val="44"/>
          <w:highlight w:val="yellow"/>
        </w:rPr>
      </w:pPr>
    </w:p>
    <w:p>
      <w:pPr>
        <w:pStyle w:val="36"/>
        <w:ind w:firstLine="420"/>
        <w:rPr>
          <w:szCs w:val="44"/>
          <w:highlight w:val="yellow"/>
        </w:rPr>
      </w:pPr>
    </w:p>
    <w:p>
      <w:pPr>
        <w:numPr>
          <w:ilvl w:val="0"/>
          <w:numId w:val="1"/>
        </w:numPr>
        <w:snapToGrid w:val="0"/>
        <w:spacing w:before="240" w:beforeLines="100" w:after="120" w:afterLines="50"/>
        <w:jc w:val="center"/>
        <w:textAlignment w:val="baseline"/>
        <w:outlineLvl w:val="0"/>
        <w:rPr>
          <w:rFonts w:ascii="仿宋" w:hAnsi="仿宋" w:eastAsia="仿宋" w:cs="仿宋"/>
          <w:b/>
          <w:bCs/>
          <w:kern w:val="0"/>
          <w:sz w:val="32"/>
          <w:szCs w:val="32"/>
          <w:u w:color="000000"/>
        </w:rPr>
      </w:pPr>
      <w:bookmarkStart w:id="0" w:name="_Toc6720"/>
      <w:r>
        <w:rPr>
          <w:rFonts w:hint="eastAsia" w:ascii="仿宋" w:hAnsi="仿宋" w:eastAsia="仿宋" w:cs="仿宋"/>
          <w:b/>
          <w:bCs/>
          <w:kern w:val="0"/>
          <w:sz w:val="32"/>
          <w:szCs w:val="32"/>
          <w:u w:color="000000"/>
        </w:rPr>
        <w:t>招标公告</w:t>
      </w:r>
      <w:bookmarkEnd w:id="0"/>
    </w:p>
    <w:tbl>
      <w:tblPr>
        <w:tblStyle w:val="30"/>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540" w:type="dxa"/>
            <w:noWrap/>
          </w:tcPr>
          <w:p>
            <w:pPr>
              <w:pStyle w:val="26"/>
              <w:widowControl w:val="0"/>
              <w:spacing w:before="60" w:after="120"/>
            </w:pPr>
            <w:r>
              <w:rPr>
                <w:rFonts w:hint="eastAsia"/>
              </w:rPr>
              <w:t>项目概况</w:t>
            </w:r>
          </w:p>
          <w:p>
            <w:pPr>
              <w:pStyle w:val="26"/>
              <w:widowControl w:val="0"/>
              <w:spacing w:before="60" w:after="120"/>
              <w:ind w:firstLine="480" w:firstLineChars="200"/>
            </w:pPr>
            <w:r>
              <w:rPr>
                <w:rFonts w:hint="eastAsia"/>
                <w:u w:val="single"/>
              </w:rPr>
              <w:t>巩留县2023年教育系统所需大宗食材、半成品配送采购项目</w:t>
            </w:r>
            <w:r>
              <w:rPr>
                <w:rFonts w:hint="eastAsia"/>
              </w:rPr>
              <w:t>的潜在供应商应在</w:t>
            </w:r>
            <w:r>
              <w:rPr>
                <w:rFonts w:hint="eastAsia"/>
                <w:u w:val="single"/>
              </w:rPr>
              <w:t>政府采购云平台（https://www.zcygov.cn/）</w:t>
            </w:r>
            <w:r>
              <w:rPr>
                <w:rFonts w:hint="eastAsia"/>
              </w:rPr>
              <w:t>获取采购文件，并于</w:t>
            </w:r>
            <w:r>
              <w:rPr>
                <w:rFonts w:hint="eastAsia" w:ascii="仿宋" w:hAnsi="仿宋" w:eastAsia="仿宋" w:cs="仿宋"/>
                <w:u w:val="single"/>
              </w:rPr>
              <w:t>2023</w:t>
            </w:r>
            <w:r>
              <w:rPr>
                <w:rFonts w:hint="eastAsia" w:ascii="仿宋" w:hAnsi="仿宋" w:eastAsia="仿宋" w:cs="仿宋"/>
              </w:rPr>
              <w:t>年</w:t>
            </w:r>
            <w:r>
              <w:rPr>
                <w:rFonts w:hint="eastAsia" w:ascii="仿宋" w:hAnsi="仿宋" w:eastAsia="仿宋" w:cs="仿宋"/>
                <w:u w:val="single"/>
              </w:rPr>
              <w:t>08</w:t>
            </w:r>
            <w:r>
              <w:rPr>
                <w:rFonts w:hint="eastAsia" w:ascii="仿宋" w:hAnsi="仿宋" w:eastAsia="仿宋" w:cs="仿宋"/>
              </w:rPr>
              <w:t>月</w:t>
            </w:r>
            <w:r>
              <w:rPr>
                <w:rFonts w:hint="eastAsia" w:ascii="仿宋" w:hAnsi="仿宋" w:eastAsia="仿宋" w:cs="仿宋"/>
                <w:u w:val="single"/>
              </w:rPr>
              <w:t>25</w:t>
            </w:r>
            <w:r>
              <w:rPr>
                <w:rFonts w:hint="eastAsia" w:ascii="仿宋" w:hAnsi="仿宋" w:eastAsia="仿宋" w:cs="仿宋"/>
              </w:rPr>
              <w:t>日</w:t>
            </w:r>
            <w:r>
              <w:rPr>
                <w:rFonts w:hint="eastAsia" w:ascii="仿宋" w:hAnsi="仿宋" w:eastAsia="仿宋" w:cs="仿宋"/>
                <w:u w:val="single"/>
              </w:rPr>
              <w:t>16点00分</w:t>
            </w:r>
            <w:r>
              <w:rPr>
                <w:rFonts w:hint="eastAsia"/>
              </w:rPr>
              <w:t xml:space="preserve">（北京时间）前提交响应文件。    </w:t>
            </w:r>
          </w:p>
        </w:tc>
      </w:tr>
    </w:tbl>
    <w:p>
      <w:pPr>
        <w:pStyle w:val="26"/>
        <w:numPr>
          <w:ilvl w:val="0"/>
          <w:numId w:val="2"/>
        </w:numPr>
        <w:spacing w:before="204" w:after="204"/>
        <w:ind w:firstLine="482" w:firstLineChars="200"/>
        <w:jc w:val="both"/>
      </w:pPr>
      <w:r>
        <w:rPr>
          <w:rStyle w:val="32"/>
          <w:rFonts w:hint="eastAsia" w:ascii="宋体" w:hAnsi="宋体" w:cs="宋体"/>
        </w:rPr>
        <w:t>项目基本情况</w:t>
      </w:r>
    </w:p>
    <w:p>
      <w:pPr>
        <w:pStyle w:val="26"/>
        <w:spacing w:before="60" w:after="60"/>
        <w:ind w:firstLine="480" w:firstLineChars="200"/>
      </w:pPr>
      <w:r>
        <w:rPr>
          <w:rFonts w:hint="eastAsia"/>
        </w:rPr>
        <w:t>项目编号：XJJP-2023-083；</w:t>
      </w:r>
    </w:p>
    <w:p>
      <w:pPr>
        <w:pStyle w:val="26"/>
        <w:spacing w:before="60" w:after="60"/>
        <w:ind w:firstLine="480" w:firstLineChars="200"/>
      </w:pPr>
      <w:r>
        <w:rPr>
          <w:rFonts w:hint="eastAsia"/>
        </w:rPr>
        <w:t>项目名称：巩留县2023年教育系统所需大宗食材、半成品配送采购项目；</w:t>
      </w:r>
    </w:p>
    <w:p>
      <w:pPr>
        <w:pStyle w:val="26"/>
        <w:spacing w:before="60" w:after="60"/>
        <w:ind w:firstLine="480" w:firstLineChars="200"/>
      </w:pPr>
      <w:r>
        <w:rPr>
          <w:rFonts w:hint="eastAsia"/>
        </w:rPr>
        <w:t>采购方式：公开招标；</w:t>
      </w:r>
    </w:p>
    <w:p>
      <w:pPr>
        <w:pStyle w:val="26"/>
        <w:spacing w:before="60" w:after="60"/>
        <w:ind w:firstLine="480" w:firstLineChars="200"/>
      </w:pPr>
      <w:r>
        <w:rPr>
          <w:rFonts w:hint="eastAsia"/>
        </w:rPr>
        <w:t>采购内容：学生餐厅所需：原料、半成品；原辅材料：鲜牛肉、鲜羊肉、鲜鸡肉、鱼、海鲜类、蔬菜、水果、蛋、坚果、盐、调味品、馒头、包子、花卷、鲜切面、大米、食用油、面粉、鲜肉、蔬菜、调料、干果类、奶制品等其他品种。</w:t>
      </w:r>
    </w:p>
    <w:p>
      <w:pPr>
        <w:pStyle w:val="26"/>
        <w:spacing w:before="60" w:after="60"/>
        <w:ind w:firstLine="480" w:firstLineChars="200"/>
      </w:pPr>
      <w:r>
        <w:rPr>
          <w:rFonts w:hint="eastAsia"/>
        </w:rPr>
        <w:t>合同履约期限：2023年9月-2026年9月； </w:t>
      </w:r>
    </w:p>
    <w:p>
      <w:pPr>
        <w:pStyle w:val="26"/>
        <w:spacing w:before="60" w:after="60"/>
        <w:ind w:firstLine="480" w:firstLineChars="200"/>
        <w:rPr>
          <w:color w:val="0000FF"/>
        </w:rPr>
      </w:pPr>
      <w:r>
        <w:rPr>
          <w:rFonts w:hint="eastAsia"/>
          <w:color w:val="0000FF"/>
        </w:rPr>
        <w:t>本项目（否）接受联合体投标。</w:t>
      </w:r>
    </w:p>
    <w:p>
      <w:pPr>
        <w:pStyle w:val="26"/>
        <w:spacing w:before="60" w:after="60"/>
        <w:ind w:firstLine="482" w:firstLineChars="200"/>
      </w:pPr>
      <w:r>
        <w:rPr>
          <w:rStyle w:val="32"/>
          <w:rFonts w:hint="eastAsia" w:ascii="宋体" w:hAnsi="宋体" w:cs="宋体"/>
        </w:rPr>
        <w:t>二、申请人的资格要求</w:t>
      </w:r>
    </w:p>
    <w:p>
      <w:pPr>
        <w:spacing w:line="320" w:lineRule="exact"/>
        <w:ind w:firstLine="480" w:firstLineChars="200"/>
        <w:rPr>
          <w:rFonts w:ascii="宋体" w:hAnsi="宋体" w:cs="宋体"/>
          <w:sz w:val="24"/>
          <w:szCs w:val="24"/>
        </w:rPr>
      </w:pPr>
      <w:r>
        <w:rPr>
          <w:rFonts w:hint="eastAsia" w:ascii="宋体" w:hAnsi="宋体" w:cs="宋体"/>
          <w:sz w:val="24"/>
          <w:szCs w:val="24"/>
        </w:rPr>
        <w:t>1.符合《中华人民共和国政府采购法》第二十二条的相关规定； </w:t>
      </w:r>
    </w:p>
    <w:p>
      <w:pPr>
        <w:spacing w:line="320" w:lineRule="exact"/>
        <w:ind w:firstLine="480" w:firstLineChars="200"/>
        <w:rPr>
          <w:rFonts w:ascii="宋体" w:hAnsi="宋体" w:cs="宋体"/>
          <w:sz w:val="24"/>
          <w:szCs w:val="24"/>
        </w:rPr>
      </w:pPr>
      <w:r>
        <w:rPr>
          <w:rFonts w:hint="eastAsia" w:ascii="宋体" w:hAnsi="宋体" w:cs="宋体"/>
          <w:sz w:val="24"/>
          <w:szCs w:val="24"/>
        </w:rPr>
        <w:t>2.落实政府采购政策需满足的资格要求：</w:t>
      </w:r>
      <w:r>
        <w:rPr>
          <w:rFonts w:hint="eastAsia" w:ascii="宋体" w:hAnsi="宋体" w:cs="宋体"/>
          <w:kern w:val="0"/>
          <w:sz w:val="24"/>
          <w:szCs w:val="24"/>
        </w:rPr>
        <w:t>供应商为中小企业；</w:t>
      </w:r>
    </w:p>
    <w:p>
      <w:pPr>
        <w:spacing w:line="320" w:lineRule="exact"/>
        <w:ind w:firstLine="480" w:firstLineChars="200"/>
        <w:rPr>
          <w:rFonts w:ascii="宋体" w:hAnsi="宋体" w:cs="宋体"/>
          <w:sz w:val="24"/>
          <w:szCs w:val="24"/>
        </w:rPr>
      </w:pPr>
      <w:r>
        <w:rPr>
          <w:rFonts w:hint="eastAsia" w:ascii="宋体" w:hAnsi="宋体" w:cs="宋体"/>
          <w:sz w:val="24"/>
          <w:szCs w:val="24"/>
        </w:rPr>
        <w:t>3.本项目的特定资格要求：具备有效的营业执照；</w:t>
      </w:r>
    </w:p>
    <w:p>
      <w:pPr>
        <w:pStyle w:val="26"/>
        <w:spacing w:before="60" w:after="60"/>
        <w:ind w:firstLine="482" w:firstLineChars="200"/>
      </w:pPr>
      <w:r>
        <w:rPr>
          <w:rStyle w:val="32"/>
          <w:rFonts w:hint="eastAsia" w:ascii="宋体" w:hAnsi="宋体" w:cs="宋体"/>
        </w:rPr>
        <w:t>三、获取采购文件</w:t>
      </w:r>
    </w:p>
    <w:p>
      <w:pPr>
        <w:pStyle w:val="26"/>
        <w:spacing w:before="60" w:after="60" w:line="320" w:lineRule="exact"/>
        <w:rPr>
          <w:kern w:val="2"/>
        </w:rPr>
      </w:pPr>
      <w:r>
        <w:rPr>
          <w:rFonts w:hint="eastAsia"/>
          <w:kern w:val="2"/>
        </w:rPr>
        <w:t>时间：2023年08月04日至2023年08月11日，每天上午10:00至14:00，下午16:00至20:00（北京时间，法定节假日除外）；</w:t>
      </w:r>
    </w:p>
    <w:p>
      <w:pPr>
        <w:pStyle w:val="26"/>
        <w:spacing w:before="60" w:after="60" w:line="320" w:lineRule="exact"/>
        <w:ind w:firstLine="480" w:firstLineChars="200"/>
        <w:rPr>
          <w:kern w:val="2"/>
        </w:rPr>
      </w:pPr>
      <w:r>
        <w:rPr>
          <w:rFonts w:hint="eastAsia"/>
          <w:kern w:val="2"/>
        </w:rPr>
        <w:t>地点：政府采购云平台线上获取；</w:t>
      </w:r>
    </w:p>
    <w:p>
      <w:pPr>
        <w:pStyle w:val="26"/>
        <w:spacing w:before="60" w:after="60" w:line="320" w:lineRule="exact"/>
        <w:ind w:firstLine="480" w:firstLineChars="200"/>
        <w:rPr>
          <w:kern w:val="2"/>
        </w:rPr>
      </w:pPr>
      <w:r>
        <w:rPr>
          <w:rFonts w:hint="eastAsia"/>
          <w:kern w:val="2"/>
        </w:rPr>
        <w:t>方式：（1）供应商登录政府采购云平台（https://www.zcygov.cn/）在线申请获取采购文件（登录政府采购云平台 → 项目采购 → 获取招标文件→申请，审核通过后可下载招标文件，如有操作性问题，可与政采云在线客服进行咨询）；</w:t>
      </w:r>
    </w:p>
    <w:p>
      <w:pPr>
        <w:pStyle w:val="26"/>
        <w:spacing w:before="60" w:after="60" w:line="320" w:lineRule="exact"/>
        <w:rPr>
          <w:kern w:val="2"/>
        </w:rPr>
      </w:pPr>
      <w:r>
        <w:rPr>
          <w:rFonts w:hint="eastAsia"/>
          <w:kern w:val="2"/>
        </w:rPr>
        <w:t>（2）供应商获取采购文件前应注册成为政府采购云平台正式供应商；   </w:t>
      </w:r>
    </w:p>
    <w:p>
      <w:pPr>
        <w:pStyle w:val="26"/>
        <w:spacing w:before="60" w:after="60" w:line="320" w:lineRule="exact"/>
        <w:ind w:firstLine="480" w:firstLineChars="200"/>
        <w:rPr>
          <w:kern w:val="2"/>
        </w:rPr>
      </w:pPr>
      <w:r>
        <w:rPr>
          <w:rFonts w:hint="eastAsia"/>
          <w:kern w:val="2"/>
        </w:rPr>
        <w:t>售价（元）：0.00。 </w:t>
      </w:r>
    </w:p>
    <w:p>
      <w:pPr>
        <w:pStyle w:val="26"/>
        <w:spacing w:before="0" w:beforeAutospacing="0" w:after="0" w:afterAutospacing="0" w:line="360" w:lineRule="auto"/>
        <w:ind w:firstLine="482" w:firstLineChars="200"/>
        <w:rPr>
          <w:b/>
          <w:bCs/>
        </w:rPr>
      </w:pPr>
      <w:r>
        <w:rPr>
          <w:rFonts w:hint="eastAsia"/>
          <w:b/>
          <w:bCs/>
        </w:rPr>
        <w:t>四、提交投标文件截止时间、开标时间和地点</w:t>
      </w:r>
    </w:p>
    <w:p>
      <w:pPr>
        <w:pStyle w:val="26"/>
        <w:spacing w:before="60" w:after="60" w:line="320" w:lineRule="exact"/>
        <w:ind w:firstLine="480" w:firstLineChars="200"/>
        <w:rPr>
          <w:kern w:val="2"/>
        </w:rPr>
      </w:pPr>
      <w:r>
        <w:rPr>
          <w:rFonts w:hint="eastAsia"/>
          <w:kern w:val="2"/>
        </w:rPr>
        <w:t>提交投标文件截止时间：</w:t>
      </w:r>
      <w:r>
        <w:rPr>
          <w:rFonts w:hint="eastAsia" w:ascii="仿宋" w:hAnsi="仿宋" w:eastAsia="仿宋" w:cs="仿宋"/>
        </w:rPr>
        <w:t>2023年08月25日16点00分</w:t>
      </w:r>
      <w:r>
        <w:rPr>
          <w:rFonts w:hint="eastAsia"/>
          <w:kern w:val="2"/>
        </w:rPr>
        <w:t>（北京时间）</w:t>
      </w:r>
    </w:p>
    <w:p>
      <w:pPr>
        <w:pStyle w:val="26"/>
        <w:spacing w:before="60" w:after="60" w:line="320" w:lineRule="exact"/>
        <w:ind w:firstLine="480" w:firstLineChars="200"/>
        <w:rPr>
          <w:kern w:val="2"/>
        </w:rPr>
      </w:pPr>
      <w:r>
        <w:rPr>
          <w:rFonts w:hint="eastAsia"/>
          <w:kern w:val="2"/>
        </w:rPr>
        <w:t>投标地点：政府采购云平台（https://www.zcygov.cn/）</w:t>
      </w:r>
    </w:p>
    <w:p>
      <w:pPr>
        <w:pStyle w:val="26"/>
        <w:spacing w:before="60" w:after="60" w:line="320" w:lineRule="exact"/>
        <w:ind w:firstLine="480" w:firstLineChars="200"/>
        <w:rPr>
          <w:kern w:val="2"/>
        </w:rPr>
      </w:pPr>
      <w:r>
        <w:rPr>
          <w:rFonts w:hint="eastAsia"/>
          <w:kern w:val="2"/>
        </w:rPr>
        <w:t>开标时间：</w:t>
      </w:r>
      <w:r>
        <w:rPr>
          <w:rFonts w:hint="eastAsia" w:ascii="仿宋" w:hAnsi="仿宋" w:eastAsia="仿宋" w:cs="仿宋"/>
        </w:rPr>
        <w:t>2023年08月25日16点00分</w:t>
      </w:r>
      <w:r>
        <w:rPr>
          <w:rFonts w:hint="eastAsia"/>
          <w:kern w:val="2"/>
        </w:rPr>
        <w:t>（北京时间）</w:t>
      </w:r>
    </w:p>
    <w:p>
      <w:pPr>
        <w:pStyle w:val="26"/>
        <w:spacing w:before="60" w:after="60" w:line="320" w:lineRule="exact"/>
        <w:ind w:firstLine="480" w:firstLineChars="200"/>
        <w:rPr>
          <w:kern w:val="2"/>
        </w:rPr>
      </w:pPr>
      <w:r>
        <w:rPr>
          <w:rFonts w:hint="eastAsia"/>
          <w:kern w:val="2"/>
        </w:rPr>
        <w:t>开标地点：政府采购云平台（https://www.zcygov.cn/）</w:t>
      </w:r>
    </w:p>
    <w:p>
      <w:pPr>
        <w:pStyle w:val="26"/>
        <w:spacing w:before="60" w:after="60"/>
        <w:ind w:firstLine="482" w:firstLineChars="200"/>
        <w:rPr>
          <w:rStyle w:val="32"/>
          <w:rFonts w:ascii="宋体" w:hAnsi="宋体" w:cs="宋体"/>
        </w:rPr>
      </w:pPr>
      <w:r>
        <w:rPr>
          <w:rFonts w:hint="eastAsia"/>
          <w:b/>
          <w:bCs/>
        </w:rPr>
        <w:t>五</w:t>
      </w:r>
      <w:r>
        <w:rPr>
          <w:rStyle w:val="32"/>
          <w:rFonts w:hint="eastAsia" w:ascii="宋体" w:hAnsi="宋体" w:cs="宋体"/>
        </w:rPr>
        <w:t>、公告期限</w:t>
      </w:r>
    </w:p>
    <w:p>
      <w:pPr>
        <w:pStyle w:val="26"/>
        <w:spacing w:before="204" w:after="204"/>
        <w:ind w:firstLine="480" w:firstLineChars="200"/>
        <w:jc w:val="both"/>
      </w:pPr>
      <w:r>
        <w:rPr>
          <w:rFonts w:hint="eastAsia"/>
        </w:rPr>
        <w:t>自本公告发布之日起5个工作日。</w:t>
      </w:r>
    </w:p>
    <w:p>
      <w:pPr>
        <w:pStyle w:val="26"/>
        <w:spacing w:before="204" w:after="204"/>
        <w:ind w:firstLine="482" w:firstLineChars="200"/>
        <w:jc w:val="both"/>
      </w:pPr>
      <w:r>
        <w:rPr>
          <w:rStyle w:val="32"/>
          <w:rFonts w:hint="eastAsia" w:ascii="宋体" w:hAnsi="宋体" w:cs="宋体"/>
        </w:rPr>
        <w:t>六、其他补充事宜</w:t>
      </w:r>
      <w:r>
        <w:rPr>
          <w:rFonts w:hint="eastAsia"/>
        </w:rPr>
        <w:t> </w:t>
      </w:r>
    </w:p>
    <w:p>
      <w:pPr>
        <w:spacing w:line="320" w:lineRule="exact"/>
        <w:ind w:firstLine="480" w:firstLineChars="200"/>
        <w:rPr>
          <w:rFonts w:ascii="宋体" w:hAnsi="宋体" w:cs="宋体"/>
          <w:sz w:val="24"/>
          <w:szCs w:val="24"/>
        </w:rPr>
      </w:pPr>
      <w:r>
        <w:rPr>
          <w:rFonts w:hint="eastAsia" w:ascii="宋体" w:hAnsi="宋体" w:cs="宋体"/>
          <w:sz w:val="24"/>
          <w:szCs w:val="24"/>
        </w:rPr>
        <w:t>1.本项目采用全流程不见面电子开评标，投标供应商需要使用CA加密设备，供应商可通过新疆数字证书认证中心官网（https://www.xjca.com.cn/）或下载“新疆政务通”APP自行进行申领。</w:t>
      </w:r>
    </w:p>
    <w:p>
      <w:pPr>
        <w:spacing w:line="320" w:lineRule="exact"/>
        <w:ind w:firstLine="480" w:firstLineChars="200"/>
        <w:rPr>
          <w:rFonts w:ascii="宋体" w:hAnsi="宋体" w:cs="宋体"/>
          <w:sz w:val="24"/>
          <w:szCs w:val="24"/>
        </w:rPr>
      </w:pPr>
      <w:r>
        <w:rPr>
          <w:rFonts w:hint="eastAsia" w:ascii="宋体" w:hAnsi="宋体" w:cs="宋体"/>
          <w:sz w:val="24"/>
          <w:szCs w:val="24"/>
        </w:rPr>
        <w:t>2.本项目实行网上投标，采用加密电子投标文件(供应商须使用CA加密设备通过政采云电子投标客户端制作投标文件)。若供应商参与投标，自行承担投标一切费用。</w:t>
      </w:r>
    </w:p>
    <w:p>
      <w:pPr>
        <w:spacing w:line="320" w:lineRule="exact"/>
        <w:ind w:firstLine="480" w:firstLineChars="200"/>
        <w:rPr>
          <w:rFonts w:ascii="宋体" w:hAnsi="宋体" w:cs="宋体"/>
          <w:sz w:val="24"/>
          <w:szCs w:val="24"/>
        </w:rPr>
      </w:pPr>
      <w:r>
        <w:rPr>
          <w:rFonts w:hint="eastAsia" w:ascii="宋体" w:hAnsi="宋体" w:cs="宋体"/>
          <w:sz w:val="24"/>
          <w:szCs w:val="24"/>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spacing w:line="320" w:lineRule="exact"/>
        <w:ind w:firstLine="480" w:firstLineChars="200"/>
        <w:rPr>
          <w:rFonts w:ascii="宋体" w:hAnsi="宋体" w:cs="宋体"/>
          <w:sz w:val="24"/>
          <w:szCs w:val="24"/>
        </w:rPr>
      </w:pPr>
      <w:r>
        <w:rPr>
          <w:rFonts w:hint="eastAsia" w:ascii="宋体" w:hAnsi="宋体" w:cs="宋体"/>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spacing w:line="320" w:lineRule="exact"/>
        <w:ind w:firstLine="480" w:firstLineChars="200"/>
        <w:rPr>
          <w:rFonts w:ascii="宋体" w:hAnsi="宋体" w:cs="宋体"/>
          <w:sz w:val="24"/>
          <w:szCs w:val="24"/>
        </w:rPr>
      </w:pPr>
      <w:r>
        <w:rPr>
          <w:rFonts w:hint="eastAsia" w:ascii="宋体" w:hAnsi="宋体" w:cs="宋体"/>
          <w:sz w:val="24"/>
          <w:szCs w:val="24"/>
        </w:rPr>
        <w:t>5.供应商在开标时须使用制作加密电子投标文件所使用的CA锁及电脑，电脑须提前配置好浏览器（建议使用谷歌浏览器），以便开标时解锁。</w:t>
      </w:r>
    </w:p>
    <w:p>
      <w:pPr>
        <w:spacing w:line="320" w:lineRule="exact"/>
        <w:ind w:firstLine="480" w:firstLineChars="200"/>
        <w:rPr>
          <w:rFonts w:ascii="宋体" w:hAnsi="宋体" w:cs="宋体"/>
          <w:sz w:val="24"/>
          <w:szCs w:val="24"/>
        </w:rPr>
      </w:pPr>
      <w:r>
        <w:rPr>
          <w:rFonts w:hint="eastAsia" w:ascii="宋体" w:hAnsi="宋体" w:cs="宋体"/>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20" w:lineRule="exact"/>
        <w:ind w:firstLine="480" w:firstLineChars="200"/>
        <w:rPr>
          <w:rFonts w:ascii="宋体" w:hAnsi="宋体" w:cs="宋体"/>
          <w:sz w:val="24"/>
          <w:szCs w:val="24"/>
        </w:rPr>
      </w:pPr>
      <w:r>
        <w:rPr>
          <w:rFonts w:hint="eastAsia" w:ascii="宋体" w:hAnsi="宋体" w:cs="宋体"/>
          <w:sz w:val="24"/>
          <w:szCs w:val="24"/>
        </w:rPr>
        <w:t>7.为了保证开评标顺利进行，政采云线上开标功能完全实现，供应商开标所使用的电脑设备须具有视频及语音功能。</w:t>
      </w:r>
    </w:p>
    <w:p>
      <w:pPr>
        <w:spacing w:line="320" w:lineRule="exact"/>
        <w:ind w:firstLine="480" w:firstLineChars="200"/>
        <w:rPr>
          <w:rFonts w:ascii="宋体" w:hAnsi="宋体" w:cs="宋体"/>
          <w:sz w:val="24"/>
          <w:szCs w:val="24"/>
        </w:rPr>
      </w:pPr>
      <w:r>
        <w:rPr>
          <w:rFonts w:hint="eastAsia" w:ascii="宋体" w:hAnsi="宋体" w:cs="宋体"/>
          <w:sz w:val="24"/>
          <w:szCs w:val="24"/>
        </w:rPr>
        <w:t>8.各潜在供应商获取采购文件前须按照申请人的资格要求上传扫描件。</w:t>
      </w:r>
    </w:p>
    <w:p>
      <w:pPr>
        <w:ind w:firstLine="482" w:firstLineChars="200"/>
        <w:jc w:val="left"/>
        <w:rPr>
          <w:rFonts w:ascii="宋体" w:hAnsi="宋体" w:cs="宋体"/>
          <w:b/>
          <w:bCs/>
          <w:sz w:val="24"/>
          <w:szCs w:val="24"/>
        </w:rPr>
      </w:pPr>
      <w:r>
        <w:rPr>
          <w:rFonts w:hint="eastAsia" w:ascii="宋体" w:hAnsi="宋体" w:cs="宋体"/>
          <w:b/>
          <w:bCs/>
          <w:sz w:val="24"/>
          <w:szCs w:val="24"/>
        </w:rPr>
        <w:t>特别提示：</w:t>
      </w:r>
    </w:p>
    <w:p>
      <w:pPr>
        <w:ind w:firstLine="482" w:firstLineChars="200"/>
        <w:rPr>
          <w:rFonts w:ascii="宋体" w:hAnsi="宋体" w:cs="宋体"/>
          <w:b/>
          <w:bCs/>
          <w:sz w:val="24"/>
          <w:szCs w:val="24"/>
        </w:rPr>
      </w:pPr>
      <w:r>
        <w:rPr>
          <w:rFonts w:hint="eastAsia" w:ascii="宋体" w:hAnsi="宋体" w:cs="宋体"/>
          <w:b/>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ind w:firstLine="482" w:firstLineChars="200"/>
        <w:rPr>
          <w:rFonts w:ascii="宋体" w:hAnsi="宋体" w:cs="宋体"/>
          <w:b/>
          <w:bCs/>
          <w:sz w:val="24"/>
          <w:szCs w:val="24"/>
        </w:rPr>
      </w:pPr>
      <w:r>
        <w:rPr>
          <w:rFonts w:hint="eastAsia" w:ascii="宋体" w:hAnsi="宋体" w:cs="宋体"/>
          <w:b/>
          <w:bCs/>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ind w:firstLine="482" w:firstLineChars="200"/>
        <w:rPr>
          <w:rFonts w:ascii="宋体" w:hAnsi="宋体" w:cs="宋体"/>
          <w:b/>
          <w:bCs/>
          <w:sz w:val="24"/>
          <w:szCs w:val="24"/>
        </w:rPr>
      </w:pPr>
      <w:r>
        <w:rPr>
          <w:rFonts w:hint="eastAsia" w:ascii="宋体" w:hAnsi="宋体" w:cs="宋体"/>
          <w:b/>
          <w:bCs/>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6"/>
        <w:spacing w:before="204" w:after="204"/>
        <w:ind w:firstLine="482" w:firstLineChars="200"/>
        <w:jc w:val="both"/>
      </w:pPr>
      <w:r>
        <w:rPr>
          <w:rStyle w:val="32"/>
          <w:rFonts w:hint="eastAsia" w:ascii="宋体" w:hAnsi="宋体" w:cs="宋体"/>
        </w:rPr>
        <w:t>七、凡对本次招标提出询问，请按以下方式联系</w:t>
      </w:r>
    </w:p>
    <w:p>
      <w:pPr>
        <w:pStyle w:val="26"/>
        <w:spacing w:before="60" w:after="60" w:line="320" w:lineRule="exact"/>
        <w:ind w:firstLine="420"/>
      </w:pPr>
      <w:r>
        <w:rPr>
          <w:rFonts w:hint="eastAsia"/>
        </w:rPr>
        <w:t>1.采购人信息</w:t>
      </w:r>
    </w:p>
    <w:p>
      <w:pPr>
        <w:pStyle w:val="26"/>
        <w:spacing w:before="60" w:after="60" w:line="320" w:lineRule="exact"/>
        <w:ind w:firstLine="420"/>
      </w:pPr>
      <w:r>
        <w:rPr>
          <w:rFonts w:hint="eastAsia"/>
        </w:rPr>
        <w:t>名 称：巩留县教育局</w:t>
      </w:r>
    </w:p>
    <w:p>
      <w:pPr>
        <w:pStyle w:val="26"/>
        <w:spacing w:before="60" w:after="60" w:line="320" w:lineRule="exact"/>
        <w:ind w:firstLine="420"/>
      </w:pPr>
      <w:r>
        <w:rPr>
          <w:rFonts w:hint="eastAsia"/>
        </w:rPr>
        <w:t>地 址：巩留县</w:t>
      </w:r>
    </w:p>
    <w:p>
      <w:pPr>
        <w:pStyle w:val="26"/>
        <w:spacing w:before="60" w:after="60" w:line="320" w:lineRule="exact"/>
        <w:ind w:firstLine="420"/>
      </w:pPr>
      <w:r>
        <w:rPr>
          <w:rFonts w:hint="eastAsia"/>
        </w:rPr>
        <w:t>联系人：昂沙</w:t>
      </w:r>
    </w:p>
    <w:p>
      <w:pPr>
        <w:pStyle w:val="26"/>
        <w:spacing w:before="60" w:after="60" w:line="320" w:lineRule="exact"/>
        <w:ind w:firstLine="420"/>
        <w:rPr>
          <w:color w:val="000000"/>
        </w:rPr>
      </w:pPr>
      <w:r>
        <w:rPr>
          <w:rFonts w:hint="eastAsia"/>
        </w:rPr>
        <w:t>联</w:t>
      </w:r>
      <w:r>
        <w:rPr>
          <w:rFonts w:hint="eastAsia"/>
          <w:color w:val="000000"/>
        </w:rPr>
        <w:t>系方式：13679922509</w:t>
      </w:r>
    </w:p>
    <w:p>
      <w:pPr>
        <w:pStyle w:val="26"/>
        <w:spacing w:before="60" w:after="60" w:line="320" w:lineRule="exact"/>
        <w:ind w:firstLine="420"/>
      </w:pPr>
      <w:r>
        <w:rPr>
          <w:rFonts w:hint="eastAsia"/>
        </w:rPr>
        <w:t>2.采购代理机构信息</w:t>
      </w:r>
    </w:p>
    <w:p>
      <w:pPr>
        <w:pStyle w:val="26"/>
        <w:spacing w:before="60" w:after="60" w:line="320" w:lineRule="exact"/>
        <w:ind w:firstLine="420"/>
      </w:pPr>
      <w:r>
        <w:rPr>
          <w:rFonts w:hint="eastAsia"/>
        </w:rPr>
        <w:t>名 称：新疆金磐工程管理咨询有限公司</w:t>
      </w:r>
    </w:p>
    <w:p>
      <w:pPr>
        <w:pStyle w:val="26"/>
        <w:spacing w:before="60" w:after="60" w:line="320" w:lineRule="exact"/>
        <w:ind w:firstLine="420"/>
      </w:pPr>
      <w:r>
        <w:rPr>
          <w:rFonts w:hint="eastAsia"/>
        </w:rPr>
        <w:t>地 址：新疆伊犁州伊宁市经济合作区313线以西、新华西路以北西城天街A-E#商业楼C406</w:t>
      </w:r>
    </w:p>
    <w:p>
      <w:pPr>
        <w:pStyle w:val="26"/>
        <w:spacing w:before="60" w:after="60" w:line="320" w:lineRule="exact"/>
        <w:ind w:firstLine="420"/>
      </w:pPr>
      <w:r>
        <w:rPr>
          <w:rFonts w:hint="eastAsia"/>
        </w:rPr>
        <w:t>3.项目联系方式</w:t>
      </w:r>
    </w:p>
    <w:p>
      <w:pPr>
        <w:pStyle w:val="26"/>
        <w:spacing w:before="60" w:after="60" w:line="320" w:lineRule="exact"/>
        <w:ind w:firstLine="420"/>
      </w:pPr>
      <w:r>
        <w:rPr>
          <w:rFonts w:hint="eastAsia"/>
        </w:rPr>
        <w:t>项目联系人：陈嘉俊</w:t>
      </w:r>
    </w:p>
    <w:p>
      <w:pPr>
        <w:pStyle w:val="26"/>
        <w:spacing w:before="60" w:after="60" w:line="320" w:lineRule="exact"/>
        <w:ind w:firstLine="420"/>
      </w:pPr>
      <w:r>
        <w:rPr>
          <w:rFonts w:hint="eastAsia"/>
        </w:rPr>
        <w:t>联系方式：13699977766</w:t>
      </w:r>
    </w:p>
    <w:p>
      <w:pPr>
        <w:pStyle w:val="26"/>
        <w:spacing w:before="60" w:after="60" w:line="320" w:lineRule="exact"/>
        <w:ind w:firstLine="420"/>
      </w:pPr>
    </w:p>
    <w:p>
      <w:pPr>
        <w:pStyle w:val="35"/>
      </w:pPr>
    </w:p>
    <w:p>
      <w:pPr>
        <w:pStyle w:val="35"/>
        <w:rPr>
          <w:rFonts w:ascii="宋体" w:hAnsi="宋体" w:cs="宋体"/>
          <w:sz w:val="24"/>
          <w:szCs w:val="24"/>
          <w:highlight w:val="yellow"/>
        </w:rPr>
      </w:pPr>
    </w:p>
    <w:p>
      <w:pPr>
        <w:pStyle w:val="27"/>
        <w:jc w:val="both"/>
        <w:rPr>
          <w:rFonts w:ascii="仿宋" w:hAnsi="仿宋" w:eastAsia="仿宋" w:cs="仿宋"/>
          <w:sz w:val="32"/>
          <w:szCs w:val="32"/>
          <w:highlight w:val="yellow"/>
        </w:rPr>
      </w:pPr>
      <w:bookmarkStart w:id="1" w:name="_Toc9775"/>
    </w:p>
    <w:p>
      <w:pPr>
        <w:rPr>
          <w:rFonts w:ascii="仿宋" w:hAnsi="仿宋" w:eastAsia="仿宋" w:cs="仿宋"/>
          <w:sz w:val="32"/>
          <w:szCs w:val="32"/>
          <w:highlight w:val="yellow"/>
        </w:rPr>
      </w:pPr>
    </w:p>
    <w:p>
      <w:pPr>
        <w:pStyle w:val="34"/>
        <w:rPr>
          <w:rFonts w:ascii="仿宋" w:hAnsi="仿宋" w:eastAsia="仿宋" w:cs="仿宋"/>
          <w:sz w:val="32"/>
          <w:szCs w:val="32"/>
          <w:highlight w:val="yellow"/>
        </w:rPr>
      </w:pPr>
    </w:p>
    <w:p>
      <w:pPr>
        <w:pStyle w:val="34"/>
        <w:rPr>
          <w:rFonts w:ascii="仿宋" w:hAnsi="仿宋" w:eastAsia="仿宋" w:cs="仿宋"/>
          <w:sz w:val="32"/>
          <w:szCs w:val="32"/>
          <w:highlight w:val="yellow"/>
        </w:rPr>
      </w:pPr>
    </w:p>
    <w:p>
      <w:pPr>
        <w:pStyle w:val="27"/>
        <w:rPr>
          <w:rFonts w:ascii="仿宋" w:hAnsi="仿宋" w:eastAsia="仿宋" w:cs="仿宋"/>
          <w:sz w:val="32"/>
          <w:szCs w:val="32"/>
        </w:rPr>
      </w:pPr>
      <w:r>
        <w:rPr>
          <w:rFonts w:hint="eastAsia" w:ascii="仿宋" w:hAnsi="仿宋" w:eastAsia="仿宋" w:cs="仿宋"/>
          <w:sz w:val="32"/>
          <w:szCs w:val="32"/>
        </w:rPr>
        <w:t xml:space="preserve">第二章 </w:t>
      </w:r>
      <w:bookmarkStart w:id="2" w:name="_Toc5345_WPSOffice_Level1"/>
      <w:r>
        <w:rPr>
          <w:rFonts w:hint="eastAsia" w:ascii="仿宋" w:hAnsi="仿宋" w:eastAsia="仿宋" w:cs="仿宋"/>
          <w:sz w:val="32"/>
          <w:szCs w:val="32"/>
        </w:rPr>
        <w:t>投标须知前附表</w:t>
      </w:r>
      <w:bookmarkEnd w:id="1"/>
      <w:bookmarkEnd w:id="2"/>
    </w:p>
    <w:tbl>
      <w:tblPr>
        <w:tblStyle w:val="29"/>
        <w:tblW w:w="10533" w:type="dxa"/>
        <w:tblInd w:w="-7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2"/>
        <w:gridCol w:w="1664"/>
        <w:gridCol w:w="1293"/>
        <w:gridCol w:w="2658"/>
        <w:gridCol w:w="1889"/>
        <w:gridCol w:w="24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序号</w:t>
            </w:r>
          </w:p>
        </w:tc>
        <w:tc>
          <w:tcPr>
            <w:tcW w:w="1664" w:type="dxa"/>
            <w:vAlign w:val="center"/>
          </w:tcPr>
          <w:p>
            <w:pPr>
              <w:autoSpaceDE w:val="0"/>
              <w:autoSpaceDN w:val="0"/>
              <w:adjustRightInd w:val="0"/>
              <w:snapToGrid w:val="0"/>
              <w:spacing w:line="360" w:lineRule="auto"/>
              <w:jc w:val="center"/>
              <w:rPr>
                <w:rFonts w:ascii="宋体" w:hAnsi="宋体" w:cs="宋体"/>
                <w:b/>
                <w:bCs/>
                <w:kern w:val="0"/>
                <w:sz w:val="24"/>
                <w:szCs w:val="24"/>
              </w:rPr>
            </w:pPr>
            <w:r>
              <w:rPr>
                <w:rFonts w:hint="eastAsia" w:ascii="宋体" w:hAnsi="宋体" w:cs="宋体"/>
                <w:b/>
                <w:bCs/>
                <w:kern w:val="0"/>
                <w:sz w:val="24"/>
                <w:szCs w:val="24"/>
              </w:rPr>
              <w:t>条款名称</w:t>
            </w:r>
          </w:p>
        </w:tc>
        <w:tc>
          <w:tcPr>
            <w:tcW w:w="8337" w:type="dxa"/>
            <w:gridSpan w:val="4"/>
            <w:tcBorders>
              <w:bottom w:val="single" w:color="auto" w:sz="4" w:space="0"/>
            </w:tcBorders>
            <w:vAlign w:val="center"/>
          </w:tcPr>
          <w:p>
            <w:pPr>
              <w:autoSpaceDE w:val="0"/>
              <w:autoSpaceDN w:val="0"/>
              <w:adjustRightInd w:val="0"/>
              <w:snapToGrid w:val="0"/>
              <w:spacing w:line="360" w:lineRule="auto"/>
              <w:jc w:val="center"/>
              <w:rPr>
                <w:rFonts w:ascii="宋体" w:hAnsi="宋体" w:cs="宋体"/>
                <w:b/>
                <w:bCs/>
                <w:kern w:val="0"/>
                <w:sz w:val="24"/>
                <w:szCs w:val="24"/>
                <w:highlight w:val="yellow"/>
              </w:rPr>
            </w:pPr>
            <w:r>
              <w:rPr>
                <w:rFonts w:hint="eastAsia" w:ascii="宋体" w:hAnsi="宋体" w:cs="宋体"/>
                <w:b/>
                <w:bCs/>
                <w:kern w:val="0"/>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项目概况</w:t>
            </w:r>
          </w:p>
        </w:tc>
        <w:tc>
          <w:tcPr>
            <w:tcW w:w="1293"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项目名称</w:t>
            </w:r>
          </w:p>
        </w:tc>
        <w:tc>
          <w:tcPr>
            <w:tcW w:w="7044" w:type="dxa"/>
            <w:gridSpan w:val="3"/>
            <w:tcBorders>
              <w:top w:val="single" w:color="auto" w:sz="4" w:space="0"/>
              <w:left w:val="single" w:color="auto" w:sz="4" w:space="0"/>
              <w:bottom w:val="single" w:color="auto" w:sz="4" w:space="0"/>
            </w:tcBorders>
            <w:vAlign w:val="center"/>
          </w:tcPr>
          <w:p>
            <w:pPr>
              <w:spacing w:line="370" w:lineRule="exact"/>
              <w:rPr>
                <w:rFonts w:ascii="宋体" w:hAnsi="宋体" w:cs="宋体"/>
                <w:b/>
                <w:sz w:val="24"/>
                <w:szCs w:val="24"/>
              </w:rPr>
            </w:pPr>
            <w:r>
              <w:rPr>
                <w:rFonts w:hint="eastAsia" w:ascii="仿宋" w:hAnsi="仿宋" w:eastAsia="仿宋" w:cs="仿宋"/>
                <w:sz w:val="24"/>
                <w:szCs w:val="24"/>
              </w:rPr>
              <w:t>巩留县2023年教育系统所需大宗食材、半成品配送采购项目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highlight w:val="yellow"/>
              </w:rPr>
            </w:pPr>
            <w:r>
              <w:rPr>
                <w:rFonts w:hint="eastAsia" w:ascii="宋体" w:hAnsi="宋体" w:cs="宋体"/>
                <w:b/>
                <w:sz w:val="24"/>
                <w:szCs w:val="24"/>
              </w:rPr>
              <w:t>标项名称</w:t>
            </w:r>
          </w:p>
        </w:tc>
        <w:tc>
          <w:tcPr>
            <w:tcW w:w="7044" w:type="dxa"/>
            <w:gridSpan w:val="3"/>
            <w:tcBorders>
              <w:top w:val="single" w:color="auto" w:sz="4" w:space="0"/>
              <w:left w:val="single" w:color="auto" w:sz="4" w:space="0"/>
              <w:bottom w:val="single" w:color="auto" w:sz="4" w:space="0"/>
            </w:tcBorders>
            <w:vAlign w:val="center"/>
          </w:tcPr>
          <w:p>
            <w:pPr>
              <w:spacing w:line="370" w:lineRule="exact"/>
              <w:rPr>
                <w:rFonts w:ascii="宋体" w:hAnsi="宋体" w:cs="宋体"/>
                <w:sz w:val="24"/>
                <w:szCs w:val="24"/>
                <w:highlight w:val="yellow"/>
              </w:rPr>
            </w:pPr>
            <w:r>
              <w:rPr>
                <w:rFonts w:hint="eastAsia" w:ascii="仿宋" w:hAnsi="仿宋" w:eastAsia="仿宋" w:cs="仿宋"/>
                <w:sz w:val="24"/>
                <w:szCs w:val="24"/>
              </w:rPr>
              <w:t>巩留县2023年教育系统所需大宗食材、半成品配送采购项目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项目编号</w:t>
            </w:r>
          </w:p>
        </w:tc>
        <w:tc>
          <w:tcPr>
            <w:tcW w:w="7044" w:type="dxa"/>
            <w:gridSpan w:val="3"/>
            <w:tcBorders>
              <w:top w:val="single" w:color="auto" w:sz="4" w:space="0"/>
              <w:left w:val="single" w:color="auto" w:sz="4" w:space="0"/>
            </w:tcBorders>
            <w:vAlign w:val="center"/>
          </w:tcPr>
          <w:p>
            <w:pPr>
              <w:autoSpaceDE w:val="0"/>
              <w:autoSpaceDN w:val="0"/>
              <w:adjustRightInd w:val="0"/>
              <w:spacing w:line="360" w:lineRule="auto"/>
              <w:rPr>
                <w:rFonts w:ascii="宋体" w:hAnsi="宋体" w:cs="宋体"/>
                <w:b/>
                <w:sz w:val="24"/>
                <w:szCs w:val="24"/>
              </w:rPr>
            </w:pPr>
            <w:r>
              <w:rPr>
                <w:rFonts w:hint="eastAsia" w:ascii="仿宋" w:hAnsi="仿宋" w:eastAsia="仿宋" w:cs="仿宋"/>
                <w:sz w:val="24"/>
                <w:szCs w:val="24"/>
              </w:rPr>
              <w:t>XJJP-2023-083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采购人</w:t>
            </w:r>
          </w:p>
        </w:tc>
        <w:tc>
          <w:tcPr>
            <w:tcW w:w="1293" w:type="dxa"/>
            <w:tcBorders>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名称</w:t>
            </w:r>
          </w:p>
        </w:tc>
        <w:tc>
          <w:tcPr>
            <w:tcW w:w="7044" w:type="dxa"/>
            <w:gridSpan w:val="3"/>
            <w:tcBorders>
              <w:left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巩留县教育局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联系人</w:t>
            </w:r>
          </w:p>
        </w:tc>
        <w:tc>
          <w:tcPr>
            <w:tcW w:w="2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Cs/>
                <w:sz w:val="24"/>
                <w:szCs w:val="24"/>
              </w:rPr>
              <w:t>昂沙</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联系电话</w:t>
            </w:r>
          </w:p>
        </w:tc>
        <w:tc>
          <w:tcPr>
            <w:tcW w:w="2497"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Cs/>
                <w:sz w:val="24"/>
                <w:szCs w:val="24"/>
              </w:rPr>
              <w:t>13679922509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293" w:type="dxa"/>
            <w:tcBorders>
              <w:top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地址</w:t>
            </w:r>
          </w:p>
        </w:tc>
        <w:tc>
          <w:tcPr>
            <w:tcW w:w="7044" w:type="dxa"/>
            <w:gridSpan w:val="3"/>
            <w:tcBorders>
              <w:top w:val="single" w:color="auto" w:sz="4" w:space="0"/>
              <w:lef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巩留县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3</w:t>
            </w:r>
          </w:p>
        </w:tc>
        <w:tc>
          <w:tcPr>
            <w:tcW w:w="1664"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采购代理机构</w:t>
            </w:r>
          </w:p>
        </w:tc>
        <w:tc>
          <w:tcPr>
            <w:tcW w:w="1293" w:type="dxa"/>
            <w:tcBorders>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名称</w:t>
            </w:r>
          </w:p>
        </w:tc>
        <w:tc>
          <w:tcPr>
            <w:tcW w:w="7044" w:type="dxa"/>
            <w:gridSpan w:val="3"/>
            <w:tcBorders>
              <w:left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新疆金磐工程管理咨询有限公司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联系人</w:t>
            </w:r>
          </w:p>
        </w:tc>
        <w:tc>
          <w:tcPr>
            <w:tcW w:w="2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陈嘉俊</w:t>
            </w:r>
          </w:p>
        </w:tc>
        <w:tc>
          <w:tcPr>
            <w:tcW w:w="18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联系电话</w:t>
            </w:r>
          </w:p>
        </w:tc>
        <w:tc>
          <w:tcPr>
            <w:tcW w:w="2497" w:type="dxa"/>
            <w:tcBorders>
              <w:top w:val="single" w:color="auto" w:sz="4" w:space="0"/>
              <w:left w:val="single" w:color="auto" w:sz="4" w:space="0"/>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13699977766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293" w:type="dxa"/>
            <w:tcBorders>
              <w:top w:val="single" w:color="auto" w:sz="4" w:space="0"/>
              <w:right w:val="sing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地址</w:t>
            </w:r>
          </w:p>
        </w:tc>
        <w:tc>
          <w:tcPr>
            <w:tcW w:w="7044" w:type="dxa"/>
            <w:gridSpan w:val="3"/>
            <w:tcBorders>
              <w:top w:val="single" w:color="auto" w:sz="4" w:space="0"/>
              <w:lef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新疆伊犁州伊宁市经济合作区313线以西、新华西路以北西城天街A-E#商业楼C406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4</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招标内容</w:t>
            </w:r>
          </w:p>
        </w:tc>
        <w:tc>
          <w:tcPr>
            <w:tcW w:w="8337" w:type="dxa"/>
            <w:gridSpan w:val="4"/>
            <w:vAlign w:val="center"/>
          </w:tcPr>
          <w:p>
            <w:pPr>
              <w:spacing w:line="370" w:lineRule="exact"/>
              <w:rPr>
                <w:rFonts w:ascii="宋体" w:hAnsi="宋体" w:cs="宋体"/>
                <w:b/>
                <w:sz w:val="24"/>
                <w:szCs w:val="24"/>
                <w:highlight w:val="yellow"/>
              </w:rPr>
            </w:pPr>
            <w:r>
              <w:rPr>
                <w:rFonts w:hint="eastAsia" w:ascii="宋体" w:hAnsi="宋体" w:cs="宋体"/>
                <w:bCs/>
                <w:sz w:val="24"/>
                <w:szCs w:val="24"/>
              </w:rPr>
              <w:t>学生餐厅所需：原料、半成品；原辅材料：鲜牛肉、鲜羊肉、鲜鸡肉、鱼、海鲜类、蔬菜、水果、蛋、坚果、盐、调味品、馒头、包子、花卷、鲜切面、大米、食用油、面粉、鲜肉、蔬菜、调料、干果类、奶制品等其他品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5</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资金来源</w:t>
            </w:r>
          </w:p>
        </w:tc>
        <w:tc>
          <w:tcPr>
            <w:tcW w:w="8337" w:type="dxa"/>
            <w:gridSpan w:val="4"/>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sz w:val="24"/>
                <w:szCs w:val="24"/>
              </w:rPr>
              <w:t>学生生活补助专项资金及学生自缴伙食费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6</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采购方式</w:t>
            </w:r>
          </w:p>
        </w:tc>
        <w:tc>
          <w:tcPr>
            <w:tcW w:w="8337" w:type="dxa"/>
            <w:gridSpan w:val="4"/>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sz w:val="24"/>
                <w:szCs w:val="24"/>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7</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shd w:val="clear" w:color="auto" w:fill="FFFFFF"/>
              </w:rPr>
              <w:t>合同履行期限</w:t>
            </w:r>
          </w:p>
        </w:tc>
        <w:tc>
          <w:tcPr>
            <w:tcW w:w="8337" w:type="dxa"/>
            <w:gridSpan w:val="4"/>
            <w:vAlign w:val="center"/>
          </w:tcPr>
          <w:p>
            <w:pPr>
              <w:tabs>
                <w:tab w:val="left" w:pos="4980"/>
                <w:tab w:val="right" w:pos="9000"/>
              </w:tabs>
              <w:spacing w:line="360" w:lineRule="auto"/>
              <w:jc w:val="left"/>
              <w:rPr>
                <w:rFonts w:ascii="宋体" w:hAnsi="宋体" w:cs="宋体"/>
                <w:b/>
                <w:bCs/>
                <w:sz w:val="24"/>
                <w:szCs w:val="24"/>
              </w:rPr>
            </w:pPr>
            <w:r>
              <w:rPr>
                <w:rFonts w:hint="eastAsia" w:ascii="宋体" w:hAnsi="宋体" w:cs="宋体"/>
                <w:sz w:val="24"/>
                <w:szCs w:val="24"/>
              </w:rPr>
              <w:t>2023年9月-2026年9月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8</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服务地点</w:t>
            </w:r>
          </w:p>
        </w:tc>
        <w:tc>
          <w:tcPr>
            <w:tcW w:w="8337" w:type="dxa"/>
            <w:gridSpan w:val="4"/>
            <w:vAlign w:val="center"/>
          </w:tcPr>
          <w:p>
            <w:pPr>
              <w:spacing w:line="360" w:lineRule="auto"/>
              <w:jc w:val="left"/>
              <w:rPr>
                <w:rFonts w:ascii="宋体" w:hAnsi="宋体" w:cs="宋体"/>
                <w:sz w:val="24"/>
                <w:szCs w:val="24"/>
              </w:rPr>
            </w:pPr>
            <w:r>
              <w:rPr>
                <w:rFonts w:hint="eastAsia" w:ascii="宋体" w:hAnsi="宋体" w:cs="宋体"/>
                <w:sz w:val="24"/>
                <w:szCs w:val="24"/>
              </w:rPr>
              <w:t>巩留县中小学、幼儿园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9</w:t>
            </w:r>
          </w:p>
        </w:tc>
        <w:tc>
          <w:tcPr>
            <w:tcW w:w="1664" w:type="dxa"/>
            <w:vAlign w:val="bottom"/>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bCs/>
                <w:sz w:val="24"/>
                <w:szCs w:val="24"/>
              </w:rPr>
              <w:t>付款方式</w:t>
            </w:r>
          </w:p>
        </w:tc>
        <w:tc>
          <w:tcPr>
            <w:tcW w:w="8337" w:type="dxa"/>
            <w:gridSpan w:val="4"/>
          </w:tcPr>
          <w:p>
            <w:pPr>
              <w:spacing w:line="560" w:lineRule="exact"/>
              <w:rPr>
                <w:rFonts w:cs="宋体" w:asciiTheme="minorEastAsia" w:hAnsiTheme="minorEastAsia" w:eastAsiaTheme="minorEastAsia"/>
                <w:sz w:val="24"/>
                <w:szCs w:val="24"/>
              </w:rPr>
            </w:pPr>
            <w:r>
              <w:rPr>
                <w:rFonts w:hint="eastAsia" w:ascii="宋体" w:hAnsi="宋体" w:cs="宋体"/>
                <w:sz w:val="24"/>
                <w:szCs w:val="24"/>
              </w:rPr>
              <w:t>每月结算一次，次月采购方将货款转入中标方账户。（具体以签订合同为准）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10</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售后要求</w:t>
            </w:r>
          </w:p>
        </w:tc>
        <w:tc>
          <w:tcPr>
            <w:tcW w:w="8337" w:type="dxa"/>
            <w:gridSpan w:val="4"/>
            <w:vAlign w:val="center"/>
          </w:tcPr>
          <w:p>
            <w:pPr>
              <w:widowControl/>
              <w:spacing w:line="360" w:lineRule="auto"/>
              <w:ind w:hanging="10"/>
              <w:jc w:val="left"/>
              <w:textAlignment w:val="center"/>
              <w:rPr>
                <w:rFonts w:ascii="宋体" w:hAnsi="宋体" w:cs="宋体"/>
                <w:b/>
                <w:sz w:val="24"/>
                <w:szCs w:val="24"/>
              </w:rPr>
            </w:pPr>
            <w:r>
              <w:rPr>
                <w:rFonts w:hint="eastAsia" w:ascii="宋体" w:hAnsi="宋体" w:cs="宋体"/>
                <w:bCs/>
                <w:sz w:val="24"/>
                <w:szCs w:val="24"/>
              </w:rPr>
              <w:t>具体详见第五章采购需求。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11</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投标人资格</w:t>
            </w:r>
          </w:p>
        </w:tc>
        <w:tc>
          <w:tcPr>
            <w:tcW w:w="8337" w:type="dxa"/>
            <w:gridSpan w:val="4"/>
            <w:vAlign w:val="center"/>
          </w:tcPr>
          <w:p>
            <w:pPr>
              <w:spacing w:line="360" w:lineRule="auto"/>
              <w:rPr>
                <w:rFonts w:ascii="宋体" w:hAnsi="宋体" w:cs="宋体"/>
                <w:sz w:val="24"/>
                <w:szCs w:val="24"/>
              </w:rPr>
            </w:pPr>
            <w:r>
              <w:rPr>
                <w:rFonts w:hint="eastAsia" w:ascii="宋体" w:hAnsi="宋体" w:cs="宋体"/>
                <w:sz w:val="24"/>
                <w:szCs w:val="24"/>
              </w:rPr>
              <w:t>详见第一章 采购公告，第二条申请人的资格要求。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12</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缴纳投标</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保证金</w:t>
            </w:r>
          </w:p>
        </w:tc>
        <w:tc>
          <w:tcPr>
            <w:tcW w:w="8337" w:type="dxa"/>
            <w:gridSpan w:val="4"/>
            <w:tcBorders>
              <w:top w:val="single" w:color="auto" w:sz="4" w:space="0"/>
            </w:tcBorders>
            <w:vAlign w:val="center"/>
          </w:tcPr>
          <w:p>
            <w:pPr>
              <w:snapToGrid w:val="0"/>
              <w:spacing w:line="360" w:lineRule="auto"/>
              <w:rPr>
                <w:rFonts w:ascii="宋体" w:hAnsi="宋体" w:cs="宋体"/>
                <w:bCs/>
                <w:sz w:val="24"/>
                <w:szCs w:val="24"/>
              </w:rPr>
            </w:pPr>
            <w:r>
              <w:rPr>
                <w:rFonts w:hint="eastAsia" w:ascii="宋体" w:hAnsi="宋体" w:cs="宋体"/>
                <w:sz w:val="24"/>
                <w:szCs w:val="24"/>
              </w:rPr>
              <w:t>投标保证金的金额：</w:t>
            </w:r>
            <w:r>
              <w:rPr>
                <w:rFonts w:hint="eastAsia" w:ascii="宋体" w:hAnsi="宋体" w:cs="宋体"/>
                <w:sz w:val="24"/>
                <w:szCs w:val="24"/>
                <w:u w:val="single"/>
              </w:rPr>
              <w:t>200000.00</w:t>
            </w:r>
            <w:r>
              <w:rPr>
                <w:rFonts w:hint="eastAsia" w:ascii="宋体" w:hAnsi="宋体" w:cs="宋体"/>
                <w:sz w:val="24"/>
                <w:szCs w:val="24"/>
              </w:rPr>
              <w:t>元（贰拾万元整）</w:t>
            </w:r>
          </w:p>
          <w:p>
            <w:pPr>
              <w:snapToGrid w:val="0"/>
              <w:spacing w:line="360" w:lineRule="auto"/>
              <w:rPr>
                <w:rFonts w:ascii="宋体" w:hAnsi="宋体" w:cs="宋体"/>
                <w:sz w:val="24"/>
                <w:szCs w:val="24"/>
              </w:rPr>
            </w:pPr>
            <w:r>
              <w:rPr>
                <w:rFonts w:hint="eastAsia" w:ascii="宋体" w:hAnsi="宋体" w:cs="宋体"/>
                <w:sz w:val="24"/>
                <w:szCs w:val="24"/>
              </w:rPr>
              <w:t>缴纳方式：投标保证金应当以支票、汇票、本票或者金融机构、担保机构出具的保函等非现金形式提交。投标人未按照招标文件要求提交投标保证金的，投标无效。</w:t>
            </w:r>
          </w:p>
          <w:p>
            <w:pPr>
              <w:snapToGrid w:val="0"/>
              <w:spacing w:line="360" w:lineRule="auto"/>
              <w:rPr>
                <w:rFonts w:ascii="宋体" w:hAnsi="宋体" w:cs="宋体"/>
                <w:bCs/>
                <w:color w:val="000000" w:themeColor="text1"/>
                <w:sz w:val="24"/>
                <w:szCs w:val="24"/>
                <w14:textFill>
                  <w14:solidFill>
                    <w14:schemeClr w14:val="tx1"/>
                  </w14:solidFill>
                </w14:textFill>
              </w:rPr>
            </w:pPr>
            <w:r>
              <w:rPr>
                <w:rFonts w:hint="eastAsia" w:ascii="宋体" w:hAnsi="宋体" w:cs="宋体"/>
                <w:sz w:val="24"/>
                <w:szCs w:val="24"/>
              </w:rPr>
              <w:t>说明：在递交投标文件截止时间前从单位基本账户支付至新疆金磐工程管理咨询有限公司</w:t>
            </w:r>
            <w:r>
              <w:rPr>
                <w:rFonts w:hint="eastAsia" w:ascii="宋体" w:hAnsi="宋体" w:cs="宋体"/>
                <w:bCs/>
                <w:color w:val="000000" w:themeColor="text1"/>
                <w:sz w:val="24"/>
                <w:szCs w:val="24"/>
                <w14:textFill>
                  <w14:solidFill>
                    <w14:schemeClr w14:val="tx1"/>
                  </w14:solidFill>
                </w14:textFill>
              </w:rPr>
              <w:t>账户上；</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 xml:space="preserve">账户名称：新疆金磐工程管理咨询有限公司 </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开户行：新疆伊犁农村商业银行股份有限公司滨河支行</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账号：812020512010107552259</w:t>
            </w:r>
          </w:p>
          <w:p>
            <w:pPr>
              <w:snapToGrid w:val="0"/>
              <w:spacing w:line="360" w:lineRule="auto"/>
              <w:rPr>
                <w:rFonts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行号：402898000164</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递交时间：投标截止时间之前（提交投标保证金应充分考虑资金在途时间、跨行等因素导致的延迟到账情况，</w:t>
            </w:r>
            <w:r>
              <w:rPr>
                <w:rFonts w:hint="eastAsia" w:ascii="宋体" w:hAnsi="宋体" w:cs="宋体"/>
                <w:kern w:val="0"/>
                <w:sz w:val="24"/>
                <w:szCs w:val="24"/>
                <w:lang w:val="zh-CN"/>
              </w:rPr>
              <w:t>由此导致的保证金不能按时到账其责任由投标人单位自行承担。</w:t>
            </w:r>
            <w:r>
              <w:rPr>
                <w:rFonts w:hint="eastAsia" w:ascii="宋体" w:hAnsi="宋体" w:cs="宋体"/>
                <w:kern w:val="0"/>
                <w:sz w:val="24"/>
                <w:szCs w:val="24"/>
              </w:rPr>
              <w:t>各投标人缴纳投标保证金时必须在附加信息及用途栏内注明“投标保证金、标项名称”，以投标保证金接收方银行到账信息为准）</w:t>
            </w:r>
          </w:p>
          <w:p>
            <w:pPr>
              <w:autoSpaceDE w:val="0"/>
              <w:autoSpaceDN w:val="0"/>
              <w:adjustRightInd w:val="0"/>
              <w:snapToGrid w:val="0"/>
              <w:spacing w:line="360" w:lineRule="auto"/>
              <w:jc w:val="left"/>
              <w:rPr>
                <w:rFonts w:ascii="宋体" w:hAnsi="宋体" w:cs="宋体"/>
                <w:b/>
                <w:kern w:val="0"/>
                <w:sz w:val="24"/>
                <w:szCs w:val="24"/>
                <w:u w:val="single"/>
              </w:rPr>
            </w:pPr>
            <w:r>
              <w:rPr>
                <w:rFonts w:hint="eastAsia" w:ascii="宋体" w:hAnsi="宋体" w:cs="宋体"/>
                <w:b/>
                <w:bCs/>
                <w:kern w:val="0"/>
                <w:sz w:val="24"/>
                <w:szCs w:val="24"/>
              </w:rPr>
              <w:t>友情提示：银行法定节假日不办理公对公账户电汇业务，请提前办理。投标保证金是否在规定截止时间前到户的风险由投标单位承担，投标保证金在银行的划转需要一定时间，望投标单位尽早缴纳！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1"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13</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投标保证金</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退付</w:t>
            </w:r>
          </w:p>
        </w:tc>
        <w:tc>
          <w:tcPr>
            <w:tcW w:w="8337" w:type="dxa"/>
            <w:gridSpan w:val="4"/>
            <w:tcBorders>
              <w:top w:val="single" w:color="auto" w:sz="4" w:space="0"/>
            </w:tcBorders>
            <w:vAlign w:val="center"/>
          </w:tcPr>
          <w:p>
            <w:pPr>
              <w:snapToGrid w:val="0"/>
              <w:spacing w:line="360" w:lineRule="auto"/>
              <w:rPr>
                <w:rFonts w:ascii="宋体" w:hAnsi="宋体" w:cs="宋体"/>
                <w:sz w:val="24"/>
                <w:szCs w:val="24"/>
              </w:rPr>
            </w:pPr>
            <w:r>
              <w:rPr>
                <w:rFonts w:hint="eastAsia" w:ascii="宋体" w:hAnsi="宋体" w:cs="宋体"/>
                <w:sz w:val="24"/>
                <w:szCs w:val="24"/>
              </w:rPr>
              <w:t>1.未中标投标人在中标（成交）通知书发出后5个工作日退还；</w:t>
            </w:r>
          </w:p>
          <w:p>
            <w:pPr>
              <w:snapToGrid w:val="0"/>
              <w:spacing w:line="360" w:lineRule="auto"/>
              <w:rPr>
                <w:rFonts w:ascii="宋体" w:hAnsi="宋体" w:cs="宋体"/>
                <w:sz w:val="24"/>
                <w:szCs w:val="24"/>
              </w:rPr>
            </w:pPr>
            <w:r>
              <w:rPr>
                <w:rFonts w:hint="eastAsia" w:ascii="宋体" w:hAnsi="宋体" w:cs="宋体"/>
                <w:sz w:val="24"/>
                <w:szCs w:val="24"/>
              </w:rPr>
              <w:t>2.中标投标人在合同签订后5个工作日退还；</w:t>
            </w:r>
          </w:p>
          <w:p>
            <w:pPr>
              <w:snapToGrid w:val="0"/>
              <w:spacing w:line="360" w:lineRule="auto"/>
              <w:rPr>
                <w:rFonts w:ascii="宋体" w:hAnsi="宋体" w:cs="宋体"/>
                <w:b/>
                <w:sz w:val="24"/>
                <w:szCs w:val="24"/>
              </w:rPr>
            </w:pPr>
            <w:r>
              <w:rPr>
                <w:rFonts w:hint="eastAsia" w:ascii="宋体" w:hAnsi="宋体" w:cs="宋体"/>
                <w:b/>
                <w:sz w:val="24"/>
                <w:szCs w:val="24"/>
              </w:rPr>
              <w:t>保证金退付须提交资料详见附件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14</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投标有</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效期</w:t>
            </w:r>
          </w:p>
        </w:tc>
        <w:tc>
          <w:tcPr>
            <w:tcW w:w="8337" w:type="dxa"/>
            <w:gridSpan w:val="4"/>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90日历日（自投标截止时间起开始计算）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15</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供货时间</w:t>
            </w:r>
          </w:p>
        </w:tc>
        <w:tc>
          <w:tcPr>
            <w:tcW w:w="8337" w:type="dxa"/>
            <w:gridSpan w:val="4"/>
            <w:vAlign w:val="center"/>
          </w:tcPr>
          <w:p>
            <w:pPr>
              <w:autoSpaceDE w:val="0"/>
              <w:autoSpaceDN w:val="0"/>
              <w:adjustRightInd w:val="0"/>
              <w:snapToGrid w:val="0"/>
              <w:spacing w:line="360" w:lineRule="auto"/>
              <w:rPr>
                <w:rFonts w:ascii="宋体" w:hAnsi="宋体" w:cs="宋体"/>
                <w:b/>
                <w:kern w:val="0"/>
                <w:sz w:val="24"/>
                <w:szCs w:val="24"/>
              </w:rPr>
            </w:pPr>
            <w:r>
              <w:rPr>
                <w:rFonts w:hint="eastAsia" w:ascii="宋体" w:hAnsi="宋体" w:cs="宋体"/>
                <w:b/>
                <w:kern w:val="0"/>
                <w:sz w:val="24"/>
                <w:szCs w:val="24"/>
              </w:rPr>
              <w:t>乙方必须在每日11：30时前依据订单将甲方所需的合格副食品送到甲方指定地点。供应数量以验收数量为准。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16</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质量保证</w:t>
            </w:r>
          </w:p>
        </w:tc>
        <w:tc>
          <w:tcPr>
            <w:tcW w:w="8337" w:type="dxa"/>
            <w:gridSpan w:val="4"/>
            <w:vAlign w:val="center"/>
          </w:tcPr>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1、投标人所提供的货物须符合国家行业标准、地方相关规范要求标准、或本采购文件规定标准的服务，所提供的食品必须是安全合格产品，符合国家有关食品安全、卫生、环保等规定。</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2、投标人应保证所供货物质量、规格、外观及安全指标严格按照国家《食品卫生法》及行业有关规定，保证所供货物是最新生产批次产品，并符合国家质量标准、行业合格标准，生产包装技术和质量经技术监督局检测达到行业标准。因食品问题而发生的食物中毒等群体事故，由其承担经济赔偿责任及其他法律责任。</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 xml:space="preserve">3、中标单位应严格遵守《食品卫生法》等相关规定，一经发现供应以下食品，除全部退货外，将取消中标单位的供货资格，中标单位并承担由此造成的经济责任和法律责任： </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（1）腐败变质、油脂酸败、霉变、生虫、污秽不洁、混有异物或者其他感官性状异常，对人体健康有害的；</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（2）含有毒、有害物质或者被有害物质污染，对人体健康有害的；</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（3）含有致病性寄生虫、微生物或者微生物含量超过国家限定标准的；</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（4）掺假、掺杂、伪造，影响营养、卫生的；</w:t>
            </w:r>
          </w:p>
          <w:p>
            <w:pPr>
              <w:pStyle w:val="84"/>
              <w:spacing w:line="400" w:lineRule="exact"/>
              <w:rPr>
                <w:rFonts w:ascii="宋体" w:hAnsi="宋体" w:eastAsia="宋体" w:cs="宋体"/>
                <w:kern w:val="2"/>
                <w:sz w:val="24"/>
                <w:szCs w:val="24"/>
              </w:rPr>
            </w:pPr>
            <w:r>
              <w:rPr>
                <w:rFonts w:hint="eastAsia" w:ascii="宋体" w:hAnsi="宋体" w:eastAsia="宋体" w:cs="宋体"/>
                <w:kern w:val="2"/>
                <w:sz w:val="24"/>
                <w:szCs w:val="24"/>
              </w:rPr>
              <w:t>（5）用非食品原料加工的，加入非食品用化学物质或者将非食品当作食品的；</w:t>
            </w:r>
          </w:p>
          <w:p>
            <w:pPr>
              <w:pStyle w:val="84"/>
              <w:spacing w:line="400" w:lineRule="exact"/>
              <w:rPr>
                <w:rFonts w:ascii="宋体" w:hAnsi="宋体" w:cs="宋体"/>
                <w:b/>
                <w:sz w:val="24"/>
                <w:szCs w:val="24"/>
              </w:rPr>
            </w:pPr>
            <w:r>
              <w:rPr>
                <w:rFonts w:hint="eastAsia" w:ascii="宋体" w:hAnsi="宋体" w:eastAsia="宋体" w:cs="宋体"/>
                <w:kern w:val="2"/>
                <w:sz w:val="24"/>
                <w:szCs w:val="24"/>
              </w:rPr>
              <w:t>（6）食材超过保质期限的。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17</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评标办法</w:t>
            </w:r>
          </w:p>
        </w:tc>
        <w:tc>
          <w:tcPr>
            <w:tcW w:w="8337" w:type="dxa"/>
            <w:gridSpan w:val="4"/>
            <w:vAlign w:val="center"/>
          </w:tcPr>
          <w:p>
            <w:pPr>
              <w:autoSpaceDE w:val="0"/>
              <w:autoSpaceDN w:val="0"/>
              <w:adjustRightInd w:val="0"/>
              <w:snapToGrid w:val="0"/>
              <w:spacing w:line="360" w:lineRule="auto"/>
              <w:rPr>
                <w:rFonts w:ascii="宋体" w:hAnsi="宋体" w:cs="宋体"/>
                <w:kern w:val="0"/>
                <w:sz w:val="24"/>
                <w:szCs w:val="24"/>
              </w:rPr>
            </w:pPr>
            <w:r>
              <w:rPr>
                <w:rFonts w:hint="eastAsia" w:ascii="宋体" w:hAnsi="宋体" w:cs="宋体"/>
                <w:b/>
                <w:kern w:val="0"/>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18</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报价方式</w:t>
            </w:r>
          </w:p>
        </w:tc>
        <w:tc>
          <w:tcPr>
            <w:tcW w:w="8337" w:type="dxa"/>
            <w:gridSpan w:val="4"/>
            <w:vAlign w:val="center"/>
          </w:tcPr>
          <w:p>
            <w:pPr>
              <w:jc w:val="left"/>
              <w:rPr>
                <w:rFonts w:ascii="宋体" w:hAnsi="宋体" w:cs="仿宋"/>
                <w:sz w:val="24"/>
                <w:szCs w:val="24"/>
              </w:rPr>
            </w:pPr>
            <w:r>
              <w:rPr>
                <w:rFonts w:hint="eastAsia" w:ascii="宋体" w:hAnsi="宋体" w:cs="仿宋"/>
                <w:sz w:val="24"/>
                <w:szCs w:val="24"/>
              </w:rPr>
              <w:t>在每</w:t>
            </w:r>
            <w:bookmarkStart w:id="533" w:name="_GoBack"/>
            <w:bookmarkEnd w:id="533"/>
            <w:r>
              <w:rPr>
                <w:rFonts w:hint="eastAsia" w:ascii="宋体" w:hAnsi="宋体" w:cs="仿宋"/>
                <w:sz w:val="24"/>
                <w:szCs w:val="24"/>
              </w:rPr>
              <w:t>月市场平均单价的基础上下浮</w:t>
            </w:r>
            <w:r>
              <w:rPr>
                <w:rFonts w:hint="eastAsia" w:ascii="宋体" w:hAnsi="宋体" w:cs="仿宋"/>
                <w:sz w:val="24"/>
                <w:szCs w:val="24"/>
                <w:u w:val="single"/>
              </w:rPr>
              <w:t xml:space="preserve">           </w:t>
            </w:r>
            <w:r>
              <w:rPr>
                <w:rFonts w:hint="eastAsia" w:ascii="宋体" w:hAnsi="宋体" w:cs="仿宋"/>
                <w:sz w:val="24"/>
                <w:szCs w:val="24"/>
              </w:rPr>
              <w:t>%，大写：百分之</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napToGrid w:val="0"/>
              <w:spacing w:line="360" w:lineRule="auto"/>
              <w:jc w:val="left"/>
              <w:rPr>
                <w:rFonts w:ascii="宋体" w:hAnsi="宋体" w:cs="宋体"/>
                <w:kern w:val="0"/>
                <w:sz w:val="24"/>
                <w:szCs w:val="24"/>
              </w:rPr>
            </w:pPr>
            <w:r>
              <w:rPr>
                <w:rFonts w:ascii="宋体" w:hAnsi="宋体" w:cs="仿宋"/>
                <w:sz w:val="24"/>
                <w:szCs w:val="24"/>
              </w:rPr>
              <w:t>在政采云平台在线填报时，仅需在“报价”处填写数字即可。例如：报价下浮</w:t>
            </w:r>
            <w:r>
              <w:rPr>
                <w:rFonts w:hint="eastAsia" w:ascii="宋体" w:hAnsi="宋体" w:cs="仿宋"/>
                <w:sz w:val="24"/>
                <w:szCs w:val="24"/>
              </w:rPr>
              <w:t>2</w:t>
            </w:r>
            <w:r>
              <w:rPr>
                <w:rFonts w:ascii="宋体" w:hAnsi="宋体" w:cs="仿宋"/>
                <w:sz w:val="24"/>
                <w:szCs w:val="24"/>
              </w:rPr>
              <w:t>5%。即在“报价”处填写“25”，在“备注栏”填写“大写：百分之”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19</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投标文件份数</w:t>
            </w:r>
          </w:p>
        </w:tc>
        <w:tc>
          <w:tcPr>
            <w:tcW w:w="8337" w:type="dxa"/>
            <w:gridSpan w:val="4"/>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加密的电子投标文件壹份(.jmbs格式)在新疆政府采购网指定位置上传。</w:t>
            </w:r>
          </w:p>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投标人中标后需在中标结果公告发布后7日内向代理机构提供叁套纸质胶装版投标文件；并提交电子版投标文件贰份（U盘贰个，纸质版投标文件内容需与投标时电子版一致）。递交地址：新疆伊犁州伊宁市经济合作区313线以西、新华西路以北西城天街A-E#商业楼C406。收件人：陈嘉俊，电话：13699977766，费用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20</w:t>
            </w:r>
          </w:p>
        </w:tc>
        <w:tc>
          <w:tcPr>
            <w:tcW w:w="1664" w:type="dxa"/>
            <w:vAlign w:val="center"/>
          </w:tcPr>
          <w:p>
            <w:pPr>
              <w:overflowPunct w:val="0"/>
              <w:spacing w:line="360" w:lineRule="auto"/>
              <w:rPr>
                <w:rFonts w:ascii="宋体" w:hAnsi="宋体" w:cs="宋体"/>
                <w:b/>
                <w:sz w:val="24"/>
                <w:szCs w:val="24"/>
              </w:rPr>
            </w:pPr>
            <w:r>
              <w:rPr>
                <w:rFonts w:hint="eastAsia" w:ascii="宋体" w:hAnsi="宋体" w:cs="宋体"/>
                <w:b/>
                <w:kern w:val="0"/>
                <w:sz w:val="24"/>
                <w:szCs w:val="24"/>
              </w:rPr>
              <w:t>政府采购政策</w:t>
            </w:r>
          </w:p>
        </w:tc>
        <w:tc>
          <w:tcPr>
            <w:tcW w:w="8337" w:type="dxa"/>
            <w:gridSpan w:val="4"/>
            <w:vAlign w:val="center"/>
          </w:tcPr>
          <w:p>
            <w:pPr>
              <w:adjustRightInd w:val="0"/>
              <w:snapToGrid w:val="0"/>
              <w:spacing w:line="440" w:lineRule="exact"/>
              <w:rPr>
                <w:rFonts w:ascii="宋体" w:hAnsi="宋体" w:cs="宋体"/>
                <w:sz w:val="24"/>
                <w:szCs w:val="24"/>
              </w:rPr>
            </w:pPr>
            <w:r>
              <w:rPr>
                <w:rFonts w:hint="eastAsia" w:ascii="宋体" w:hAnsi="宋体" w:cs="宋体"/>
                <w:sz w:val="24"/>
                <w:szCs w:val="24"/>
              </w:rPr>
              <w:t>依据财政部、工业和信息化部印发的《政府采购促进中小企业发展暂行办法》（财库[2020]46号）及《新疆维吾尔自治区政府釆购促进中小企业发展管理实施办法》（新财规[2021]6号）规定执行;</w:t>
            </w:r>
          </w:p>
          <w:p>
            <w:pPr>
              <w:adjustRightInd w:val="0"/>
              <w:snapToGrid w:val="0"/>
              <w:spacing w:line="440" w:lineRule="exact"/>
              <w:rPr>
                <w:rFonts w:ascii="宋体" w:hAnsi="宋体" w:cs="宋体"/>
                <w:sz w:val="24"/>
                <w:szCs w:val="24"/>
              </w:rPr>
            </w:pPr>
            <w:r>
              <w:rPr>
                <w:rFonts w:hint="eastAsia" w:ascii="宋体" w:hAnsi="宋体" w:cs="宋体"/>
                <w:sz w:val="24"/>
                <w:szCs w:val="24"/>
              </w:rPr>
              <w:t>2、依据新疆维吾尔自治区财政厅、新疆生产建设兵团财政局《关于落实好政府采购支持中小企业发展的通知》（新财购[2022]22号）规定执行;</w:t>
            </w:r>
          </w:p>
          <w:p>
            <w:pPr>
              <w:adjustRightInd w:val="0"/>
              <w:snapToGrid w:val="0"/>
              <w:spacing w:line="440" w:lineRule="exact"/>
              <w:rPr>
                <w:rFonts w:ascii="宋体" w:hAnsi="宋体" w:cs="宋体"/>
                <w:sz w:val="24"/>
                <w:szCs w:val="24"/>
              </w:rPr>
            </w:pPr>
            <w:r>
              <w:rPr>
                <w:rFonts w:hint="eastAsia" w:ascii="宋体" w:hAnsi="宋体" w:cs="宋体"/>
                <w:sz w:val="24"/>
                <w:szCs w:val="24"/>
              </w:rPr>
              <w:t>3、价格扣除幅度：对符合要求的企业投标价格给予10%的扣除，用扣除后的价格参加评审。</w:t>
            </w:r>
          </w:p>
          <w:p>
            <w:pPr>
              <w:adjustRightInd w:val="0"/>
              <w:snapToGrid w:val="0"/>
              <w:spacing w:line="440" w:lineRule="exact"/>
              <w:rPr>
                <w:rFonts w:ascii="宋体" w:hAnsi="宋体" w:cs="宋体"/>
                <w:sz w:val="24"/>
                <w:szCs w:val="24"/>
              </w:rPr>
            </w:pPr>
            <w:r>
              <w:rPr>
                <w:rFonts w:hint="eastAsia" w:ascii="宋体" w:hAnsi="宋体" w:cs="宋体"/>
                <w:sz w:val="24"/>
                <w:szCs w:val="24"/>
              </w:rPr>
              <w:t>4、监狱企业、残疾人福利性企业视同小型、微型企业。残疾人福利性单位属于小型、微型企业的，不重复享受政策。符合该通知规定条件的残疾人福利性单位应当提供《残疾人福利性单位声明函》。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21</w:t>
            </w:r>
          </w:p>
        </w:tc>
        <w:tc>
          <w:tcPr>
            <w:tcW w:w="1664"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评标小组组成</w:t>
            </w:r>
          </w:p>
        </w:tc>
        <w:tc>
          <w:tcPr>
            <w:tcW w:w="8337" w:type="dxa"/>
            <w:gridSpan w:val="4"/>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小组成员由</w:t>
            </w:r>
            <w:r>
              <w:rPr>
                <w:rFonts w:hint="eastAsia" w:ascii="宋体" w:hAnsi="宋体" w:cs="宋体"/>
                <w:b/>
                <w:kern w:val="0"/>
                <w:sz w:val="24"/>
                <w:szCs w:val="24"/>
                <w:u w:val="single"/>
              </w:rPr>
              <w:t xml:space="preserve"> 7 </w:t>
            </w:r>
            <w:r>
              <w:rPr>
                <w:rFonts w:hint="eastAsia" w:ascii="宋体" w:hAnsi="宋体" w:cs="宋体"/>
                <w:kern w:val="0"/>
                <w:sz w:val="24"/>
                <w:szCs w:val="24"/>
              </w:rPr>
              <w:t>人组成，其中采购方代表</w:t>
            </w:r>
            <w:r>
              <w:rPr>
                <w:rFonts w:hint="eastAsia" w:ascii="宋体" w:hAnsi="宋体" w:cs="宋体"/>
                <w:b/>
                <w:kern w:val="0"/>
                <w:sz w:val="24"/>
                <w:szCs w:val="24"/>
                <w:u w:val="single"/>
              </w:rPr>
              <w:t xml:space="preserve">  2 </w:t>
            </w:r>
            <w:r>
              <w:rPr>
                <w:rFonts w:hint="eastAsia" w:ascii="宋体" w:hAnsi="宋体" w:cs="宋体"/>
                <w:kern w:val="0"/>
                <w:sz w:val="24"/>
                <w:szCs w:val="24"/>
              </w:rPr>
              <w:t>人，从新疆政采云专家库中随机抽取的方式确定</w:t>
            </w:r>
            <w:r>
              <w:rPr>
                <w:rFonts w:hint="eastAsia" w:ascii="宋体" w:hAnsi="宋体" w:cs="宋体"/>
                <w:b/>
                <w:kern w:val="0"/>
                <w:sz w:val="24"/>
                <w:szCs w:val="24"/>
                <w:u w:val="single"/>
              </w:rPr>
              <w:t xml:space="preserve"> 5 </w:t>
            </w:r>
            <w:r>
              <w:rPr>
                <w:rFonts w:hint="eastAsia" w:ascii="宋体" w:hAnsi="宋体" w:cs="宋体"/>
                <w:kern w:val="0"/>
                <w:sz w:val="24"/>
                <w:szCs w:val="24"/>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22</w:t>
            </w:r>
          </w:p>
        </w:tc>
        <w:tc>
          <w:tcPr>
            <w:tcW w:w="1664" w:type="dxa"/>
            <w:vMerge w:val="restart"/>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投标截止</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（开标）时</w:t>
            </w:r>
          </w:p>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间及地点</w:t>
            </w:r>
          </w:p>
        </w:tc>
        <w:tc>
          <w:tcPr>
            <w:tcW w:w="8337" w:type="dxa"/>
            <w:gridSpan w:val="4"/>
            <w:tcBorders>
              <w:left w:val="single" w:color="auto" w:sz="4" w:space="0"/>
              <w:bottom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b/>
                <w:kern w:val="0"/>
                <w:sz w:val="24"/>
                <w:szCs w:val="24"/>
              </w:rPr>
              <w:t>投标截止（开标）时间：</w:t>
            </w:r>
            <w:r>
              <w:rPr>
                <w:rFonts w:hint="eastAsia" w:ascii="仿宋" w:hAnsi="仿宋" w:eastAsia="仿宋" w:cs="仿宋"/>
                <w:sz w:val="24"/>
                <w:szCs w:val="24"/>
              </w:rPr>
              <w:t>2023年08月25日16点00分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1664" w:type="dxa"/>
            <w:vMerge w:val="continue"/>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p>
        </w:tc>
        <w:tc>
          <w:tcPr>
            <w:tcW w:w="8337" w:type="dxa"/>
            <w:gridSpan w:val="4"/>
            <w:tcBorders>
              <w:top w:val="single" w:color="auto" w:sz="4" w:space="0"/>
              <w:left w:val="single" w:color="auto" w:sz="4" w:space="0"/>
            </w:tcBorders>
            <w:vAlign w:val="center"/>
          </w:tcPr>
          <w:p>
            <w:pPr>
              <w:autoSpaceDE w:val="0"/>
              <w:autoSpaceDN w:val="0"/>
              <w:adjustRightInd w:val="0"/>
              <w:snapToGrid w:val="0"/>
              <w:spacing w:line="360" w:lineRule="auto"/>
              <w:jc w:val="left"/>
              <w:rPr>
                <w:rFonts w:ascii="宋体" w:hAnsi="宋体" w:cs="宋体"/>
                <w:b/>
                <w:kern w:val="0"/>
                <w:sz w:val="24"/>
                <w:szCs w:val="24"/>
              </w:rPr>
            </w:pPr>
            <w:r>
              <w:rPr>
                <w:rFonts w:hint="eastAsia" w:ascii="宋体" w:hAnsi="宋体" w:cs="宋体"/>
                <w:b/>
                <w:kern w:val="0"/>
                <w:sz w:val="24"/>
                <w:szCs w:val="24"/>
              </w:rPr>
              <w:t>地点:</w:t>
            </w:r>
            <w:r>
              <w:rPr>
                <w:rFonts w:hint="eastAsia" w:ascii="宋体" w:hAnsi="宋体" w:cs="宋体"/>
                <w:color w:val="000000"/>
                <w:sz w:val="24"/>
                <w:szCs w:val="24"/>
              </w:rPr>
              <w:t>请登录政采云投标客户端，在截止时间前将加密的电子响应文件（.jmbs）上传到新疆政府采购网对应的位置（逾期上传或者未上传指定地点的响应文件，采购人不予受理）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restart"/>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23</w:t>
            </w:r>
          </w:p>
        </w:tc>
        <w:tc>
          <w:tcPr>
            <w:tcW w:w="1664" w:type="dxa"/>
            <w:vMerge w:val="restart"/>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公告及成交公示发布媒介</w:t>
            </w:r>
          </w:p>
        </w:tc>
        <w:tc>
          <w:tcPr>
            <w:tcW w:w="8337" w:type="dxa"/>
            <w:gridSpan w:val="4"/>
            <w:tcBorders>
              <w:left w:val="single" w:color="auto" w:sz="4" w:space="0"/>
              <w:bottom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highlight w:val="yellow"/>
              </w:rPr>
            </w:pPr>
            <w:r>
              <w:rPr>
                <w:rFonts w:hint="eastAsia" w:ascii="宋体" w:hAnsi="宋体" w:cs="宋体"/>
                <w:b/>
                <w:kern w:val="0"/>
                <w:sz w:val="24"/>
                <w:szCs w:val="24"/>
              </w:rPr>
              <w:t>新疆政府采购网http://www.ccgp-xinjiang.gov.cn/伊犁州公共资源交易平台http://ggzy.xjyl.gov.cn/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532" w:type="dxa"/>
            <w:vMerge w:val="continue"/>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1664" w:type="dxa"/>
            <w:vMerge w:val="continue"/>
            <w:tcBorders>
              <w:right w:val="single" w:color="auto" w:sz="4" w:space="0"/>
            </w:tcBorders>
            <w:vAlign w:val="center"/>
          </w:tcPr>
          <w:p>
            <w:pPr>
              <w:autoSpaceDE w:val="0"/>
              <w:autoSpaceDN w:val="0"/>
              <w:adjustRightInd w:val="0"/>
              <w:snapToGrid w:val="0"/>
              <w:spacing w:line="360" w:lineRule="auto"/>
              <w:jc w:val="center"/>
              <w:rPr>
                <w:rFonts w:ascii="宋体" w:hAnsi="宋体" w:cs="宋体"/>
                <w:b/>
                <w:kern w:val="0"/>
                <w:sz w:val="24"/>
                <w:szCs w:val="24"/>
                <w:highlight w:val="yellow"/>
              </w:rPr>
            </w:pPr>
          </w:p>
        </w:tc>
        <w:tc>
          <w:tcPr>
            <w:tcW w:w="8337" w:type="dxa"/>
            <w:gridSpan w:val="4"/>
            <w:tcBorders>
              <w:top w:val="single" w:color="auto" w:sz="4" w:space="0"/>
              <w:left w:val="single" w:color="auto" w:sz="4" w:space="0"/>
            </w:tcBorders>
            <w:vAlign w:val="center"/>
          </w:tcPr>
          <w:p>
            <w:pPr>
              <w:autoSpaceDE w:val="0"/>
              <w:autoSpaceDN w:val="0"/>
              <w:adjustRightInd w:val="0"/>
              <w:snapToGrid w:val="0"/>
              <w:spacing w:line="360" w:lineRule="auto"/>
              <w:jc w:val="left"/>
              <w:rPr>
                <w:rFonts w:ascii="宋体" w:hAnsi="宋体" w:cs="宋体"/>
                <w:kern w:val="0"/>
                <w:sz w:val="24"/>
                <w:szCs w:val="24"/>
                <w:highlight w:val="yellow"/>
              </w:rPr>
            </w:pPr>
            <w:r>
              <w:rPr>
                <w:rFonts w:hint="eastAsia" w:ascii="宋体" w:hAnsi="宋体" w:cs="宋体"/>
                <w:kern w:val="0"/>
                <w:sz w:val="24"/>
                <w:szCs w:val="24"/>
              </w:rPr>
              <w:t>公示期不少于1工作日，公示期内无异议将向第一中标候选人发出成交通知书。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24</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中标</w:t>
            </w:r>
          </w:p>
          <w:p>
            <w:pPr>
              <w:overflowPunct w:val="0"/>
              <w:spacing w:line="360" w:lineRule="auto"/>
              <w:jc w:val="center"/>
              <w:rPr>
                <w:rFonts w:ascii="宋体" w:hAnsi="宋体" w:cs="宋体"/>
                <w:b/>
                <w:sz w:val="24"/>
                <w:szCs w:val="24"/>
              </w:rPr>
            </w:pPr>
            <w:r>
              <w:rPr>
                <w:rFonts w:hint="eastAsia" w:ascii="宋体" w:hAnsi="宋体" w:cs="宋体"/>
                <w:b/>
                <w:sz w:val="24"/>
                <w:szCs w:val="24"/>
              </w:rPr>
              <w:t>通知书</w:t>
            </w:r>
          </w:p>
        </w:tc>
        <w:tc>
          <w:tcPr>
            <w:tcW w:w="8337" w:type="dxa"/>
            <w:gridSpan w:val="4"/>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中标公示</w:t>
            </w:r>
            <w:r>
              <w:rPr>
                <w:rFonts w:hint="eastAsia" w:ascii="宋体" w:hAnsi="宋体" w:cs="宋体"/>
                <w:b/>
                <w:sz w:val="24"/>
                <w:szCs w:val="24"/>
              </w:rPr>
              <w:t>1</w:t>
            </w:r>
            <w:r>
              <w:rPr>
                <w:rFonts w:hint="eastAsia" w:ascii="宋体" w:hAnsi="宋体" w:cs="宋体"/>
                <w:sz w:val="24"/>
                <w:szCs w:val="24"/>
              </w:rPr>
              <w:t>工作日无异议后发放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25</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签订合同时间</w:t>
            </w:r>
          </w:p>
        </w:tc>
        <w:tc>
          <w:tcPr>
            <w:tcW w:w="8337" w:type="dxa"/>
            <w:gridSpan w:val="4"/>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成交通知书发出之日起</w:t>
            </w:r>
            <w:r>
              <w:rPr>
                <w:rFonts w:hint="eastAsia" w:ascii="宋体" w:hAnsi="宋体" w:cs="宋体"/>
                <w:b/>
                <w:sz w:val="24"/>
                <w:szCs w:val="24"/>
              </w:rPr>
              <w:t>30</w:t>
            </w:r>
            <w:r>
              <w:rPr>
                <w:rFonts w:hint="eastAsia" w:ascii="宋体" w:hAnsi="宋体" w:cs="宋体"/>
                <w:sz w:val="24"/>
                <w:szCs w:val="24"/>
              </w:rPr>
              <w:t>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26</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代理</w:t>
            </w:r>
          </w:p>
          <w:p>
            <w:pPr>
              <w:overflowPunct w:val="0"/>
              <w:spacing w:line="360" w:lineRule="auto"/>
              <w:jc w:val="center"/>
              <w:rPr>
                <w:rFonts w:ascii="宋体" w:hAnsi="宋体" w:cs="宋体"/>
                <w:b/>
                <w:sz w:val="24"/>
                <w:szCs w:val="24"/>
              </w:rPr>
            </w:pPr>
            <w:r>
              <w:rPr>
                <w:rFonts w:hint="eastAsia" w:ascii="宋体" w:hAnsi="宋体" w:cs="宋体"/>
                <w:b/>
                <w:sz w:val="24"/>
                <w:szCs w:val="24"/>
              </w:rPr>
              <w:t>服务费</w:t>
            </w:r>
          </w:p>
        </w:tc>
        <w:tc>
          <w:tcPr>
            <w:tcW w:w="8337" w:type="dxa"/>
            <w:gridSpan w:val="4"/>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参照国家发改价格[2011]534号文件的规定，由中标人支付。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27</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文件</w:t>
            </w:r>
          </w:p>
          <w:p>
            <w:pPr>
              <w:overflowPunct w:val="0"/>
              <w:spacing w:line="360" w:lineRule="auto"/>
              <w:jc w:val="center"/>
              <w:rPr>
                <w:rFonts w:ascii="宋体" w:hAnsi="宋体" w:cs="宋体"/>
                <w:b/>
                <w:sz w:val="24"/>
                <w:szCs w:val="24"/>
              </w:rPr>
            </w:pPr>
            <w:r>
              <w:rPr>
                <w:rFonts w:hint="eastAsia" w:ascii="宋体" w:hAnsi="宋体" w:cs="宋体"/>
                <w:b/>
                <w:sz w:val="24"/>
                <w:szCs w:val="24"/>
              </w:rPr>
              <w:t>解释权</w:t>
            </w:r>
          </w:p>
        </w:tc>
        <w:tc>
          <w:tcPr>
            <w:tcW w:w="8337" w:type="dxa"/>
            <w:gridSpan w:val="4"/>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本招标文件的解释权归</w:t>
            </w:r>
            <w:r>
              <w:rPr>
                <w:rFonts w:hint="eastAsia" w:ascii="宋体" w:hAnsi="宋体" w:cs="宋体"/>
                <w:b/>
                <w:bCs/>
                <w:sz w:val="24"/>
                <w:szCs w:val="24"/>
              </w:rPr>
              <w:t>巩留县教育局</w:t>
            </w:r>
            <w:r>
              <w:rPr>
                <w:rFonts w:hint="eastAsia" w:ascii="宋体" w:hAnsi="宋体" w:cs="宋体"/>
                <w:b/>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28</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其他要求</w:t>
            </w:r>
          </w:p>
        </w:tc>
        <w:tc>
          <w:tcPr>
            <w:tcW w:w="8337" w:type="dxa"/>
            <w:gridSpan w:val="4"/>
            <w:vAlign w:val="center"/>
          </w:tcPr>
          <w:p>
            <w:pPr>
              <w:widowControl/>
              <w:spacing w:line="360" w:lineRule="auto"/>
              <w:ind w:left="14" w:leftChars="-45" w:hanging="108" w:hangingChars="45"/>
              <w:jc w:val="left"/>
              <w:rPr>
                <w:rFonts w:ascii="宋体" w:hAnsi="宋体" w:cs="宋体"/>
                <w:sz w:val="24"/>
                <w:szCs w:val="24"/>
              </w:rPr>
            </w:pPr>
            <w:r>
              <w:rPr>
                <w:rFonts w:hint="eastAsia" w:ascii="宋体" w:hAnsi="宋体" w:cs="宋体"/>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的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4" w:hRule="atLeast"/>
        </w:trPr>
        <w:tc>
          <w:tcPr>
            <w:tcW w:w="532" w:type="dxa"/>
            <w:vAlign w:val="center"/>
          </w:tcPr>
          <w:p>
            <w:pPr>
              <w:autoSpaceDE w:val="0"/>
              <w:autoSpaceDN w:val="0"/>
              <w:adjustRightInd w:val="0"/>
              <w:snapToGrid w:val="0"/>
              <w:spacing w:line="360" w:lineRule="auto"/>
              <w:jc w:val="center"/>
              <w:rPr>
                <w:rFonts w:ascii="宋体" w:hAnsi="宋体" w:cs="宋体"/>
                <w:b/>
                <w:kern w:val="0"/>
                <w:sz w:val="24"/>
                <w:szCs w:val="24"/>
              </w:rPr>
            </w:pPr>
            <w:r>
              <w:rPr>
                <w:rFonts w:hint="eastAsia" w:ascii="宋体" w:hAnsi="宋体" w:cs="宋体"/>
                <w:b/>
                <w:kern w:val="0"/>
                <w:sz w:val="24"/>
                <w:szCs w:val="24"/>
              </w:rPr>
              <w:t>29</w:t>
            </w:r>
          </w:p>
        </w:tc>
        <w:tc>
          <w:tcPr>
            <w:tcW w:w="1664" w:type="dxa"/>
            <w:vAlign w:val="center"/>
          </w:tcPr>
          <w:p>
            <w:pPr>
              <w:overflowPunct w:val="0"/>
              <w:spacing w:line="360" w:lineRule="auto"/>
              <w:jc w:val="center"/>
              <w:rPr>
                <w:rFonts w:ascii="宋体" w:hAnsi="宋体" w:cs="宋体"/>
                <w:b/>
                <w:sz w:val="24"/>
                <w:szCs w:val="24"/>
              </w:rPr>
            </w:pPr>
            <w:r>
              <w:rPr>
                <w:rFonts w:hint="eastAsia" w:ascii="宋体" w:hAnsi="宋体" w:cs="宋体"/>
                <w:b/>
                <w:sz w:val="24"/>
                <w:szCs w:val="24"/>
              </w:rPr>
              <w:t>补充说明</w:t>
            </w:r>
          </w:p>
        </w:tc>
        <w:tc>
          <w:tcPr>
            <w:tcW w:w="8337" w:type="dxa"/>
            <w:gridSpan w:val="4"/>
            <w:vAlign w:val="center"/>
          </w:tcPr>
          <w:p>
            <w:pPr>
              <w:spacing w:line="400" w:lineRule="exact"/>
              <w:ind w:right="105" w:rightChars="50"/>
              <w:rPr>
                <w:rFonts w:ascii="宋体" w:hAnsi="宋体" w:cs="宋体"/>
                <w:sz w:val="24"/>
                <w:szCs w:val="24"/>
              </w:rPr>
            </w:pPr>
            <w:r>
              <w:rPr>
                <w:rFonts w:hint="eastAsia" w:ascii="宋体" w:hAnsi="宋体" w:cs="宋体"/>
                <w:sz w:val="24"/>
                <w:szCs w:val="24"/>
              </w:rPr>
              <w:t>本项目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numPr>
                <w:ilvl w:val="0"/>
                <w:numId w:val="3"/>
              </w:numPr>
              <w:spacing w:line="400" w:lineRule="exact"/>
              <w:ind w:right="105" w:rightChars="50"/>
              <w:rPr>
                <w:rFonts w:ascii="宋体" w:hAnsi="宋体" w:cs="宋体"/>
                <w:sz w:val="24"/>
                <w:szCs w:val="24"/>
              </w:rPr>
            </w:pPr>
            <w:r>
              <w:rPr>
                <w:rFonts w:hint="eastAsia" w:ascii="宋体" w:hAnsi="宋体" w:cs="宋体"/>
                <w:sz w:val="24"/>
                <w:szCs w:val="24"/>
              </w:rPr>
              <w:t>供应商报价CA签字确认：报价文件开启后将开启签字时段，供应商须在20分钟内用CA证书对报价进行签字确认。</w:t>
            </w:r>
          </w:p>
          <w:p>
            <w:pPr>
              <w:spacing w:line="400" w:lineRule="exact"/>
              <w:ind w:right="105" w:rightChars="50"/>
              <w:rPr>
                <w:rFonts w:ascii="宋体" w:hAnsi="宋体" w:cs="宋体"/>
                <w:sz w:val="24"/>
                <w:szCs w:val="24"/>
              </w:rPr>
            </w:pPr>
            <w:r>
              <w:rPr>
                <w:rFonts w:hint="eastAsia" w:ascii="宋体" w:hAnsi="宋体" w:cs="宋体"/>
                <w:sz w:val="24"/>
                <w:szCs w:val="24"/>
              </w:rPr>
              <w:t>备注：1、本次采购采用电子交易方式，电子交易平台为“</w:t>
            </w:r>
            <w:r>
              <w:rPr>
                <w:rFonts w:hint="eastAsia" w:ascii="宋体" w:hAnsi="宋体" w:cs="宋体"/>
                <w:color w:val="000000"/>
                <w:sz w:val="24"/>
                <w:szCs w:val="24"/>
              </w:rPr>
              <w:t>政府采购云平台（www.zcygov.cn）</w:t>
            </w:r>
            <w:r>
              <w:rPr>
                <w:rFonts w:hint="eastAsia" w:ascii="宋体" w:hAnsi="宋体" w:cs="宋体"/>
                <w:sz w:val="24"/>
                <w:szCs w:val="24"/>
              </w:rPr>
              <w:t>”。供应商参与本项目电子交易活动前，应注册成为</w:t>
            </w:r>
            <w:r>
              <w:rPr>
                <w:rFonts w:hint="eastAsia" w:ascii="宋体" w:hAnsi="宋体" w:cs="宋体"/>
                <w:color w:val="000000"/>
                <w:sz w:val="24"/>
                <w:szCs w:val="24"/>
              </w:rPr>
              <w:t>政府采购云平台供应商</w:t>
            </w:r>
            <w:r>
              <w:rPr>
                <w:rFonts w:hint="eastAsia" w:ascii="宋体" w:hAnsi="宋体" w:cs="宋体"/>
                <w:sz w:val="24"/>
                <w:szCs w:val="24"/>
              </w:rPr>
              <w:t>。编制电子投标文件前还需申领CA证书并绑定帐号。供应商应充分考虑完成平台注册、申领CA证书等所需的时间。因未注册入库、未办理CA数字证书等原因造成无法投标或投标失败等后果由供应商自行承担。</w:t>
            </w:r>
          </w:p>
          <w:p>
            <w:pPr>
              <w:spacing w:line="400" w:lineRule="exact"/>
              <w:ind w:right="105" w:rightChars="50"/>
              <w:rPr>
                <w:rFonts w:ascii="宋体" w:hAnsi="宋体" w:cs="宋体"/>
                <w:sz w:val="24"/>
                <w:szCs w:val="24"/>
              </w:rPr>
            </w:pPr>
            <w:r>
              <w:rPr>
                <w:rFonts w:hint="eastAsia" w:ascii="宋体" w:hAnsi="宋体" w:cs="宋体"/>
                <w:sz w:val="24"/>
                <w:szCs w:val="24"/>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26"/>
              <w:shd w:val="clear" w:color="auto" w:fill="FFFFFF"/>
              <w:spacing w:before="0" w:beforeAutospacing="0" w:after="0" w:afterAutospacing="0" w:line="400" w:lineRule="exact"/>
            </w:pPr>
            <w:r>
              <w:rPr>
                <w:rFonts w:hint="eastAsia"/>
              </w:rPr>
              <w:t>3、</w:t>
            </w:r>
            <w:r>
              <w:rPr>
                <w:rFonts w:hint="eastAsia"/>
                <w:kern w:val="2"/>
              </w:rPr>
              <w:t>各供应商对不见面开评标系统的技术操作咨询，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color w:val="000000"/>
              </w:rPr>
              <w:t>95763</w:t>
            </w:r>
            <w:r>
              <w:rPr>
                <w:rFonts w:hint="eastAsia"/>
                <w:kern w:val="2"/>
              </w:rPr>
              <w:t>（工作时间：工作日08:00~20：00）   。</w:t>
            </w:r>
          </w:p>
          <w:p>
            <w:pPr>
              <w:spacing w:line="400" w:lineRule="exact"/>
              <w:ind w:right="105" w:rightChars="50"/>
              <w:rPr>
                <w:rFonts w:ascii="宋体" w:hAnsi="宋体" w:cs="宋体"/>
                <w:sz w:val="24"/>
                <w:szCs w:val="24"/>
              </w:rPr>
            </w:pPr>
            <w:r>
              <w:rPr>
                <w:rFonts w:hint="eastAsia" w:ascii="宋体" w:hAnsi="宋体" w:cs="宋体"/>
                <w:sz w:val="24"/>
                <w:szCs w:val="24"/>
              </w:rPr>
              <w:t>4、按评标办法提供材料。</w:t>
            </w:r>
          </w:p>
          <w:p>
            <w:pPr>
              <w:widowControl/>
              <w:spacing w:line="400" w:lineRule="exact"/>
              <w:jc w:val="left"/>
              <w:rPr>
                <w:rFonts w:ascii="宋体" w:hAnsi="宋体" w:cs="宋体"/>
                <w:sz w:val="24"/>
                <w:szCs w:val="24"/>
              </w:rPr>
            </w:pPr>
            <w:r>
              <w:rPr>
                <w:rFonts w:hint="eastAsia" w:ascii="宋体" w:hAnsi="宋体" w:cs="宋体"/>
                <w:sz w:val="24"/>
                <w:szCs w:val="24"/>
              </w:rPr>
              <w:t>5、须知前附表与正文描述不一致时，以须知前附表中为主。</w:t>
            </w:r>
          </w:p>
        </w:tc>
      </w:tr>
    </w:tbl>
    <w:p>
      <w:pPr>
        <w:pStyle w:val="22"/>
        <w:rPr>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pStyle w:val="18"/>
        <w:rPr>
          <w:sz w:val="32"/>
          <w:szCs w:val="32"/>
          <w:highlight w:val="yellow"/>
        </w:rPr>
      </w:pPr>
    </w:p>
    <w:p>
      <w:pPr>
        <w:spacing w:line="360" w:lineRule="auto"/>
        <w:jc w:val="center"/>
        <w:outlineLvl w:val="0"/>
        <w:rPr>
          <w:rFonts w:ascii="仿宋" w:hAnsi="仿宋" w:eastAsia="仿宋" w:cs="仿宋"/>
          <w:b/>
          <w:kern w:val="44"/>
          <w:sz w:val="32"/>
          <w:szCs w:val="32"/>
        </w:rPr>
      </w:pPr>
      <w:bookmarkStart w:id="3" w:name="_Toc8089"/>
      <w:r>
        <w:rPr>
          <w:rFonts w:hint="eastAsia" w:ascii="仿宋" w:hAnsi="仿宋" w:eastAsia="仿宋" w:cs="仿宋"/>
          <w:b/>
          <w:kern w:val="44"/>
          <w:sz w:val="32"/>
          <w:szCs w:val="32"/>
        </w:rPr>
        <w:t>第三章　投标人须知</w:t>
      </w:r>
      <w:bookmarkEnd w:id="3"/>
    </w:p>
    <w:p>
      <w:pPr>
        <w:spacing w:line="360" w:lineRule="auto"/>
        <w:jc w:val="center"/>
        <w:outlineLvl w:val="1"/>
        <w:rPr>
          <w:rFonts w:ascii="仿宋" w:hAnsi="仿宋" w:eastAsia="仿宋" w:cs="仿宋"/>
          <w:b/>
          <w:sz w:val="24"/>
          <w:szCs w:val="24"/>
        </w:rPr>
      </w:pPr>
      <w:bookmarkStart w:id="4" w:name="_Toc15914"/>
      <w:bookmarkStart w:id="5" w:name="_Toc18475"/>
      <w:bookmarkStart w:id="6" w:name="_Toc737"/>
      <w:r>
        <w:rPr>
          <w:rFonts w:hint="eastAsia" w:ascii="仿宋" w:hAnsi="仿宋" w:eastAsia="仿宋" w:cs="仿宋"/>
          <w:b/>
          <w:sz w:val="24"/>
          <w:szCs w:val="24"/>
        </w:rPr>
        <w:t>一、说明</w:t>
      </w:r>
      <w:bookmarkEnd w:id="4"/>
      <w:bookmarkEnd w:id="5"/>
      <w:bookmarkEnd w:id="6"/>
    </w:p>
    <w:p>
      <w:pPr>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7" w:name="_Toc11143"/>
      <w:bookmarkStart w:id="8" w:name="_Toc19092"/>
      <w:bookmarkStart w:id="9" w:name="_Toc23227"/>
      <w:bookmarkStart w:id="10" w:name="_Toc28947"/>
      <w:bookmarkStart w:id="11" w:name="_Toc32718"/>
      <w:r>
        <w:rPr>
          <w:rFonts w:hint="eastAsia" w:ascii="仿宋" w:hAnsi="仿宋" w:eastAsia="仿宋" w:cs="仿宋"/>
          <w:b/>
          <w:bCs/>
          <w:kern w:val="44"/>
          <w:sz w:val="24"/>
          <w:szCs w:val="24"/>
        </w:rPr>
        <w:t>说明：本招标文件使用的词语有如下定义</w:t>
      </w:r>
      <w:bookmarkEnd w:id="7"/>
      <w:bookmarkEnd w:id="8"/>
      <w:bookmarkEnd w:id="9"/>
      <w:bookmarkEnd w:id="10"/>
      <w:bookmarkEnd w:id="11"/>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“采购人”系指依法进行政府采购的国家机关、事业单位、团体组织。系指：</w:t>
      </w:r>
      <w:r>
        <w:rPr>
          <w:rFonts w:hint="eastAsia" w:ascii="仿宋" w:hAnsi="仿宋" w:eastAsia="仿宋" w:cs="仿宋"/>
          <w:sz w:val="24"/>
          <w:szCs w:val="24"/>
          <w:u w:val="single"/>
          <w:lang w:val="zh-CN"/>
        </w:rPr>
        <w:t xml:space="preserve"> 巩留县教育局</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“采购代理机构”系指：</w:t>
      </w:r>
      <w:r>
        <w:rPr>
          <w:rFonts w:hint="eastAsia" w:ascii="仿宋" w:hAnsi="仿宋" w:eastAsia="仿宋" w:cs="仿宋"/>
          <w:sz w:val="24"/>
          <w:szCs w:val="24"/>
          <w:u w:val="single"/>
          <w:lang w:val="zh-CN"/>
        </w:rPr>
        <w:t>新疆金磐工程管理咨询有限公司</w:t>
      </w:r>
      <w:r>
        <w:rPr>
          <w:rFonts w:hint="eastAsia" w:ascii="仿宋" w:hAnsi="仿宋" w:eastAsia="仿宋" w:cs="仿宋"/>
          <w:sz w:val="24"/>
          <w:szCs w:val="24"/>
          <w:lang w:val="zh-CN"/>
        </w:rPr>
        <w:t>。</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“投标人”系指响应采购、参加投标竞争的当事人。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“成交人”系指由评标小组评审推荐，经法定程序确定获得本项目中标资格的投标人。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“评标小组” 系指依法组建，负责本次采购的评标工作机构。</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“甲方”系指在合同条款中指明的采购人。</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“乙方”系指在合同条款中指明的本合同项下提供服务的公司或实体。</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“招标文件”系指由采购代理机构发出的本招标文件，包括全部章节和附件。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“投标文件”系指投标人根据本招标文件向采购代理机构提交的全部文件。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“书面函件” 系指手写、打字或印刷的函件，包括电传、电报和传真。</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“合同” 系指由本次采购所产生的合同或合约文件。</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“日期”系指公历日。</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“时间”系指北京时间。</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“货物”系指投标人须向采购人提供的符合招标文件要求的货。</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“服务”系指投标人须向采购人提供的符合招标文件要求的服务。</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“实质性响应”系指符合招标文件的所有要求、条款、条件和规定，且没有不利于项目实施质量效果和服务保障的重大偏离或保留。</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“重大偏离或保留”系指影响到招标文件规定的范围、质量和性能或限制了采购人的权力和投标人义务的规定，而纠正这些偏离将影响到其它投标人的公平竞争地位。</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盖章：一般情况指盖投标人的法定公章，除招标文件特别说明外，使用财务专用章、合同章、投标专用章等非公章的盖章，均作无效盖章处理。</w:t>
      </w:r>
    </w:p>
    <w:p>
      <w:pPr>
        <w:numPr>
          <w:ilvl w:val="0"/>
          <w:numId w:val="5"/>
        </w:numPr>
        <w:autoSpaceDE w:val="0"/>
        <w:autoSpaceDN w:val="0"/>
        <w:adjustRightInd w:val="0"/>
        <w:snapToGrid w:val="0"/>
        <w:spacing w:line="360" w:lineRule="auto"/>
        <w:ind w:left="794" w:hanging="794"/>
        <w:jc w:val="left"/>
        <w:rPr>
          <w:rFonts w:ascii="仿宋" w:hAnsi="仿宋" w:eastAsia="仿宋" w:cs="仿宋"/>
          <w:sz w:val="24"/>
          <w:szCs w:val="24"/>
          <w:lang w:val="zh-CN"/>
        </w:rPr>
      </w:pPr>
      <w:r>
        <w:rPr>
          <w:rFonts w:hint="eastAsia" w:ascii="仿宋" w:hAnsi="仿宋" w:eastAsia="仿宋" w:cs="仿宋"/>
          <w:sz w:val="24"/>
          <w:szCs w:val="24"/>
          <w:lang w:val="zh-CN"/>
        </w:rPr>
        <w:t>签署：一般情况指亲笔签字或使用盖私章方式，除招标文件特别说明外，其他方式均作无效签署处理。</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2" w:name="_Toc55778675"/>
      <w:bookmarkStart w:id="13" w:name="_Toc4651"/>
      <w:bookmarkStart w:id="14" w:name="_Toc19223"/>
      <w:bookmarkStart w:id="15" w:name="_Toc30404"/>
      <w:bookmarkStart w:id="16" w:name="_Toc10541"/>
      <w:bookmarkStart w:id="17" w:name="_Toc2235"/>
      <w:r>
        <w:rPr>
          <w:rFonts w:hint="eastAsia" w:ascii="仿宋" w:hAnsi="仿宋" w:eastAsia="仿宋" w:cs="仿宋"/>
          <w:b/>
          <w:bCs/>
          <w:kern w:val="44"/>
          <w:sz w:val="24"/>
          <w:szCs w:val="24"/>
        </w:rPr>
        <w:t>合格的投标人</w:t>
      </w:r>
      <w:bookmarkEnd w:id="12"/>
      <w:bookmarkEnd w:id="13"/>
      <w:bookmarkEnd w:id="14"/>
      <w:bookmarkEnd w:id="15"/>
      <w:bookmarkEnd w:id="16"/>
      <w:bookmarkEnd w:id="17"/>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除非另有规定，凡是在中华人民共和国境内注册且为人民币流通区域内的供货人均可投标。</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投标人符合《中华人民共和国政府采购法》第22条和《中华人民共和国政府采购法实施条例》第17条规定的条件。</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与采购人存在利害关系可能影响公正性的法人或其他组织或自然人不得参加投标。</w:t>
      </w:r>
    </w:p>
    <w:p>
      <w:pPr>
        <w:numPr>
          <w:ilvl w:val="1"/>
          <w:numId w:val="6"/>
        </w:numPr>
        <w:spacing w:line="360" w:lineRule="auto"/>
        <w:rPr>
          <w:rFonts w:ascii="仿宋" w:hAnsi="仿宋" w:eastAsia="仿宋" w:cs="仿宋"/>
          <w:sz w:val="24"/>
          <w:szCs w:val="24"/>
        </w:rPr>
      </w:pPr>
      <w:r>
        <w:rPr>
          <w:rFonts w:hint="eastAsia" w:ascii="仿宋" w:hAnsi="仿宋" w:eastAsia="仿宋" w:cs="仿宋"/>
          <w:sz w:val="24"/>
          <w:szCs w:val="24"/>
        </w:rPr>
        <w:t>招标文件要求的其他条件。</w:t>
      </w:r>
    </w:p>
    <w:p>
      <w:pPr>
        <w:pStyle w:val="3"/>
        <w:numPr>
          <w:ilvl w:val="0"/>
          <w:numId w:val="4"/>
        </w:numPr>
        <w:tabs>
          <w:tab w:val="left" w:pos="900"/>
          <w:tab w:val="clear" w:pos="425"/>
        </w:tabs>
        <w:spacing w:before="0" w:after="0" w:line="360" w:lineRule="auto"/>
        <w:ind w:left="924" w:hanging="924"/>
        <w:rPr>
          <w:rStyle w:val="56"/>
          <w:rFonts w:ascii="仿宋" w:hAnsi="仿宋" w:eastAsia="仿宋" w:cs="仿宋"/>
          <w:bCs/>
          <w:sz w:val="24"/>
          <w:szCs w:val="24"/>
        </w:rPr>
      </w:pPr>
      <w:bookmarkStart w:id="18" w:name="_Toc28554"/>
      <w:bookmarkStart w:id="19" w:name="_Toc20782"/>
      <w:bookmarkStart w:id="20" w:name="_Toc15216"/>
      <w:bookmarkStart w:id="21" w:name="_Toc2653"/>
      <w:bookmarkStart w:id="22" w:name="_Toc55778677"/>
      <w:bookmarkStart w:id="23" w:name="_Toc8868"/>
      <w:bookmarkStart w:id="24" w:name="_Toc25107"/>
      <w:r>
        <w:rPr>
          <w:rStyle w:val="56"/>
          <w:rFonts w:hint="eastAsia" w:ascii="仿宋" w:hAnsi="仿宋" w:eastAsia="仿宋" w:cs="仿宋"/>
          <w:bCs/>
          <w:sz w:val="24"/>
          <w:szCs w:val="24"/>
        </w:rPr>
        <w:t>投标费用</w:t>
      </w:r>
      <w:bookmarkEnd w:id="18"/>
      <w:bookmarkEnd w:id="19"/>
      <w:bookmarkEnd w:id="20"/>
      <w:bookmarkEnd w:id="21"/>
      <w:bookmarkEnd w:id="22"/>
      <w:bookmarkEnd w:id="23"/>
      <w:bookmarkEnd w:id="24"/>
    </w:p>
    <w:p>
      <w:pPr>
        <w:pStyle w:val="59"/>
        <w:numPr>
          <w:ilvl w:val="0"/>
          <w:numId w:val="7"/>
        </w:numPr>
        <w:spacing w:line="360" w:lineRule="auto"/>
        <w:ind w:firstLineChars="0"/>
        <w:rPr>
          <w:rFonts w:ascii="仿宋" w:hAnsi="仿宋" w:eastAsia="仿宋" w:cs="仿宋"/>
          <w:sz w:val="24"/>
          <w:szCs w:val="24"/>
        </w:rPr>
      </w:pPr>
      <w:r>
        <w:rPr>
          <w:rFonts w:hint="eastAsia" w:ascii="仿宋" w:hAnsi="仿宋" w:eastAsia="仿宋" w:cs="仿宋"/>
          <w:sz w:val="24"/>
          <w:szCs w:val="24"/>
        </w:rPr>
        <w:t>投标人应承担所有与准备和参加投标有关的费用。不论投标的结果如何，采购代理机构和采购人均无义务和责任承担这些费用。</w:t>
      </w:r>
    </w:p>
    <w:p>
      <w:pPr>
        <w:pStyle w:val="3"/>
        <w:numPr>
          <w:ilvl w:val="0"/>
          <w:numId w:val="4"/>
        </w:numPr>
        <w:tabs>
          <w:tab w:val="left" w:pos="900"/>
          <w:tab w:val="clear" w:pos="425"/>
        </w:tabs>
        <w:spacing w:before="0" w:after="0" w:line="360" w:lineRule="auto"/>
        <w:ind w:left="924" w:hanging="924"/>
        <w:rPr>
          <w:rFonts w:ascii="仿宋" w:hAnsi="仿宋" w:eastAsia="仿宋" w:cs="仿宋"/>
          <w:sz w:val="24"/>
          <w:szCs w:val="24"/>
        </w:rPr>
      </w:pPr>
      <w:bookmarkStart w:id="25" w:name="_Toc29258"/>
      <w:bookmarkStart w:id="26" w:name="_Toc2722"/>
      <w:bookmarkStart w:id="27" w:name="_Toc19746"/>
      <w:bookmarkStart w:id="28" w:name="_Toc55778678"/>
      <w:bookmarkStart w:id="29" w:name="_Toc14265"/>
      <w:bookmarkStart w:id="30" w:name="_Toc9407"/>
      <w:r>
        <w:rPr>
          <w:rStyle w:val="56"/>
          <w:rFonts w:hint="eastAsia" w:ascii="仿宋" w:hAnsi="仿宋" w:eastAsia="仿宋" w:cs="仿宋"/>
          <w:bCs w:val="0"/>
          <w:sz w:val="24"/>
          <w:szCs w:val="24"/>
        </w:rPr>
        <w:t>现场考察或者召开开标前答疑会</w:t>
      </w:r>
      <w:bookmarkEnd w:id="25"/>
      <w:bookmarkEnd w:id="26"/>
      <w:bookmarkEnd w:id="27"/>
      <w:bookmarkEnd w:id="28"/>
      <w:bookmarkEnd w:id="29"/>
      <w:bookmarkEnd w:id="30"/>
    </w:p>
    <w:p>
      <w:pPr>
        <w:numPr>
          <w:ilvl w:val="1"/>
          <w:numId w:val="8"/>
        </w:numPr>
        <w:spacing w:line="360" w:lineRule="auto"/>
        <w:rPr>
          <w:rFonts w:ascii="仿宋" w:hAnsi="仿宋" w:eastAsia="仿宋" w:cs="仿宋"/>
          <w:sz w:val="24"/>
          <w:szCs w:val="24"/>
        </w:rPr>
      </w:pPr>
      <w:bookmarkStart w:id="31" w:name="_Ref179620557"/>
      <w:r>
        <w:rPr>
          <w:rFonts w:hint="eastAsia" w:ascii="仿宋" w:hAnsi="仿宋" w:eastAsia="仿宋" w:cs="仿宋"/>
          <w:sz w:val="24"/>
          <w:szCs w:val="24"/>
        </w:rPr>
        <w:t>除非另有规定，不举行项目现场考察或者召开开标前答疑会，如举行现场考察或者召开开标前答疑会的，则按以下规定</w:t>
      </w:r>
      <w:bookmarkEnd w:id="31"/>
      <w:r>
        <w:rPr>
          <w:rFonts w:hint="eastAsia" w:ascii="仿宋" w:hAnsi="仿宋" w:eastAsia="仿宋" w:cs="仿宋"/>
          <w:sz w:val="24"/>
          <w:szCs w:val="24"/>
        </w:rPr>
        <w:t>：</w:t>
      </w:r>
    </w:p>
    <w:p>
      <w:pPr>
        <w:numPr>
          <w:ilvl w:val="0"/>
          <w:numId w:val="9"/>
        </w:numPr>
        <w:spacing w:line="360" w:lineRule="auto"/>
        <w:rPr>
          <w:rFonts w:ascii="仿宋" w:hAnsi="仿宋" w:eastAsia="仿宋" w:cs="仿宋"/>
          <w:sz w:val="24"/>
          <w:szCs w:val="24"/>
        </w:rPr>
      </w:pPr>
      <w:r>
        <w:rPr>
          <w:rFonts w:hint="eastAsia" w:ascii="仿宋" w:hAnsi="仿宋" w:eastAsia="仿宋" w:cs="仿宋"/>
          <w:sz w:val="24"/>
          <w:szCs w:val="24"/>
        </w:rPr>
        <w:t>在《投标须知前附表》中规定的日期、时间和地点组织现场考察或者召开开标前答疑会，以便投标人获取须自己负责的有关编制投标文件和签署合同所需的所有资料。踏勘现场所发生的费用由投标人自己承担</w:t>
      </w:r>
    </w:p>
    <w:p>
      <w:pPr>
        <w:numPr>
          <w:ilvl w:val="0"/>
          <w:numId w:val="9"/>
        </w:numPr>
        <w:spacing w:line="360" w:lineRule="auto"/>
        <w:rPr>
          <w:rFonts w:ascii="仿宋" w:hAnsi="仿宋" w:eastAsia="仿宋" w:cs="仿宋"/>
          <w:sz w:val="24"/>
          <w:szCs w:val="24"/>
        </w:rPr>
      </w:pPr>
      <w:r>
        <w:rPr>
          <w:rFonts w:hint="eastAsia" w:ascii="仿宋" w:hAnsi="仿宋" w:eastAsia="仿宋" w:cs="仿宋"/>
          <w:sz w:val="24"/>
          <w:szCs w:val="24"/>
        </w:rPr>
        <w:t>投标人对本项目提出的疑问，可在现场考察或者召开开标前答疑会召开日前至少一个工作日将问题清单以书面形式（加盖公章）提交至采购代理机构。</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32" w:name="_Toc55778679"/>
      <w:bookmarkStart w:id="33" w:name="_Toc15619"/>
      <w:bookmarkStart w:id="34" w:name="_Toc20440"/>
      <w:bookmarkStart w:id="35" w:name="_Toc10763"/>
      <w:bookmarkStart w:id="36" w:name="_Toc16839"/>
      <w:bookmarkStart w:id="37" w:name="_Toc27748"/>
      <w:r>
        <w:rPr>
          <w:rFonts w:hint="eastAsia" w:ascii="仿宋" w:hAnsi="仿宋" w:eastAsia="仿宋" w:cs="仿宋"/>
          <w:b/>
          <w:bCs/>
          <w:kern w:val="44"/>
          <w:sz w:val="24"/>
          <w:szCs w:val="24"/>
        </w:rPr>
        <w:t>开标的资质要求、时间及地点</w:t>
      </w:r>
      <w:bookmarkEnd w:id="32"/>
      <w:bookmarkEnd w:id="33"/>
      <w:bookmarkEnd w:id="34"/>
      <w:bookmarkEnd w:id="35"/>
      <w:bookmarkEnd w:id="36"/>
      <w:bookmarkEnd w:id="37"/>
    </w:p>
    <w:p>
      <w:pPr>
        <w:numPr>
          <w:ilvl w:val="1"/>
          <w:numId w:val="4"/>
        </w:numPr>
        <w:tabs>
          <w:tab w:val="left" w:pos="907"/>
          <w:tab w:val="clear" w:pos="992"/>
        </w:tabs>
        <w:spacing w:line="360" w:lineRule="auto"/>
        <w:rPr>
          <w:rFonts w:ascii="仿宋" w:hAnsi="仿宋" w:eastAsia="仿宋" w:cs="仿宋"/>
          <w:sz w:val="24"/>
          <w:szCs w:val="24"/>
        </w:rPr>
      </w:pPr>
      <w:bookmarkStart w:id="38" w:name="_Toc55778680"/>
      <w:r>
        <w:rPr>
          <w:rFonts w:hint="eastAsia" w:ascii="仿宋" w:hAnsi="仿宋" w:eastAsia="仿宋" w:cs="仿宋"/>
          <w:sz w:val="24"/>
          <w:szCs w:val="24"/>
        </w:rPr>
        <w:t xml:space="preserve"> 本项目开标的时间、地点已在第二章《投标须知前附表》列清。</w:t>
      </w:r>
    </w:p>
    <w:p>
      <w:pPr>
        <w:numPr>
          <w:ilvl w:val="1"/>
          <w:numId w:val="4"/>
        </w:numPr>
        <w:tabs>
          <w:tab w:val="left" w:pos="907"/>
          <w:tab w:val="clear" w:pos="992"/>
        </w:tabs>
        <w:spacing w:line="360" w:lineRule="auto"/>
        <w:rPr>
          <w:rFonts w:ascii="仿宋" w:hAnsi="仿宋" w:eastAsia="仿宋" w:cs="仿宋"/>
          <w:sz w:val="24"/>
          <w:szCs w:val="24"/>
        </w:rPr>
      </w:pPr>
      <w:r>
        <w:rPr>
          <w:rFonts w:hint="eastAsia" w:ascii="仿宋" w:hAnsi="仿宋" w:eastAsia="仿宋" w:cs="仿宋"/>
          <w:sz w:val="24"/>
          <w:szCs w:val="24"/>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39" w:name="_Toc2052"/>
      <w:bookmarkStart w:id="40" w:name="_Toc23617"/>
      <w:bookmarkStart w:id="41" w:name="_Toc8863"/>
      <w:bookmarkStart w:id="42" w:name="_Toc18733"/>
      <w:bookmarkStart w:id="43" w:name="_Toc12859"/>
      <w:r>
        <w:rPr>
          <w:rFonts w:hint="eastAsia" w:ascii="仿宋" w:hAnsi="仿宋" w:eastAsia="仿宋" w:cs="仿宋"/>
          <w:b/>
          <w:bCs/>
          <w:kern w:val="44"/>
          <w:sz w:val="24"/>
          <w:szCs w:val="24"/>
        </w:rPr>
        <w:t>纪律与保密事项</w:t>
      </w:r>
      <w:bookmarkEnd w:id="38"/>
      <w:bookmarkEnd w:id="39"/>
      <w:bookmarkEnd w:id="40"/>
      <w:bookmarkEnd w:id="41"/>
      <w:bookmarkEnd w:id="42"/>
      <w:bookmarkEnd w:id="43"/>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凡参与招标工作的有关人员均应自觉接受有关主管部门的监督，不得向他人透露已获得招标文件的潜在投标人的名称、数量以及可能影响公平竞争的有关招标投标的其他情况。</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开标后，直至向中标的投标人发出《中标通知书》时止，凡与审查、澄清、评价和比较投标的有关资料以及授标意见等，均不得向投标人及与评标无关的其他人透露。</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除投标人被要求对投标文件进行澄清外，从开标至签订合同期间，投标人不得就与其投标文件有关的事项主动与评标小组、采购代理机构以及采购人联系。</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从开标至签订合同期间，投标人试图在投标文件审查、澄清、比较和评价时对评标小组和招标机构施加任何影响或对采购人的比较及授予合同的决定进行影响，都可能导致其投标文件被拒绝。</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投标人不得串通作弊，以不正当的手段妨碍、排挤其他投标人，扰乱招标市场，破坏公平竞争原则。</w:t>
      </w:r>
    </w:p>
    <w:p>
      <w:pPr>
        <w:numPr>
          <w:ilvl w:val="1"/>
          <w:numId w:val="10"/>
        </w:numPr>
        <w:spacing w:line="360" w:lineRule="auto"/>
        <w:rPr>
          <w:rFonts w:ascii="仿宋" w:hAnsi="仿宋" w:eastAsia="仿宋" w:cs="仿宋"/>
          <w:sz w:val="24"/>
          <w:szCs w:val="24"/>
        </w:rPr>
      </w:pPr>
      <w:r>
        <w:rPr>
          <w:rFonts w:hint="eastAsia" w:ascii="仿宋" w:hAnsi="仿宋" w:eastAsia="仿宋" w:cs="仿宋"/>
          <w:sz w:val="24"/>
          <w:szCs w:val="24"/>
        </w:rPr>
        <w:t>获得本招标文件者，应对文件进行保密，不得用作本次投标以外的任何用途。若有要求，开标后，投标人应归还招标文件中的保密的文件和资料。</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44" w:name="_Toc5873"/>
      <w:bookmarkStart w:id="45" w:name="_Toc13606"/>
      <w:bookmarkStart w:id="46" w:name="_Toc17472"/>
      <w:bookmarkStart w:id="47" w:name="_Toc20462"/>
      <w:bookmarkStart w:id="48" w:name="_Toc20913"/>
      <w:bookmarkStart w:id="49" w:name="_Toc55778681"/>
      <w:r>
        <w:rPr>
          <w:rFonts w:hint="eastAsia" w:ascii="仿宋" w:hAnsi="仿宋" w:eastAsia="仿宋" w:cs="仿宋"/>
          <w:b/>
          <w:bCs/>
          <w:kern w:val="44"/>
          <w:sz w:val="24"/>
          <w:szCs w:val="24"/>
        </w:rPr>
        <w:t>保证</w:t>
      </w:r>
      <w:bookmarkEnd w:id="44"/>
      <w:bookmarkEnd w:id="45"/>
      <w:bookmarkEnd w:id="46"/>
      <w:bookmarkEnd w:id="47"/>
      <w:bookmarkEnd w:id="48"/>
      <w:bookmarkEnd w:id="49"/>
    </w:p>
    <w:p>
      <w:pPr>
        <w:numPr>
          <w:ilvl w:val="1"/>
          <w:numId w:val="11"/>
        </w:numPr>
        <w:spacing w:line="360" w:lineRule="auto"/>
        <w:rPr>
          <w:rFonts w:ascii="仿宋" w:hAnsi="仿宋" w:eastAsia="仿宋" w:cs="仿宋"/>
          <w:sz w:val="24"/>
          <w:szCs w:val="24"/>
        </w:rPr>
      </w:pPr>
      <w:r>
        <w:rPr>
          <w:rFonts w:hint="eastAsia" w:ascii="仿宋" w:hAnsi="仿宋" w:eastAsia="仿宋" w:cs="仿宋"/>
          <w:sz w:val="24"/>
          <w:szCs w:val="24"/>
        </w:rPr>
        <w:t>投标人必须保证所提交给采购代理机构、采购人的资料和数据是真实的，并承担相应的法律责任。</w:t>
      </w:r>
    </w:p>
    <w:p>
      <w:pPr>
        <w:pStyle w:val="18"/>
        <w:jc w:val="center"/>
        <w:rPr>
          <w:rFonts w:ascii="仿宋" w:hAnsi="仿宋" w:eastAsia="仿宋" w:cs="仿宋"/>
          <w:b/>
          <w:bCs/>
          <w:sz w:val="24"/>
          <w:szCs w:val="24"/>
        </w:rPr>
      </w:pPr>
      <w:bookmarkStart w:id="50" w:name="_Toc30778"/>
      <w:bookmarkStart w:id="51" w:name="_Toc55778682"/>
      <w:r>
        <w:rPr>
          <w:rFonts w:hint="eastAsia" w:ascii="仿宋" w:hAnsi="仿宋" w:eastAsia="仿宋" w:cs="仿宋"/>
          <w:b/>
          <w:bCs/>
          <w:sz w:val="24"/>
          <w:szCs w:val="24"/>
        </w:rPr>
        <w:t>二、招标文件</w:t>
      </w:r>
      <w:bookmarkEnd w:id="50"/>
      <w:bookmarkEnd w:id="51"/>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52" w:name="_Toc55778683"/>
      <w:bookmarkStart w:id="53" w:name="_Toc6970"/>
      <w:bookmarkStart w:id="54" w:name="_Toc6842"/>
      <w:bookmarkStart w:id="55" w:name="_Toc13680"/>
      <w:bookmarkStart w:id="56" w:name="_Toc5513"/>
      <w:bookmarkStart w:id="57" w:name="_Toc25851"/>
      <w:bookmarkStart w:id="58" w:name="_Toc7611"/>
      <w:r>
        <w:rPr>
          <w:rFonts w:hint="eastAsia" w:ascii="仿宋" w:hAnsi="仿宋" w:eastAsia="仿宋" w:cs="仿宋"/>
          <w:b/>
          <w:bCs/>
          <w:kern w:val="44"/>
          <w:sz w:val="24"/>
          <w:szCs w:val="24"/>
        </w:rPr>
        <w:t>招标文件的编制依据与构成</w:t>
      </w:r>
      <w:bookmarkEnd w:id="52"/>
      <w:bookmarkEnd w:id="53"/>
      <w:bookmarkEnd w:id="54"/>
      <w:bookmarkEnd w:id="55"/>
      <w:bookmarkEnd w:id="56"/>
      <w:bookmarkEnd w:id="57"/>
      <w:bookmarkEnd w:id="58"/>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8.1   本招标文件的编制依据是《中华人民共和国政府采购法》、《中华人民共和国政府采购法实施条例》、《政府采购货物和服务招标投标管理办法》及其配套的法规、规章、政策等。</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8.2   招标文件以中文文字编写。招标文件共六章。招标文件由下列文件以及在招标过程中发出的澄清、修改和补充文件组成，内容如下：</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第一章 招标公告</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第二章 投标须知前附表</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第三章 投标人须知</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第四章 合同格式</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第五章 采购需求</w:t>
      </w:r>
    </w:p>
    <w:p>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第六章 投标文件格式</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新疆政采云平台查看答疑文件或澄清文件。投标人应及时注意新疆政采云发布的澄清或修改通知并下载，因投标人原因未及时获知澄清、修改或补充内容而导致的任何后果将由投标人自行承担。</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59" w:name="_Toc28706"/>
      <w:bookmarkStart w:id="60" w:name="_Toc17320"/>
      <w:bookmarkStart w:id="61" w:name="_Toc55778684"/>
      <w:bookmarkStart w:id="62" w:name="_Toc18515"/>
      <w:bookmarkStart w:id="63" w:name="_Toc24522"/>
      <w:bookmarkStart w:id="64" w:name="_Toc22484"/>
      <w:r>
        <w:rPr>
          <w:rFonts w:hint="eastAsia" w:ascii="仿宋" w:hAnsi="仿宋" w:eastAsia="仿宋" w:cs="仿宋"/>
          <w:b/>
          <w:kern w:val="44"/>
          <w:sz w:val="24"/>
          <w:szCs w:val="24"/>
        </w:rPr>
        <w:t>招标文件的澄清或修改</w:t>
      </w:r>
      <w:bookmarkEnd w:id="59"/>
      <w:bookmarkEnd w:id="60"/>
      <w:bookmarkEnd w:id="61"/>
      <w:bookmarkEnd w:id="62"/>
      <w:bookmarkEnd w:id="63"/>
      <w:bookmarkEnd w:id="64"/>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9.1　投标人应仔细阅读和检查招标文件的全部内容。投标人若对招标文件有任何疑问，应按照招标文件第二章“投标人须知前附表”第26项规定向采购代理机构提出。提出后，请投标人及时通过新疆政采云平台查看答疑文件或澄清文件。必要时，采购代理机构将组织相关专家召开答疑会，如召开，答疑会安排另行通知。并在新疆政采云平台发布更正公告。投标人在规定的时间内未对招标文件提出疑问或要求澄清的，采购代理机构将视其为同意，对在“答疑接受时间”后就招标文件内容提出的疑问及澄清要求将不予受理。</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9.2　如果澄清或者修改时间距本章投标人须知前附表规定的投标截止时间不足15日，将相应顺延提交投标文件的截止时间，澄清或者修改时间具体见投标人须知前附表。</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9.3　澄清或者修改内容为招标文件的组成部分，对所有领取了招标文件的潜在投标人均具有约束力。</w:t>
      </w:r>
    </w:p>
    <w:p>
      <w:pPr>
        <w:tabs>
          <w:tab w:val="left" w:pos="907"/>
        </w:tabs>
        <w:spacing w:line="360" w:lineRule="auto"/>
        <w:ind w:left="720" w:hanging="720" w:hangingChars="300"/>
        <w:rPr>
          <w:rFonts w:ascii="仿宋" w:hAnsi="仿宋" w:eastAsia="仿宋" w:cs="仿宋"/>
          <w:sz w:val="24"/>
          <w:szCs w:val="24"/>
        </w:rPr>
      </w:pPr>
      <w:r>
        <w:rPr>
          <w:rFonts w:hint="eastAsia" w:ascii="仿宋" w:hAnsi="仿宋" w:eastAsia="仿宋" w:cs="仿宋"/>
          <w:sz w:val="24"/>
          <w:szCs w:val="24"/>
        </w:rPr>
        <w:t>9.4  投标人应注意及时新疆政采云发布的澄清或修改通知并下载，因投标人原因未及时获知澄清、修改或补充内容而导致的任何后果将由投标人自行承担。</w:t>
      </w:r>
    </w:p>
    <w:p>
      <w:pPr>
        <w:tabs>
          <w:tab w:val="left" w:pos="907"/>
        </w:tabs>
        <w:spacing w:line="360" w:lineRule="auto"/>
        <w:ind w:left="720" w:hanging="720" w:hangingChars="300"/>
        <w:rPr>
          <w:rFonts w:ascii="仿宋" w:hAnsi="仿宋" w:eastAsia="仿宋" w:cs="仿宋"/>
          <w:sz w:val="24"/>
          <w:szCs w:val="24"/>
          <w:highlight w:val="yellow"/>
        </w:rPr>
      </w:pPr>
    </w:p>
    <w:p>
      <w:pPr>
        <w:pStyle w:val="4"/>
        <w:spacing w:before="0" w:after="0" w:line="360" w:lineRule="auto"/>
        <w:jc w:val="center"/>
        <w:rPr>
          <w:rFonts w:ascii="仿宋" w:hAnsi="仿宋" w:eastAsia="仿宋" w:cs="仿宋"/>
          <w:sz w:val="24"/>
          <w:szCs w:val="24"/>
        </w:rPr>
      </w:pPr>
      <w:bookmarkStart w:id="65" w:name="_Toc1964"/>
      <w:bookmarkStart w:id="66" w:name="_Toc55778685"/>
      <w:r>
        <w:rPr>
          <w:rFonts w:hint="eastAsia" w:ascii="仿宋" w:hAnsi="仿宋" w:eastAsia="仿宋" w:cs="仿宋"/>
          <w:sz w:val="24"/>
          <w:szCs w:val="24"/>
        </w:rPr>
        <w:t>三、投标文件的编制</w:t>
      </w:r>
      <w:bookmarkEnd w:id="65"/>
      <w:bookmarkEnd w:id="66"/>
    </w:p>
    <w:p>
      <w:pPr>
        <w:pStyle w:val="3"/>
        <w:numPr>
          <w:ilvl w:val="0"/>
          <w:numId w:val="4"/>
        </w:numPr>
        <w:tabs>
          <w:tab w:val="left" w:pos="900"/>
          <w:tab w:val="clear" w:pos="425"/>
        </w:tabs>
        <w:spacing w:before="0" w:after="0" w:line="360" w:lineRule="auto"/>
        <w:ind w:left="924" w:hanging="924"/>
        <w:rPr>
          <w:rStyle w:val="56"/>
          <w:rFonts w:ascii="仿宋" w:hAnsi="仿宋" w:eastAsia="仿宋" w:cs="仿宋"/>
          <w:bCs/>
          <w:sz w:val="24"/>
          <w:szCs w:val="24"/>
        </w:rPr>
      </w:pPr>
      <w:bookmarkStart w:id="67" w:name="_Toc19464"/>
      <w:bookmarkStart w:id="68" w:name="_Toc887"/>
      <w:bookmarkStart w:id="69" w:name="_Toc23495"/>
      <w:bookmarkStart w:id="70" w:name="_Toc55778686"/>
      <w:bookmarkStart w:id="71" w:name="_Toc4795"/>
      <w:bookmarkStart w:id="72" w:name="_Toc25330"/>
      <w:r>
        <w:rPr>
          <w:rStyle w:val="56"/>
          <w:rFonts w:hint="eastAsia" w:ascii="仿宋" w:hAnsi="仿宋" w:eastAsia="仿宋" w:cs="仿宋"/>
          <w:bCs/>
          <w:sz w:val="24"/>
          <w:szCs w:val="24"/>
        </w:rPr>
        <w:t>投标的语言</w:t>
      </w:r>
      <w:bookmarkEnd w:id="67"/>
      <w:bookmarkEnd w:id="68"/>
      <w:bookmarkEnd w:id="69"/>
      <w:bookmarkEnd w:id="70"/>
      <w:bookmarkEnd w:id="71"/>
      <w:bookmarkEnd w:id="72"/>
    </w:p>
    <w:p>
      <w:pPr>
        <w:numPr>
          <w:ilvl w:val="1"/>
          <w:numId w:val="12"/>
        </w:numPr>
        <w:spacing w:line="360" w:lineRule="auto"/>
        <w:rPr>
          <w:rFonts w:ascii="仿宋" w:hAnsi="仿宋" w:eastAsia="仿宋" w:cs="仿宋"/>
          <w:sz w:val="24"/>
          <w:szCs w:val="24"/>
        </w:rPr>
      </w:pPr>
      <w:bookmarkStart w:id="73" w:name="_Ref179620571"/>
      <w:r>
        <w:rPr>
          <w:rFonts w:hint="eastAsia" w:ascii="仿宋" w:hAnsi="仿宋" w:eastAsia="仿宋" w:cs="仿宋"/>
          <w:sz w:val="24"/>
          <w:szCs w:val="24"/>
        </w:rPr>
        <w:t>投标人提交的投标文件以及投标人与采购代理机构和采购人就有关投标的所有来往函电均应使用</w:t>
      </w:r>
      <w:r>
        <w:rPr>
          <w:rFonts w:hint="eastAsia" w:ascii="仿宋" w:hAnsi="仿宋" w:eastAsia="仿宋" w:cs="仿宋"/>
          <w:bCs/>
          <w:sz w:val="24"/>
          <w:szCs w:val="24"/>
        </w:rPr>
        <w:t>中文书写。投标人提交的支持文件或印刷的资料可以用另一种语言，但相应内容应附有中文翻译本</w:t>
      </w:r>
      <w:r>
        <w:rPr>
          <w:rFonts w:hint="eastAsia" w:ascii="仿宋" w:hAnsi="仿宋" w:eastAsia="仿宋" w:cs="仿宋"/>
          <w:sz w:val="24"/>
          <w:szCs w:val="24"/>
        </w:rPr>
        <w:t>，在解释投标文件时以翻译本为准。</w:t>
      </w:r>
      <w:bookmarkEnd w:id="73"/>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74" w:name="_Toc23086"/>
      <w:bookmarkStart w:id="75" w:name="_Toc15173"/>
      <w:bookmarkStart w:id="76" w:name="_Toc21704"/>
      <w:bookmarkStart w:id="77" w:name="_Toc31342"/>
      <w:bookmarkStart w:id="78" w:name="_Toc55778688"/>
      <w:bookmarkStart w:id="79" w:name="_Toc2079"/>
      <w:r>
        <w:rPr>
          <w:rFonts w:hint="eastAsia" w:ascii="仿宋" w:hAnsi="仿宋" w:eastAsia="仿宋" w:cs="仿宋"/>
          <w:b/>
          <w:bCs/>
          <w:kern w:val="44"/>
          <w:sz w:val="24"/>
          <w:szCs w:val="24"/>
        </w:rPr>
        <w:t>投标文件的构成</w:t>
      </w:r>
      <w:bookmarkEnd w:id="74"/>
      <w:bookmarkEnd w:id="75"/>
      <w:bookmarkEnd w:id="76"/>
      <w:bookmarkEnd w:id="77"/>
      <w:bookmarkEnd w:id="78"/>
      <w:bookmarkEnd w:id="79"/>
    </w:p>
    <w:p>
      <w:pPr>
        <w:numPr>
          <w:ilvl w:val="1"/>
          <w:numId w:val="13"/>
        </w:numPr>
        <w:spacing w:line="360" w:lineRule="auto"/>
        <w:rPr>
          <w:rFonts w:ascii="仿宋" w:hAnsi="仿宋" w:eastAsia="仿宋" w:cs="仿宋"/>
          <w:sz w:val="24"/>
          <w:szCs w:val="24"/>
        </w:rPr>
      </w:pPr>
      <w:r>
        <w:rPr>
          <w:rFonts w:hint="eastAsia" w:ascii="仿宋" w:hAnsi="仿宋" w:eastAsia="仿宋" w:cs="仿宋"/>
          <w:sz w:val="24"/>
          <w:szCs w:val="24"/>
        </w:rPr>
        <w:t>详见招标文件第六章《投标文件格式》</w:t>
      </w:r>
    </w:p>
    <w:p>
      <w:pPr>
        <w:numPr>
          <w:ilvl w:val="1"/>
          <w:numId w:val="13"/>
        </w:numPr>
        <w:spacing w:line="360" w:lineRule="auto"/>
        <w:rPr>
          <w:rFonts w:ascii="仿宋" w:hAnsi="仿宋" w:eastAsia="仿宋" w:cs="仿宋"/>
          <w:sz w:val="24"/>
          <w:szCs w:val="24"/>
        </w:rPr>
      </w:pPr>
      <w:r>
        <w:rPr>
          <w:rFonts w:hint="eastAsia" w:ascii="仿宋" w:hAnsi="仿宋" w:eastAsia="仿宋" w:cs="仿宋"/>
          <w:sz w:val="24"/>
          <w:szCs w:val="24"/>
        </w:rPr>
        <w:t>投标人有义务按照以上构成要求将投标文件编上唯一的页码并装订成册，不可出现缺页或重页的现象。</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80" w:name="_Toc24925"/>
      <w:bookmarkStart w:id="81" w:name="_Toc30134"/>
      <w:bookmarkStart w:id="82" w:name="_Toc55778689"/>
      <w:bookmarkStart w:id="83" w:name="_Toc6980"/>
      <w:bookmarkStart w:id="84" w:name="_Toc24782"/>
      <w:bookmarkStart w:id="85" w:name="_Toc23426"/>
      <w:r>
        <w:rPr>
          <w:rFonts w:hint="eastAsia" w:ascii="仿宋" w:hAnsi="仿宋" w:eastAsia="仿宋" w:cs="仿宋"/>
          <w:b/>
          <w:bCs/>
          <w:kern w:val="44"/>
          <w:sz w:val="24"/>
          <w:szCs w:val="24"/>
        </w:rPr>
        <w:t>投标文件电子文档</w:t>
      </w:r>
      <w:bookmarkEnd w:id="80"/>
      <w:bookmarkEnd w:id="81"/>
      <w:bookmarkEnd w:id="82"/>
      <w:bookmarkEnd w:id="83"/>
      <w:bookmarkEnd w:id="84"/>
      <w:bookmarkEnd w:id="85"/>
    </w:p>
    <w:p>
      <w:pPr>
        <w:numPr>
          <w:ilvl w:val="1"/>
          <w:numId w:val="14"/>
        </w:numPr>
        <w:spacing w:line="360" w:lineRule="auto"/>
        <w:rPr>
          <w:rFonts w:ascii="仿宋" w:hAnsi="仿宋" w:eastAsia="仿宋" w:cs="仿宋"/>
          <w:kern w:val="0"/>
          <w:sz w:val="24"/>
          <w:szCs w:val="24"/>
        </w:rPr>
      </w:pPr>
      <w:bookmarkStart w:id="86" w:name="_Toc22266"/>
      <w:bookmarkStart w:id="87" w:name="_Toc55778690"/>
      <w:r>
        <w:rPr>
          <w:rFonts w:hint="eastAsia" w:ascii="仿宋" w:hAnsi="仿宋" w:eastAsia="仿宋" w:cs="仿宋"/>
          <w:sz w:val="24"/>
          <w:szCs w:val="24"/>
        </w:rPr>
        <w:t>投标文件应采用电子形式</w:t>
      </w:r>
      <w:r>
        <w:rPr>
          <w:rFonts w:hint="eastAsia" w:ascii="仿宋" w:hAnsi="仿宋" w:eastAsia="仿宋" w:cs="仿宋"/>
          <w:color w:val="000000"/>
          <w:sz w:val="24"/>
          <w:szCs w:val="24"/>
        </w:rPr>
        <w:t>。</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电子投标文件制作时，应按照统一的“投标文件制作工具”和招标文件中明确的投标文件目录和投标技术规格、参数及相关要求格式进行编制，保证目录清晰、内容完整。</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投标人因自身原因导致电子投标文件无法导入电子评标系统的，该投标文件视为无效文件。 </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电子投标文件具有法律效力,与其他形式的投标文件在内容和格式上等同，若投标文件与招标文件要求不一致，其内容影响成交结果时，责任由投标人自行承担。 </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4"/>
        </w:numPr>
        <w:spacing w:line="360" w:lineRule="auto"/>
        <w:rPr>
          <w:rFonts w:ascii="仿宋" w:hAnsi="仿宋" w:eastAsia="仿宋" w:cs="仿宋"/>
          <w:kern w:val="0"/>
          <w:sz w:val="24"/>
          <w:szCs w:val="24"/>
        </w:rPr>
      </w:pPr>
      <w:r>
        <w:rPr>
          <w:rFonts w:hint="eastAsia" w:ascii="仿宋" w:hAnsi="仿宋" w:eastAsia="仿宋" w:cs="仿宋"/>
          <w:kern w:val="0"/>
          <w:sz w:val="24"/>
          <w:szCs w:val="24"/>
        </w:rPr>
        <w:t xml:space="preserve">投标人应完整地填写招标文件中提供的《投标承诺书》、《报价一览表》、《报价一览明细表》等招标文件中规定的所有内容。 </w:t>
      </w:r>
    </w:p>
    <w:p>
      <w:pPr>
        <w:numPr>
          <w:ilvl w:val="1"/>
          <w:numId w:val="14"/>
        </w:numPr>
        <w:spacing w:line="360" w:lineRule="auto"/>
        <w:rPr>
          <w:rFonts w:ascii="宋体" w:hAnsi="宋体"/>
          <w:kern w:val="0"/>
          <w:sz w:val="24"/>
          <w:szCs w:val="24"/>
        </w:rPr>
      </w:pPr>
      <w:r>
        <w:rPr>
          <w:rFonts w:hint="eastAsia" w:ascii="仿宋" w:hAnsi="仿宋" w:eastAsia="仿宋" w:cs="仿宋"/>
          <w:kern w:val="0"/>
          <w:sz w:val="24"/>
          <w:szCs w:val="24"/>
        </w:rPr>
        <w:t xml:space="preserve">投标人必须保证投标人文件所提供的全部资料真实可靠，并接受采购单位对其中任何资料进一步核实的要求。 </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88" w:name="_Toc30931"/>
      <w:bookmarkStart w:id="89" w:name="_Toc6486"/>
      <w:bookmarkStart w:id="90" w:name="_Toc16689"/>
      <w:bookmarkStart w:id="91" w:name="_Toc17013"/>
      <w:r>
        <w:rPr>
          <w:rFonts w:hint="eastAsia" w:ascii="仿宋" w:hAnsi="仿宋" w:eastAsia="仿宋" w:cs="仿宋"/>
          <w:b/>
          <w:bCs/>
          <w:kern w:val="44"/>
          <w:sz w:val="24"/>
          <w:szCs w:val="24"/>
        </w:rPr>
        <w:t>投标文件的编写</w:t>
      </w:r>
      <w:bookmarkEnd w:id="86"/>
      <w:bookmarkEnd w:id="87"/>
      <w:bookmarkEnd w:id="88"/>
      <w:bookmarkEnd w:id="89"/>
      <w:bookmarkEnd w:id="90"/>
      <w:bookmarkEnd w:id="91"/>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投标人应按招标文件的规定，及附件要求的内容和格式完整地填写和提供资料，并保证所提供的全部资料的真实性。</w:t>
      </w:r>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投标人应当按照招标文件要求编制投标文件，并根据自已的商务能力、技术水平等对招标文件提出的要求和条件作出真实的响应。</w:t>
      </w:r>
    </w:p>
    <w:p>
      <w:pPr>
        <w:numPr>
          <w:ilvl w:val="1"/>
          <w:numId w:val="15"/>
        </w:numPr>
        <w:spacing w:line="360" w:lineRule="auto"/>
        <w:rPr>
          <w:rFonts w:ascii="仿宋" w:hAnsi="仿宋" w:eastAsia="仿宋" w:cs="仿宋"/>
          <w:sz w:val="24"/>
          <w:szCs w:val="24"/>
        </w:rPr>
      </w:pPr>
      <w:r>
        <w:rPr>
          <w:rFonts w:hint="eastAsia" w:ascii="仿宋" w:hAnsi="仿宋" w:eastAsia="仿宋" w:cs="仿宋"/>
          <w:sz w:val="24"/>
          <w:szCs w:val="24"/>
        </w:rPr>
        <w:t>本项目只允许投标人提供一个投标方案，否则，其投标将被拒绝。</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92" w:name="_Toc22427"/>
      <w:bookmarkStart w:id="93" w:name="_Toc11544"/>
      <w:bookmarkStart w:id="94" w:name="_Toc55778691"/>
      <w:bookmarkStart w:id="95" w:name="_Toc15231"/>
      <w:bookmarkStart w:id="96" w:name="_Toc14480"/>
      <w:bookmarkStart w:id="97" w:name="_Toc3854"/>
      <w:r>
        <w:rPr>
          <w:rFonts w:hint="eastAsia" w:ascii="仿宋" w:hAnsi="仿宋" w:eastAsia="仿宋" w:cs="仿宋"/>
          <w:b/>
          <w:bCs/>
          <w:kern w:val="44"/>
          <w:sz w:val="24"/>
          <w:szCs w:val="24"/>
        </w:rPr>
        <w:t>投标报价</w:t>
      </w:r>
      <w:bookmarkEnd w:id="92"/>
      <w:bookmarkEnd w:id="93"/>
      <w:bookmarkEnd w:id="94"/>
      <w:bookmarkEnd w:id="95"/>
      <w:bookmarkEnd w:id="96"/>
      <w:bookmarkEnd w:id="97"/>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投标人的投标报价应符合《中华人民共和国价格法》的有关规定。</w:t>
      </w:r>
    </w:p>
    <w:p>
      <w:pPr>
        <w:numPr>
          <w:ilvl w:val="1"/>
          <w:numId w:val="16"/>
        </w:numPr>
        <w:spacing w:line="360" w:lineRule="auto"/>
        <w:rPr>
          <w:rFonts w:ascii="仿宋" w:hAnsi="仿宋" w:eastAsia="仿宋" w:cs="仿宋"/>
          <w:sz w:val="24"/>
          <w:szCs w:val="24"/>
        </w:rPr>
      </w:pPr>
      <w:bookmarkStart w:id="98" w:name="_Ref179619251"/>
      <w:r>
        <w:rPr>
          <w:rFonts w:hint="eastAsia" w:ascii="仿宋" w:hAnsi="仿宋" w:eastAsia="仿宋" w:cs="仿宋"/>
          <w:sz w:val="24"/>
          <w:szCs w:val="24"/>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报价一览明细表》（如适用）的要求报出总价和分项价格。投标总价中不得包含招标文件要求以外的内容，否则，在评标时不予核减。投标总价中也不得缺漏招标文件所要求的内容，否则，被视为包含在投标报价中。</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投标明细报价表内容应包含：</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按招标文件的要求全部服务内容所需的所有费用；</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对于报价免费的内容须标明“免费”；</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投标报价均应包含所有的税费；</w:t>
      </w:r>
    </w:p>
    <w:p>
      <w:pPr>
        <w:numPr>
          <w:ilvl w:val="2"/>
          <w:numId w:val="16"/>
        </w:numPr>
        <w:spacing w:line="360" w:lineRule="auto"/>
        <w:rPr>
          <w:rFonts w:ascii="仿宋" w:hAnsi="仿宋" w:eastAsia="仿宋" w:cs="仿宋"/>
          <w:sz w:val="24"/>
          <w:szCs w:val="24"/>
        </w:rPr>
      </w:pPr>
      <w:r>
        <w:rPr>
          <w:rFonts w:hint="eastAsia" w:ascii="仿宋" w:hAnsi="仿宋" w:eastAsia="仿宋" w:cs="仿宋"/>
          <w:sz w:val="24"/>
          <w:szCs w:val="24"/>
        </w:rPr>
        <w:t>其他一切隐含及不可预见的费用。</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另有规定，投标人所报的投标价在合同执行过程中是固定不变的，不得以任何理由予以变更。任何包含价格调整要求的投标被认为是非实质性响应投标而予以拒绝。</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投标文件中的总价金额与单价计算出的结果不一致的，以单价金额为准修正总价，但单价金额小数点有明显错误的除外。</w:t>
      </w:r>
    </w:p>
    <w:bookmarkEnd w:id="98"/>
    <w:p>
      <w:pPr>
        <w:numPr>
          <w:ilvl w:val="1"/>
          <w:numId w:val="16"/>
        </w:numPr>
        <w:spacing w:line="360" w:lineRule="auto"/>
        <w:rPr>
          <w:rFonts w:ascii="仿宋" w:hAnsi="仿宋" w:eastAsia="仿宋" w:cs="仿宋"/>
          <w:sz w:val="24"/>
          <w:szCs w:val="24"/>
        </w:rPr>
      </w:pPr>
      <w:bookmarkStart w:id="99" w:name="_Ref179620595"/>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允许有备选方案外，本次招标不接受选择性报价，否则将被视为无效投标。</w:t>
      </w:r>
      <w:bookmarkEnd w:id="99"/>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b/>
          <w:bCs/>
          <w:sz w:val="24"/>
          <w:szCs w:val="24"/>
        </w:rPr>
        <w:t>招标文件</w:t>
      </w:r>
      <w:r>
        <w:rPr>
          <w:rFonts w:hint="eastAsia" w:ascii="仿宋" w:hAnsi="仿宋" w:eastAsia="仿宋" w:cs="仿宋"/>
          <w:sz w:val="24"/>
          <w:szCs w:val="24"/>
        </w:rPr>
        <w:t xml:space="preserve">另有规定外，本次招标不接受具有附加条件的报价，否则将被视为无效投标。 </w:t>
      </w:r>
    </w:p>
    <w:p>
      <w:pPr>
        <w:numPr>
          <w:ilvl w:val="1"/>
          <w:numId w:val="16"/>
        </w:numPr>
        <w:spacing w:line="360" w:lineRule="auto"/>
        <w:rPr>
          <w:rFonts w:ascii="仿宋" w:hAnsi="仿宋" w:eastAsia="仿宋" w:cs="仿宋"/>
          <w:sz w:val="24"/>
          <w:szCs w:val="24"/>
        </w:rPr>
      </w:pPr>
      <w:r>
        <w:rPr>
          <w:rFonts w:hint="eastAsia" w:ascii="仿宋" w:hAnsi="仿宋" w:eastAsia="仿宋" w:cs="仿宋"/>
          <w:sz w:val="24"/>
          <w:szCs w:val="24"/>
        </w:rPr>
        <w:t>投标人应以人民币为单位进行报价。</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00" w:name="_Toc22983"/>
      <w:bookmarkStart w:id="101" w:name="_Toc24908"/>
      <w:bookmarkStart w:id="102" w:name="_Toc7425"/>
      <w:bookmarkStart w:id="103" w:name="_Toc10724"/>
      <w:bookmarkStart w:id="104" w:name="_Toc55778694"/>
      <w:bookmarkStart w:id="105" w:name="_Toc14790"/>
      <w:r>
        <w:rPr>
          <w:rFonts w:hint="eastAsia" w:ascii="仿宋" w:hAnsi="仿宋" w:eastAsia="仿宋" w:cs="仿宋"/>
          <w:b/>
          <w:bCs/>
          <w:kern w:val="44"/>
          <w:sz w:val="24"/>
          <w:szCs w:val="24"/>
        </w:rPr>
        <w:t>投标保证金</w:t>
      </w:r>
      <w:bookmarkEnd w:id="100"/>
      <w:bookmarkEnd w:id="101"/>
      <w:bookmarkEnd w:id="102"/>
      <w:bookmarkEnd w:id="103"/>
      <w:bookmarkEnd w:id="104"/>
      <w:bookmarkEnd w:id="105"/>
    </w:p>
    <w:p>
      <w:pPr>
        <w:numPr>
          <w:ilvl w:val="1"/>
          <w:numId w:val="17"/>
        </w:numPr>
        <w:spacing w:line="360" w:lineRule="auto"/>
        <w:rPr>
          <w:rFonts w:ascii="仿宋" w:hAnsi="仿宋" w:eastAsia="仿宋" w:cs="仿宋"/>
          <w:sz w:val="24"/>
          <w:szCs w:val="24"/>
        </w:rPr>
      </w:pPr>
      <w:bookmarkStart w:id="106" w:name="_Ref179619405"/>
      <w:r>
        <w:rPr>
          <w:rFonts w:hint="eastAsia" w:ascii="仿宋" w:hAnsi="仿宋" w:eastAsia="仿宋" w:cs="仿宋"/>
          <w:sz w:val="24"/>
          <w:szCs w:val="24"/>
        </w:rPr>
        <w:t>投标人必须按招标文件的规定缴纳投标保证金，并作为其投标文件的组成部分。</w:t>
      </w:r>
      <w:bookmarkEnd w:id="106"/>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投标保证金是为了保护采购代理机构和采购人免遭因投标人的行为而蒙受损失。采购代理机构和采购人在因投标人的行为受到损害时可根据本须知的规定没收投标人的投标保证金。</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投标保证金必须以投标人名义汇出，同时满足下列规定：</w:t>
      </w:r>
    </w:p>
    <w:p>
      <w:pPr>
        <w:spacing w:line="360" w:lineRule="auto"/>
        <w:ind w:left="840" w:leftChars="400"/>
        <w:jc w:val="left"/>
        <w:rPr>
          <w:rFonts w:ascii="仿宋" w:hAnsi="仿宋" w:eastAsia="仿宋" w:cs="仿宋"/>
          <w:sz w:val="24"/>
          <w:szCs w:val="24"/>
        </w:rPr>
      </w:pPr>
      <w:r>
        <w:rPr>
          <w:rFonts w:hint="eastAsia" w:ascii="仿宋" w:hAnsi="仿宋" w:eastAsia="仿宋" w:cs="仿宋"/>
          <w:b/>
          <w:sz w:val="24"/>
          <w:szCs w:val="24"/>
        </w:rPr>
        <w:t>为保证本采购工作的顺利进行，各投标人应向采购人缴纳不少于</w:t>
      </w:r>
      <w:r>
        <w:rPr>
          <w:rFonts w:hint="eastAsia" w:ascii="仿宋" w:hAnsi="仿宋" w:eastAsia="仿宋" w:cs="仿宋"/>
          <w:b/>
          <w:bCs/>
          <w:sz w:val="24"/>
          <w:szCs w:val="24"/>
        </w:rPr>
        <w:t>第二章《投标须知前附表》</w:t>
      </w:r>
      <w:r>
        <w:rPr>
          <w:rFonts w:hint="eastAsia" w:ascii="仿宋" w:hAnsi="仿宋" w:eastAsia="仿宋" w:cs="仿宋"/>
          <w:b/>
          <w:sz w:val="24"/>
          <w:szCs w:val="24"/>
        </w:rPr>
        <w:t>规定数额的保证金，保证金金额及缴纳方式详见</w:t>
      </w:r>
      <w:r>
        <w:rPr>
          <w:rFonts w:hint="eastAsia" w:ascii="仿宋" w:hAnsi="仿宋" w:eastAsia="仿宋" w:cs="仿宋"/>
          <w:b/>
          <w:bCs/>
          <w:sz w:val="24"/>
          <w:szCs w:val="24"/>
        </w:rPr>
        <w:t>第二章《投标须知前附表》</w:t>
      </w:r>
      <w:r>
        <w:rPr>
          <w:rFonts w:hint="eastAsia" w:ascii="仿宋" w:hAnsi="仿宋" w:eastAsia="仿宋" w:cs="仿宋"/>
          <w:b/>
          <w:sz w:val="24"/>
          <w:szCs w:val="24"/>
        </w:rPr>
        <w:t>序号13（缴纳投标保证金）</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凡没有按照招标文件要求提交有效的投标保证金的投标，将视为非响应性投标予以拒绝。</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凡投标人在投标截止时间前撤回已提交的投标文件的，自收到投标人书面撤回通知之日起5个工作日内，退还已收取的投标保证金，但因投标人自身原因导致无法及时退还的除外。</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自中标通知书发出之日起5个工作日内退还未中标人的投标保证金，但因投标人自身原因导致无法及时退还的除外。</w:t>
      </w:r>
    </w:p>
    <w:p>
      <w:pPr>
        <w:numPr>
          <w:ilvl w:val="1"/>
          <w:numId w:val="17"/>
        </w:numPr>
        <w:spacing w:line="360" w:lineRule="auto"/>
        <w:rPr>
          <w:rFonts w:ascii="仿宋" w:hAnsi="仿宋" w:eastAsia="仿宋" w:cs="仿宋"/>
          <w:sz w:val="24"/>
          <w:szCs w:val="24"/>
        </w:rPr>
      </w:pPr>
      <w:r>
        <w:rPr>
          <w:rFonts w:hint="eastAsia" w:ascii="仿宋" w:hAnsi="仿宋" w:eastAsia="仿宋" w:cs="仿宋"/>
          <w:sz w:val="24"/>
          <w:szCs w:val="24"/>
        </w:rPr>
        <w:t>中标人的投标保证金的退还必须同时满足以下要求（但因中标人自身原因导致无法及时退还的除外）：</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中标人按</w:t>
      </w:r>
      <w:bookmarkStart w:id="107" w:name="_Hlt507937599"/>
      <w:bookmarkEnd w:id="107"/>
      <w:r>
        <w:rPr>
          <w:rFonts w:hint="eastAsia" w:ascii="仿宋" w:hAnsi="仿宋" w:eastAsia="仿宋" w:cs="仿宋"/>
          <w:sz w:val="24"/>
          <w:szCs w:val="24"/>
        </w:rPr>
        <w:t>《投标人须知前附表》规定签订合同的，自合同上传自</w:t>
      </w:r>
      <w:r>
        <w:rPr>
          <w:rFonts w:hint="eastAsia" w:ascii="仿宋" w:hAnsi="仿宋" w:eastAsia="仿宋" w:cs="仿宋"/>
          <w:b/>
          <w:sz w:val="24"/>
          <w:szCs w:val="24"/>
          <w:u w:val="single"/>
        </w:rPr>
        <w:t>新疆政府采购网http://www.ccgp-xinjiang.gov.cn</w:t>
      </w:r>
      <w:r>
        <w:rPr>
          <w:rFonts w:hint="eastAsia" w:ascii="仿宋" w:hAnsi="仿宋" w:eastAsia="仿宋" w:cs="仿宋"/>
          <w:sz w:val="24"/>
          <w:szCs w:val="24"/>
        </w:rPr>
        <w:t>起5个工作日内退还</w:t>
      </w:r>
    </w:p>
    <w:p>
      <w:pPr>
        <w:numPr>
          <w:ilvl w:val="1"/>
          <w:numId w:val="17"/>
        </w:numPr>
        <w:spacing w:line="360" w:lineRule="auto"/>
        <w:rPr>
          <w:rFonts w:ascii="仿宋" w:hAnsi="仿宋" w:eastAsia="仿宋" w:cs="仿宋"/>
          <w:sz w:val="24"/>
          <w:szCs w:val="24"/>
        </w:rPr>
      </w:pPr>
      <w:bookmarkStart w:id="108" w:name="_Ref179619371"/>
      <w:r>
        <w:rPr>
          <w:rFonts w:hint="eastAsia" w:ascii="仿宋" w:hAnsi="仿宋" w:eastAsia="仿宋" w:cs="仿宋"/>
          <w:sz w:val="24"/>
          <w:szCs w:val="24"/>
        </w:rPr>
        <w:t>下列任何情况发生时，投标保证金将被没收：</w:t>
      </w:r>
      <w:bookmarkEnd w:id="108"/>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投标人在招标文件中规定的投标有效期内撤销其投标文件；</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中标后无正当理由放弃中标或中标人拒绝与采购人签订合同；</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中标人在规定期限内未能根据本须知规定签订合同；</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依法取消中标资格；</w:t>
      </w:r>
    </w:p>
    <w:p>
      <w:pPr>
        <w:numPr>
          <w:ilvl w:val="2"/>
          <w:numId w:val="17"/>
        </w:numPr>
        <w:spacing w:line="360" w:lineRule="auto"/>
        <w:rPr>
          <w:rFonts w:ascii="仿宋" w:hAnsi="仿宋" w:eastAsia="仿宋" w:cs="仿宋"/>
          <w:sz w:val="24"/>
          <w:szCs w:val="24"/>
        </w:rPr>
      </w:pPr>
      <w:r>
        <w:rPr>
          <w:rFonts w:hint="eastAsia" w:ascii="仿宋" w:hAnsi="仿宋" w:eastAsia="仿宋" w:cs="仿宋"/>
          <w:sz w:val="24"/>
          <w:szCs w:val="24"/>
        </w:rPr>
        <w:t>法律法规规定的其它情况；</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09" w:name="_Toc15876"/>
      <w:bookmarkStart w:id="110" w:name="_Toc32410"/>
      <w:bookmarkStart w:id="111" w:name="_Toc1720"/>
      <w:bookmarkStart w:id="112" w:name="_Toc2453"/>
      <w:bookmarkStart w:id="113" w:name="_Toc55778695"/>
      <w:bookmarkStart w:id="114" w:name="_Toc10359"/>
      <w:r>
        <w:rPr>
          <w:rFonts w:hint="eastAsia" w:ascii="仿宋" w:hAnsi="仿宋" w:eastAsia="仿宋" w:cs="仿宋"/>
          <w:b/>
          <w:bCs/>
          <w:kern w:val="44"/>
          <w:sz w:val="24"/>
          <w:szCs w:val="24"/>
        </w:rPr>
        <w:t>投标有效期</w:t>
      </w:r>
      <w:bookmarkEnd w:id="109"/>
      <w:bookmarkEnd w:id="110"/>
      <w:bookmarkEnd w:id="111"/>
      <w:bookmarkEnd w:id="112"/>
      <w:bookmarkEnd w:id="113"/>
      <w:bookmarkEnd w:id="114"/>
    </w:p>
    <w:p>
      <w:pPr>
        <w:numPr>
          <w:ilvl w:val="1"/>
          <w:numId w:val="18"/>
        </w:numPr>
        <w:spacing w:line="360" w:lineRule="auto"/>
        <w:rPr>
          <w:rFonts w:ascii="仿宋" w:hAnsi="仿宋" w:eastAsia="仿宋" w:cs="仿宋"/>
          <w:sz w:val="24"/>
          <w:szCs w:val="24"/>
        </w:rPr>
      </w:pPr>
      <w:bookmarkStart w:id="115" w:name="_Ref179620893"/>
      <w:r>
        <w:rPr>
          <w:rFonts w:hint="eastAsia" w:ascii="仿宋" w:hAnsi="仿宋" w:eastAsia="仿宋" w:cs="仿宋"/>
          <w:b/>
          <w:bCs/>
          <w:sz w:val="24"/>
          <w:szCs w:val="24"/>
        </w:rPr>
        <w:t>投标文件应在投标截止日后90日历天内保持有效。</w:t>
      </w:r>
    </w:p>
    <w:p>
      <w:pPr>
        <w:numPr>
          <w:ilvl w:val="1"/>
          <w:numId w:val="18"/>
        </w:numPr>
        <w:spacing w:line="360" w:lineRule="auto"/>
        <w:rPr>
          <w:rFonts w:ascii="仿宋" w:hAnsi="仿宋" w:eastAsia="仿宋" w:cs="仿宋"/>
          <w:sz w:val="24"/>
          <w:szCs w:val="24"/>
        </w:rPr>
      </w:pPr>
      <w:r>
        <w:rPr>
          <w:rFonts w:hint="eastAsia" w:ascii="仿宋" w:hAnsi="仿宋" w:eastAsia="仿宋" w:cs="仿宋"/>
          <w:sz w:val="24"/>
          <w:szCs w:val="24"/>
        </w:rPr>
        <w:t>中标人投标有效期则顺延至项目完成验收之日，在此有效期内未经采购人同意，投标文件的一切内容和补充承诺均为持续有效且不予改变。</w:t>
      </w:r>
      <w:bookmarkEnd w:id="115"/>
    </w:p>
    <w:p>
      <w:pPr>
        <w:numPr>
          <w:ilvl w:val="1"/>
          <w:numId w:val="18"/>
        </w:numPr>
        <w:spacing w:line="360" w:lineRule="auto"/>
        <w:rPr>
          <w:rFonts w:ascii="仿宋" w:hAnsi="仿宋" w:eastAsia="仿宋" w:cs="仿宋"/>
          <w:sz w:val="24"/>
          <w:szCs w:val="24"/>
        </w:rPr>
      </w:pPr>
      <w:r>
        <w:rPr>
          <w:rFonts w:hint="eastAsia" w:ascii="仿宋" w:hAnsi="仿宋" w:eastAsia="仿宋" w:cs="仿宋"/>
          <w:b/>
          <w:sz w:val="24"/>
          <w:szCs w:val="24"/>
        </w:rPr>
        <w:t>投标有效期从提交投标文件的截止之日起算</w:t>
      </w:r>
      <w:r>
        <w:rPr>
          <w:rFonts w:hint="eastAsia" w:ascii="仿宋" w:hAnsi="仿宋" w:eastAsia="仿宋" w:cs="仿宋"/>
          <w:sz w:val="24"/>
          <w:szCs w:val="24"/>
        </w:rPr>
        <w:t>。投标文件中承诺的投标有效期应当不少于招标文件中载明的投标有效期。投标有效期不足的投标将被视为非实质性响应，视为无效投标。</w:t>
      </w:r>
    </w:p>
    <w:p>
      <w:pPr>
        <w:numPr>
          <w:ilvl w:val="1"/>
          <w:numId w:val="18"/>
        </w:numPr>
        <w:spacing w:line="360" w:lineRule="auto"/>
        <w:rPr>
          <w:rFonts w:ascii="仿宋" w:hAnsi="仿宋" w:eastAsia="仿宋" w:cs="仿宋"/>
          <w:sz w:val="24"/>
          <w:szCs w:val="24"/>
        </w:rPr>
      </w:pPr>
      <w:r>
        <w:rPr>
          <w:rFonts w:hint="eastAsia" w:ascii="仿宋" w:hAnsi="仿宋" w:eastAsia="仿宋" w:cs="仿宋"/>
          <w:sz w:val="24"/>
          <w:szCs w:val="24"/>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16" w:name="_Toc55778696"/>
      <w:bookmarkStart w:id="117" w:name="_Toc30820"/>
      <w:bookmarkStart w:id="118" w:name="_Toc29158"/>
      <w:bookmarkStart w:id="119" w:name="_Toc8626"/>
      <w:bookmarkStart w:id="120" w:name="_Toc32144"/>
      <w:r>
        <w:rPr>
          <w:rFonts w:hint="eastAsia" w:ascii="仿宋" w:hAnsi="仿宋" w:eastAsia="仿宋" w:cs="仿宋"/>
          <w:b/>
          <w:bCs/>
          <w:kern w:val="44"/>
          <w:sz w:val="24"/>
          <w:szCs w:val="24"/>
        </w:rPr>
        <w:t>投标文件的式样和签署、密封</w:t>
      </w:r>
      <w:bookmarkEnd w:id="116"/>
      <w:bookmarkEnd w:id="117"/>
      <w:bookmarkEnd w:id="118"/>
      <w:bookmarkEnd w:id="119"/>
      <w:bookmarkEnd w:id="120"/>
    </w:p>
    <w:p>
      <w:pPr>
        <w:numPr>
          <w:ilvl w:val="1"/>
          <w:numId w:val="19"/>
        </w:numPr>
        <w:spacing w:line="360" w:lineRule="auto"/>
        <w:rPr>
          <w:rFonts w:ascii="仿宋" w:hAnsi="仿宋" w:eastAsia="仿宋" w:cs="仿宋"/>
          <w:sz w:val="24"/>
          <w:szCs w:val="24"/>
        </w:rPr>
      </w:pPr>
      <w:r>
        <w:rPr>
          <w:rFonts w:hint="eastAsia" w:ascii="仿宋" w:hAnsi="仿宋" w:eastAsia="仿宋" w:cs="仿宋"/>
          <w:color w:val="000000"/>
          <w:sz w:val="24"/>
          <w:szCs w:val="24"/>
        </w:rPr>
        <w:t>投标人应根据投标人须知前附表规定提交投标文件</w:t>
      </w:r>
    </w:p>
    <w:p>
      <w:pPr>
        <w:numPr>
          <w:ilvl w:val="1"/>
          <w:numId w:val="19"/>
        </w:numPr>
        <w:spacing w:line="360" w:lineRule="auto"/>
        <w:rPr>
          <w:rFonts w:ascii="仿宋" w:hAnsi="仿宋" w:eastAsia="仿宋" w:cs="仿宋"/>
          <w:sz w:val="24"/>
          <w:szCs w:val="24"/>
        </w:rPr>
      </w:pPr>
      <w:r>
        <w:rPr>
          <w:rFonts w:hint="eastAsia" w:ascii="仿宋" w:hAnsi="仿宋" w:eastAsia="仿宋" w:cs="仿宋"/>
          <w:sz w:val="24"/>
          <w:szCs w:val="24"/>
        </w:rPr>
        <w:t>投标人应根据投标人须知前附表规定提交投标文件。</w:t>
      </w:r>
      <w:r>
        <w:rPr>
          <w:rFonts w:hint="eastAsia" w:ascii="仿宋" w:hAnsi="仿宋" w:eastAsia="仿宋" w:cs="仿宋"/>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9"/>
        </w:numPr>
        <w:spacing w:line="360" w:lineRule="auto"/>
        <w:rPr>
          <w:rFonts w:ascii="仿宋" w:hAnsi="仿宋" w:eastAsia="仿宋" w:cs="仿宋"/>
          <w:sz w:val="24"/>
          <w:szCs w:val="24"/>
        </w:rPr>
      </w:pPr>
      <w:r>
        <w:rPr>
          <w:rFonts w:hint="eastAsia" w:ascii="仿宋" w:hAnsi="仿宋" w:eastAsia="仿宋" w:cs="仿宋"/>
          <w:sz w:val="24"/>
          <w:szCs w:val="24"/>
        </w:rPr>
        <w:t>电子投标文件的内容通过数字证书进行加密并签章。未按要求加密和数字证书认证的投标文件，电子评标系统将无法接受,采购单位不予受理。</w:t>
      </w:r>
    </w:p>
    <w:p>
      <w:pPr>
        <w:pStyle w:val="3"/>
        <w:jc w:val="center"/>
        <w:rPr>
          <w:rFonts w:ascii="仿宋" w:hAnsi="仿宋" w:eastAsia="仿宋" w:cs="仿宋"/>
          <w:sz w:val="24"/>
          <w:szCs w:val="24"/>
        </w:rPr>
      </w:pPr>
      <w:bookmarkStart w:id="121" w:name="_Toc19381"/>
      <w:r>
        <w:rPr>
          <w:rFonts w:hint="eastAsia" w:ascii="仿宋" w:hAnsi="仿宋" w:eastAsia="仿宋" w:cs="仿宋"/>
          <w:sz w:val="24"/>
          <w:szCs w:val="24"/>
        </w:rPr>
        <w:t>四、投标文件的递交</w:t>
      </w:r>
      <w:bookmarkEnd w:id="121"/>
    </w:p>
    <w:p>
      <w:pPr>
        <w:keepNext/>
        <w:keepLines/>
        <w:numPr>
          <w:ilvl w:val="0"/>
          <w:numId w:val="4"/>
        </w:numPr>
        <w:tabs>
          <w:tab w:val="left" w:pos="900"/>
        </w:tabs>
        <w:spacing w:line="360" w:lineRule="auto"/>
        <w:ind w:left="924" w:hanging="924"/>
        <w:outlineLvl w:val="0"/>
        <w:rPr>
          <w:rFonts w:ascii="仿宋" w:hAnsi="仿宋" w:eastAsia="仿宋" w:cs="仿宋"/>
          <w:b/>
          <w:kern w:val="44"/>
          <w:sz w:val="24"/>
          <w:szCs w:val="24"/>
        </w:rPr>
      </w:pPr>
      <w:bookmarkStart w:id="122" w:name="_Toc28503"/>
      <w:bookmarkStart w:id="123" w:name="_Toc5633"/>
      <w:bookmarkStart w:id="124" w:name="_Toc55778697"/>
      <w:bookmarkStart w:id="125" w:name="_Toc24917"/>
      <w:bookmarkStart w:id="126" w:name="_Toc2542"/>
      <w:r>
        <w:rPr>
          <w:rFonts w:hint="eastAsia" w:ascii="仿宋" w:hAnsi="仿宋" w:eastAsia="仿宋" w:cs="仿宋"/>
          <w:b/>
          <w:kern w:val="44"/>
          <w:sz w:val="24"/>
          <w:szCs w:val="24"/>
        </w:rPr>
        <w:t>投标文件递交</w:t>
      </w:r>
      <w:bookmarkEnd w:id="122"/>
      <w:bookmarkEnd w:id="123"/>
      <w:bookmarkEnd w:id="124"/>
      <w:bookmarkEnd w:id="125"/>
      <w:bookmarkEnd w:id="126"/>
    </w:p>
    <w:p>
      <w:pPr>
        <w:numPr>
          <w:ilvl w:val="1"/>
          <w:numId w:val="20"/>
        </w:numPr>
        <w:spacing w:line="360" w:lineRule="auto"/>
        <w:rPr>
          <w:rFonts w:ascii="仿宋" w:hAnsi="仿宋" w:eastAsia="仿宋" w:cs="仿宋"/>
          <w:sz w:val="24"/>
          <w:szCs w:val="24"/>
        </w:rPr>
      </w:pPr>
      <w:bookmarkStart w:id="127" w:name="_Toc55778698"/>
      <w:bookmarkStart w:id="128" w:name="_Toc20929"/>
      <w:r>
        <w:rPr>
          <w:rFonts w:hint="eastAsia" w:ascii="仿宋" w:hAnsi="仿宋" w:eastAsia="仿宋" w:cs="仿宋"/>
          <w:sz w:val="24"/>
          <w:szCs w:val="24"/>
        </w:rPr>
        <w:t>本项目采用不见面开标、投标人需要递交电子响应文件，加密的电子响应文件，在投标截止时间前通过政采云平台上传到指定位置，无需递交纸质文件。</w:t>
      </w:r>
    </w:p>
    <w:p>
      <w:pPr>
        <w:keepNext/>
        <w:keepLines/>
        <w:numPr>
          <w:ilvl w:val="0"/>
          <w:numId w:val="4"/>
        </w:numPr>
        <w:tabs>
          <w:tab w:val="left" w:pos="900"/>
        </w:tabs>
        <w:spacing w:line="360" w:lineRule="auto"/>
        <w:ind w:left="924" w:hanging="924"/>
        <w:outlineLvl w:val="0"/>
        <w:rPr>
          <w:rFonts w:ascii="仿宋" w:hAnsi="仿宋" w:eastAsia="仿宋" w:cs="仿宋"/>
          <w:b/>
          <w:kern w:val="44"/>
          <w:sz w:val="24"/>
          <w:szCs w:val="24"/>
        </w:rPr>
      </w:pPr>
      <w:bookmarkStart w:id="129" w:name="_Toc4909"/>
      <w:bookmarkStart w:id="130" w:name="_Toc31985"/>
      <w:bookmarkStart w:id="131" w:name="_Toc20702"/>
      <w:bookmarkStart w:id="132" w:name="_Toc12495"/>
      <w:r>
        <w:rPr>
          <w:rFonts w:hint="eastAsia" w:ascii="仿宋" w:hAnsi="仿宋" w:eastAsia="仿宋" w:cs="仿宋"/>
          <w:b/>
          <w:kern w:val="44"/>
          <w:sz w:val="24"/>
          <w:szCs w:val="24"/>
        </w:rPr>
        <w:t>投标截止时间</w:t>
      </w:r>
      <w:bookmarkEnd w:id="127"/>
      <w:bookmarkEnd w:id="129"/>
      <w:bookmarkEnd w:id="130"/>
      <w:bookmarkEnd w:id="131"/>
      <w:bookmarkEnd w:id="132"/>
    </w:p>
    <w:p>
      <w:pPr>
        <w:keepNext/>
        <w:keepLines/>
        <w:numPr>
          <w:ilvl w:val="0"/>
          <w:numId w:val="21"/>
        </w:numPr>
        <w:tabs>
          <w:tab w:val="left" w:pos="900"/>
          <w:tab w:val="clear" w:pos="907"/>
        </w:tabs>
        <w:spacing w:line="360" w:lineRule="auto"/>
        <w:outlineLvl w:val="0"/>
        <w:rPr>
          <w:rFonts w:ascii="仿宋" w:hAnsi="仿宋" w:eastAsia="仿宋" w:cs="仿宋"/>
          <w:kern w:val="44"/>
          <w:sz w:val="24"/>
          <w:szCs w:val="24"/>
        </w:rPr>
      </w:pPr>
      <w:bookmarkStart w:id="133" w:name="_Toc5154"/>
      <w:bookmarkStart w:id="134" w:name="_Toc1932"/>
      <w:bookmarkStart w:id="135" w:name="_Toc55778699"/>
      <w:bookmarkStart w:id="136" w:name="_Toc30090"/>
      <w:bookmarkStart w:id="137" w:name="_Toc10314"/>
      <w:r>
        <w:rPr>
          <w:rFonts w:hint="eastAsia" w:ascii="仿宋" w:hAnsi="仿宋" w:eastAsia="仿宋" w:cs="仿宋"/>
          <w:kern w:val="44"/>
          <w:sz w:val="24"/>
          <w:szCs w:val="24"/>
        </w:rPr>
        <w:t>本次招标的投标截止时间见第二章《投标须知前附表》的规定。</w:t>
      </w:r>
      <w:bookmarkEnd w:id="133"/>
      <w:bookmarkEnd w:id="134"/>
      <w:bookmarkEnd w:id="135"/>
      <w:bookmarkEnd w:id="136"/>
      <w:bookmarkEnd w:id="137"/>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38" w:name="_Toc55778700"/>
      <w:bookmarkStart w:id="139" w:name="_Toc1876"/>
      <w:bookmarkStart w:id="140" w:name="_Toc28929"/>
      <w:bookmarkStart w:id="141" w:name="_Toc9155"/>
      <w:bookmarkStart w:id="142" w:name="_Toc14001"/>
      <w:r>
        <w:rPr>
          <w:rFonts w:hint="eastAsia" w:ascii="仿宋" w:hAnsi="仿宋" w:eastAsia="仿宋" w:cs="仿宋"/>
          <w:b/>
          <w:kern w:val="44"/>
          <w:sz w:val="24"/>
          <w:szCs w:val="24"/>
        </w:rPr>
        <w:t>迟交的投标文件</w:t>
      </w:r>
      <w:bookmarkEnd w:id="138"/>
      <w:bookmarkEnd w:id="139"/>
      <w:bookmarkEnd w:id="140"/>
      <w:bookmarkEnd w:id="141"/>
      <w:bookmarkEnd w:id="142"/>
    </w:p>
    <w:p>
      <w:pPr>
        <w:keepNext/>
        <w:keepLines/>
        <w:numPr>
          <w:ilvl w:val="0"/>
          <w:numId w:val="22"/>
        </w:numPr>
        <w:tabs>
          <w:tab w:val="left" w:pos="900"/>
          <w:tab w:val="clear" w:pos="907"/>
        </w:tabs>
        <w:spacing w:line="360" w:lineRule="auto"/>
        <w:outlineLvl w:val="0"/>
        <w:rPr>
          <w:rFonts w:ascii="仿宋" w:hAnsi="仿宋" w:eastAsia="仿宋" w:cs="仿宋"/>
          <w:kern w:val="44"/>
          <w:sz w:val="24"/>
          <w:szCs w:val="24"/>
        </w:rPr>
      </w:pPr>
      <w:bookmarkStart w:id="143" w:name="_Toc55778701"/>
      <w:bookmarkStart w:id="144" w:name="_Toc24301"/>
      <w:bookmarkStart w:id="145" w:name="_Toc94"/>
      <w:bookmarkStart w:id="146" w:name="_Toc16592"/>
      <w:bookmarkStart w:id="147" w:name="_Toc7900"/>
      <w:r>
        <w:rPr>
          <w:rFonts w:hint="eastAsia" w:ascii="仿宋" w:hAnsi="仿宋" w:eastAsia="仿宋" w:cs="仿宋"/>
          <w:kern w:val="44"/>
          <w:sz w:val="24"/>
          <w:szCs w:val="24"/>
        </w:rPr>
        <w:t>采购代理机构将拒绝并原封退回在其规定的投标截止时刻后收到的任何投标文件（包括相关的原件资料）。</w:t>
      </w:r>
      <w:bookmarkEnd w:id="143"/>
      <w:bookmarkEnd w:id="144"/>
      <w:bookmarkEnd w:id="145"/>
      <w:bookmarkEnd w:id="146"/>
      <w:bookmarkEnd w:id="147"/>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48" w:name="_Toc21101"/>
      <w:bookmarkStart w:id="149" w:name="_Toc27265"/>
      <w:bookmarkStart w:id="150" w:name="_Toc3709"/>
      <w:bookmarkStart w:id="151" w:name="_Toc19255"/>
      <w:bookmarkStart w:id="152" w:name="_Toc55778702"/>
      <w:r>
        <w:rPr>
          <w:rFonts w:hint="eastAsia" w:ascii="仿宋" w:hAnsi="仿宋" w:eastAsia="仿宋" w:cs="仿宋"/>
          <w:b/>
          <w:bCs/>
          <w:kern w:val="44"/>
          <w:sz w:val="24"/>
          <w:szCs w:val="24"/>
        </w:rPr>
        <w:t>投</w:t>
      </w:r>
      <w:bookmarkEnd w:id="128"/>
      <w:r>
        <w:rPr>
          <w:rFonts w:hint="eastAsia" w:ascii="仿宋" w:hAnsi="仿宋" w:eastAsia="仿宋" w:cs="仿宋"/>
          <w:b/>
          <w:bCs/>
          <w:kern w:val="44"/>
          <w:sz w:val="24"/>
          <w:szCs w:val="24"/>
        </w:rPr>
        <w:t>标文件的修改和撤回、撤销</w:t>
      </w:r>
      <w:bookmarkEnd w:id="148"/>
      <w:bookmarkEnd w:id="149"/>
      <w:bookmarkEnd w:id="150"/>
      <w:bookmarkEnd w:id="151"/>
      <w:bookmarkEnd w:id="152"/>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除非招标文件另有规定或说明，投标人所提交的投标文件在评标结束后，无论中标与否都不退还。</w:t>
      </w:r>
    </w:p>
    <w:p>
      <w:pPr>
        <w:numPr>
          <w:ilvl w:val="1"/>
          <w:numId w:val="23"/>
        </w:numPr>
        <w:spacing w:line="360" w:lineRule="auto"/>
        <w:rPr>
          <w:rFonts w:ascii="仿宋" w:hAnsi="仿宋" w:eastAsia="仿宋" w:cs="仿宋"/>
          <w:sz w:val="24"/>
          <w:szCs w:val="24"/>
        </w:rPr>
      </w:pPr>
      <w:r>
        <w:rPr>
          <w:rFonts w:hint="eastAsia" w:ascii="仿宋" w:hAnsi="仿宋" w:eastAsia="仿宋" w:cs="仿宋"/>
          <w:sz w:val="24"/>
          <w:szCs w:val="24"/>
        </w:rPr>
        <w:t>投标截止后，投标人不得撤销其投标，否则其投标保证金将按照本须知规定被没收。</w:t>
      </w:r>
    </w:p>
    <w:p>
      <w:pPr>
        <w:keepNext/>
        <w:keepLines/>
        <w:spacing w:line="360" w:lineRule="auto"/>
        <w:jc w:val="center"/>
        <w:outlineLvl w:val="1"/>
        <w:rPr>
          <w:rFonts w:ascii="仿宋" w:hAnsi="仿宋" w:eastAsia="仿宋" w:cs="仿宋"/>
          <w:b/>
          <w:bCs/>
          <w:sz w:val="24"/>
          <w:szCs w:val="24"/>
        </w:rPr>
      </w:pPr>
      <w:bookmarkStart w:id="153" w:name="_Toc14523"/>
      <w:bookmarkStart w:id="154" w:name="_Toc2377"/>
      <w:bookmarkStart w:id="155" w:name="_Toc55778703"/>
      <w:r>
        <w:rPr>
          <w:rFonts w:hint="eastAsia" w:ascii="仿宋" w:hAnsi="仿宋" w:eastAsia="仿宋" w:cs="仿宋"/>
          <w:b/>
          <w:bCs/>
          <w:sz w:val="24"/>
          <w:szCs w:val="24"/>
        </w:rPr>
        <w:t>五、开标与评标</w:t>
      </w:r>
      <w:bookmarkEnd w:id="153"/>
      <w:bookmarkEnd w:id="154"/>
      <w:bookmarkEnd w:id="155"/>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56" w:name="_Toc55778704"/>
      <w:bookmarkStart w:id="157" w:name="_Toc4602"/>
      <w:bookmarkStart w:id="158" w:name="_Toc13720"/>
      <w:bookmarkStart w:id="159" w:name="_Toc930"/>
      <w:bookmarkStart w:id="160" w:name="_Toc21732"/>
      <w:bookmarkStart w:id="161" w:name="_Toc26238"/>
      <w:r>
        <w:rPr>
          <w:rFonts w:hint="eastAsia" w:ascii="仿宋" w:hAnsi="仿宋" w:eastAsia="仿宋" w:cs="仿宋"/>
          <w:b/>
          <w:bCs/>
          <w:kern w:val="44"/>
          <w:sz w:val="24"/>
          <w:szCs w:val="24"/>
        </w:rPr>
        <w:t>开标</w:t>
      </w:r>
      <w:bookmarkEnd w:id="156"/>
      <w:bookmarkEnd w:id="157"/>
      <w:bookmarkEnd w:id="158"/>
      <w:bookmarkEnd w:id="159"/>
      <w:bookmarkEnd w:id="160"/>
      <w:bookmarkEnd w:id="161"/>
    </w:p>
    <w:p>
      <w:pPr>
        <w:numPr>
          <w:ilvl w:val="0"/>
          <w:numId w:val="24"/>
        </w:numPr>
        <w:spacing w:line="360" w:lineRule="auto"/>
        <w:rPr>
          <w:rFonts w:ascii="仿宋" w:hAnsi="仿宋" w:eastAsia="仿宋" w:cs="仿宋"/>
          <w:vanish/>
          <w:sz w:val="24"/>
          <w:szCs w:val="24"/>
          <w:highlight w:val="yellow"/>
        </w:rPr>
      </w:pPr>
    </w:p>
    <w:p>
      <w:pPr>
        <w:numPr>
          <w:ilvl w:val="1"/>
          <w:numId w:val="24"/>
        </w:numPr>
        <w:spacing w:line="360" w:lineRule="auto"/>
        <w:rPr>
          <w:rFonts w:ascii="仿宋" w:hAnsi="仿宋" w:eastAsia="仿宋" w:cs="仿宋"/>
          <w:sz w:val="24"/>
          <w:szCs w:val="24"/>
        </w:rPr>
      </w:pPr>
      <w:bookmarkStart w:id="162" w:name="_Toc55778705"/>
      <w:bookmarkStart w:id="163" w:name="_Toc17344"/>
      <w:r>
        <w:rPr>
          <w:rFonts w:hint="eastAsia" w:ascii="仿宋" w:hAnsi="仿宋" w:eastAsia="仿宋" w:cs="仿宋"/>
          <w:sz w:val="24"/>
          <w:szCs w:val="24"/>
        </w:rPr>
        <w:t>采购人或采购代理机构在投标人须知前附表规定的开标时间和开标地点组织公开开标，邀请投标人参加。评标委员会成员不得参加开标活动。投标人不足3家的，不得开标。</w:t>
      </w:r>
    </w:p>
    <w:p>
      <w:pPr>
        <w:numPr>
          <w:ilvl w:val="1"/>
          <w:numId w:val="24"/>
        </w:numPr>
        <w:spacing w:line="360" w:lineRule="auto"/>
        <w:rPr>
          <w:rFonts w:ascii="仿宋" w:hAnsi="仿宋" w:eastAsia="仿宋" w:cs="仿宋"/>
          <w:sz w:val="24"/>
          <w:szCs w:val="24"/>
        </w:rPr>
      </w:pPr>
      <w:r>
        <w:rPr>
          <w:rFonts w:hint="eastAsia" w:ascii="仿宋" w:hAnsi="仿宋" w:eastAsia="仿宋" w:cs="仿宋"/>
          <w:bCs/>
          <w:color w:val="000000"/>
          <w:kern w:val="0"/>
          <w:sz w:val="24"/>
          <w:szCs w:val="24"/>
        </w:rPr>
        <w:t>投标文件以电子形式递交至: 新疆政采云平台；投标人应于</w:t>
      </w:r>
      <w:r>
        <w:rPr>
          <w:rFonts w:hint="eastAsia" w:ascii="仿宋" w:hAnsi="仿宋" w:eastAsia="仿宋" w:cs="仿宋"/>
          <w:sz w:val="24"/>
          <w:szCs w:val="24"/>
        </w:rPr>
        <w:t>2023年08月25日16点00分</w:t>
      </w:r>
      <w:r>
        <w:rPr>
          <w:rFonts w:hint="eastAsia" w:ascii="仿宋" w:hAnsi="仿宋" w:eastAsia="仿宋" w:cs="仿宋"/>
          <w:bCs/>
          <w:color w:val="000000"/>
          <w:kern w:val="0"/>
          <w:sz w:val="24"/>
          <w:szCs w:val="24"/>
        </w:rPr>
        <w:t>(北京时间) 之前将电子投标文件上传到“政采云”平台。开标时间后30分钟内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p>
      <w:pPr>
        <w:numPr>
          <w:ilvl w:val="1"/>
          <w:numId w:val="24"/>
        </w:numPr>
        <w:spacing w:line="360" w:lineRule="auto"/>
        <w:rPr>
          <w:rFonts w:ascii="仿宋" w:hAnsi="仿宋" w:eastAsia="仿宋" w:cs="仿宋"/>
          <w:sz w:val="24"/>
          <w:szCs w:val="24"/>
        </w:rPr>
      </w:pPr>
      <w:r>
        <w:rPr>
          <w:rFonts w:hint="eastAsia" w:ascii="仿宋" w:hAnsi="仿宋" w:eastAsia="仿宋" w:cs="仿宋"/>
          <w:sz w:val="24"/>
          <w:szCs w:val="24"/>
        </w:rPr>
        <w:t>解密成功后由采购人或者采购代理机构工作人员唱电子标，宣布投标人名称、投标价格和招标文件规定的需要宣布的其他内容。</w:t>
      </w:r>
    </w:p>
    <w:p>
      <w:pPr>
        <w:numPr>
          <w:ilvl w:val="1"/>
          <w:numId w:val="24"/>
        </w:numPr>
        <w:spacing w:line="360" w:lineRule="auto"/>
        <w:rPr>
          <w:rFonts w:ascii="仿宋" w:hAnsi="仿宋" w:eastAsia="仿宋" w:cs="仿宋"/>
          <w:sz w:val="24"/>
          <w:szCs w:val="24"/>
        </w:rPr>
      </w:pPr>
      <w:r>
        <w:rPr>
          <w:rFonts w:hint="eastAsia" w:ascii="仿宋" w:hAnsi="仿宋" w:eastAsia="仿宋" w:cs="仿宋"/>
          <w:sz w:val="24"/>
          <w:szCs w:val="24"/>
        </w:rPr>
        <w:t>开标过程应当由采购人或者采购代理机构负责记录，由参加开标的各投标人代表和相关工作人员签字确认。</w:t>
      </w:r>
    </w:p>
    <w:p>
      <w:pPr>
        <w:numPr>
          <w:ilvl w:val="1"/>
          <w:numId w:val="24"/>
        </w:numPr>
        <w:spacing w:line="360" w:lineRule="auto"/>
        <w:rPr>
          <w:rFonts w:ascii="仿宋" w:hAnsi="仿宋" w:eastAsia="仿宋" w:cs="仿宋"/>
          <w:b/>
          <w:bCs/>
          <w:kern w:val="44"/>
          <w:sz w:val="24"/>
          <w:szCs w:val="24"/>
        </w:rPr>
      </w:pPr>
      <w:r>
        <w:rPr>
          <w:rFonts w:hint="eastAsia" w:ascii="仿宋" w:hAnsi="仿宋" w:eastAsia="仿宋" w:cs="仿宋"/>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1"/>
          <w:numId w:val="24"/>
        </w:numPr>
        <w:spacing w:line="360" w:lineRule="auto"/>
        <w:rPr>
          <w:rFonts w:ascii="仿宋" w:hAnsi="仿宋" w:eastAsia="仿宋" w:cs="仿宋"/>
          <w:b/>
          <w:bCs/>
          <w:kern w:val="44"/>
          <w:sz w:val="24"/>
          <w:szCs w:val="24"/>
        </w:rPr>
      </w:pPr>
      <w:r>
        <w:rPr>
          <w:rFonts w:hint="eastAsia" w:ascii="仿宋" w:hAnsi="仿宋" w:eastAsia="仿宋" w:cs="仿宋"/>
          <w:sz w:val="24"/>
          <w:szCs w:val="24"/>
        </w:rPr>
        <w:t>投标人未参加开标的，视同认可开标结果。</w:t>
      </w:r>
      <w:bookmarkStart w:id="164" w:name="_Toc24182"/>
      <w:bookmarkStart w:id="165" w:name="_Toc11631"/>
      <w:bookmarkStart w:id="166" w:name="_Toc1994"/>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67" w:name="_Toc16898"/>
      <w:r>
        <w:rPr>
          <w:rFonts w:hint="eastAsia" w:ascii="仿宋" w:hAnsi="仿宋" w:eastAsia="仿宋" w:cs="仿宋"/>
          <w:b/>
          <w:kern w:val="44"/>
          <w:sz w:val="24"/>
          <w:szCs w:val="24"/>
        </w:rPr>
        <w:t>公开招标失败后的处理</w:t>
      </w:r>
      <w:bookmarkEnd w:id="162"/>
      <w:bookmarkEnd w:id="164"/>
      <w:bookmarkEnd w:id="165"/>
      <w:bookmarkEnd w:id="166"/>
      <w:bookmarkEnd w:id="167"/>
    </w:p>
    <w:p>
      <w:pPr>
        <w:numPr>
          <w:ilvl w:val="1"/>
          <w:numId w:val="25"/>
        </w:numPr>
        <w:spacing w:line="360" w:lineRule="auto"/>
        <w:rPr>
          <w:rFonts w:ascii="仿宋" w:hAnsi="仿宋" w:eastAsia="仿宋" w:cs="仿宋"/>
          <w:sz w:val="24"/>
          <w:szCs w:val="24"/>
        </w:rPr>
      </w:pPr>
      <w:r>
        <w:rPr>
          <w:rFonts w:hint="eastAsia" w:ascii="仿宋" w:hAnsi="仿宋" w:eastAsia="仿宋" w:cs="仿宋"/>
          <w:sz w:val="24"/>
          <w:szCs w:val="24"/>
        </w:rPr>
        <w:t>如果开标当天，投标截止后投标人不足3家或者通过资格审查或符合性审查的投标人不足3家的，除特殊情况外，本项目作废标处理。废标后，除采购任务取消情形外，按照以下方式处理：</w:t>
      </w:r>
    </w:p>
    <w:p>
      <w:pPr>
        <w:numPr>
          <w:ilvl w:val="0"/>
          <w:numId w:val="26"/>
        </w:numPr>
        <w:spacing w:line="360" w:lineRule="auto"/>
        <w:rPr>
          <w:rFonts w:ascii="仿宋" w:hAnsi="仿宋" w:eastAsia="仿宋" w:cs="仿宋"/>
          <w:sz w:val="24"/>
          <w:szCs w:val="24"/>
        </w:rPr>
      </w:pPr>
      <w:r>
        <w:rPr>
          <w:rFonts w:hint="eastAsia" w:ascii="仿宋" w:hAnsi="仿宋" w:eastAsia="仿宋" w:cs="仿宋"/>
          <w:sz w:val="24"/>
          <w:szCs w:val="24"/>
        </w:rPr>
        <w:t>招标文件存在不合理条款或者招标程序不符合规定的，采购人、采购代理机构改正后依法重新招标。</w:t>
      </w:r>
    </w:p>
    <w:p>
      <w:pPr>
        <w:numPr>
          <w:ilvl w:val="0"/>
          <w:numId w:val="26"/>
        </w:numPr>
        <w:spacing w:line="360" w:lineRule="auto"/>
        <w:rPr>
          <w:rFonts w:ascii="仿宋" w:hAnsi="仿宋" w:eastAsia="仿宋" w:cs="仿宋"/>
          <w:sz w:val="24"/>
          <w:szCs w:val="24"/>
        </w:rPr>
      </w:pPr>
      <w:r>
        <w:rPr>
          <w:rFonts w:hint="eastAsia" w:ascii="仿宋" w:hAnsi="仿宋" w:eastAsia="仿宋" w:cs="仿宋"/>
          <w:sz w:val="24"/>
          <w:szCs w:val="24"/>
        </w:rPr>
        <w:t>招标文件没有不合理条款、招标程序符合规定，采购人需要采用其他采购方式采购的，经财政部门同意后可依法转换采购方式进行。</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68" w:name="_Toc55778706"/>
      <w:bookmarkStart w:id="169" w:name="_Toc29298"/>
      <w:r>
        <w:rPr>
          <w:rFonts w:hint="eastAsia" w:ascii="仿宋" w:hAnsi="仿宋" w:eastAsia="仿宋" w:cs="仿宋"/>
          <w:b/>
          <w:bCs/>
          <w:kern w:val="44"/>
          <w:sz w:val="24"/>
          <w:szCs w:val="24"/>
        </w:rPr>
        <w:t>评标小组</w:t>
      </w:r>
      <w:bookmarkEnd w:id="163"/>
      <w:bookmarkEnd w:id="168"/>
      <w:bookmarkEnd w:id="169"/>
    </w:p>
    <w:p>
      <w:pPr>
        <w:numPr>
          <w:ilvl w:val="1"/>
          <w:numId w:val="27"/>
        </w:numPr>
        <w:spacing w:line="360" w:lineRule="auto"/>
        <w:rPr>
          <w:rFonts w:ascii="仿宋" w:hAnsi="仿宋" w:eastAsia="仿宋" w:cs="仿宋"/>
          <w:sz w:val="24"/>
          <w:szCs w:val="24"/>
        </w:rPr>
      </w:pPr>
      <w:bookmarkStart w:id="170" w:name="_Ref179621079"/>
      <w:r>
        <w:rPr>
          <w:rFonts w:hint="eastAsia" w:ascii="仿宋" w:hAnsi="仿宋" w:eastAsia="仿宋" w:cs="仿宋"/>
          <w:sz w:val="24"/>
          <w:szCs w:val="24"/>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仿宋" w:hAnsi="仿宋" w:eastAsia="仿宋" w:cs="仿宋"/>
          <w:b/>
          <w:bCs/>
          <w:sz w:val="24"/>
          <w:szCs w:val="24"/>
          <w:u w:val="single"/>
        </w:rPr>
        <w:t>新疆政采云平台</w:t>
      </w:r>
      <w:r>
        <w:rPr>
          <w:rFonts w:hint="eastAsia" w:ascii="仿宋" w:hAnsi="仿宋" w:eastAsia="仿宋" w:cs="仿宋"/>
          <w:sz w:val="24"/>
          <w:szCs w:val="24"/>
        </w:rPr>
        <w:t>评审专家库中随机抽取产生。对技术复杂、专业性强的采购项目，通过随机方式难以确定合适评审专家的，经主管预算单位同意，采购人可以自行选定相应专业领域的评审专家。</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评标小组应当按照招标文件中规定的评标方法和标准，对符合性审查合格的投标文件进行商务和技术评估，综合比较与评价，提交评标报告并推荐中标候选人。</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招标文件一并存档。</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评标小组成员名单在评标结果公告前严格保密。评审专家有下列情形之一的，受到邀请应主动提出回避，采购当事人也可以要求该评审专家回避：</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参加采购活动前3年内与投标人存在劳动关系；</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参加采购活动前3年内担任投标人的董事、监事；</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参加采购活动前3年内是投标人的控股股东或者实际控制人；</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 xml:space="preserve"> 与投标人的法定代表人或者负责人有夫妻、直系血亲、三代以内旁系血          </w:t>
      </w:r>
    </w:p>
    <w:p>
      <w:pPr>
        <w:spacing w:line="360" w:lineRule="auto"/>
        <w:ind w:left="425" w:firstLine="480" w:firstLineChars="200"/>
        <w:rPr>
          <w:rFonts w:ascii="仿宋" w:hAnsi="仿宋" w:eastAsia="仿宋" w:cs="仿宋"/>
          <w:sz w:val="24"/>
          <w:szCs w:val="24"/>
        </w:rPr>
      </w:pPr>
      <w:r>
        <w:rPr>
          <w:rFonts w:hint="eastAsia" w:ascii="仿宋" w:hAnsi="仿宋" w:eastAsia="仿宋" w:cs="仿宋"/>
          <w:sz w:val="24"/>
          <w:szCs w:val="24"/>
        </w:rPr>
        <w:t>亲或者近姻亲关系；</w:t>
      </w:r>
    </w:p>
    <w:p>
      <w:pPr>
        <w:numPr>
          <w:ilvl w:val="0"/>
          <w:numId w:val="28"/>
        </w:numPr>
        <w:spacing w:line="360" w:lineRule="auto"/>
        <w:rPr>
          <w:rFonts w:ascii="仿宋" w:hAnsi="仿宋" w:eastAsia="仿宋" w:cs="仿宋"/>
          <w:sz w:val="24"/>
          <w:szCs w:val="24"/>
        </w:rPr>
      </w:pPr>
      <w:r>
        <w:rPr>
          <w:rFonts w:hint="eastAsia" w:ascii="仿宋" w:hAnsi="仿宋" w:eastAsia="仿宋" w:cs="仿宋"/>
          <w:sz w:val="24"/>
          <w:szCs w:val="24"/>
        </w:rPr>
        <w:t>与投标人有其他可能影响政府采购活动公平、公正进行的关系。</w:t>
      </w:r>
    </w:p>
    <w:p>
      <w:pPr>
        <w:numPr>
          <w:ilvl w:val="1"/>
          <w:numId w:val="27"/>
        </w:numPr>
        <w:spacing w:line="360" w:lineRule="auto"/>
        <w:rPr>
          <w:rFonts w:ascii="仿宋" w:hAnsi="仿宋" w:eastAsia="仿宋" w:cs="仿宋"/>
          <w:sz w:val="24"/>
          <w:szCs w:val="24"/>
        </w:rPr>
      </w:pPr>
      <w:r>
        <w:rPr>
          <w:rFonts w:hint="eastAsia" w:ascii="仿宋" w:hAnsi="仿宋" w:eastAsia="仿宋" w:cs="仿宋"/>
          <w:sz w:val="24"/>
          <w:szCs w:val="24"/>
        </w:rPr>
        <w:t>评标小组将按综合评分法进行评审，即最大限度地满足招标文件实质性要求前提下，按照招标文件中规定的各项因素进行综合评审后，以评标总得分最高的投标人作为中标候选人。</w:t>
      </w:r>
      <w:bookmarkEnd w:id="170"/>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71" w:name="_Toc26294"/>
      <w:bookmarkStart w:id="172" w:name="_Toc28109"/>
      <w:bookmarkStart w:id="173" w:name="_Toc14456"/>
      <w:bookmarkStart w:id="174" w:name="_Toc55778707"/>
      <w:bookmarkStart w:id="175" w:name="_Toc780"/>
      <w:r>
        <w:rPr>
          <w:rFonts w:hint="eastAsia" w:ascii="仿宋" w:hAnsi="仿宋" w:eastAsia="仿宋" w:cs="仿宋"/>
          <w:b/>
          <w:kern w:val="44"/>
          <w:sz w:val="24"/>
          <w:szCs w:val="24"/>
        </w:rPr>
        <w:t>评标原则及评标方法</w:t>
      </w:r>
      <w:bookmarkEnd w:id="171"/>
      <w:bookmarkEnd w:id="172"/>
      <w:bookmarkEnd w:id="173"/>
      <w:bookmarkEnd w:id="174"/>
      <w:bookmarkEnd w:id="175"/>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评标基本原则：评标工作应依据《中华人民共和国政府采购法》、实施条例以及国家和地方政府有关政府采购的有关法规，遵循“公开透明原则、公平竞争原则、公正原则和诚实信用原则”进行。</w:t>
      </w:r>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本项目以投标人递交的电子投标文件作为评审依据。</w:t>
      </w:r>
    </w:p>
    <w:p>
      <w:pPr>
        <w:numPr>
          <w:ilvl w:val="1"/>
          <w:numId w:val="29"/>
        </w:numPr>
        <w:spacing w:line="360" w:lineRule="auto"/>
        <w:rPr>
          <w:rFonts w:ascii="仿宋" w:hAnsi="仿宋" w:eastAsia="仿宋" w:cs="仿宋"/>
          <w:sz w:val="24"/>
          <w:szCs w:val="24"/>
        </w:rPr>
      </w:pPr>
      <w:r>
        <w:rPr>
          <w:rFonts w:hint="eastAsia" w:ascii="仿宋" w:hAnsi="仿宋" w:eastAsia="仿宋" w:cs="仿宋"/>
          <w:sz w:val="24"/>
          <w:szCs w:val="24"/>
        </w:rPr>
        <w:t>评标步骤及定标规定：第一阶段：先进行投标人资格性审查。第二阶段：进行投标人符合性审查。第三阶段：对通过资格性审查、符合性审查的投标人按照评标办法进行详细评审（包括：技术商务评审）。</w:t>
      </w:r>
    </w:p>
    <w:p>
      <w:pPr>
        <w:numPr>
          <w:ilvl w:val="1"/>
          <w:numId w:val="29"/>
        </w:numPr>
        <w:spacing w:line="360" w:lineRule="auto"/>
        <w:rPr>
          <w:rFonts w:ascii="仿宋" w:hAnsi="仿宋" w:eastAsia="仿宋" w:cs="仿宋"/>
          <w:sz w:val="24"/>
          <w:szCs w:val="24"/>
        </w:rPr>
      </w:pPr>
      <w:r>
        <w:rPr>
          <w:rFonts w:hint="eastAsia" w:ascii="仿宋" w:hAnsi="仿宋" w:eastAsia="仿宋" w:cs="仿宋"/>
          <w:b/>
          <w:bCs/>
          <w:sz w:val="24"/>
          <w:szCs w:val="24"/>
        </w:rPr>
        <w:t>评标办法：本次招标的评标方式为综合评分法，评审意见不一致时采用少数服从多数的评标方式，详细评审采用百分制综合评分法，分数按四舍五入原则计至小数点后两位</w:t>
      </w:r>
      <w:r>
        <w:rPr>
          <w:rFonts w:hint="eastAsia" w:ascii="仿宋" w:hAnsi="仿宋" w:eastAsia="仿宋" w:cs="仿宋"/>
          <w:sz w:val="24"/>
          <w:szCs w:val="24"/>
        </w:rPr>
        <w:t>。</w:t>
      </w:r>
    </w:p>
    <w:p>
      <w:pPr>
        <w:numPr>
          <w:ilvl w:val="1"/>
          <w:numId w:val="29"/>
        </w:numPr>
        <w:spacing w:line="360" w:lineRule="auto"/>
        <w:rPr>
          <w:rFonts w:ascii="仿宋" w:hAnsi="仿宋" w:eastAsia="仿宋" w:cs="仿宋"/>
          <w:sz w:val="24"/>
          <w:szCs w:val="24"/>
        </w:rPr>
      </w:pPr>
      <w:r>
        <w:rPr>
          <w:rFonts w:hint="eastAsia" w:ascii="仿宋" w:hAnsi="仿宋" w:eastAsia="仿宋" w:cs="仿宋"/>
          <w:b/>
          <w:bCs/>
          <w:sz w:val="24"/>
          <w:szCs w:val="24"/>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仿宋" w:hAnsi="仿宋" w:eastAsia="仿宋" w:cs="仿宋"/>
          <w:sz w:val="24"/>
          <w:szCs w:val="24"/>
        </w:rPr>
        <w:t>。</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76" w:name="_Toc24483"/>
      <w:bookmarkStart w:id="177" w:name="_Toc29632"/>
      <w:bookmarkStart w:id="178" w:name="_Toc17065"/>
      <w:bookmarkStart w:id="179" w:name="_Toc55778708"/>
      <w:bookmarkStart w:id="180" w:name="_Toc3188"/>
      <w:r>
        <w:rPr>
          <w:rFonts w:hint="eastAsia" w:ascii="仿宋" w:hAnsi="仿宋" w:eastAsia="仿宋" w:cs="仿宋"/>
          <w:b/>
          <w:kern w:val="44"/>
          <w:sz w:val="24"/>
          <w:szCs w:val="24"/>
        </w:rPr>
        <w:t>初步评审</w:t>
      </w:r>
      <w:bookmarkEnd w:id="176"/>
      <w:bookmarkEnd w:id="177"/>
      <w:bookmarkEnd w:id="178"/>
      <w:bookmarkEnd w:id="179"/>
      <w:bookmarkEnd w:id="180"/>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资格性审查：开标结束后，采购人依法对投标人的资格进行审查，资格性审查内容详见《初步评审审查表》。对初步被认定为资格性审查不合格的可实行告知投标当事人。未通过资格性审查的投标人，不进入符合性审查。若通过资格性审查的投标人不足3家的，不得进行下一阶段评标。</w:t>
      </w:r>
    </w:p>
    <w:p>
      <w:pPr>
        <w:numPr>
          <w:ilvl w:val="2"/>
          <w:numId w:val="31"/>
        </w:numPr>
        <w:spacing w:line="360" w:lineRule="auto"/>
        <w:rPr>
          <w:rFonts w:ascii="仿宋" w:hAnsi="仿宋" w:eastAsia="仿宋" w:cs="仿宋"/>
          <w:sz w:val="24"/>
          <w:szCs w:val="24"/>
        </w:rPr>
      </w:pPr>
      <w:r>
        <w:rPr>
          <w:rFonts w:hint="eastAsia" w:ascii="仿宋" w:hAnsi="仿宋" w:eastAsia="仿宋" w:cs="仿宋"/>
          <w:sz w:val="24"/>
          <w:szCs w:val="24"/>
        </w:rPr>
        <w:t>投标人存在下列情况之一的，投标无效：</w:t>
      </w: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不具备招标文件中规定的投标人资格要求的</w:t>
      </w:r>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符合性审查：详见《初步评审审查表》，以确定其是否满足招标文件的实质性要求。评标小组对初步被认定为符合性审查不合格或无效投标者可实行告知投标当事人。未通过符合性审查的投标人，不进入技术、商务和价格评审。</w:t>
      </w:r>
    </w:p>
    <w:p>
      <w:pPr>
        <w:numPr>
          <w:ilvl w:val="1"/>
          <w:numId w:val="30"/>
        </w:numPr>
        <w:spacing w:line="360" w:lineRule="auto"/>
        <w:rPr>
          <w:rFonts w:ascii="仿宋" w:hAnsi="仿宋" w:eastAsia="仿宋" w:cs="仿宋"/>
          <w:sz w:val="24"/>
          <w:szCs w:val="24"/>
        </w:rPr>
      </w:pPr>
      <w:r>
        <w:rPr>
          <w:rFonts w:hint="eastAsia" w:ascii="仿宋" w:hAnsi="仿宋" w:eastAsia="仿宋" w:cs="仿宋"/>
          <w:sz w:val="24"/>
          <w:szCs w:val="24"/>
        </w:rPr>
        <w:t>评标小组决定投标文件的响应程度指依据投标文件本身的真实无误的内容，而不依据外部的证据。但投标文件有不真实、不正确内容的除外。</w:t>
      </w:r>
    </w:p>
    <w:p>
      <w:pPr>
        <w:pStyle w:val="3"/>
        <w:keepNext w:val="0"/>
        <w:keepLines w:val="0"/>
        <w:rPr>
          <w:rFonts w:ascii="仿宋" w:hAnsi="仿宋" w:eastAsia="仿宋" w:cs="仿宋"/>
          <w:sz w:val="24"/>
          <w:szCs w:val="24"/>
        </w:rPr>
      </w:pPr>
      <w:r>
        <w:rPr>
          <w:rFonts w:hint="eastAsia" w:ascii="仿宋" w:hAnsi="仿宋" w:eastAsia="仿宋" w:cs="仿宋"/>
          <w:sz w:val="24"/>
          <w:szCs w:val="24"/>
        </w:rPr>
        <w:t>初步评审标准表</w:t>
      </w: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72"/>
        <w:gridCol w:w="6889"/>
        <w:gridCol w:w="79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17"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项目</w:t>
            </w:r>
          </w:p>
        </w:tc>
        <w:tc>
          <w:tcPr>
            <w:tcW w:w="472"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序号</w:t>
            </w:r>
          </w:p>
        </w:tc>
        <w:tc>
          <w:tcPr>
            <w:tcW w:w="6889" w:type="dxa"/>
            <w:vMerge w:val="restart"/>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评审内容</w:t>
            </w:r>
          </w:p>
        </w:tc>
        <w:tc>
          <w:tcPr>
            <w:tcW w:w="1681" w:type="dxa"/>
            <w:gridSpan w:val="2"/>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17" w:type="dxa"/>
            <w:vMerge w:val="continue"/>
            <w:vAlign w:val="center"/>
          </w:tcPr>
          <w:p>
            <w:pPr>
              <w:autoSpaceDE w:val="0"/>
              <w:autoSpaceDN w:val="0"/>
              <w:spacing w:line="240" w:lineRule="exact"/>
              <w:jc w:val="center"/>
              <w:rPr>
                <w:rFonts w:ascii="宋体" w:hAnsi="宋体" w:cs="宋体"/>
                <w:sz w:val="24"/>
                <w:szCs w:val="24"/>
              </w:rPr>
            </w:pPr>
          </w:p>
        </w:tc>
        <w:tc>
          <w:tcPr>
            <w:tcW w:w="472" w:type="dxa"/>
            <w:vMerge w:val="continue"/>
            <w:vAlign w:val="center"/>
          </w:tcPr>
          <w:p>
            <w:pPr>
              <w:autoSpaceDE w:val="0"/>
              <w:autoSpaceDN w:val="0"/>
              <w:spacing w:line="240" w:lineRule="exact"/>
              <w:jc w:val="center"/>
              <w:rPr>
                <w:rFonts w:ascii="宋体" w:hAnsi="宋体" w:cs="宋体"/>
                <w:sz w:val="24"/>
                <w:szCs w:val="24"/>
              </w:rPr>
            </w:pPr>
          </w:p>
        </w:tc>
        <w:tc>
          <w:tcPr>
            <w:tcW w:w="6889" w:type="dxa"/>
            <w:vMerge w:val="continue"/>
            <w:vAlign w:val="center"/>
          </w:tcPr>
          <w:p>
            <w:pPr>
              <w:autoSpaceDE w:val="0"/>
              <w:autoSpaceDN w:val="0"/>
              <w:spacing w:line="240" w:lineRule="exact"/>
              <w:rPr>
                <w:rFonts w:ascii="宋体" w:hAnsi="宋体" w:cs="宋体"/>
                <w:sz w:val="24"/>
                <w:szCs w:val="24"/>
              </w:rPr>
            </w:pPr>
          </w:p>
        </w:tc>
        <w:tc>
          <w:tcPr>
            <w:tcW w:w="799"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通过</w:t>
            </w:r>
          </w:p>
        </w:tc>
        <w:tc>
          <w:tcPr>
            <w:tcW w:w="882" w:type="dxa"/>
            <w:vAlign w:val="center"/>
          </w:tcPr>
          <w:p>
            <w:pPr>
              <w:autoSpaceDE w:val="0"/>
              <w:autoSpaceDN w:val="0"/>
              <w:spacing w:line="240" w:lineRule="exact"/>
              <w:jc w:val="center"/>
              <w:rPr>
                <w:rFonts w:ascii="宋体" w:hAnsi="宋体" w:cs="宋体"/>
                <w:sz w:val="24"/>
                <w:szCs w:val="24"/>
              </w:rPr>
            </w:pPr>
            <w:r>
              <w:rPr>
                <w:rFonts w:hint="eastAsia" w:ascii="宋体" w:hAnsi="宋体" w:cs="宋体"/>
                <w:sz w:val="24"/>
                <w:szCs w:val="24"/>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资</w:t>
            </w:r>
          </w:p>
          <w:p>
            <w:pPr>
              <w:pStyle w:val="34"/>
              <w:rPr>
                <w:rFonts w:hAnsi="宋体"/>
              </w:rPr>
            </w:pPr>
          </w:p>
          <w:p>
            <w:pPr>
              <w:pStyle w:val="34"/>
              <w:rPr>
                <w:rFonts w:hAnsi="宋体"/>
              </w:rPr>
            </w:pPr>
          </w:p>
          <w:p>
            <w:pPr>
              <w:pStyle w:val="34"/>
              <w:rPr>
                <w:rFonts w:hAnsi="宋体"/>
              </w:rPr>
            </w:pPr>
          </w:p>
          <w:p>
            <w:pPr>
              <w:autoSpaceDE w:val="0"/>
              <w:autoSpaceDN w:val="0"/>
              <w:spacing w:line="340" w:lineRule="exact"/>
              <w:jc w:val="center"/>
              <w:rPr>
                <w:rFonts w:ascii="宋体" w:hAnsi="宋体" w:cs="宋体"/>
                <w:sz w:val="24"/>
                <w:szCs w:val="24"/>
              </w:rPr>
            </w:pPr>
            <w:r>
              <w:rPr>
                <w:rFonts w:hint="eastAsia" w:ascii="宋体" w:hAnsi="宋体" w:cs="宋体"/>
                <w:sz w:val="24"/>
                <w:szCs w:val="24"/>
              </w:rPr>
              <w:t>格</w:t>
            </w:r>
          </w:p>
          <w:p>
            <w:pPr>
              <w:autoSpaceDE w:val="0"/>
              <w:autoSpaceDN w:val="0"/>
              <w:spacing w:line="340" w:lineRule="exact"/>
              <w:jc w:val="center"/>
              <w:rPr>
                <w:rFonts w:ascii="宋体" w:hAnsi="宋体" w:cs="宋体"/>
                <w:sz w:val="24"/>
                <w:szCs w:val="24"/>
              </w:rPr>
            </w:pPr>
          </w:p>
          <w:p>
            <w:pPr>
              <w:autoSpaceDE w:val="0"/>
              <w:autoSpaceDN w:val="0"/>
              <w:spacing w:line="340" w:lineRule="exact"/>
              <w:jc w:val="center"/>
              <w:rPr>
                <w:rFonts w:ascii="宋体" w:hAnsi="宋体" w:cs="宋体"/>
                <w:sz w:val="24"/>
                <w:szCs w:val="24"/>
              </w:rPr>
            </w:pPr>
          </w:p>
          <w:p>
            <w:pPr>
              <w:pStyle w:val="34"/>
              <w:rPr>
                <w:rFonts w:hAnsi="宋体"/>
              </w:rPr>
            </w:pPr>
          </w:p>
          <w:p>
            <w:pPr>
              <w:pStyle w:val="34"/>
              <w:rPr>
                <w:rFonts w:hAnsi="宋体"/>
              </w:rPr>
            </w:pPr>
          </w:p>
          <w:p>
            <w:pPr>
              <w:autoSpaceDE w:val="0"/>
              <w:autoSpaceDN w:val="0"/>
              <w:spacing w:line="340" w:lineRule="exact"/>
              <w:jc w:val="center"/>
              <w:rPr>
                <w:rFonts w:ascii="宋体" w:hAnsi="宋体" w:cs="宋体"/>
                <w:sz w:val="24"/>
                <w:szCs w:val="24"/>
              </w:rPr>
            </w:pPr>
            <w:r>
              <w:rPr>
                <w:rFonts w:hint="eastAsia" w:ascii="宋体" w:hAnsi="宋体" w:cs="宋体"/>
                <w:sz w:val="24"/>
                <w:szCs w:val="24"/>
              </w:rPr>
              <w:t>审</w:t>
            </w:r>
          </w:p>
          <w:p>
            <w:pPr>
              <w:autoSpaceDE w:val="0"/>
              <w:autoSpaceDN w:val="0"/>
              <w:spacing w:line="340" w:lineRule="exact"/>
              <w:jc w:val="center"/>
              <w:rPr>
                <w:rFonts w:ascii="宋体" w:hAnsi="宋体" w:cs="宋体"/>
                <w:sz w:val="24"/>
                <w:szCs w:val="24"/>
              </w:rPr>
            </w:pPr>
          </w:p>
          <w:p>
            <w:pPr>
              <w:pStyle w:val="34"/>
              <w:rPr>
                <w:rFonts w:hAnsi="宋体"/>
              </w:rPr>
            </w:pPr>
          </w:p>
          <w:p>
            <w:pPr>
              <w:pStyle w:val="34"/>
              <w:rPr>
                <w:rFonts w:hAnsi="宋体"/>
              </w:rPr>
            </w:pPr>
          </w:p>
          <w:p>
            <w:pPr>
              <w:autoSpaceDE w:val="0"/>
              <w:autoSpaceDN w:val="0"/>
              <w:spacing w:line="340" w:lineRule="exact"/>
              <w:jc w:val="center"/>
              <w:rPr>
                <w:rFonts w:ascii="宋体" w:hAnsi="宋体" w:cs="宋体"/>
                <w:sz w:val="24"/>
                <w:szCs w:val="24"/>
              </w:rPr>
            </w:pPr>
            <w:r>
              <w:rPr>
                <w:rFonts w:hint="eastAsia" w:ascii="宋体" w:hAnsi="宋体" w:cs="宋体"/>
                <w:sz w:val="24"/>
                <w:szCs w:val="24"/>
              </w:rPr>
              <w:t>查</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kern w:val="0"/>
                <w:sz w:val="24"/>
                <w:szCs w:val="24"/>
              </w:rPr>
            </w:pPr>
            <w:r>
              <w:rPr>
                <w:rFonts w:hint="eastAsia" w:ascii="宋体" w:hAnsi="宋体" w:cs="宋体"/>
                <w:kern w:val="0"/>
                <w:sz w:val="24"/>
                <w:szCs w:val="24"/>
              </w:rPr>
              <w:t>法人代表授权委托书原件；</w:t>
            </w:r>
          </w:p>
        </w:tc>
        <w:tc>
          <w:tcPr>
            <w:tcW w:w="799" w:type="dxa"/>
          </w:tcPr>
          <w:p>
            <w:pPr>
              <w:autoSpaceDE w:val="0"/>
              <w:autoSpaceDN w:val="0"/>
              <w:spacing w:line="340" w:lineRule="exact"/>
              <w:jc w:val="left"/>
              <w:rPr>
                <w:rFonts w:ascii="宋体" w:hAnsi="宋体" w:cs="宋体"/>
                <w:sz w:val="24"/>
                <w:szCs w:val="24"/>
              </w:rPr>
            </w:pPr>
          </w:p>
        </w:tc>
        <w:tc>
          <w:tcPr>
            <w:tcW w:w="882" w:type="dxa"/>
          </w:tcPr>
          <w:p>
            <w:pPr>
              <w:autoSpaceDE w:val="0"/>
              <w:autoSpaceDN w:val="0"/>
              <w:spacing w:line="3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pStyle w:val="26"/>
              <w:shd w:val="clear" w:color="auto" w:fill="FFFFFF"/>
              <w:spacing w:before="0" w:beforeAutospacing="0" w:after="0" w:afterAutospacing="0"/>
              <w:jc w:val="both"/>
            </w:pPr>
            <w:r>
              <w:rPr>
                <w:rFonts w:hint="eastAsia"/>
              </w:rPr>
              <w:t>被授权人身份证原件及复印件；</w:t>
            </w:r>
          </w:p>
        </w:tc>
        <w:tc>
          <w:tcPr>
            <w:tcW w:w="799" w:type="dxa"/>
          </w:tcPr>
          <w:p>
            <w:pPr>
              <w:autoSpaceDE w:val="0"/>
              <w:autoSpaceDN w:val="0"/>
              <w:spacing w:line="340" w:lineRule="exact"/>
              <w:jc w:val="left"/>
              <w:rPr>
                <w:rFonts w:ascii="宋体" w:hAnsi="宋体" w:cs="宋体"/>
                <w:sz w:val="24"/>
                <w:szCs w:val="24"/>
              </w:rPr>
            </w:pPr>
          </w:p>
        </w:tc>
        <w:tc>
          <w:tcPr>
            <w:tcW w:w="882" w:type="dxa"/>
          </w:tcPr>
          <w:p>
            <w:pPr>
              <w:autoSpaceDE w:val="0"/>
              <w:autoSpaceDN w:val="0"/>
              <w:spacing w:line="340" w:lineRule="exact"/>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pStyle w:val="26"/>
              <w:shd w:val="clear" w:color="auto" w:fill="FFFFFF"/>
              <w:spacing w:before="0" w:beforeAutospacing="0" w:after="0" w:afterAutospacing="0"/>
              <w:jc w:val="both"/>
              <w:rPr>
                <w:shd w:val="clear" w:color="auto" w:fill="FFFFFF"/>
              </w:rPr>
            </w:pPr>
            <w:r>
              <w:rPr>
                <w:rFonts w:hint="eastAsia"/>
                <w:shd w:val="clear" w:color="auto" w:fill="FFFFFF"/>
              </w:rPr>
              <w:t>企业营业执照副本原件（经营范围需包含本次采购内容）；</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4</w:t>
            </w:r>
          </w:p>
        </w:tc>
        <w:tc>
          <w:tcPr>
            <w:tcW w:w="6889" w:type="dxa"/>
            <w:vAlign w:val="center"/>
          </w:tcPr>
          <w:p>
            <w:pPr>
              <w:pStyle w:val="26"/>
              <w:shd w:val="clear" w:color="auto" w:fill="FFFFFF"/>
              <w:spacing w:before="0" w:beforeAutospacing="0" w:after="0" w:afterAutospacing="0" w:line="336" w:lineRule="auto"/>
              <w:jc w:val="both"/>
              <w:rPr>
                <w:shd w:val="clear" w:color="auto" w:fill="FFFFFF"/>
              </w:rPr>
            </w:pPr>
            <w:r>
              <w:rPr>
                <w:rFonts w:hint="eastAsia"/>
                <w:shd w:val="clear" w:color="auto" w:fill="FFFFFF"/>
              </w:rPr>
              <w:t>符合《中华人民共和国政府采购法》第二十二条规定，具有独立承担民事责任的能力；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pStyle w:val="26"/>
              <w:shd w:val="clear" w:color="auto" w:fill="FFFFFF"/>
              <w:spacing w:before="0" w:beforeAutospacing="0" w:after="0" w:afterAutospacing="0" w:line="336" w:lineRule="auto"/>
              <w:jc w:val="both"/>
            </w:pPr>
            <w:r>
              <w:rPr>
                <w:rFonts w:hint="eastAsia"/>
              </w:rPr>
              <w:t>投标人参与政府采购活动前三年内在经营活动中无重大违法记录的书面声明函原件；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6</w:t>
            </w:r>
          </w:p>
        </w:tc>
        <w:tc>
          <w:tcPr>
            <w:tcW w:w="6889" w:type="dxa"/>
            <w:vAlign w:val="center"/>
          </w:tcPr>
          <w:p>
            <w:pPr>
              <w:pStyle w:val="26"/>
              <w:shd w:val="clear" w:color="auto" w:fill="FFFFFF"/>
              <w:spacing w:before="0" w:beforeAutospacing="0" w:after="0" w:afterAutospacing="0" w:line="336" w:lineRule="auto"/>
              <w:jc w:val="both"/>
              <w:rPr>
                <w:shd w:val="clear" w:color="auto" w:fill="FFFFFF"/>
              </w:rPr>
            </w:pPr>
            <w:r>
              <w:rPr>
                <w:rFonts w:hint="eastAsia"/>
                <w:shd w:val="clear" w:color="auto" w:fill="FFFFFF"/>
              </w:rPr>
              <w:t>投标商应具有履行合同的专业、技术资格能力，符合配送要求的中央厨房或生产加工场所，具有仓储、运输设施、配送车辆（提供证明材料）；</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7</w:t>
            </w:r>
          </w:p>
        </w:tc>
        <w:tc>
          <w:tcPr>
            <w:tcW w:w="6889" w:type="dxa"/>
            <w:vAlign w:val="center"/>
          </w:tcPr>
          <w:p>
            <w:pPr>
              <w:jc w:val="left"/>
              <w:rPr>
                <w:rFonts w:ascii="宋体" w:hAnsi="宋体" w:cs="宋体"/>
                <w:sz w:val="24"/>
                <w:szCs w:val="24"/>
              </w:rPr>
            </w:pPr>
            <w:r>
              <w:rPr>
                <w:rFonts w:hint="eastAsia" w:ascii="宋体" w:hAnsi="宋体" w:cs="宋体"/>
                <w:sz w:val="24"/>
                <w:szCs w:val="24"/>
              </w:rPr>
              <w:t>投标企业提供《食品经营许可证》原件或复印件（加盖公章）；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8</w:t>
            </w:r>
          </w:p>
        </w:tc>
        <w:tc>
          <w:tcPr>
            <w:tcW w:w="6889" w:type="dxa"/>
            <w:vAlign w:val="center"/>
          </w:tcPr>
          <w:p>
            <w:pPr>
              <w:jc w:val="left"/>
              <w:rPr>
                <w:rFonts w:ascii="宋体" w:hAnsi="宋体" w:cs="宋体"/>
                <w:sz w:val="24"/>
                <w:szCs w:val="24"/>
              </w:rPr>
            </w:pPr>
            <w:r>
              <w:rPr>
                <w:rFonts w:hint="eastAsia" w:ascii="宋体" w:hAnsi="宋体" w:cs="宋体"/>
                <w:sz w:val="24"/>
                <w:szCs w:val="24"/>
              </w:rPr>
              <w:t>动物防疫合格证和定点屠宰证以及投标方认为需要提供的其他资质证明材料原件或复印件加盖公章；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9</w:t>
            </w:r>
          </w:p>
        </w:tc>
        <w:tc>
          <w:tcPr>
            <w:tcW w:w="6889" w:type="dxa"/>
            <w:vAlign w:val="center"/>
          </w:tcPr>
          <w:p>
            <w:pPr>
              <w:jc w:val="left"/>
              <w:rPr>
                <w:rFonts w:ascii="宋体" w:hAnsi="宋体" w:cs="宋体"/>
                <w:sz w:val="24"/>
                <w:szCs w:val="24"/>
              </w:rPr>
            </w:pPr>
            <w:r>
              <w:rPr>
                <w:rFonts w:hint="eastAsia" w:ascii="宋体" w:hAnsi="宋体" w:cs="宋体"/>
                <w:sz w:val="24"/>
                <w:szCs w:val="24"/>
              </w:rPr>
              <w:t>投标企业提供相关从业人员《健康证》复印件（加盖公章）；</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10</w:t>
            </w:r>
          </w:p>
        </w:tc>
        <w:tc>
          <w:tcPr>
            <w:tcW w:w="6889" w:type="dxa"/>
            <w:vAlign w:val="center"/>
          </w:tcPr>
          <w:p>
            <w:pPr>
              <w:jc w:val="left"/>
              <w:rPr>
                <w:rFonts w:ascii="宋体" w:hAnsi="宋体" w:cs="宋体"/>
                <w:sz w:val="24"/>
                <w:szCs w:val="24"/>
              </w:rPr>
            </w:pPr>
            <w:r>
              <w:rPr>
                <w:rFonts w:hint="eastAsia" w:ascii="宋体" w:hAnsi="宋体" w:cs="宋体"/>
                <w:sz w:val="24"/>
                <w:szCs w:val="24"/>
              </w:rPr>
              <w:t>凡拟参加本次招标项目的供应商，如在“信用中国”网站（www.creditchina.gov.cn）、中国政府采购网（www.ccgp.gov.cn）被列入失信被执行人、重大税收违法案件当事人名单、政府采购严重违法失信行为记录名单的（尚在处罚期内的），将拒绝其参加本次政府采购活动。供应商自行查询下载打印全部内容加盖公章制作于投标文件内；</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11</w:t>
            </w:r>
          </w:p>
        </w:tc>
        <w:tc>
          <w:tcPr>
            <w:tcW w:w="6889" w:type="dxa"/>
            <w:vAlign w:val="center"/>
          </w:tcPr>
          <w:p>
            <w:pPr>
              <w:jc w:val="left"/>
              <w:rPr>
                <w:rFonts w:ascii="宋体" w:hAnsi="宋体" w:cs="宋体"/>
                <w:sz w:val="24"/>
                <w:szCs w:val="24"/>
              </w:rPr>
            </w:pPr>
            <w:r>
              <w:rPr>
                <w:rFonts w:hint="eastAsia" w:ascii="宋体" w:hAnsi="宋体" w:cs="宋体"/>
                <w:sz w:val="24"/>
                <w:szCs w:val="24"/>
              </w:rPr>
              <w:t>保证金缴纳凭证或投标保函；</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517" w:type="dxa"/>
            <w:vMerge w:val="continue"/>
            <w:vAlign w:val="center"/>
          </w:tcPr>
          <w:p>
            <w:pPr>
              <w:autoSpaceDE w:val="0"/>
              <w:autoSpaceDN w:val="0"/>
              <w:spacing w:line="340" w:lineRule="exact"/>
              <w:jc w:val="center"/>
              <w:rPr>
                <w:rFonts w:ascii="宋体" w:hAnsi="宋体" w:cs="宋体"/>
                <w:sz w:val="24"/>
                <w:szCs w:val="24"/>
                <w:highlight w:val="yellow"/>
              </w:rPr>
            </w:pPr>
          </w:p>
        </w:tc>
        <w:tc>
          <w:tcPr>
            <w:tcW w:w="472" w:type="dxa"/>
            <w:vAlign w:val="center"/>
          </w:tcPr>
          <w:p>
            <w:pPr>
              <w:spacing w:line="340" w:lineRule="exact"/>
              <w:jc w:val="center"/>
              <w:rPr>
                <w:rFonts w:ascii="宋体" w:hAnsi="宋体" w:cs="宋体"/>
                <w:sz w:val="24"/>
                <w:szCs w:val="24"/>
              </w:rPr>
            </w:pPr>
            <w:r>
              <w:rPr>
                <w:rFonts w:hint="eastAsia" w:ascii="宋体" w:hAnsi="宋体" w:cs="宋体"/>
                <w:sz w:val="24"/>
                <w:szCs w:val="24"/>
              </w:rPr>
              <w:t>12</w:t>
            </w:r>
          </w:p>
        </w:tc>
        <w:tc>
          <w:tcPr>
            <w:tcW w:w="6889" w:type="dxa"/>
            <w:vAlign w:val="center"/>
          </w:tcPr>
          <w:p>
            <w:pPr>
              <w:jc w:val="left"/>
              <w:rPr>
                <w:rFonts w:ascii="宋体" w:hAnsi="宋体" w:cs="宋体"/>
                <w:sz w:val="24"/>
                <w:szCs w:val="24"/>
              </w:rPr>
            </w:pPr>
            <w:r>
              <w:rPr>
                <w:rFonts w:hint="eastAsia" w:ascii="宋体" w:hAnsi="宋体" w:cs="宋体"/>
                <w:sz w:val="24"/>
                <w:szCs w:val="24"/>
              </w:rPr>
              <w:t>供应商应为中小企业。</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517" w:type="dxa"/>
            <w:vMerge w:val="restart"/>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响应</w:t>
            </w:r>
          </w:p>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评审</w:t>
            </w: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1</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投标文件是否有投标单位法定代表人或其委托代理人（签字或签章）和加盖了投标单位的盖章，投标文件的装订是否符合招标文件要求；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2</w:t>
            </w:r>
          </w:p>
        </w:tc>
        <w:tc>
          <w:tcPr>
            <w:tcW w:w="6889" w:type="dxa"/>
            <w:vAlign w:val="center"/>
          </w:tcPr>
          <w:p>
            <w:pPr>
              <w:jc w:val="left"/>
              <w:rPr>
                <w:rFonts w:ascii="宋体" w:hAnsi="宋体" w:cs="宋体"/>
                <w:sz w:val="24"/>
                <w:szCs w:val="24"/>
              </w:rPr>
            </w:pPr>
            <w:r>
              <w:rPr>
                <w:rFonts w:hint="eastAsia" w:ascii="宋体" w:hAnsi="宋体" w:cs="宋体"/>
                <w:sz w:val="24"/>
                <w:szCs w:val="24"/>
              </w:rPr>
              <w:t>投标人是否对同一招标项目做出两个以上报价而未明确效力；</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3</w:t>
            </w:r>
          </w:p>
        </w:tc>
        <w:tc>
          <w:tcPr>
            <w:tcW w:w="6889" w:type="dxa"/>
            <w:vAlign w:val="center"/>
          </w:tcPr>
          <w:p>
            <w:pPr>
              <w:jc w:val="left"/>
              <w:rPr>
                <w:rFonts w:ascii="宋体" w:hAnsi="宋体" w:cs="宋体"/>
                <w:sz w:val="24"/>
                <w:szCs w:val="24"/>
              </w:rPr>
            </w:pPr>
            <w:r>
              <w:rPr>
                <w:rFonts w:hint="eastAsia" w:ascii="宋体" w:hAnsi="宋体" w:cs="宋体"/>
                <w:sz w:val="24"/>
                <w:szCs w:val="24"/>
              </w:rPr>
              <w:t>服务期限是否符合招标文件要求；</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highlight w:val="yellow"/>
              </w:rPr>
            </w:pPr>
            <w:r>
              <w:rPr>
                <w:rFonts w:hint="eastAsia" w:ascii="宋体" w:hAnsi="宋体" w:cs="宋体"/>
                <w:sz w:val="24"/>
                <w:szCs w:val="24"/>
              </w:rPr>
              <w:t>4</w:t>
            </w:r>
          </w:p>
        </w:tc>
        <w:tc>
          <w:tcPr>
            <w:tcW w:w="6889" w:type="dxa"/>
            <w:vAlign w:val="center"/>
          </w:tcPr>
          <w:p>
            <w:pPr>
              <w:jc w:val="left"/>
              <w:rPr>
                <w:rFonts w:ascii="宋体" w:hAnsi="宋体" w:cs="宋体"/>
                <w:sz w:val="24"/>
                <w:szCs w:val="24"/>
                <w:highlight w:val="yellow"/>
              </w:rPr>
            </w:pPr>
            <w:r>
              <w:rPr>
                <w:rFonts w:hint="eastAsia" w:ascii="宋体" w:hAnsi="宋体" w:cs="宋体"/>
                <w:sz w:val="24"/>
                <w:szCs w:val="24"/>
              </w:rPr>
              <w:t>投标人投标总价是否超出最高限价；</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517" w:type="dxa"/>
            <w:vMerge w:val="continue"/>
            <w:vAlign w:val="center"/>
          </w:tcPr>
          <w:p>
            <w:pPr>
              <w:widowControl/>
              <w:spacing w:line="340" w:lineRule="exact"/>
              <w:jc w:val="left"/>
              <w:rPr>
                <w:rFonts w:ascii="宋体" w:hAnsi="宋体" w:cs="宋体"/>
                <w:sz w:val="24"/>
                <w:szCs w:val="24"/>
                <w:highlight w:val="yellow"/>
              </w:rPr>
            </w:pPr>
          </w:p>
        </w:tc>
        <w:tc>
          <w:tcPr>
            <w:tcW w:w="472" w:type="dxa"/>
            <w:vAlign w:val="center"/>
          </w:tcPr>
          <w:p>
            <w:pPr>
              <w:autoSpaceDE w:val="0"/>
              <w:autoSpaceDN w:val="0"/>
              <w:spacing w:line="340" w:lineRule="exact"/>
              <w:jc w:val="center"/>
              <w:rPr>
                <w:rFonts w:ascii="宋体" w:hAnsi="宋体" w:cs="宋体"/>
                <w:sz w:val="24"/>
                <w:szCs w:val="24"/>
              </w:rPr>
            </w:pPr>
            <w:r>
              <w:rPr>
                <w:rFonts w:hint="eastAsia" w:ascii="宋体" w:hAnsi="宋体" w:cs="宋体"/>
                <w:sz w:val="24"/>
                <w:szCs w:val="24"/>
              </w:rPr>
              <w:t>5</w:t>
            </w:r>
          </w:p>
        </w:tc>
        <w:tc>
          <w:tcPr>
            <w:tcW w:w="6889" w:type="dxa"/>
            <w:vAlign w:val="center"/>
          </w:tcPr>
          <w:p>
            <w:pPr>
              <w:jc w:val="left"/>
              <w:rPr>
                <w:rFonts w:ascii="宋体" w:hAnsi="宋体" w:cs="宋体"/>
                <w:sz w:val="24"/>
                <w:szCs w:val="24"/>
              </w:rPr>
            </w:pPr>
            <w:r>
              <w:rPr>
                <w:rFonts w:hint="eastAsia" w:ascii="宋体" w:hAnsi="宋体" w:cs="宋体"/>
                <w:sz w:val="24"/>
                <w:szCs w:val="24"/>
              </w:rPr>
              <w:t>投标文件是否附有采购人不能接受的条件。</w:t>
            </w:r>
          </w:p>
        </w:tc>
        <w:tc>
          <w:tcPr>
            <w:tcW w:w="799" w:type="dxa"/>
          </w:tcPr>
          <w:p>
            <w:pPr>
              <w:autoSpaceDE w:val="0"/>
              <w:autoSpaceDN w:val="0"/>
              <w:spacing w:line="340" w:lineRule="exact"/>
              <w:jc w:val="left"/>
              <w:rPr>
                <w:rFonts w:ascii="宋体" w:hAnsi="宋体" w:cs="宋体"/>
                <w:sz w:val="24"/>
                <w:szCs w:val="24"/>
                <w:highlight w:val="yellow"/>
              </w:rPr>
            </w:pPr>
          </w:p>
        </w:tc>
        <w:tc>
          <w:tcPr>
            <w:tcW w:w="882" w:type="dxa"/>
          </w:tcPr>
          <w:p>
            <w:pPr>
              <w:autoSpaceDE w:val="0"/>
              <w:autoSpaceDN w:val="0"/>
              <w:spacing w:line="340" w:lineRule="exact"/>
              <w:jc w:val="left"/>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9559" w:type="dxa"/>
            <w:gridSpan w:val="5"/>
            <w:vAlign w:val="center"/>
          </w:tcPr>
          <w:p>
            <w:pPr>
              <w:autoSpaceDE w:val="0"/>
              <w:autoSpaceDN w:val="0"/>
              <w:spacing w:line="240" w:lineRule="atLeast"/>
              <w:jc w:val="center"/>
              <w:rPr>
                <w:rFonts w:ascii="宋体" w:hAnsi="宋体" w:cs="宋体"/>
                <w:b/>
                <w:sz w:val="24"/>
                <w:szCs w:val="24"/>
                <w:highlight w:val="yellow"/>
              </w:rPr>
            </w:pPr>
            <w:r>
              <w:rPr>
                <w:rFonts w:hint="eastAsia" w:ascii="宋体" w:hAnsi="宋体" w:cs="宋体"/>
                <w:b/>
                <w:sz w:val="24"/>
                <w:szCs w:val="24"/>
              </w:rPr>
              <w:t>以上有一项未通过的投标人不得进入下阶段评审</w:t>
            </w:r>
          </w:p>
        </w:tc>
      </w:tr>
    </w:tbl>
    <w:p>
      <w:pPr>
        <w:pStyle w:val="21"/>
        <w:rPr>
          <w:rFonts w:ascii="仿宋" w:hAnsi="仿宋" w:eastAsia="仿宋" w:cs="仿宋"/>
          <w:b/>
          <w:bCs/>
          <w:sz w:val="24"/>
          <w:szCs w:val="24"/>
          <w:highlight w:val="yellow"/>
        </w:rPr>
      </w:pPr>
    </w:p>
    <w:p>
      <w:pPr>
        <w:pStyle w:val="21"/>
        <w:rPr>
          <w:rFonts w:ascii="仿宋" w:hAnsi="仿宋" w:eastAsia="仿宋" w:cs="仿宋"/>
          <w:b/>
          <w:bCs/>
          <w:sz w:val="24"/>
          <w:szCs w:val="24"/>
          <w:highlight w:val="yellow"/>
        </w:rPr>
      </w:pP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81" w:name="_Toc55778709"/>
      <w:bookmarkStart w:id="182" w:name="_Toc24582"/>
      <w:bookmarkStart w:id="183" w:name="_Toc27075"/>
      <w:bookmarkStart w:id="184" w:name="_Toc27135"/>
      <w:bookmarkStart w:id="185" w:name="_Toc23646"/>
      <w:r>
        <w:rPr>
          <w:rFonts w:hint="eastAsia" w:ascii="仿宋" w:hAnsi="仿宋" w:eastAsia="仿宋" w:cs="仿宋"/>
          <w:b/>
          <w:bCs/>
          <w:kern w:val="44"/>
          <w:sz w:val="24"/>
          <w:szCs w:val="24"/>
        </w:rPr>
        <w:t>详细评审</w:t>
      </w:r>
      <w:bookmarkEnd w:id="181"/>
      <w:bookmarkEnd w:id="182"/>
      <w:bookmarkEnd w:id="183"/>
      <w:bookmarkEnd w:id="184"/>
      <w:bookmarkEnd w:id="185"/>
    </w:p>
    <w:p>
      <w:pPr>
        <w:numPr>
          <w:ilvl w:val="1"/>
          <w:numId w:val="32"/>
        </w:numPr>
        <w:spacing w:line="360" w:lineRule="exact"/>
        <w:rPr>
          <w:rFonts w:ascii="仿宋" w:hAnsi="仿宋" w:eastAsia="仿宋" w:cs="仿宋"/>
          <w:sz w:val="24"/>
          <w:szCs w:val="24"/>
        </w:rPr>
      </w:pPr>
      <w:r>
        <w:rPr>
          <w:rFonts w:hint="eastAsia" w:ascii="仿宋" w:hAnsi="仿宋" w:eastAsia="仿宋" w:cs="仿宋"/>
          <w:sz w:val="24"/>
          <w:szCs w:val="24"/>
        </w:rPr>
        <w:t>经符合性审查合格的投标文件，评标委员会将根据招标文件确定的评标方法和标准，对其技术部分和商务部分作进一步的比较和评价。</w:t>
      </w:r>
    </w:p>
    <w:p>
      <w:pPr>
        <w:numPr>
          <w:ilvl w:val="1"/>
          <w:numId w:val="32"/>
        </w:numPr>
        <w:spacing w:line="360" w:lineRule="exact"/>
        <w:rPr>
          <w:rFonts w:ascii="仿宋" w:hAnsi="仿宋" w:eastAsia="仿宋" w:cs="仿宋"/>
          <w:sz w:val="24"/>
          <w:szCs w:val="24"/>
        </w:rPr>
      </w:pPr>
      <w:r>
        <w:rPr>
          <w:rFonts w:hint="eastAsia" w:ascii="仿宋" w:hAnsi="仿宋" w:eastAsia="仿宋" w:cs="仿宋"/>
          <w:sz w:val="24"/>
          <w:szCs w:val="24"/>
        </w:rPr>
        <w:t>综合评分法，是指投标文件满足招标文件全部实质性要求，且按照评审因素的量化指标评审得分最高的投标人为中标候选人的评标方法，评标严格按照招标文件的要求和条件进行，详细评标标准见《评分细则》。</w:t>
      </w:r>
    </w:p>
    <w:p>
      <w:pPr>
        <w:pStyle w:val="3"/>
        <w:spacing w:line="240" w:lineRule="auto"/>
        <w:jc w:val="left"/>
        <w:rPr>
          <w:rStyle w:val="66"/>
          <w:rFonts w:ascii="仿宋" w:hAnsi="仿宋" w:eastAsia="仿宋" w:cs="仿宋"/>
          <w:bCs w:val="0"/>
          <w:sz w:val="24"/>
          <w:szCs w:val="24"/>
        </w:rPr>
      </w:pPr>
      <w:bookmarkStart w:id="186" w:name="_Toc12444"/>
      <w:r>
        <w:rPr>
          <w:rStyle w:val="66"/>
          <w:rFonts w:hint="eastAsia" w:ascii="仿宋" w:hAnsi="仿宋" w:eastAsia="仿宋" w:cs="仿宋"/>
          <w:bCs w:val="0"/>
          <w:sz w:val="24"/>
          <w:szCs w:val="24"/>
        </w:rPr>
        <w:t>评 分 细 则</w:t>
      </w:r>
      <w:bookmarkEnd w:id="186"/>
    </w:p>
    <w:tbl>
      <w:tblPr>
        <w:tblStyle w:val="29"/>
        <w:tblW w:w="5087" w:type="pct"/>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108"/>
        <w:gridCol w:w="6172"/>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557" w:type="pct"/>
            <w:vAlign w:val="center"/>
          </w:tcPr>
          <w:p>
            <w:pPr>
              <w:spacing w:before="50" w:after="50"/>
              <w:jc w:val="center"/>
              <w:rPr>
                <w:rFonts w:ascii="宋体" w:hAnsi="宋体" w:cs="宋体"/>
                <w:b/>
                <w:sz w:val="24"/>
                <w:szCs w:val="24"/>
              </w:rPr>
            </w:pPr>
            <w:r>
              <w:rPr>
                <w:rFonts w:hint="eastAsia" w:ascii="宋体" w:hAnsi="宋体" w:cs="宋体"/>
                <w:b/>
                <w:sz w:val="24"/>
                <w:szCs w:val="24"/>
              </w:rPr>
              <w:t>评标</w:t>
            </w:r>
          </w:p>
          <w:p>
            <w:pPr>
              <w:spacing w:before="50" w:after="50"/>
              <w:jc w:val="center"/>
              <w:rPr>
                <w:rFonts w:ascii="宋体" w:hAnsi="宋体" w:cs="宋体"/>
                <w:b/>
                <w:sz w:val="24"/>
                <w:szCs w:val="24"/>
              </w:rPr>
            </w:pPr>
            <w:r>
              <w:rPr>
                <w:rFonts w:hint="eastAsia" w:ascii="宋体" w:hAnsi="宋体" w:cs="宋体"/>
                <w:b/>
                <w:sz w:val="24"/>
                <w:szCs w:val="24"/>
              </w:rPr>
              <w:t>指标</w:t>
            </w:r>
          </w:p>
        </w:tc>
        <w:tc>
          <w:tcPr>
            <w:tcW w:w="3851" w:type="pct"/>
            <w:gridSpan w:val="2"/>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评议内容</w:t>
            </w:r>
          </w:p>
        </w:tc>
        <w:tc>
          <w:tcPr>
            <w:tcW w:w="590" w:type="pct"/>
            <w:tcBorders>
              <w:right w:val="single" w:color="auto" w:sz="4" w:space="0"/>
            </w:tcBorders>
            <w:vAlign w:val="center"/>
          </w:tcPr>
          <w:p>
            <w:pPr>
              <w:spacing w:before="50" w:after="50"/>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trPr>
        <w:tc>
          <w:tcPr>
            <w:tcW w:w="557" w:type="pct"/>
            <w:vAlign w:val="center"/>
          </w:tcPr>
          <w:p>
            <w:pPr>
              <w:jc w:val="center"/>
              <w:rPr>
                <w:rFonts w:ascii="宋体" w:hAnsi="宋体" w:cs="宋体"/>
                <w:b/>
                <w:sz w:val="24"/>
                <w:szCs w:val="24"/>
              </w:rPr>
            </w:pPr>
            <w:r>
              <w:rPr>
                <w:rFonts w:hint="eastAsia" w:ascii="宋体" w:hAnsi="宋体" w:cs="宋体"/>
                <w:b/>
                <w:sz w:val="24"/>
                <w:szCs w:val="24"/>
              </w:rPr>
              <w:t>报价得分（10分）</w:t>
            </w:r>
          </w:p>
        </w:tc>
        <w:tc>
          <w:tcPr>
            <w:tcW w:w="3851" w:type="pct"/>
            <w:gridSpan w:val="2"/>
            <w:tcBorders>
              <w:right w:val="single" w:color="auto" w:sz="4" w:space="0"/>
            </w:tcBorders>
            <w:vAlign w:val="center"/>
          </w:tcPr>
          <w:p>
            <w:pPr>
              <w:spacing w:before="50" w:after="50"/>
              <w:jc w:val="left"/>
              <w:rPr>
                <w:rFonts w:ascii="宋体" w:hAnsi="宋体" w:cs="宋体"/>
                <w:sz w:val="24"/>
                <w:szCs w:val="24"/>
              </w:rPr>
            </w:pPr>
            <w:r>
              <w:rPr>
                <w:rFonts w:hint="eastAsia" w:ascii="宋体" w:hAnsi="宋体" w:cs="宋体"/>
                <w:sz w:val="24"/>
                <w:szCs w:val="24"/>
              </w:rPr>
              <w:t>评标基准价＝有效投标最高下浮率（有效投标下浮率为通过初步审查的供应商最终下浮率）</w:t>
            </w:r>
          </w:p>
          <w:p>
            <w:pPr>
              <w:spacing w:before="50" w:after="50"/>
              <w:jc w:val="left"/>
              <w:rPr>
                <w:rFonts w:ascii="宋体" w:hAnsi="宋体" w:cs="宋体"/>
                <w:sz w:val="24"/>
                <w:szCs w:val="24"/>
              </w:rPr>
            </w:pPr>
            <w:r>
              <w:rPr>
                <w:rFonts w:hint="eastAsia" w:ascii="宋体" w:hAnsi="宋体" w:cs="宋体"/>
                <w:sz w:val="24"/>
                <w:szCs w:val="24"/>
              </w:rPr>
              <w:t>投标下浮率得分＝（1-基准价）/（1-有效投标下浮率）×标准分值</w:t>
            </w:r>
          </w:p>
          <w:p>
            <w:pPr>
              <w:spacing w:before="50" w:after="50"/>
              <w:jc w:val="left"/>
              <w:rPr>
                <w:rFonts w:ascii="宋体" w:hAnsi="宋体" w:cs="宋体"/>
                <w:sz w:val="24"/>
                <w:szCs w:val="24"/>
              </w:rPr>
            </w:pPr>
            <w:r>
              <w:rPr>
                <w:rFonts w:hint="eastAsia" w:ascii="宋体" w:hAnsi="宋体" w:cs="宋体"/>
                <w:sz w:val="24"/>
                <w:szCs w:val="24"/>
              </w:rPr>
              <w:t>注：供应商的下浮率明显低于其他通过符合性审查供应商的下浮率，有可能影响产品质量或者不能诚信履约的，应当要求其在评标现场合理的时间内提供书面说明，必要时提交相关证明材料；供应商不能证明其报价下浮率合理性的，评标委员会应当将其作为无效投标处理。</w:t>
            </w:r>
          </w:p>
          <w:p>
            <w:pPr>
              <w:spacing w:before="50" w:after="50"/>
              <w:jc w:val="left"/>
              <w:rPr>
                <w:rFonts w:ascii="宋体" w:hAnsi="宋体" w:cs="宋体"/>
                <w:sz w:val="24"/>
                <w:szCs w:val="24"/>
              </w:rPr>
            </w:pPr>
            <w:r>
              <w:rPr>
                <w:rFonts w:hint="eastAsia" w:ascii="宋体" w:hAnsi="宋体" w:cs="宋体"/>
                <w:sz w:val="24"/>
                <w:szCs w:val="24"/>
              </w:rPr>
              <w:t>根据新财购〔2022〕22号文，对小型和微型企业的产品价格给予10%的扣除，用扣除后的价格参与评审。（投标人为中小企业的，需提供《中小企业声明函》等证明文件）。</w:t>
            </w:r>
          </w:p>
          <w:p>
            <w:pPr>
              <w:spacing w:before="50" w:after="50"/>
              <w:jc w:val="left"/>
            </w:pPr>
            <w:r>
              <w:rPr>
                <w:rFonts w:hint="eastAsia" w:ascii="宋体" w:hAnsi="宋体" w:cs="宋体"/>
                <w:sz w:val="24"/>
                <w:szCs w:val="24"/>
              </w:rPr>
              <w:t xml:space="preserve">备注：计算综合评分时，如有小数，应保留两位小数，第三位及以后数字四舍五入。 </w:t>
            </w:r>
          </w:p>
        </w:tc>
        <w:tc>
          <w:tcPr>
            <w:tcW w:w="590" w:type="pct"/>
            <w:tcBorders>
              <w:right w:val="single" w:color="auto" w:sz="4" w:space="0"/>
            </w:tcBorders>
            <w:vAlign w:val="center"/>
          </w:tcPr>
          <w:p>
            <w:pPr>
              <w:spacing w:before="50" w:after="50"/>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trPr>
        <w:tc>
          <w:tcPr>
            <w:tcW w:w="557" w:type="pct"/>
            <w:vMerge w:val="restart"/>
            <w:vAlign w:val="center"/>
          </w:tcPr>
          <w:p>
            <w:pPr>
              <w:jc w:val="center"/>
              <w:rPr>
                <w:rFonts w:ascii="宋体" w:hAnsi="宋体" w:cs="宋体"/>
                <w:b/>
                <w:sz w:val="24"/>
                <w:szCs w:val="24"/>
              </w:rPr>
            </w:pPr>
            <w:r>
              <w:rPr>
                <w:rFonts w:hint="eastAsia" w:ascii="宋体" w:hAnsi="宋体" w:cs="宋体"/>
                <w:b/>
                <w:sz w:val="24"/>
                <w:szCs w:val="24"/>
              </w:rPr>
              <w:t>商</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技</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术</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评</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审</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（90分）</w:t>
            </w:r>
          </w:p>
        </w:tc>
        <w:tc>
          <w:tcPr>
            <w:tcW w:w="586" w:type="pct"/>
            <w:vMerge w:val="restart"/>
            <w:vAlign w:val="center"/>
          </w:tcPr>
          <w:p>
            <w:pPr>
              <w:spacing w:before="50" w:after="50"/>
              <w:jc w:val="center"/>
              <w:rPr>
                <w:rFonts w:ascii="宋体" w:hAnsi="宋体" w:cs="宋体"/>
                <w:sz w:val="24"/>
                <w:szCs w:val="24"/>
              </w:rPr>
            </w:pPr>
            <w:r>
              <w:rPr>
                <w:rFonts w:hint="eastAsia" w:ascii="宋体" w:hAnsi="宋体" w:cs="宋体"/>
                <w:sz w:val="24"/>
                <w:szCs w:val="24"/>
              </w:rPr>
              <w:t>商务部分（20分）</w:t>
            </w:r>
          </w:p>
        </w:tc>
        <w:tc>
          <w:tcPr>
            <w:tcW w:w="3265" w:type="pct"/>
          </w:tcPr>
          <w:p>
            <w:pPr>
              <w:spacing w:before="50" w:after="50"/>
              <w:jc w:val="left"/>
              <w:rPr>
                <w:rFonts w:ascii="宋体" w:hAnsi="宋体" w:cs="宋体"/>
                <w:sz w:val="24"/>
                <w:szCs w:val="24"/>
              </w:rPr>
            </w:pPr>
            <w:r>
              <w:rPr>
                <w:rFonts w:hint="eastAsia" w:ascii="宋体" w:hAnsi="宋体" w:cs="宋体"/>
                <w:sz w:val="24"/>
                <w:szCs w:val="24"/>
              </w:rPr>
              <w:t>供应商自2020年至今已完成的类似项目业绩。每提供一项得3分， 最高得15分。需提供中标通知书或合同原件扫描件。</w:t>
            </w:r>
          </w:p>
        </w:tc>
        <w:tc>
          <w:tcPr>
            <w:tcW w:w="590"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557" w:type="pct"/>
            <w:vMerge w:val="continue"/>
            <w:vAlign w:val="center"/>
          </w:tcPr>
          <w:p>
            <w:pPr>
              <w:jc w:val="left"/>
              <w:rPr>
                <w:rFonts w:ascii="宋体" w:hAnsi="宋体" w:cs="宋体"/>
                <w:b/>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5" w:type="pct"/>
            <w:vAlign w:val="center"/>
          </w:tcPr>
          <w:p>
            <w:pPr>
              <w:spacing w:before="50" w:after="50"/>
              <w:jc w:val="left"/>
              <w:rPr>
                <w:rFonts w:ascii="宋体" w:hAnsi="宋体" w:cs="宋体"/>
                <w:color w:val="FF0000"/>
                <w:sz w:val="24"/>
                <w:szCs w:val="24"/>
              </w:rPr>
            </w:pPr>
            <w:r>
              <w:rPr>
                <w:rFonts w:hint="eastAsia" w:ascii="宋体" w:hAnsi="宋体" w:cs="宋体"/>
                <w:sz w:val="24"/>
                <w:szCs w:val="24"/>
              </w:rPr>
              <w:t>配备的人员的数量、技术能力、从业经验等因素进行综合评定，团队实力强，从业经验丰富得 5 分，团队实力强，从业经验良好得4分，团队实力一般，从业经验一般得3分，团队实力一般。</w:t>
            </w:r>
            <w:r>
              <w:rPr>
                <w:rFonts w:hint="eastAsia" w:ascii="宋体" w:hAnsi="宋体" w:cs="宋体"/>
                <w:color w:val="000000" w:themeColor="text1"/>
                <w:sz w:val="24"/>
                <w:szCs w:val="24"/>
                <w14:textFill>
                  <w14:solidFill>
                    <w14:schemeClr w14:val="tx1"/>
                  </w14:solidFill>
                </w14:textFill>
              </w:rPr>
              <w:t>（提供相关工作经历证明、相关证书等证明材料）</w:t>
            </w:r>
            <w:r>
              <w:rPr>
                <w:rFonts w:hint="eastAsia" w:ascii="宋体" w:hAnsi="宋体" w:cs="宋体"/>
                <w:sz w:val="24"/>
                <w:szCs w:val="24"/>
              </w:rPr>
              <w:t>未提供不得分。</w:t>
            </w:r>
          </w:p>
        </w:tc>
        <w:tc>
          <w:tcPr>
            <w:tcW w:w="590"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557" w:type="pct"/>
            <w:vMerge w:val="continue"/>
            <w:vAlign w:val="center"/>
          </w:tcPr>
          <w:p>
            <w:pPr>
              <w:jc w:val="left"/>
              <w:rPr>
                <w:rFonts w:ascii="宋体" w:hAnsi="宋体" w:cs="宋体"/>
                <w:b/>
                <w:sz w:val="24"/>
                <w:szCs w:val="24"/>
                <w:highlight w:val="yellow"/>
              </w:rPr>
            </w:pPr>
          </w:p>
        </w:tc>
        <w:tc>
          <w:tcPr>
            <w:tcW w:w="586" w:type="pct"/>
            <w:vMerge w:val="restart"/>
            <w:vAlign w:val="center"/>
          </w:tcPr>
          <w:p>
            <w:pPr>
              <w:jc w:val="center"/>
              <w:rPr>
                <w:rFonts w:ascii="宋体" w:hAnsi="宋体" w:cs="宋体"/>
                <w:sz w:val="24"/>
                <w:szCs w:val="24"/>
                <w:highlight w:val="yellow"/>
              </w:rPr>
            </w:pPr>
            <w:r>
              <w:rPr>
                <w:rFonts w:hint="eastAsia" w:ascii="宋体" w:hAnsi="宋体" w:cs="宋体"/>
                <w:sz w:val="24"/>
                <w:szCs w:val="24"/>
              </w:rPr>
              <w:t>技术部分（70分）</w:t>
            </w:r>
          </w:p>
        </w:tc>
        <w:tc>
          <w:tcPr>
            <w:tcW w:w="3265" w:type="pct"/>
            <w:vAlign w:val="center"/>
          </w:tcPr>
          <w:p>
            <w:pPr>
              <w:rPr>
                <w:rFonts w:ascii="宋体" w:hAnsi="宋体" w:cs="宋体"/>
                <w:sz w:val="24"/>
                <w:szCs w:val="24"/>
                <w:highlight w:val="yellow"/>
              </w:rPr>
            </w:pPr>
            <w:r>
              <w:rPr>
                <w:rFonts w:hint="eastAsia" w:ascii="宋体" w:hAnsi="宋体" w:cs="宋体"/>
                <w:sz w:val="24"/>
                <w:szCs w:val="24"/>
              </w:rPr>
              <w:t>有相应保鲜、冷冻运输车辆及人员配置等相应的设备技术能力及相关证明文件，得9-15分；有相应保鲜、冷冻运输车辆及人员配置，但车辆或人员配置较全，得3-8分；有相应保鲜、冷冻运输车辆及人员配置，但车辆或人员配置不全，得1-2分；未提供不得分。</w:t>
            </w:r>
          </w:p>
        </w:tc>
        <w:tc>
          <w:tcPr>
            <w:tcW w:w="590" w:type="pct"/>
            <w:tcBorders>
              <w:right w:val="single" w:color="auto" w:sz="4" w:space="0"/>
            </w:tcBorders>
            <w:vAlign w:val="center"/>
          </w:tcPr>
          <w:p>
            <w:pPr>
              <w:jc w:val="center"/>
              <w:rPr>
                <w:rFonts w:ascii="宋体" w:hAnsi="宋体" w:cs="宋体"/>
                <w:sz w:val="24"/>
                <w:szCs w:val="24"/>
                <w:highlight w:val="yellow"/>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557"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widowControl/>
              <w:jc w:val="center"/>
              <w:rPr>
                <w:rFonts w:ascii="宋体" w:hAnsi="宋体" w:cs="宋体"/>
                <w:sz w:val="24"/>
                <w:szCs w:val="24"/>
                <w:highlight w:val="yellow"/>
                <w:lang w:val="zh-CN"/>
              </w:rPr>
            </w:pPr>
          </w:p>
        </w:tc>
        <w:tc>
          <w:tcPr>
            <w:tcW w:w="3265" w:type="pct"/>
            <w:vAlign w:val="center"/>
          </w:tcPr>
          <w:p>
            <w:pPr>
              <w:jc w:val="left"/>
              <w:rPr>
                <w:rFonts w:ascii="宋体" w:hAnsi="宋体" w:cs="宋体"/>
                <w:sz w:val="24"/>
                <w:szCs w:val="24"/>
              </w:rPr>
            </w:pPr>
            <w:r>
              <w:rPr>
                <w:rFonts w:hint="eastAsia" w:ascii="宋体" w:hAnsi="宋体" w:cs="宋体"/>
                <w:sz w:val="24"/>
                <w:szCs w:val="24"/>
              </w:rPr>
              <w:t>人员、器具、设备、车间的清洗消毒设施齐全，得5-10分；人员、器具、设备、车间的清洗消毒设施不齐全，得1-4分；无清洗消毒设施不得分。</w:t>
            </w:r>
          </w:p>
        </w:tc>
        <w:tc>
          <w:tcPr>
            <w:tcW w:w="590" w:type="pct"/>
            <w:tcBorders>
              <w:right w:val="single" w:color="auto" w:sz="4" w:space="0"/>
            </w:tcBorders>
            <w:vAlign w:val="center"/>
          </w:tcPr>
          <w:p>
            <w:pPr>
              <w:jc w:val="center"/>
              <w:rPr>
                <w:rFonts w:ascii="宋体" w:hAnsi="宋体" w:cs="宋体"/>
                <w:color w:val="FF0000"/>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557"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widowControl/>
              <w:jc w:val="center"/>
              <w:rPr>
                <w:rFonts w:ascii="宋体" w:hAnsi="宋体" w:cs="宋体"/>
                <w:sz w:val="24"/>
                <w:szCs w:val="24"/>
                <w:highlight w:val="yellow"/>
                <w:lang w:val="zh-CN"/>
              </w:rPr>
            </w:pPr>
          </w:p>
        </w:tc>
        <w:tc>
          <w:tcPr>
            <w:tcW w:w="3265" w:type="pct"/>
            <w:vAlign w:val="center"/>
          </w:tcPr>
          <w:p>
            <w:pPr>
              <w:jc w:val="left"/>
              <w:rPr>
                <w:rFonts w:ascii="宋体" w:hAnsi="宋体" w:cs="宋体"/>
                <w:sz w:val="24"/>
                <w:szCs w:val="24"/>
              </w:rPr>
            </w:pPr>
            <w:r>
              <w:rPr>
                <w:rFonts w:hint="eastAsia" w:ascii="宋体" w:hAnsi="宋体" w:cs="宋体"/>
                <w:sz w:val="24"/>
                <w:szCs w:val="24"/>
              </w:rPr>
              <w:t>交货保证及组织方案，措施得当、约束力强，组织方案详细，得7-15分；措施一般、无约束力，组织方案一般，得1-6分；无措施，无组织方案不得分。</w:t>
            </w:r>
          </w:p>
        </w:tc>
        <w:tc>
          <w:tcPr>
            <w:tcW w:w="590"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557"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5" w:type="pct"/>
            <w:vAlign w:val="center"/>
          </w:tcPr>
          <w:p>
            <w:pPr>
              <w:jc w:val="left"/>
              <w:rPr>
                <w:rFonts w:ascii="宋体" w:hAnsi="宋体" w:cs="宋体"/>
                <w:sz w:val="24"/>
                <w:szCs w:val="24"/>
              </w:rPr>
            </w:pPr>
            <w:r>
              <w:rPr>
                <w:rFonts w:hint="eastAsia" w:ascii="宋体" w:hAnsi="宋体" w:cs="宋体"/>
                <w:sz w:val="24"/>
                <w:szCs w:val="24"/>
              </w:rPr>
              <w:t>服务承诺最为合理可行完整，得9-15分;服务承诺基本可行但有瑕疵，得3-8分;服务承诺可行性较低，得1-2分。未提供不得分。</w:t>
            </w:r>
          </w:p>
        </w:tc>
        <w:tc>
          <w:tcPr>
            <w:tcW w:w="590"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557" w:type="pct"/>
            <w:vMerge w:val="continue"/>
            <w:vAlign w:val="center"/>
          </w:tcPr>
          <w:p>
            <w:pPr>
              <w:jc w:val="left"/>
              <w:rPr>
                <w:rFonts w:ascii="宋体" w:hAnsi="宋体" w:cs="宋体"/>
                <w:b/>
                <w:color w:val="FF0000"/>
                <w:sz w:val="24"/>
                <w:szCs w:val="24"/>
                <w:highlight w:val="yellow"/>
              </w:rPr>
            </w:pPr>
          </w:p>
        </w:tc>
        <w:tc>
          <w:tcPr>
            <w:tcW w:w="586" w:type="pct"/>
            <w:vMerge w:val="continue"/>
            <w:vAlign w:val="center"/>
          </w:tcPr>
          <w:p>
            <w:pPr>
              <w:jc w:val="center"/>
              <w:rPr>
                <w:rFonts w:ascii="宋体" w:hAnsi="宋体" w:cs="宋体"/>
                <w:sz w:val="24"/>
                <w:szCs w:val="24"/>
                <w:highlight w:val="yellow"/>
              </w:rPr>
            </w:pPr>
          </w:p>
        </w:tc>
        <w:tc>
          <w:tcPr>
            <w:tcW w:w="3265" w:type="pct"/>
            <w:vAlign w:val="center"/>
          </w:tcPr>
          <w:p>
            <w:pPr>
              <w:jc w:val="left"/>
              <w:rPr>
                <w:rFonts w:ascii="宋体" w:hAnsi="宋体" w:cs="宋体"/>
                <w:sz w:val="24"/>
                <w:szCs w:val="24"/>
              </w:rPr>
            </w:pPr>
            <w:r>
              <w:rPr>
                <w:rFonts w:hint="eastAsia" w:ascii="宋体" w:hAnsi="宋体" w:cs="宋体"/>
                <w:sz w:val="24"/>
                <w:szCs w:val="24"/>
              </w:rPr>
              <w:t>提供相应的货物供应仓储、加工、冷藏等相应的设备技术能力及相关证明文件，且能满足本次采购加工、分拨的设备要求，得8-15分；未全面提供相应的供货供应仓储、加工、冷藏等相应的技术能力及相关证明文件，得1-7分；未提供相应的货物供应仓储、加工、冷藏等相应的技术能力及证明文件不得分。</w:t>
            </w:r>
          </w:p>
        </w:tc>
        <w:tc>
          <w:tcPr>
            <w:tcW w:w="590" w:type="pct"/>
            <w:tcBorders>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4"/>
            <w:tcBorders>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备注：</w:t>
            </w:r>
          </w:p>
          <w:p>
            <w:pPr>
              <w:jc w:val="left"/>
              <w:rPr>
                <w:rFonts w:ascii="宋体" w:hAnsi="宋体" w:cs="宋体"/>
                <w:sz w:val="24"/>
                <w:szCs w:val="24"/>
              </w:rPr>
            </w:pPr>
            <w:r>
              <w:rPr>
                <w:rFonts w:hint="eastAsia" w:ascii="宋体" w:hAnsi="宋体" w:cs="宋体"/>
                <w:sz w:val="24"/>
                <w:szCs w:val="24"/>
              </w:rPr>
              <w:t xml:space="preserve">1、专家根据投标文件中投标人提供的资料在分值范围内进行评议； </w:t>
            </w:r>
          </w:p>
          <w:p>
            <w:pPr>
              <w:jc w:val="left"/>
              <w:rPr>
                <w:rFonts w:ascii="宋体" w:hAnsi="宋体" w:cs="宋体"/>
                <w:sz w:val="24"/>
                <w:szCs w:val="24"/>
              </w:rPr>
            </w:pPr>
            <w:r>
              <w:rPr>
                <w:rFonts w:hint="eastAsia" w:ascii="宋体" w:hAnsi="宋体" w:cs="宋体"/>
                <w:sz w:val="24"/>
                <w:szCs w:val="24"/>
              </w:rPr>
              <w:t>2、得分保留两位小数。</w:t>
            </w:r>
          </w:p>
        </w:tc>
      </w:tr>
    </w:tbl>
    <w:p>
      <w:pPr>
        <w:pStyle w:val="21"/>
        <w:rPr>
          <w:rFonts w:ascii="仿宋" w:hAnsi="仿宋" w:eastAsia="仿宋" w:cs="仿宋"/>
          <w:b/>
          <w:bCs/>
          <w:sz w:val="24"/>
          <w:szCs w:val="24"/>
        </w:rPr>
      </w:pPr>
    </w:p>
    <w:p>
      <w:pPr>
        <w:numPr>
          <w:ilvl w:val="1"/>
          <w:numId w:val="32"/>
        </w:numPr>
        <w:spacing w:line="360" w:lineRule="auto"/>
        <w:rPr>
          <w:rFonts w:ascii="仿宋" w:hAnsi="仿宋" w:eastAsia="仿宋" w:cs="仿宋"/>
          <w:sz w:val="24"/>
          <w:szCs w:val="24"/>
        </w:rPr>
      </w:pPr>
      <w:r>
        <w:rPr>
          <w:rFonts w:hint="eastAsia" w:ascii="仿宋" w:hAnsi="仿宋" w:eastAsia="仿宋" w:cs="仿宋"/>
          <w:b/>
          <w:bCs/>
          <w:sz w:val="24"/>
          <w:szCs w:val="24"/>
        </w:rPr>
        <w:t>当评标小组认为通过符合性审查的投标人的报价明显低于其他通过符合性审查投标人的报价，有可能影响服务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投标人按无效投标处理）。</w:t>
      </w:r>
    </w:p>
    <w:p>
      <w:pPr>
        <w:numPr>
          <w:ilvl w:val="1"/>
          <w:numId w:val="32"/>
        </w:numPr>
        <w:spacing w:line="360" w:lineRule="auto"/>
        <w:rPr>
          <w:rFonts w:ascii="仿宋" w:hAnsi="仿宋" w:eastAsia="仿宋" w:cs="仿宋"/>
          <w:sz w:val="24"/>
          <w:szCs w:val="24"/>
        </w:rPr>
      </w:pPr>
      <w:r>
        <w:rPr>
          <w:rFonts w:hint="eastAsia" w:ascii="仿宋" w:hAnsi="仿宋" w:eastAsia="仿宋" w:cs="仿宋"/>
          <w:b/>
          <w:bCs/>
          <w:sz w:val="24"/>
          <w:szCs w:val="24"/>
        </w:rPr>
        <w:t>投标文件报价出现前后不一致的，除招标文件另有规定外，按照下列规定修正：</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投标文件中报价一览表内容与投标文件中明细表内容不一致的，以报价一览表为准；</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大写金额和小写金额不一致的，以大写金额为准；</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单价金额小数点或百分比有明显错位的，以开标一览表的总价为准，并修改单价；</w:t>
      </w:r>
    </w:p>
    <w:p>
      <w:pPr>
        <w:numPr>
          <w:ilvl w:val="2"/>
          <w:numId w:val="33"/>
        </w:numPr>
        <w:spacing w:line="360" w:lineRule="auto"/>
        <w:rPr>
          <w:rFonts w:ascii="仿宋" w:hAnsi="仿宋" w:eastAsia="仿宋" w:cs="仿宋"/>
          <w:sz w:val="24"/>
          <w:szCs w:val="24"/>
        </w:rPr>
      </w:pPr>
      <w:r>
        <w:rPr>
          <w:rFonts w:hint="eastAsia" w:ascii="仿宋" w:hAnsi="仿宋" w:eastAsia="仿宋" w:cs="仿宋"/>
          <w:sz w:val="24"/>
          <w:szCs w:val="24"/>
        </w:rPr>
        <w:t>总价金额与按单价汇总金额不一致的，以单价金额计算结果为准。</w:t>
      </w:r>
    </w:p>
    <w:p>
      <w:pPr>
        <w:numPr>
          <w:ilvl w:val="1"/>
          <w:numId w:val="32"/>
        </w:numPr>
        <w:spacing w:line="360" w:lineRule="auto"/>
        <w:rPr>
          <w:rFonts w:ascii="仿宋" w:hAnsi="仿宋" w:eastAsia="仿宋" w:cs="仿宋"/>
          <w:bCs/>
          <w:sz w:val="24"/>
          <w:szCs w:val="24"/>
        </w:rPr>
      </w:pPr>
      <w:r>
        <w:rPr>
          <w:rFonts w:hint="eastAsia" w:ascii="仿宋" w:hAnsi="仿宋" w:eastAsia="仿宋" w:cs="仿宋"/>
          <w:bCs/>
          <w:sz w:val="24"/>
          <w:szCs w:val="24"/>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pPr>
        <w:numPr>
          <w:ilvl w:val="1"/>
          <w:numId w:val="32"/>
        </w:numPr>
        <w:spacing w:line="360" w:lineRule="auto"/>
        <w:rPr>
          <w:rFonts w:ascii="仿宋" w:hAnsi="仿宋" w:eastAsia="仿宋" w:cs="仿宋"/>
          <w:bCs/>
          <w:sz w:val="24"/>
          <w:szCs w:val="24"/>
        </w:rPr>
      </w:pPr>
      <w:r>
        <w:rPr>
          <w:rFonts w:hint="eastAsia" w:ascii="仿宋" w:hAnsi="仿宋" w:eastAsia="仿宋" w:cs="仿宋"/>
          <w:bCs/>
          <w:sz w:val="24"/>
          <w:szCs w:val="24"/>
        </w:rPr>
        <w:t>对数量的评审：以《采购内容》所示数量为准；《采购内容》未明示的，由评标小组以其专业知识判断，必要时参考投标人的澄清文件决定。</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对小型或微型企业的扶持：</w:t>
      </w:r>
    </w:p>
    <w:p>
      <w:pPr>
        <w:pStyle w:val="12"/>
        <w:ind w:left="899" w:leftChars="428" w:firstLine="0" w:firstLineChars="0"/>
        <w:rPr>
          <w:rFonts w:ascii="仿宋" w:hAnsi="仿宋" w:eastAsia="仿宋" w:cs="仿宋"/>
          <w:szCs w:val="24"/>
        </w:rPr>
      </w:pPr>
      <w:r>
        <w:rPr>
          <w:rFonts w:hint="eastAsia" w:ascii="仿宋" w:hAnsi="仿宋" w:eastAsia="仿宋" w:cs="仿宋"/>
          <w:szCs w:val="24"/>
        </w:rPr>
        <w:t>（1）根据财政部、工业和信息化部制定了《政府采购促进中小企业发展管理办法》的规定，对小型或微型企业产品的价格给予一定比例扣除，用扣除后的价格参与评审本条款所称小型或微型企业应当符合以下条件：符合小型或微型企业划分标准，并且提供本企业承担的服务。投标人认为其为小型或微型企业的应提交《中小企业声明函》格式见附件2，并明确企业类型，否则评审时不能享受相应的价格扣除。提供本企业制造的货物、承担的工程或者服务，或者提供其他小型或微型企业的制造的货物。</w:t>
      </w:r>
    </w:p>
    <w:p>
      <w:pPr>
        <w:pStyle w:val="12"/>
        <w:ind w:left="899" w:leftChars="428" w:firstLine="0" w:firstLineChars="0"/>
        <w:rPr>
          <w:rFonts w:ascii="仿宋" w:hAnsi="仿宋" w:eastAsia="仿宋" w:cs="仿宋"/>
          <w:szCs w:val="24"/>
        </w:rPr>
      </w:pPr>
      <w:r>
        <w:rPr>
          <w:rFonts w:hint="eastAsia" w:ascii="仿宋" w:hAnsi="仿宋" w:eastAsia="仿宋" w:cs="仿宋"/>
          <w:szCs w:val="24"/>
        </w:rPr>
        <w:t>（2）投标人为小型、微型企业且投标产品含小型、微型企业产品时，其小型、微型企业产品的价格给予10%的扣除，即评标价=投标报价-小型、微型企业产品投标报价×10%。</w:t>
      </w:r>
    </w:p>
    <w:p>
      <w:pPr>
        <w:pStyle w:val="12"/>
        <w:ind w:left="899" w:leftChars="428" w:firstLine="0" w:firstLineChars="0"/>
        <w:rPr>
          <w:rFonts w:ascii="仿宋" w:hAnsi="仿宋" w:eastAsia="仿宋" w:cs="仿宋"/>
          <w:szCs w:val="24"/>
        </w:rPr>
      </w:pPr>
      <w:r>
        <w:rPr>
          <w:rFonts w:hint="eastAsia" w:ascii="仿宋" w:hAnsi="仿宋" w:eastAsia="仿宋" w:cs="仿宋"/>
          <w:szCs w:val="24"/>
        </w:rPr>
        <w:t>（3）根据财政部《政府采购促进中小企业发展管理办法》（财库[2020]46号文）规定，在货物类采购项目中，投标人提供的货物既有中小企业制造货物，也有大型企业制造货物的，不享受中小企业扶持政策。</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监狱企业产品价格扣除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1）监狱企业视同小型、微型企业，按上述</w:t>
      </w:r>
      <w:r>
        <w:rPr>
          <w:rFonts w:hint="eastAsia" w:ascii="仿宋" w:hAnsi="仿宋" w:eastAsia="仿宋" w:cs="仿宋"/>
          <w:b/>
          <w:bCs/>
          <w:sz w:val="24"/>
          <w:szCs w:val="24"/>
        </w:rPr>
        <w:t>27.7条款</w:t>
      </w:r>
      <w:r>
        <w:rPr>
          <w:rFonts w:hint="eastAsia" w:ascii="仿宋" w:hAnsi="仿宋" w:eastAsia="仿宋" w:cs="仿宋"/>
          <w:sz w:val="24"/>
          <w:szCs w:val="24"/>
        </w:rPr>
        <w:t>享受评审中价格扣除。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left="907"/>
        <w:rPr>
          <w:rFonts w:ascii="仿宋" w:hAnsi="仿宋" w:eastAsia="仿宋" w:cs="仿宋"/>
          <w:sz w:val="24"/>
          <w:szCs w:val="24"/>
        </w:rPr>
      </w:pPr>
      <w:r>
        <w:rPr>
          <w:rFonts w:hint="eastAsia" w:ascii="仿宋" w:hAnsi="仿宋" w:eastAsia="仿宋" w:cs="仿宋"/>
          <w:sz w:val="24"/>
          <w:szCs w:val="24"/>
        </w:rPr>
        <w:t>3）监狱企业参加政府采购活动时，应当提供由省级以上监狱管理局、戒毒管理局（含新疆生产建设兵团）出具的属于监狱企业的证明文件，否则不予认可。</w:t>
      </w:r>
    </w:p>
    <w:p>
      <w:pPr>
        <w:numPr>
          <w:ilvl w:val="1"/>
          <w:numId w:val="32"/>
        </w:numPr>
        <w:spacing w:line="360" w:lineRule="auto"/>
        <w:rPr>
          <w:rFonts w:ascii="仿宋" w:hAnsi="仿宋" w:eastAsia="仿宋" w:cs="仿宋"/>
          <w:b/>
          <w:bCs/>
          <w:sz w:val="24"/>
          <w:szCs w:val="24"/>
        </w:rPr>
      </w:pPr>
      <w:r>
        <w:rPr>
          <w:rFonts w:hint="eastAsia" w:ascii="仿宋" w:hAnsi="仿宋" w:eastAsia="仿宋" w:cs="仿宋"/>
          <w:b/>
          <w:bCs/>
          <w:sz w:val="24"/>
          <w:szCs w:val="24"/>
        </w:rPr>
        <w:t>残疾人福利性单位产品价格扣除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1）残疾人福利性单位视同小型、微型企业，按上述</w:t>
      </w:r>
      <w:r>
        <w:rPr>
          <w:rFonts w:hint="eastAsia" w:ascii="仿宋" w:hAnsi="仿宋" w:eastAsia="仿宋" w:cs="仿宋"/>
          <w:b/>
          <w:bCs/>
          <w:sz w:val="24"/>
          <w:szCs w:val="24"/>
        </w:rPr>
        <w:t>27.7条款</w:t>
      </w:r>
      <w:r>
        <w:rPr>
          <w:rFonts w:hint="eastAsia" w:ascii="仿宋" w:hAnsi="仿宋" w:eastAsia="仿宋" w:cs="仿宋"/>
          <w:sz w:val="24"/>
          <w:szCs w:val="24"/>
        </w:rPr>
        <w:t>享受评审中价格扣除。</w:t>
      </w:r>
    </w:p>
    <w:p>
      <w:pPr>
        <w:spacing w:line="360" w:lineRule="auto"/>
        <w:ind w:left="907"/>
        <w:rPr>
          <w:rFonts w:ascii="仿宋" w:hAnsi="仿宋" w:eastAsia="仿宋" w:cs="仿宋"/>
          <w:sz w:val="24"/>
          <w:szCs w:val="24"/>
        </w:rPr>
      </w:pPr>
      <w:r>
        <w:rPr>
          <w:rFonts w:hint="eastAsia" w:ascii="仿宋" w:hAnsi="仿宋" w:eastAsia="仿宋" w:cs="仿宋"/>
          <w:sz w:val="24"/>
          <w:szCs w:val="24"/>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附件3），并对声明的真实性负责。一旦中标将在中标公告中公告其声明函，接受社会监督。投标人提供的《残疾人福利性单位声明函》与事实不符的，依照《中华人民共和国政府采购法》第七十七条第一款的规定追究法律责任。</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投标人同时为小型、微型企业、监狱企业、残疾人福利性单位任两种或以上情况的，评审中只享受一次价格扣除，不重复进行价格扣除。</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节能产品，指属于财政部、发展改革委发布的《节能产品政府采购品目清单》范围内，并具有国家确定的认证机构出具的、处于有效期之内的节能产品认证证书的产品。采用节能产品的，对报价中的节能产品金额给予价格扣除，扣除方法如下：节能产品金额占项目总金额的比重达到30%以上（含30%），扣除2%；节能产品金额占项目总金额的比重达到30%以下，扣除1%；属于强制采购节能产品的，不作价格扣除。</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环境标志产品，指属于财政部、生态环境部发布的《环境标志产品政府采购品目清单》范围内的，并具有国家确定的认证机构出具的、处于有效期之内的环境标志产品认证证书的产品。采用环境标志产品的，对报价中的环境标志产品金额给予价格扣除，扣除方法如下：环境标志产品金额占项目总金额的比重达到30%以上（含30%），扣除2%；环境标志产品金额占项目总金额的比重达到30%以下，扣除1%。</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评标价的确定：按上述条款校核修正后的价格为评标价。</w:t>
      </w:r>
    </w:p>
    <w:p>
      <w:pPr>
        <w:numPr>
          <w:ilvl w:val="1"/>
          <w:numId w:val="32"/>
        </w:numPr>
        <w:spacing w:line="360" w:lineRule="auto"/>
        <w:rPr>
          <w:rFonts w:ascii="仿宋" w:hAnsi="仿宋" w:eastAsia="仿宋" w:cs="仿宋"/>
          <w:sz w:val="24"/>
          <w:szCs w:val="24"/>
        </w:rPr>
      </w:pPr>
      <w:r>
        <w:rPr>
          <w:rFonts w:hint="eastAsia" w:ascii="仿宋" w:hAnsi="仿宋" w:eastAsia="仿宋" w:cs="仿宋"/>
          <w:sz w:val="24"/>
          <w:szCs w:val="24"/>
        </w:rPr>
        <w:t>评标小组成员对需要共同认定的事项存在争议的，应当按照少数服从多数的原则作出结论。持不同意见的评标小组成员应当在评标报告上签署不同意见及理由，否则视为同意评标报告。</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87" w:name="_Toc55778710"/>
      <w:bookmarkStart w:id="188" w:name="_Toc21033"/>
      <w:bookmarkStart w:id="189" w:name="_Toc31639"/>
      <w:bookmarkStart w:id="190" w:name="_Toc10625"/>
      <w:bookmarkStart w:id="191" w:name="_Toc31812"/>
      <w:r>
        <w:rPr>
          <w:rFonts w:hint="eastAsia" w:ascii="仿宋" w:hAnsi="仿宋" w:eastAsia="仿宋" w:cs="仿宋"/>
          <w:b/>
          <w:kern w:val="44"/>
          <w:sz w:val="24"/>
          <w:szCs w:val="24"/>
        </w:rPr>
        <w:t>投标文件的修正和澄清</w:t>
      </w:r>
      <w:bookmarkEnd w:id="187"/>
      <w:bookmarkEnd w:id="188"/>
      <w:bookmarkEnd w:id="189"/>
      <w:bookmarkEnd w:id="190"/>
      <w:bookmarkEnd w:id="191"/>
    </w:p>
    <w:p>
      <w:pPr>
        <w:numPr>
          <w:ilvl w:val="1"/>
          <w:numId w:val="34"/>
        </w:numPr>
        <w:spacing w:line="360" w:lineRule="auto"/>
        <w:rPr>
          <w:rFonts w:hAnsi="宋体"/>
          <w:color w:val="000000"/>
          <w:sz w:val="24"/>
          <w:szCs w:val="24"/>
        </w:rPr>
      </w:pPr>
      <w:bookmarkStart w:id="192" w:name="_Toc55778711"/>
      <w:r>
        <w:rPr>
          <w:rFonts w:hint="eastAsia" w:ascii="仿宋" w:hAnsi="仿宋" w:eastAsia="仿宋" w:cs="仿宋"/>
          <w:sz w:val="24"/>
          <w:szCs w:val="24"/>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93" w:name="_Toc3356"/>
      <w:bookmarkStart w:id="194" w:name="_Toc30970"/>
      <w:bookmarkStart w:id="195" w:name="_Toc12810"/>
      <w:bookmarkStart w:id="196" w:name="_Toc14816"/>
      <w:r>
        <w:rPr>
          <w:rFonts w:hint="eastAsia" w:ascii="仿宋" w:hAnsi="仿宋" w:eastAsia="仿宋" w:cs="仿宋"/>
          <w:b/>
          <w:bCs/>
          <w:kern w:val="44"/>
          <w:sz w:val="24"/>
          <w:szCs w:val="24"/>
        </w:rPr>
        <w:t>评标总得分统计及推荐</w:t>
      </w:r>
      <w:bookmarkEnd w:id="192"/>
      <w:bookmarkEnd w:id="193"/>
      <w:bookmarkEnd w:id="194"/>
      <w:bookmarkEnd w:id="195"/>
      <w:bookmarkEnd w:id="196"/>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评标过程中，不得去掉报价中的最高报价和最低报价。</w:t>
      </w:r>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评标小组各成员独立对每个投标人的投标文件进行评价，并汇总每个投标人的得分（评标总得分分值按四舍五入原则精确到小数点后两位）。</w:t>
      </w:r>
    </w:p>
    <w:p>
      <w:pPr>
        <w:numPr>
          <w:ilvl w:val="1"/>
          <w:numId w:val="35"/>
        </w:numPr>
        <w:spacing w:line="360" w:lineRule="auto"/>
        <w:rPr>
          <w:rFonts w:ascii="仿宋" w:hAnsi="仿宋" w:eastAsia="仿宋" w:cs="仿宋"/>
          <w:sz w:val="24"/>
          <w:szCs w:val="24"/>
        </w:rPr>
      </w:pPr>
      <w:r>
        <w:rPr>
          <w:rFonts w:hint="eastAsia" w:ascii="仿宋" w:hAnsi="仿宋" w:eastAsia="仿宋" w:cs="仿宋"/>
          <w:sz w:val="24"/>
          <w:szCs w:val="24"/>
        </w:rPr>
        <w:t>推荐中标候选人：评标小组成员独立对每个投标人分别评出技术、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197" w:name="_Toc23908"/>
      <w:bookmarkStart w:id="198" w:name="_Toc55778712"/>
      <w:bookmarkStart w:id="199" w:name="_Toc10277"/>
      <w:bookmarkStart w:id="200" w:name="_Toc22167"/>
      <w:bookmarkStart w:id="201" w:name="_Toc6179"/>
      <w:r>
        <w:rPr>
          <w:rFonts w:hint="eastAsia" w:ascii="仿宋" w:hAnsi="仿宋" w:eastAsia="仿宋" w:cs="仿宋"/>
          <w:b/>
          <w:kern w:val="44"/>
          <w:sz w:val="24"/>
          <w:szCs w:val="24"/>
        </w:rPr>
        <w:t>定标</w:t>
      </w:r>
      <w:bookmarkEnd w:id="197"/>
      <w:bookmarkEnd w:id="198"/>
      <w:bookmarkEnd w:id="199"/>
      <w:bookmarkEnd w:id="200"/>
      <w:bookmarkEnd w:id="201"/>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中标人拒绝与采购人签订合同的，采购人可以按照评审报告推荐的中标候选人名单排序，确定下一候选人为中标人，也可以重新开展政府采购活动。</w:t>
      </w:r>
    </w:p>
    <w:p>
      <w:pPr>
        <w:numPr>
          <w:ilvl w:val="1"/>
          <w:numId w:val="36"/>
        </w:numPr>
        <w:spacing w:line="360" w:lineRule="auto"/>
        <w:rPr>
          <w:rFonts w:ascii="仿宋" w:hAnsi="仿宋" w:eastAsia="仿宋" w:cs="仿宋"/>
          <w:sz w:val="24"/>
          <w:szCs w:val="24"/>
        </w:rPr>
      </w:pPr>
      <w:r>
        <w:rPr>
          <w:rFonts w:hint="eastAsia" w:ascii="仿宋" w:hAnsi="仿宋" w:eastAsia="仿宋" w:cs="仿宋"/>
          <w:sz w:val="24"/>
          <w:szCs w:val="24"/>
        </w:rPr>
        <w:t>中标人放弃中标或者中标资格被依法确认无效的，采购人可以按照排序从其他中标候选人中确定中标人或重新组织采购活动。</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02" w:name="_Toc55778713"/>
      <w:bookmarkStart w:id="203" w:name="_Toc14184"/>
      <w:bookmarkStart w:id="204" w:name="_Toc6845"/>
      <w:bookmarkStart w:id="205" w:name="_Toc31442"/>
      <w:bookmarkStart w:id="206" w:name="_Toc16602"/>
      <w:r>
        <w:rPr>
          <w:rFonts w:hint="eastAsia" w:ascii="仿宋" w:hAnsi="仿宋" w:eastAsia="仿宋" w:cs="仿宋"/>
          <w:b/>
          <w:bCs/>
          <w:kern w:val="44"/>
          <w:sz w:val="24"/>
          <w:szCs w:val="24"/>
        </w:rPr>
        <w:t>特别说明</w:t>
      </w:r>
      <w:bookmarkEnd w:id="202"/>
      <w:bookmarkEnd w:id="203"/>
      <w:bookmarkEnd w:id="204"/>
      <w:bookmarkEnd w:id="205"/>
      <w:bookmarkEnd w:id="206"/>
    </w:p>
    <w:p>
      <w:pPr>
        <w:numPr>
          <w:ilvl w:val="1"/>
          <w:numId w:val="37"/>
        </w:numPr>
        <w:spacing w:line="360" w:lineRule="auto"/>
        <w:rPr>
          <w:rFonts w:ascii="仿宋" w:hAnsi="仿宋" w:eastAsia="仿宋" w:cs="仿宋"/>
          <w:sz w:val="24"/>
          <w:szCs w:val="24"/>
        </w:rPr>
      </w:pPr>
      <w:r>
        <w:rPr>
          <w:rFonts w:hint="eastAsia" w:ascii="仿宋" w:hAnsi="仿宋" w:eastAsia="仿宋" w:cs="仿宋"/>
          <w:b/>
          <w:bCs/>
          <w:sz w:val="24"/>
          <w:szCs w:val="24"/>
        </w:rPr>
        <w:t>有下列情形之一的，视为投标人串通投标，其投标无效：</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不同投标人的投标文件由同一单位或者个人编制；</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不同投标人委托同一单位或者个人办理投标事宜；</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不同投标人的投标文件载明的项目管理成员或者联系人员为同一人；</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不同投标人的投标文件异常一致或者投标报价呈规律性差异；</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不同投标人的投标文件相互混装；</w:t>
      </w:r>
    </w:p>
    <w:p>
      <w:pPr>
        <w:numPr>
          <w:ilvl w:val="2"/>
          <w:numId w:val="38"/>
        </w:numPr>
        <w:spacing w:line="360" w:lineRule="auto"/>
        <w:rPr>
          <w:rFonts w:ascii="仿宋" w:hAnsi="仿宋" w:eastAsia="仿宋" w:cs="仿宋"/>
          <w:sz w:val="24"/>
          <w:szCs w:val="24"/>
        </w:rPr>
      </w:pPr>
      <w:r>
        <w:rPr>
          <w:rFonts w:hint="eastAsia" w:ascii="仿宋" w:hAnsi="仿宋" w:eastAsia="仿宋" w:cs="仿宋"/>
          <w:sz w:val="24"/>
          <w:szCs w:val="24"/>
        </w:rPr>
        <w:t>不同投标人的投标保证金从同一单位或者个人的账户转出。</w:t>
      </w:r>
    </w:p>
    <w:p>
      <w:pPr>
        <w:numPr>
          <w:ilvl w:val="1"/>
          <w:numId w:val="37"/>
        </w:numPr>
        <w:spacing w:line="360" w:lineRule="auto"/>
        <w:rPr>
          <w:rFonts w:ascii="仿宋" w:hAnsi="仿宋" w:eastAsia="仿宋" w:cs="仿宋"/>
          <w:sz w:val="24"/>
          <w:szCs w:val="24"/>
        </w:rPr>
      </w:pPr>
      <w:r>
        <w:rPr>
          <w:rFonts w:hint="eastAsia" w:ascii="仿宋" w:hAnsi="仿宋" w:eastAsia="仿宋" w:cs="仿宋"/>
          <w:b/>
          <w:bCs/>
          <w:sz w:val="24"/>
          <w:szCs w:val="24"/>
        </w:rPr>
        <w:t>投标人存在下列情况之一的，投标无效:</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未按照招标文件的规定提交投标保证金的；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投标文件未按招标文件要求签署、盖章的；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不具备招标文件中规定的资格要求的；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报价超过招标文件中规定的预算金额或者最高限价的；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投标文件含有采购人不能接受的附加条件的；</w:t>
      </w:r>
    </w:p>
    <w:p>
      <w:pPr>
        <w:numPr>
          <w:ilvl w:val="2"/>
          <w:numId w:val="39"/>
        </w:numPr>
        <w:spacing w:line="360" w:lineRule="auto"/>
        <w:rPr>
          <w:rFonts w:ascii="仿宋" w:hAnsi="仿宋" w:eastAsia="仿宋" w:cs="仿宋"/>
          <w:sz w:val="24"/>
          <w:szCs w:val="24"/>
        </w:rPr>
      </w:pPr>
      <w:r>
        <w:rPr>
          <w:rFonts w:hint="eastAsia" w:ascii="仿宋" w:hAnsi="仿宋" w:eastAsia="仿宋" w:cs="仿宋"/>
          <w:sz w:val="24"/>
          <w:szCs w:val="24"/>
        </w:rPr>
        <w:t>法律、法规和招标文件规定的其他无效情形。</w:t>
      </w:r>
    </w:p>
    <w:p>
      <w:pPr>
        <w:numPr>
          <w:ilvl w:val="1"/>
          <w:numId w:val="37"/>
        </w:numPr>
        <w:spacing w:line="360" w:lineRule="auto"/>
        <w:rPr>
          <w:rFonts w:ascii="仿宋" w:hAnsi="仿宋" w:eastAsia="仿宋" w:cs="仿宋"/>
          <w:b/>
          <w:bCs/>
          <w:sz w:val="24"/>
          <w:szCs w:val="24"/>
        </w:rPr>
      </w:pPr>
      <w:r>
        <w:rPr>
          <w:rFonts w:hint="eastAsia" w:ascii="仿宋" w:hAnsi="仿宋" w:eastAsia="仿宋" w:cs="仿宋"/>
          <w:b/>
          <w:bCs/>
          <w:sz w:val="24"/>
          <w:szCs w:val="24"/>
        </w:rPr>
        <w:t xml:space="preserve">在招标采购中，出现下列情形之一的，应予废标：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符合专业条件的投标人或者对招标文件作实质响应的投标人不足三家的；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出现影响采购公正的违法、违规行为的；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投标人的报价均超过了采购预算，采购人不能支付的； </w:t>
      </w:r>
    </w:p>
    <w:p>
      <w:pPr>
        <w:numPr>
          <w:ilvl w:val="2"/>
          <w:numId w:val="40"/>
        </w:numPr>
        <w:spacing w:line="360" w:lineRule="auto"/>
        <w:rPr>
          <w:rFonts w:ascii="仿宋" w:hAnsi="仿宋" w:eastAsia="仿宋" w:cs="仿宋"/>
          <w:sz w:val="24"/>
          <w:szCs w:val="24"/>
        </w:rPr>
      </w:pPr>
      <w:r>
        <w:rPr>
          <w:rFonts w:hint="eastAsia" w:ascii="仿宋" w:hAnsi="仿宋" w:eastAsia="仿宋" w:cs="仿宋"/>
          <w:sz w:val="24"/>
          <w:szCs w:val="24"/>
        </w:rPr>
        <w:t xml:space="preserve">因重大变故，采购任务取消的。 </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07" w:name="_Toc55778714"/>
      <w:bookmarkStart w:id="208" w:name="_Toc12971"/>
      <w:bookmarkStart w:id="209" w:name="_Toc30472"/>
      <w:bookmarkStart w:id="210" w:name="_Toc12540"/>
      <w:bookmarkStart w:id="211" w:name="_Toc14583"/>
      <w:r>
        <w:rPr>
          <w:rFonts w:hint="eastAsia" w:ascii="仿宋" w:hAnsi="仿宋" w:eastAsia="仿宋" w:cs="仿宋"/>
          <w:b/>
          <w:bCs/>
          <w:kern w:val="44"/>
          <w:sz w:val="24"/>
          <w:szCs w:val="24"/>
        </w:rPr>
        <w:t>与采购代理机构和采购人的接触</w:t>
      </w:r>
      <w:bookmarkEnd w:id="207"/>
      <w:bookmarkEnd w:id="208"/>
      <w:bookmarkEnd w:id="209"/>
      <w:bookmarkEnd w:id="210"/>
      <w:bookmarkEnd w:id="211"/>
    </w:p>
    <w:p>
      <w:pPr>
        <w:numPr>
          <w:ilvl w:val="1"/>
          <w:numId w:val="41"/>
        </w:numPr>
        <w:spacing w:line="360" w:lineRule="auto"/>
        <w:rPr>
          <w:rFonts w:ascii="仿宋" w:hAnsi="仿宋" w:eastAsia="仿宋" w:cs="仿宋"/>
          <w:sz w:val="24"/>
          <w:szCs w:val="24"/>
        </w:rPr>
      </w:pPr>
      <w:r>
        <w:rPr>
          <w:rFonts w:hint="eastAsia" w:ascii="仿宋" w:hAnsi="仿宋" w:eastAsia="仿宋" w:cs="仿宋"/>
          <w:sz w:val="24"/>
          <w:szCs w:val="24"/>
        </w:rPr>
        <w:t>除本须知规定外，从开标之日起至授予合同期间，投标人不得就与其投标有关的事项与采购代理机构、采购人和评标小组接触。</w:t>
      </w:r>
    </w:p>
    <w:p>
      <w:pPr>
        <w:numPr>
          <w:ilvl w:val="1"/>
          <w:numId w:val="41"/>
        </w:numPr>
        <w:spacing w:line="360" w:lineRule="auto"/>
        <w:rPr>
          <w:rFonts w:ascii="仿宋" w:hAnsi="仿宋" w:eastAsia="仿宋" w:cs="仿宋"/>
          <w:sz w:val="24"/>
          <w:szCs w:val="24"/>
        </w:rPr>
      </w:pPr>
      <w:r>
        <w:rPr>
          <w:rFonts w:hint="eastAsia" w:ascii="仿宋" w:hAnsi="仿宋" w:eastAsia="仿宋" w:cs="仿宋"/>
          <w:sz w:val="24"/>
          <w:szCs w:val="24"/>
        </w:rPr>
        <w:t>投标人试图对采购代理机构、采购人和评标小组的评标或授予合同的决定进行影响，都可能导致其投标被拒绝。</w:t>
      </w:r>
    </w:p>
    <w:p>
      <w:pPr>
        <w:keepNext/>
        <w:keepLines/>
        <w:spacing w:line="360" w:lineRule="auto"/>
        <w:jc w:val="center"/>
        <w:outlineLvl w:val="1"/>
        <w:rPr>
          <w:rFonts w:ascii="仿宋" w:hAnsi="仿宋" w:eastAsia="仿宋" w:cs="仿宋"/>
          <w:b/>
          <w:bCs/>
          <w:sz w:val="24"/>
          <w:szCs w:val="24"/>
        </w:rPr>
      </w:pPr>
      <w:bookmarkStart w:id="212" w:name="_Toc8757"/>
      <w:bookmarkStart w:id="213" w:name="_Toc2741"/>
      <w:bookmarkStart w:id="214" w:name="_Toc55778715"/>
      <w:r>
        <w:rPr>
          <w:rFonts w:hint="eastAsia" w:ascii="仿宋" w:hAnsi="仿宋" w:eastAsia="仿宋" w:cs="仿宋"/>
          <w:b/>
          <w:bCs/>
          <w:sz w:val="24"/>
          <w:szCs w:val="24"/>
        </w:rPr>
        <w:t>六、质疑与投诉</w:t>
      </w:r>
      <w:bookmarkEnd w:id="212"/>
      <w:bookmarkEnd w:id="213"/>
      <w:bookmarkEnd w:id="214"/>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15" w:name="_Toc26722"/>
      <w:bookmarkStart w:id="216" w:name="_Toc28035"/>
      <w:bookmarkStart w:id="217" w:name="_Toc22749"/>
      <w:bookmarkStart w:id="218" w:name="_Toc6727"/>
      <w:bookmarkStart w:id="219" w:name="_Toc55778716"/>
      <w:bookmarkStart w:id="220" w:name="_Toc1115"/>
      <w:r>
        <w:rPr>
          <w:rFonts w:hint="eastAsia" w:ascii="仿宋" w:hAnsi="仿宋" w:eastAsia="仿宋" w:cs="仿宋"/>
          <w:b/>
          <w:bCs/>
          <w:kern w:val="44"/>
          <w:sz w:val="24"/>
          <w:szCs w:val="24"/>
        </w:rPr>
        <w:t>询问</w:t>
      </w:r>
      <w:bookmarkEnd w:id="215"/>
      <w:bookmarkEnd w:id="216"/>
      <w:bookmarkEnd w:id="217"/>
      <w:bookmarkEnd w:id="218"/>
      <w:bookmarkEnd w:id="219"/>
      <w:bookmarkEnd w:id="220"/>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如采用书面方式提出询问，投标人为自然人的，询问函应当由本人签字；投标人为法人或者其他组织的，应当由法定代表人、主要负责人或授权代表签字或者盖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42"/>
        </w:numPr>
        <w:spacing w:line="360" w:lineRule="auto"/>
        <w:rPr>
          <w:rFonts w:ascii="仿宋" w:hAnsi="仿宋" w:eastAsia="仿宋" w:cs="仿宋"/>
          <w:sz w:val="24"/>
          <w:szCs w:val="24"/>
        </w:rPr>
      </w:pPr>
      <w:r>
        <w:rPr>
          <w:rFonts w:hint="eastAsia" w:ascii="仿宋" w:hAnsi="仿宋" w:eastAsia="仿宋" w:cs="仿宋"/>
          <w:sz w:val="24"/>
          <w:szCs w:val="24"/>
        </w:rPr>
        <w:t>招标采购单位在三个工作日内对投标人依法提出的询问作出答复。</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21" w:name="_Toc9977"/>
      <w:bookmarkStart w:id="222" w:name="_Toc13159"/>
      <w:bookmarkStart w:id="223" w:name="_Toc31010"/>
      <w:bookmarkStart w:id="224" w:name="_Toc922"/>
      <w:bookmarkStart w:id="225" w:name="_Toc16083"/>
      <w:bookmarkStart w:id="226" w:name="_Toc55778717"/>
      <w:r>
        <w:rPr>
          <w:rFonts w:hint="eastAsia" w:ascii="仿宋" w:hAnsi="仿宋" w:eastAsia="仿宋" w:cs="仿宋"/>
          <w:b/>
          <w:bCs/>
          <w:kern w:val="44"/>
          <w:sz w:val="24"/>
          <w:szCs w:val="24"/>
        </w:rPr>
        <w:t>质疑</w:t>
      </w:r>
      <w:bookmarkEnd w:id="221"/>
      <w:bookmarkEnd w:id="222"/>
      <w:bookmarkEnd w:id="223"/>
      <w:bookmarkEnd w:id="224"/>
      <w:bookmarkEnd w:id="225"/>
      <w:bookmarkEnd w:id="226"/>
    </w:p>
    <w:p>
      <w:pPr>
        <w:numPr>
          <w:ilvl w:val="1"/>
          <w:numId w:val="43"/>
        </w:numPr>
        <w:spacing w:line="360" w:lineRule="auto"/>
        <w:rPr>
          <w:rFonts w:ascii="仿宋" w:hAnsi="仿宋" w:eastAsia="仿宋" w:cs="仿宋"/>
          <w:sz w:val="24"/>
          <w:szCs w:val="24"/>
        </w:rPr>
      </w:pPr>
      <w:r>
        <w:rPr>
          <w:rFonts w:hint="eastAsia" w:ascii="仿宋" w:hAnsi="仿宋" w:eastAsia="仿宋" w:cs="仿宋"/>
          <w:b/>
          <w:bCs/>
          <w:sz w:val="24"/>
          <w:szCs w:val="24"/>
        </w:rPr>
        <w:t>质疑期限</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招标文件的内容损害其权益的，应在收到招标文件之日或者招标文件公告期届满之日起七个工作日内。（注：投标人获取招标文件之日早于招标文件公告期限届满之日的，则以投标人获取招标文件之日为质疑时效期间的起算日期；否则，以招标文件公告期限届满之日为质疑时效期间的起算日期）。</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投标人认为采购过程损害其权益的，应在各采购程序环节结束之日起七个工作日内。</w:t>
      </w:r>
    </w:p>
    <w:p>
      <w:pPr>
        <w:numPr>
          <w:ilvl w:val="2"/>
          <w:numId w:val="44"/>
        </w:numPr>
        <w:spacing w:line="360" w:lineRule="auto"/>
        <w:rPr>
          <w:rFonts w:ascii="仿宋" w:hAnsi="仿宋" w:eastAsia="仿宋" w:cs="仿宋"/>
          <w:sz w:val="24"/>
          <w:szCs w:val="24"/>
        </w:rPr>
      </w:pPr>
      <w:r>
        <w:rPr>
          <w:rFonts w:hint="eastAsia" w:ascii="仿宋" w:hAnsi="仿宋" w:eastAsia="仿宋" w:cs="仿宋"/>
          <w:sz w:val="24"/>
          <w:szCs w:val="24"/>
        </w:rPr>
        <w:t>投标人认为中标或者成交结果损害其权益的，应在中标或者成交结果公告期限届满之日起七个工作日内。</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提交的要求：</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以书面形式（加盖投标人公章，投标人以电话、传真或电邮形式提交的质疑属于无效质疑）向招标采购单位提出质疑。</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质疑书内容：应包括具体的质疑项目的名称及编号、具体明确的质疑事项和与质疑事项相关的请求、事实依据、必要的法律依据、提出质疑的日期、投标人名称及地址、授权代表姓名及其联系电话、质疑时间投标人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pPr>
        <w:numPr>
          <w:ilvl w:val="2"/>
          <w:numId w:val="45"/>
        </w:numPr>
        <w:spacing w:line="360" w:lineRule="auto"/>
        <w:rPr>
          <w:rFonts w:ascii="仿宋" w:hAnsi="仿宋" w:eastAsia="仿宋" w:cs="仿宋"/>
          <w:sz w:val="24"/>
          <w:szCs w:val="24"/>
        </w:rPr>
      </w:pPr>
      <w:r>
        <w:rPr>
          <w:rFonts w:hint="eastAsia" w:ascii="仿宋" w:hAnsi="仿宋" w:eastAsia="仿宋" w:cs="仿宋"/>
          <w:sz w:val="24"/>
          <w:szCs w:val="24"/>
        </w:rPr>
        <w:t>投标人质疑应当有明确的请求和必要的证明材料，捏造事实、提供虚假材料或者以非法手段取得证明材料不能作为质疑的证明材料。</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质疑人进行质疑应当符合下列条件：</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质疑人是参与所质疑政府采购项目的投标人；</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在质疑有效期内提起质疑；</w:t>
      </w:r>
    </w:p>
    <w:p>
      <w:pPr>
        <w:numPr>
          <w:ilvl w:val="0"/>
          <w:numId w:val="46"/>
        </w:numPr>
        <w:tabs>
          <w:tab w:val="left" w:pos="1272"/>
        </w:tabs>
        <w:spacing w:line="360" w:lineRule="auto"/>
        <w:ind w:left="1272" w:hanging="424"/>
        <w:rPr>
          <w:rFonts w:ascii="仿宋" w:hAnsi="仿宋" w:eastAsia="仿宋" w:cs="仿宋"/>
          <w:sz w:val="24"/>
          <w:szCs w:val="24"/>
        </w:rPr>
      </w:pPr>
      <w:r>
        <w:rPr>
          <w:rFonts w:hint="eastAsia" w:ascii="仿宋" w:hAnsi="仿宋" w:eastAsia="仿宋" w:cs="仿宋"/>
          <w:sz w:val="24"/>
          <w:szCs w:val="24"/>
        </w:rPr>
        <w:t>法律法规规定的其他条件。</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pPr>
        <w:numPr>
          <w:ilvl w:val="1"/>
          <w:numId w:val="43"/>
        </w:numPr>
        <w:spacing w:line="360" w:lineRule="auto"/>
        <w:rPr>
          <w:rFonts w:ascii="仿宋" w:hAnsi="仿宋" w:eastAsia="仿宋" w:cs="仿宋"/>
          <w:sz w:val="24"/>
          <w:szCs w:val="24"/>
        </w:rPr>
      </w:pPr>
      <w:r>
        <w:rPr>
          <w:rFonts w:hint="eastAsia" w:ascii="仿宋" w:hAnsi="仿宋" w:eastAsia="仿宋" w:cs="仿宋"/>
          <w:sz w:val="24"/>
          <w:szCs w:val="24"/>
        </w:rPr>
        <w:t>对于捏造事实、滥用维权扰乱采购秩序的恶意质疑者或举证不全查无实据被驳回次数在一年内达三次以上，将纳入不良行为记录名单并承担相应的法律责任。</w:t>
      </w:r>
    </w:p>
    <w:p>
      <w:pPr>
        <w:numPr>
          <w:ilvl w:val="1"/>
          <w:numId w:val="43"/>
        </w:numPr>
        <w:spacing w:line="336" w:lineRule="auto"/>
        <w:rPr>
          <w:rFonts w:ascii="仿宋" w:hAnsi="仿宋" w:eastAsia="仿宋" w:cs="仿宋"/>
          <w:sz w:val="24"/>
          <w:szCs w:val="24"/>
        </w:rPr>
      </w:pPr>
      <w:r>
        <w:rPr>
          <w:rFonts w:hint="eastAsia" w:ascii="仿宋" w:hAnsi="仿宋" w:eastAsia="仿宋" w:cs="仿宋"/>
          <w:sz w:val="24"/>
          <w:szCs w:val="24"/>
        </w:rPr>
        <w:t>质疑联系方式：</w:t>
      </w:r>
    </w:p>
    <w:p>
      <w:pPr>
        <w:spacing w:line="336" w:lineRule="auto"/>
        <w:ind w:left="899" w:leftChars="428"/>
        <w:rPr>
          <w:rFonts w:ascii="仿宋" w:hAnsi="仿宋" w:eastAsia="仿宋" w:cs="仿宋"/>
          <w:sz w:val="24"/>
          <w:szCs w:val="24"/>
        </w:rPr>
      </w:pPr>
      <w:r>
        <w:rPr>
          <w:rFonts w:hint="eastAsia" w:ascii="仿宋" w:hAnsi="仿宋" w:eastAsia="仿宋" w:cs="仿宋"/>
          <w:sz w:val="24"/>
          <w:szCs w:val="24"/>
        </w:rPr>
        <w:t>采购代理机构：新疆金磐工程管理咨询有限公司</w:t>
      </w:r>
    </w:p>
    <w:p>
      <w:pPr>
        <w:spacing w:line="336" w:lineRule="auto"/>
        <w:ind w:firstLine="960" w:firstLineChars="400"/>
        <w:rPr>
          <w:rFonts w:ascii="仿宋" w:hAnsi="仿宋" w:eastAsia="仿宋" w:cs="仿宋"/>
          <w:sz w:val="24"/>
          <w:szCs w:val="24"/>
        </w:rPr>
      </w:pPr>
      <w:r>
        <w:rPr>
          <w:rFonts w:hint="eastAsia" w:ascii="仿宋" w:hAnsi="仿宋" w:eastAsia="仿宋" w:cs="仿宋"/>
          <w:sz w:val="24"/>
          <w:szCs w:val="24"/>
        </w:rPr>
        <w:t>联系人：陈嘉俊</w:t>
      </w:r>
      <w:r>
        <w:rPr>
          <w:rFonts w:hint="eastAsia" w:ascii="仿宋" w:hAnsi="仿宋" w:eastAsia="仿宋" w:cs="仿宋"/>
          <w:sz w:val="24"/>
          <w:szCs w:val="24"/>
        </w:rPr>
        <w:tab/>
      </w:r>
      <w:r>
        <w:rPr>
          <w:rFonts w:hint="eastAsia" w:ascii="仿宋" w:hAnsi="仿宋" w:eastAsia="仿宋" w:cs="仿宋"/>
          <w:sz w:val="24"/>
          <w:szCs w:val="24"/>
        </w:rPr>
        <w:t xml:space="preserve">  电话：13699977766</w:t>
      </w:r>
    </w:p>
    <w:p>
      <w:pPr>
        <w:spacing w:line="336" w:lineRule="auto"/>
        <w:ind w:left="4078" w:leftChars="456" w:hanging="3120" w:hangingChars="1300"/>
        <w:rPr>
          <w:rFonts w:ascii="仿宋" w:hAnsi="仿宋" w:eastAsia="仿宋" w:cs="仿宋"/>
          <w:sz w:val="24"/>
          <w:szCs w:val="24"/>
        </w:rPr>
      </w:pPr>
      <w:r>
        <w:rPr>
          <w:rFonts w:hint="eastAsia" w:ascii="仿宋" w:hAnsi="仿宋" w:eastAsia="仿宋" w:cs="仿宋"/>
          <w:sz w:val="24"/>
          <w:szCs w:val="24"/>
        </w:rPr>
        <w:t>邮编：835000地址：新疆伊犁州伊宁市经济合作区313线以西、新华西路以北西城天街A-E#商业楼C406</w:t>
      </w:r>
    </w:p>
    <w:p>
      <w:pPr>
        <w:numPr>
          <w:ilvl w:val="1"/>
          <w:numId w:val="43"/>
        </w:numPr>
        <w:spacing w:line="336" w:lineRule="auto"/>
        <w:rPr>
          <w:rFonts w:ascii="仿宋" w:hAnsi="仿宋" w:eastAsia="仿宋" w:cs="仿宋"/>
          <w:b/>
          <w:bCs/>
          <w:kern w:val="0"/>
          <w:sz w:val="24"/>
          <w:szCs w:val="24"/>
        </w:rPr>
      </w:pPr>
      <w:r>
        <w:rPr>
          <w:rFonts w:hint="eastAsia" w:ascii="仿宋" w:hAnsi="仿宋" w:eastAsia="仿宋" w:cs="仿宋"/>
          <w:kern w:val="0"/>
          <w:sz w:val="24"/>
          <w:szCs w:val="24"/>
        </w:rPr>
        <w:t xml:space="preserve">质疑函格式 </w:t>
      </w:r>
    </w:p>
    <w:p>
      <w:pPr>
        <w:widowControl/>
        <w:spacing w:line="360" w:lineRule="auto"/>
        <w:jc w:val="center"/>
        <w:rPr>
          <w:rFonts w:ascii="仿宋" w:hAnsi="仿宋" w:eastAsia="仿宋" w:cs="仿宋"/>
          <w:b/>
          <w:bCs/>
          <w:sz w:val="24"/>
          <w:szCs w:val="24"/>
        </w:rPr>
      </w:pPr>
      <w:r>
        <w:rPr>
          <w:rFonts w:hint="eastAsia" w:ascii="仿宋" w:hAnsi="仿宋" w:eastAsia="仿宋" w:cs="仿宋"/>
          <w:b/>
          <w:bCs/>
          <w:kern w:val="0"/>
          <w:sz w:val="24"/>
          <w:szCs w:val="24"/>
        </w:rPr>
        <w:t>质疑函范本</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一、质疑投标人基本信息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质疑投标人：</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地址：                          邮编：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联系人：                      联系电话：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授权代表：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联系电话：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地址：                         邮编：                                                </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质疑项目的名称：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               包号：</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招标文件获取日期：</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三、质疑事项具体内容</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w:t>
      </w:r>
    </w:p>
    <w:p>
      <w:pPr>
        <w:widowControl/>
        <w:spacing w:line="360" w:lineRule="auto"/>
        <w:jc w:val="left"/>
        <w:rPr>
          <w:rFonts w:ascii="仿宋" w:hAnsi="仿宋" w:eastAsia="仿宋" w:cs="仿宋"/>
          <w:sz w:val="24"/>
          <w:szCs w:val="24"/>
        </w:rPr>
      </w:pPr>
      <w:r>
        <w:rPr>
          <w:rFonts w:hint="eastAsia" w:ascii="仿宋" w:hAnsi="仿宋" w:eastAsia="仿宋" w:cs="仿宋"/>
          <w:kern w:val="0"/>
          <w:sz w:val="24"/>
          <w:szCs w:val="24"/>
        </w:rPr>
        <w:t xml:space="preserve">四、与质疑事项相关的质疑请求 </w:t>
      </w:r>
    </w:p>
    <w:p>
      <w:pPr>
        <w:widowControl/>
        <w:spacing w:line="360" w:lineRule="auto"/>
        <w:jc w:val="left"/>
        <w:rPr>
          <w:rFonts w:ascii="仿宋" w:hAnsi="仿宋" w:eastAsia="仿宋" w:cs="仿宋"/>
          <w:sz w:val="24"/>
          <w:szCs w:val="24"/>
        </w:rPr>
      </w:pPr>
      <w:r>
        <w:rPr>
          <w:rFonts w:hint="eastAsia" w:ascii="仿宋" w:hAnsi="仿宋" w:eastAsia="仿宋" w:cs="仿宋"/>
          <w:kern w:val="0"/>
          <w:sz w:val="24"/>
          <w:szCs w:val="24"/>
        </w:rPr>
        <w:t>请求：</w:t>
      </w:r>
    </w:p>
    <w:p>
      <w:pPr>
        <w:widowControl/>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投标人（盖章）：</w:t>
      </w:r>
    </w:p>
    <w:p>
      <w:pPr>
        <w:widowControl/>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法定代表人（授权代表）：</w:t>
      </w:r>
    </w:p>
    <w:p>
      <w:pPr>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地址/邮编：</w:t>
      </w:r>
    </w:p>
    <w:p>
      <w:pPr>
        <w:tabs>
          <w:tab w:val="left" w:pos="6300"/>
        </w:tabs>
        <w:snapToGrid w:val="0"/>
        <w:spacing w:line="360" w:lineRule="auto"/>
        <w:jc w:val="left"/>
        <w:rPr>
          <w:rFonts w:ascii="仿宋" w:hAnsi="仿宋" w:eastAsia="仿宋" w:cs="仿宋"/>
          <w:sz w:val="24"/>
          <w:szCs w:val="24"/>
        </w:rPr>
      </w:pPr>
      <w:r>
        <w:rPr>
          <w:rFonts w:hint="eastAsia" w:ascii="仿宋" w:hAnsi="仿宋" w:eastAsia="仿宋" w:cs="仿宋"/>
          <w:sz w:val="24"/>
          <w:szCs w:val="24"/>
        </w:rPr>
        <w:t>电话/传真：</w:t>
      </w:r>
    </w:p>
    <w:p>
      <w:pPr>
        <w:widowControl/>
        <w:spacing w:line="360" w:lineRule="auto"/>
        <w:jc w:val="left"/>
        <w:rPr>
          <w:rFonts w:ascii="仿宋" w:hAnsi="仿宋" w:eastAsia="仿宋" w:cs="仿宋"/>
          <w:sz w:val="24"/>
          <w:szCs w:val="24"/>
        </w:rPr>
      </w:pPr>
      <w:r>
        <w:rPr>
          <w:rFonts w:hint="eastAsia" w:ascii="仿宋" w:hAnsi="仿宋" w:eastAsia="仿宋" w:cs="仿宋"/>
          <w:sz w:val="24"/>
          <w:szCs w:val="24"/>
        </w:rPr>
        <w:t>日期：  年   月  日</w:t>
      </w:r>
    </w:p>
    <w:p>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随附相关证明材料如下</w:t>
      </w:r>
      <w:r>
        <w:rPr>
          <w:rFonts w:hint="eastAsia" w:ascii="仿宋" w:hAnsi="仿宋" w:eastAsia="仿宋" w:cs="仿宋"/>
          <w:kern w:val="0"/>
          <w:sz w:val="24"/>
          <w:szCs w:val="24"/>
        </w:rPr>
        <w:t xml:space="preserve">：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序号</w:t>
            </w:r>
          </w:p>
        </w:tc>
        <w:tc>
          <w:tcPr>
            <w:tcW w:w="310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证明材料名称</w:t>
            </w:r>
          </w:p>
        </w:tc>
        <w:tc>
          <w:tcPr>
            <w:tcW w:w="232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证明材料来源</w:t>
            </w:r>
          </w:p>
        </w:tc>
        <w:tc>
          <w:tcPr>
            <w:tcW w:w="1935" w:type="dxa"/>
          </w:tcPr>
          <w:p>
            <w:pPr>
              <w:widowControl/>
              <w:spacing w:line="360" w:lineRule="auto"/>
              <w:jc w:val="center"/>
              <w:rPr>
                <w:rFonts w:ascii="仿宋" w:hAnsi="仿宋" w:eastAsia="仿宋" w:cs="仿宋"/>
                <w:b/>
                <w:kern w:val="0"/>
                <w:sz w:val="24"/>
                <w:szCs w:val="24"/>
              </w:rPr>
            </w:pPr>
            <w:r>
              <w:rPr>
                <w:rFonts w:hint="eastAsia" w:ascii="仿宋" w:hAnsi="仿宋" w:eastAsia="仿宋" w:cs="仿宋"/>
                <w:kern w:val="0"/>
                <w:sz w:val="24"/>
                <w:szCs w:val="24"/>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1</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w:t>
            </w:r>
          </w:p>
        </w:tc>
        <w:tc>
          <w:tcPr>
            <w:tcW w:w="3105" w:type="dxa"/>
          </w:tcPr>
          <w:p>
            <w:pPr>
              <w:widowControl/>
              <w:spacing w:line="360" w:lineRule="auto"/>
              <w:jc w:val="left"/>
              <w:rPr>
                <w:rFonts w:ascii="仿宋" w:hAnsi="仿宋" w:eastAsia="仿宋" w:cs="仿宋"/>
                <w:b/>
                <w:kern w:val="0"/>
                <w:sz w:val="24"/>
                <w:szCs w:val="24"/>
                <w:highlight w:val="yellow"/>
              </w:rPr>
            </w:pPr>
          </w:p>
        </w:tc>
        <w:tc>
          <w:tcPr>
            <w:tcW w:w="2325" w:type="dxa"/>
          </w:tcPr>
          <w:p>
            <w:pPr>
              <w:widowControl/>
              <w:spacing w:line="360" w:lineRule="auto"/>
              <w:jc w:val="left"/>
              <w:rPr>
                <w:rFonts w:ascii="仿宋" w:hAnsi="仿宋" w:eastAsia="仿宋" w:cs="仿宋"/>
                <w:b/>
                <w:kern w:val="0"/>
                <w:sz w:val="24"/>
                <w:szCs w:val="24"/>
                <w:highlight w:val="yellow"/>
              </w:rPr>
            </w:pPr>
          </w:p>
        </w:tc>
        <w:tc>
          <w:tcPr>
            <w:tcW w:w="1935" w:type="dxa"/>
          </w:tcPr>
          <w:p>
            <w:pPr>
              <w:widowControl/>
              <w:spacing w:line="360" w:lineRule="auto"/>
              <w:jc w:val="left"/>
              <w:rPr>
                <w:rFonts w:ascii="仿宋" w:hAnsi="仿宋" w:eastAsia="仿宋" w:cs="仿宋"/>
                <w:b/>
                <w:kern w:val="0"/>
                <w:sz w:val="24"/>
                <w:szCs w:val="24"/>
                <w:highlight w:val="yellow"/>
              </w:rPr>
            </w:pPr>
          </w:p>
        </w:tc>
      </w:tr>
    </w:tbl>
    <w:p>
      <w:pPr>
        <w:widowControl/>
        <w:spacing w:line="360" w:lineRule="auto"/>
        <w:jc w:val="left"/>
        <w:rPr>
          <w:rFonts w:ascii="仿宋" w:hAnsi="仿宋" w:eastAsia="仿宋" w:cs="仿宋"/>
          <w:sz w:val="24"/>
          <w:szCs w:val="24"/>
        </w:rPr>
      </w:pPr>
      <w:r>
        <w:rPr>
          <w:rFonts w:hint="eastAsia" w:ascii="仿宋" w:hAnsi="仿宋" w:eastAsia="仿宋" w:cs="仿宋"/>
          <w:b/>
          <w:kern w:val="0"/>
          <w:sz w:val="24"/>
          <w:szCs w:val="24"/>
        </w:rPr>
        <w:t xml:space="preserve">质疑函制作说明：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1.投标人提出质疑时，应提交质疑函和必要的证明材料。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2.质疑投标人若委托代理人进行质疑的，质疑函应按要求列明“授权代表”的有关内容，并在附件中提交由质疑投标人签署的授权委托书。授权委托书应载明代理人的姓名或者名称、代理事项、具体权限、期限和相关事项。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3.质疑投标人若对项目的某一分包进行质疑，质疑函中应列明具体分包号。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4.质疑函的质疑事项应具体、明确，并有必要的事实依据和法律依据。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5.质疑函的质疑请求应与质疑事项相关。 </w:t>
      </w:r>
    </w:p>
    <w:p>
      <w:pPr>
        <w:widowControl/>
        <w:spacing w:line="360" w:lineRule="auto"/>
        <w:ind w:firstLine="477" w:firstLineChars="199"/>
        <w:jc w:val="left"/>
        <w:rPr>
          <w:rFonts w:ascii="仿宋" w:hAnsi="仿宋" w:eastAsia="仿宋" w:cs="仿宋"/>
          <w:sz w:val="24"/>
          <w:szCs w:val="24"/>
        </w:rPr>
      </w:pPr>
      <w:r>
        <w:rPr>
          <w:rFonts w:hint="eastAsia" w:ascii="仿宋" w:hAnsi="仿宋" w:eastAsia="仿宋" w:cs="仿宋"/>
          <w:kern w:val="0"/>
          <w:sz w:val="24"/>
          <w:szCs w:val="24"/>
        </w:rPr>
        <w:t xml:space="preserve">6.质疑投标人为自然人的，质疑函应由本人签字；质疑投标人为法人或者其他组织的，质疑函应由法定代表人、主要负责人，或者其授权代表签字或者盖章，并加盖公章。 </w:t>
      </w:r>
    </w:p>
    <w:p>
      <w:pPr>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7. 投标人应在提交的证明材料中对质疑点的内容作出相应的标识或以醒目的方式标明。</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27" w:name="_Toc11190"/>
      <w:bookmarkStart w:id="228" w:name="_Toc55778718"/>
      <w:bookmarkStart w:id="229" w:name="_Toc3059"/>
      <w:bookmarkStart w:id="230" w:name="_Toc2395"/>
      <w:bookmarkStart w:id="231" w:name="_Toc7547"/>
      <w:bookmarkStart w:id="232" w:name="_Toc253"/>
      <w:r>
        <w:rPr>
          <w:rFonts w:hint="eastAsia" w:ascii="仿宋" w:hAnsi="仿宋" w:eastAsia="仿宋" w:cs="仿宋"/>
          <w:b/>
          <w:bCs/>
          <w:kern w:val="44"/>
          <w:sz w:val="24"/>
          <w:szCs w:val="24"/>
        </w:rPr>
        <w:t>投诉</w:t>
      </w:r>
      <w:bookmarkEnd w:id="227"/>
      <w:bookmarkEnd w:id="228"/>
      <w:bookmarkEnd w:id="229"/>
      <w:bookmarkEnd w:id="230"/>
      <w:bookmarkEnd w:id="231"/>
      <w:bookmarkEnd w:id="232"/>
    </w:p>
    <w:p>
      <w:pPr>
        <w:numPr>
          <w:ilvl w:val="1"/>
          <w:numId w:val="47"/>
        </w:numPr>
        <w:spacing w:line="360" w:lineRule="auto"/>
        <w:rPr>
          <w:rFonts w:ascii="仿宋" w:hAnsi="仿宋" w:eastAsia="仿宋" w:cs="仿宋"/>
          <w:sz w:val="24"/>
          <w:szCs w:val="24"/>
        </w:rPr>
      </w:pPr>
      <w:r>
        <w:rPr>
          <w:rFonts w:hint="eastAsia" w:ascii="仿宋" w:hAnsi="仿宋" w:eastAsia="仿宋" w:cs="仿宋"/>
          <w:sz w:val="24"/>
          <w:szCs w:val="24"/>
        </w:rPr>
        <w:t>投标投标人对采购代理机构和采购人的质疑答复不满意或在规定时间内未得到答复的，可以在答复期满后15个工作日内，向政府采购监督管理机构投诉。</w:t>
      </w:r>
    </w:p>
    <w:p>
      <w:pPr>
        <w:numPr>
          <w:ilvl w:val="1"/>
          <w:numId w:val="47"/>
        </w:numPr>
        <w:spacing w:line="360" w:lineRule="auto"/>
        <w:rPr>
          <w:rFonts w:ascii="仿宋" w:hAnsi="仿宋" w:eastAsia="仿宋" w:cs="仿宋"/>
          <w:sz w:val="24"/>
          <w:szCs w:val="24"/>
        </w:rPr>
      </w:pPr>
      <w:r>
        <w:rPr>
          <w:rFonts w:hint="eastAsia" w:ascii="仿宋" w:hAnsi="仿宋" w:eastAsia="仿宋" w:cs="仿宋"/>
          <w:sz w:val="24"/>
          <w:szCs w:val="24"/>
        </w:rPr>
        <w:t>政府采购监督管理机构联系方式：</w:t>
      </w:r>
    </w:p>
    <w:p>
      <w:pPr>
        <w:spacing w:line="360" w:lineRule="auto"/>
        <w:ind w:left="899" w:leftChars="428"/>
        <w:rPr>
          <w:rFonts w:ascii="仿宋" w:hAnsi="仿宋" w:eastAsia="仿宋" w:cs="仿宋"/>
          <w:sz w:val="24"/>
          <w:szCs w:val="24"/>
        </w:rPr>
      </w:pPr>
      <w:r>
        <w:rPr>
          <w:rFonts w:hint="eastAsia" w:ascii="仿宋" w:hAnsi="仿宋" w:eastAsia="仿宋" w:cs="仿宋"/>
          <w:sz w:val="24"/>
          <w:szCs w:val="24"/>
        </w:rPr>
        <w:t>政府采购监督管理机构名称：伊犁州财政局国库处</w:t>
      </w:r>
    </w:p>
    <w:p>
      <w:pPr>
        <w:keepNext/>
        <w:keepLines/>
        <w:spacing w:line="360" w:lineRule="auto"/>
        <w:jc w:val="center"/>
        <w:outlineLvl w:val="1"/>
        <w:rPr>
          <w:rFonts w:ascii="仿宋" w:hAnsi="仿宋" w:eastAsia="仿宋" w:cs="仿宋"/>
          <w:b/>
          <w:bCs/>
          <w:sz w:val="24"/>
          <w:szCs w:val="24"/>
        </w:rPr>
      </w:pPr>
      <w:bookmarkStart w:id="233" w:name="_Toc55778719"/>
      <w:bookmarkStart w:id="234" w:name="_Toc11991"/>
      <w:bookmarkStart w:id="235" w:name="_Toc15350"/>
      <w:r>
        <w:rPr>
          <w:rFonts w:hint="eastAsia" w:ascii="仿宋" w:hAnsi="仿宋" w:eastAsia="仿宋" w:cs="仿宋"/>
          <w:b/>
          <w:bCs/>
          <w:sz w:val="24"/>
          <w:szCs w:val="24"/>
        </w:rPr>
        <w:t>七、授予合同</w:t>
      </w:r>
      <w:bookmarkEnd w:id="233"/>
      <w:bookmarkEnd w:id="234"/>
      <w:bookmarkEnd w:id="235"/>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36" w:name="_Toc17273"/>
      <w:bookmarkStart w:id="237" w:name="_Toc55778720"/>
      <w:bookmarkStart w:id="238" w:name="_Toc17418"/>
      <w:bookmarkStart w:id="239" w:name="_Toc28231"/>
      <w:bookmarkStart w:id="240" w:name="_Toc27860"/>
      <w:bookmarkStart w:id="241" w:name="_Toc32369"/>
      <w:r>
        <w:rPr>
          <w:rFonts w:hint="eastAsia" w:ascii="仿宋" w:hAnsi="仿宋" w:eastAsia="仿宋" w:cs="仿宋"/>
          <w:b/>
          <w:bCs/>
          <w:kern w:val="44"/>
          <w:sz w:val="24"/>
          <w:szCs w:val="24"/>
        </w:rPr>
        <w:t>确定中标</w:t>
      </w:r>
      <w:bookmarkEnd w:id="236"/>
      <w:r>
        <w:rPr>
          <w:rFonts w:hint="eastAsia" w:ascii="仿宋" w:hAnsi="仿宋" w:eastAsia="仿宋" w:cs="仿宋"/>
          <w:b/>
          <w:bCs/>
          <w:kern w:val="44"/>
          <w:sz w:val="24"/>
          <w:szCs w:val="24"/>
        </w:rPr>
        <w:t>人</w:t>
      </w:r>
      <w:bookmarkEnd w:id="237"/>
      <w:bookmarkEnd w:id="238"/>
      <w:bookmarkEnd w:id="239"/>
      <w:bookmarkEnd w:id="240"/>
      <w:bookmarkEnd w:id="241"/>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评标小组按照招标文件确定的评标方法、步骤、标准，对投标文件进行评审，提出书面评标报告，按照综合评分得分由高到低的顺序推荐两名中标候选人名单。</w:t>
      </w:r>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采购人在收到评标报告后的法定时间内，按照评标报告中推荐的中标候选人顺序确定中标人。</w:t>
      </w:r>
    </w:p>
    <w:p>
      <w:pPr>
        <w:numPr>
          <w:ilvl w:val="1"/>
          <w:numId w:val="48"/>
        </w:numPr>
        <w:spacing w:line="360" w:lineRule="auto"/>
        <w:rPr>
          <w:rFonts w:ascii="仿宋" w:hAnsi="仿宋" w:eastAsia="仿宋" w:cs="仿宋"/>
          <w:sz w:val="24"/>
          <w:szCs w:val="24"/>
        </w:rPr>
      </w:pPr>
      <w:r>
        <w:rPr>
          <w:rFonts w:hint="eastAsia" w:ascii="仿宋" w:hAnsi="仿宋" w:eastAsia="仿宋" w:cs="仿宋"/>
          <w:sz w:val="24"/>
          <w:szCs w:val="24"/>
        </w:rPr>
        <w:t>中标投标人放弃中标或者中标资格被依法确认无效的，采购人可以按照排序从其他中标候选投标人中确定中标投标人或重新组织招标活动。</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42" w:name="_Ref179619923"/>
      <w:bookmarkStart w:id="243" w:name="_Toc55778721"/>
      <w:bookmarkStart w:id="244" w:name="_Toc21571"/>
      <w:bookmarkStart w:id="245" w:name="_Toc17309"/>
      <w:bookmarkStart w:id="246" w:name="_Toc29372"/>
      <w:bookmarkStart w:id="247" w:name="_Toc14943"/>
      <w:bookmarkStart w:id="248" w:name="_Toc19166"/>
      <w:r>
        <w:rPr>
          <w:rFonts w:hint="eastAsia" w:ascii="仿宋" w:hAnsi="仿宋" w:eastAsia="仿宋" w:cs="仿宋"/>
          <w:b/>
          <w:bCs/>
          <w:kern w:val="44"/>
          <w:sz w:val="24"/>
          <w:szCs w:val="24"/>
        </w:rPr>
        <w:t>接受和拒绝任何或所有投标的权力</w:t>
      </w:r>
      <w:bookmarkEnd w:id="242"/>
      <w:bookmarkEnd w:id="243"/>
      <w:bookmarkEnd w:id="244"/>
      <w:bookmarkEnd w:id="245"/>
      <w:bookmarkEnd w:id="246"/>
      <w:bookmarkEnd w:id="247"/>
      <w:bookmarkEnd w:id="248"/>
    </w:p>
    <w:p>
      <w:pPr>
        <w:numPr>
          <w:ilvl w:val="1"/>
          <w:numId w:val="49"/>
        </w:numPr>
        <w:spacing w:line="360" w:lineRule="auto"/>
        <w:rPr>
          <w:rFonts w:ascii="仿宋" w:hAnsi="仿宋" w:eastAsia="仿宋" w:cs="仿宋"/>
          <w:sz w:val="24"/>
          <w:szCs w:val="24"/>
        </w:rPr>
      </w:pPr>
      <w:r>
        <w:rPr>
          <w:rFonts w:hint="eastAsia" w:ascii="仿宋" w:hAnsi="仿宋" w:eastAsia="仿宋" w:cs="仿宋"/>
          <w:sz w:val="24"/>
          <w:szCs w:val="24"/>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49" w:name="_Toc9402"/>
      <w:bookmarkStart w:id="250" w:name="_Toc55778722"/>
      <w:bookmarkStart w:id="251" w:name="_Toc19068"/>
      <w:bookmarkStart w:id="252" w:name="_Toc444"/>
      <w:bookmarkStart w:id="253" w:name="_Toc8040"/>
      <w:bookmarkStart w:id="254" w:name="_Toc28649"/>
      <w:r>
        <w:rPr>
          <w:rFonts w:hint="eastAsia" w:ascii="仿宋" w:hAnsi="仿宋" w:eastAsia="仿宋" w:cs="仿宋"/>
          <w:b/>
          <w:bCs/>
          <w:kern w:val="44"/>
          <w:sz w:val="24"/>
          <w:szCs w:val="24"/>
        </w:rPr>
        <w:t>中标通知书</w:t>
      </w:r>
      <w:bookmarkEnd w:id="249"/>
      <w:bookmarkEnd w:id="250"/>
      <w:bookmarkEnd w:id="251"/>
      <w:bookmarkEnd w:id="252"/>
      <w:bookmarkEnd w:id="253"/>
      <w:bookmarkEnd w:id="254"/>
    </w:p>
    <w:p>
      <w:pPr>
        <w:numPr>
          <w:ilvl w:val="1"/>
          <w:numId w:val="50"/>
        </w:numPr>
        <w:spacing w:line="360" w:lineRule="auto"/>
        <w:rPr>
          <w:rFonts w:ascii="仿宋" w:hAnsi="仿宋" w:eastAsia="仿宋" w:cs="仿宋"/>
          <w:sz w:val="24"/>
          <w:szCs w:val="24"/>
        </w:rPr>
      </w:pPr>
      <w:r>
        <w:rPr>
          <w:rFonts w:hint="eastAsia" w:ascii="仿宋" w:hAnsi="仿宋" w:eastAsia="仿宋" w:cs="仿宋"/>
          <w:sz w:val="24"/>
          <w:szCs w:val="24"/>
        </w:rPr>
        <w:t>中标人确定后，采购代理机构按本须知规定网站发布中标公告，并同时向中标人发出《中标通知书》。</w:t>
      </w:r>
    </w:p>
    <w:p>
      <w:pPr>
        <w:numPr>
          <w:ilvl w:val="1"/>
          <w:numId w:val="50"/>
        </w:numPr>
        <w:spacing w:line="360" w:lineRule="auto"/>
        <w:rPr>
          <w:rFonts w:ascii="仿宋" w:hAnsi="仿宋" w:eastAsia="仿宋" w:cs="仿宋"/>
          <w:sz w:val="24"/>
          <w:szCs w:val="24"/>
        </w:rPr>
      </w:pPr>
      <w:r>
        <w:rPr>
          <w:rFonts w:hint="eastAsia" w:ascii="仿宋" w:hAnsi="仿宋" w:eastAsia="仿宋" w:cs="仿宋"/>
          <w:sz w:val="24"/>
          <w:szCs w:val="24"/>
        </w:rPr>
        <w:t>《中标通知书》是合同的一个组成部分。</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55" w:name="_Toc22710"/>
      <w:bookmarkStart w:id="256" w:name="_Toc18897"/>
      <w:bookmarkStart w:id="257" w:name="_Toc55778723"/>
      <w:bookmarkStart w:id="258" w:name="_Toc7012"/>
      <w:bookmarkStart w:id="259" w:name="_Toc16935"/>
      <w:bookmarkStart w:id="260" w:name="_Toc9979"/>
      <w:r>
        <w:rPr>
          <w:rFonts w:hint="eastAsia" w:ascii="仿宋" w:hAnsi="仿宋" w:eastAsia="仿宋" w:cs="仿宋"/>
          <w:b/>
          <w:bCs/>
          <w:kern w:val="44"/>
          <w:sz w:val="24"/>
          <w:szCs w:val="24"/>
        </w:rPr>
        <w:t>合同的订立</w:t>
      </w:r>
      <w:bookmarkEnd w:id="255"/>
      <w:bookmarkEnd w:id="256"/>
      <w:bookmarkEnd w:id="257"/>
      <w:bookmarkEnd w:id="258"/>
      <w:bookmarkEnd w:id="259"/>
      <w:bookmarkEnd w:id="260"/>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招标文件、中标人的投标文件及其澄清文件等，均为签订合同的依据。</w:t>
      </w:r>
    </w:p>
    <w:p>
      <w:pPr>
        <w:numPr>
          <w:ilvl w:val="1"/>
          <w:numId w:val="51"/>
        </w:numPr>
        <w:spacing w:line="360" w:lineRule="auto"/>
        <w:rPr>
          <w:rFonts w:ascii="仿宋" w:hAnsi="仿宋" w:eastAsia="仿宋" w:cs="仿宋"/>
          <w:sz w:val="24"/>
          <w:szCs w:val="24"/>
        </w:rPr>
      </w:pPr>
      <w:r>
        <w:rPr>
          <w:rFonts w:hint="eastAsia" w:ascii="仿宋" w:hAnsi="仿宋" w:eastAsia="仿宋" w:cs="仿宋"/>
          <w:sz w:val="24"/>
          <w:szCs w:val="24"/>
        </w:rPr>
        <w:t>签订政府采购合同后7个工作日内，采购人应将合同副本报同级政府采购监督管理部门和有关部门备案，采购人应在政府采购合同签订之日起2个工作日内在新疆政府采购网http://www.ccgp-xinjiang.gov.cn/上公告。</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61" w:name="_Toc7064"/>
      <w:bookmarkStart w:id="262" w:name="_Toc22251"/>
      <w:bookmarkStart w:id="263" w:name="_Toc9738"/>
      <w:bookmarkStart w:id="264" w:name="_Toc1719"/>
      <w:bookmarkStart w:id="265" w:name="_Toc4044"/>
      <w:bookmarkStart w:id="266" w:name="_Toc55778724"/>
      <w:r>
        <w:rPr>
          <w:rFonts w:hint="eastAsia" w:ascii="仿宋" w:hAnsi="仿宋" w:eastAsia="仿宋" w:cs="仿宋"/>
          <w:b/>
          <w:bCs/>
          <w:kern w:val="44"/>
          <w:sz w:val="24"/>
          <w:szCs w:val="24"/>
        </w:rPr>
        <w:t>合同的履行</w:t>
      </w:r>
      <w:bookmarkEnd w:id="261"/>
      <w:bookmarkEnd w:id="262"/>
      <w:bookmarkEnd w:id="263"/>
      <w:bookmarkEnd w:id="264"/>
      <w:bookmarkEnd w:id="265"/>
      <w:bookmarkEnd w:id="266"/>
    </w:p>
    <w:p>
      <w:pPr>
        <w:numPr>
          <w:ilvl w:val="1"/>
          <w:numId w:val="52"/>
        </w:numPr>
        <w:spacing w:line="360" w:lineRule="auto"/>
        <w:rPr>
          <w:rFonts w:ascii="仿宋" w:hAnsi="仿宋" w:eastAsia="仿宋" w:cs="仿宋"/>
          <w:sz w:val="24"/>
          <w:szCs w:val="24"/>
        </w:rPr>
      </w:pPr>
      <w:r>
        <w:rPr>
          <w:rFonts w:hint="eastAsia" w:ascii="仿宋" w:hAnsi="仿宋" w:eastAsia="仿宋" w:cs="仿宋"/>
          <w:sz w:val="24"/>
          <w:szCs w:val="24"/>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numPr>
          <w:ilvl w:val="1"/>
          <w:numId w:val="52"/>
        </w:numPr>
        <w:spacing w:line="312" w:lineRule="auto"/>
        <w:rPr>
          <w:rFonts w:ascii="仿宋" w:hAnsi="仿宋" w:eastAsia="仿宋" w:cs="仿宋"/>
          <w:sz w:val="24"/>
          <w:szCs w:val="24"/>
        </w:rPr>
      </w:pPr>
      <w:r>
        <w:rPr>
          <w:rFonts w:hint="eastAsia" w:ascii="仿宋" w:hAnsi="仿宋" w:eastAsia="仿宋" w:cs="仿宋"/>
          <w:sz w:val="24"/>
          <w:szCs w:val="24"/>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67" w:name="_Toc11796"/>
      <w:bookmarkStart w:id="268" w:name="_Toc23462"/>
      <w:bookmarkStart w:id="269" w:name="_Toc28418"/>
      <w:bookmarkStart w:id="270" w:name="_Toc12016"/>
      <w:bookmarkStart w:id="271" w:name="_Toc55778726"/>
      <w:r>
        <w:rPr>
          <w:rFonts w:hint="eastAsia" w:ascii="仿宋" w:hAnsi="仿宋" w:eastAsia="仿宋" w:cs="仿宋"/>
          <w:b/>
          <w:bCs/>
          <w:kern w:val="44"/>
          <w:sz w:val="24"/>
          <w:szCs w:val="24"/>
        </w:rPr>
        <w:t>采购代理服务费</w:t>
      </w:r>
      <w:bookmarkEnd w:id="267"/>
      <w:bookmarkEnd w:id="268"/>
      <w:bookmarkEnd w:id="269"/>
      <w:bookmarkEnd w:id="270"/>
      <w:bookmarkEnd w:id="271"/>
    </w:p>
    <w:p>
      <w:pPr>
        <w:numPr>
          <w:ilvl w:val="1"/>
          <w:numId w:val="53"/>
        </w:numPr>
        <w:spacing w:line="360" w:lineRule="auto"/>
        <w:rPr>
          <w:rFonts w:ascii="仿宋" w:hAnsi="仿宋" w:eastAsia="仿宋" w:cs="仿宋"/>
          <w:sz w:val="24"/>
          <w:szCs w:val="24"/>
        </w:rPr>
      </w:pPr>
      <w:bookmarkStart w:id="272" w:name="_Ref179619574"/>
      <w:r>
        <w:rPr>
          <w:rFonts w:hint="eastAsia" w:ascii="仿宋" w:hAnsi="仿宋" w:eastAsia="仿宋" w:cs="仿宋"/>
          <w:sz w:val="24"/>
          <w:szCs w:val="24"/>
        </w:rPr>
        <w:t>中标人须向采购代理机构按如下标准和规定缴纳采购代理服务费：参照国家发改价格[2011]534号文件的规定，由中标人支付。</w:t>
      </w:r>
    </w:p>
    <w:bookmarkEnd w:id="272"/>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73" w:name="_Toc11945"/>
      <w:bookmarkStart w:id="274" w:name="_Toc29629"/>
      <w:bookmarkStart w:id="275" w:name="_Toc55778727"/>
      <w:bookmarkStart w:id="276" w:name="_Toc18355"/>
      <w:bookmarkStart w:id="277" w:name="_Toc8428"/>
      <w:bookmarkStart w:id="278" w:name="_Toc87"/>
      <w:r>
        <w:rPr>
          <w:rFonts w:hint="eastAsia" w:ascii="仿宋" w:hAnsi="仿宋" w:eastAsia="仿宋" w:cs="仿宋"/>
          <w:b/>
          <w:bCs/>
          <w:kern w:val="44"/>
          <w:sz w:val="24"/>
          <w:szCs w:val="24"/>
        </w:rPr>
        <w:t>适用法律</w:t>
      </w:r>
      <w:bookmarkEnd w:id="273"/>
      <w:bookmarkEnd w:id="274"/>
      <w:bookmarkEnd w:id="275"/>
      <w:bookmarkEnd w:id="276"/>
      <w:bookmarkEnd w:id="277"/>
      <w:bookmarkEnd w:id="278"/>
    </w:p>
    <w:p>
      <w:pPr>
        <w:numPr>
          <w:ilvl w:val="1"/>
          <w:numId w:val="54"/>
        </w:numPr>
        <w:spacing w:line="360" w:lineRule="auto"/>
        <w:rPr>
          <w:rFonts w:ascii="仿宋" w:hAnsi="仿宋" w:eastAsia="仿宋" w:cs="仿宋"/>
          <w:sz w:val="24"/>
          <w:szCs w:val="24"/>
        </w:rPr>
      </w:pPr>
      <w:r>
        <w:rPr>
          <w:rFonts w:hint="eastAsia" w:ascii="仿宋" w:hAnsi="仿宋" w:eastAsia="仿宋" w:cs="仿宋"/>
          <w:sz w:val="24"/>
          <w:szCs w:val="24"/>
        </w:rPr>
        <w:t>采购人、采购代理机构及投标人的一切采购活动均适用《中华人民共和国政府采购法》、《中华人民共和国政府采购法实施条例》及其配套的法规、规章、政策。</w:t>
      </w:r>
    </w:p>
    <w:p>
      <w:pPr>
        <w:keepNext/>
        <w:keepLines/>
        <w:numPr>
          <w:ilvl w:val="0"/>
          <w:numId w:val="4"/>
        </w:numPr>
        <w:tabs>
          <w:tab w:val="left" w:pos="900"/>
        </w:tabs>
        <w:spacing w:line="360" w:lineRule="auto"/>
        <w:ind w:left="924" w:hanging="924"/>
        <w:outlineLvl w:val="0"/>
        <w:rPr>
          <w:rFonts w:ascii="仿宋" w:hAnsi="仿宋" w:eastAsia="仿宋" w:cs="仿宋"/>
          <w:b/>
          <w:bCs/>
          <w:kern w:val="44"/>
          <w:sz w:val="24"/>
          <w:szCs w:val="24"/>
        </w:rPr>
      </w:pPr>
      <w:bookmarkStart w:id="279" w:name="_Toc24416"/>
      <w:bookmarkStart w:id="280" w:name="_Toc22475"/>
      <w:bookmarkStart w:id="281" w:name="_Toc10876"/>
      <w:bookmarkStart w:id="282" w:name="_Toc7754"/>
      <w:bookmarkStart w:id="283" w:name="_Toc7238"/>
      <w:bookmarkStart w:id="284" w:name="_Toc55778728"/>
      <w:r>
        <w:rPr>
          <w:rFonts w:hint="eastAsia" w:ascii="仿宋" w:hAnsi="仿宋" w:eastAsia="仿宋" w:cs="仿宋"/>
          <w:b/>
          <w:bCs/>
          <w:kern w:val="44"/>
          <w:sz w:val="24"/>
          <w:szCs w:val="24"/>
        </w:rPr>
        <w:t>政府采购政策</w:t>
      </w:r>
      <w:bookmarkEnd w:id="279"/>
      <w:bookmarkEnd w:id="280"/>
      <w:bookmarkEnd w:id="281"/>
      <w:bookmarkEnd w:id="282"/>
      <w:bookmarkEnd w:id="283"/>
      <w:bookmarkEnd w:id="284"/>
    </w:p>
    <w:p>
      <w:pPr>
        <w:numPr>
          <w:ilvl w:val="1"/>
          <w:numId w:val="55"/>
        </w:numPr>
        <w:wordWrap w:val="0"/>
        <w:spacing w:line="360" w:lineRule="auto"/>
        <w:ind w:left="1037" w:hanging="1036" w:hangingChars="432"/>
        <w:rPr>
          <w:rFonts w:ascii="仿宋" w:hAnsi="仿宋" w:eastAsia="仿宋" w:cs="仿宋"/>
          <w:sz w:val="24"/>
          <w:szCs w:val="24"/>
        </w:rPr>
      </w:pPr>
      <w:r>
        <w:rPr>
          <w:rFonts w:hint="eastAsia" w:ascii="仿宋" w:hAnsi="仿宋" w:eastAsia="仿宋" w:cs="仿宋"/>
          <w:sz w:val="24"/>
          <w:szCs w:val="24"/>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pPr>
        <w:numPr>
          <w:ilvl w:val="1"/>
          <w:numId w:val="55"/>
        </w:numPr>
        <w:wordWrap w:val="0"/>
        <w:spacing w:line="360" w:lineRule="auto"/>
        <w:ind w:left="1037" w:hanging="1036" w:hangingChars="432"/>
        <w:rPr>
          <w:rFonts w:ascii="仿宋" w:hAnsi="仿宋" w:eastAsia="仿宋" w:cs="仿宋"/>
          <w:sz w:val="24"/>
          <w:szCs w:val="24"/>
        </w:rPr>
      </w:pPr>
      <w:r>
        <w:rPr>
          <w:rFonts w:hint="eastAsia" w:ascii="仿宋" w:hAnsi="仿宋" w:eastAsia="仿宋" w:cs="仿宋"/>
          <w:sz w:val="24"/>
          <w:szCs w:val="24"/>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根据《政府采购促进中小企业发展管理办法》（财库[2020]46号文）的规定，投标人投标时需注意：</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参加政府采购活动的中小企业投标时需提供《中小企业声明函》。否则不予认可。</w:t>
      </w:r>
    </w:p>
    <w:p>
      <w:pPr>
        <w:numPr>
          <w:ilvl w:val="2"/>
          <w:numId w:val="56"/>
        </w:numPr>
        <w:spacing w:line="360" w:lineRule="auto"/>
        <w:rPr>
          <w:rFonts w:ascii="仿宋" w:hAnsi="仿宋" w:eastAsia="仿宋" w:cs="仿宋"/>
          <w:sz w:val="24"/>
          <w:szCs w:val="24"/>
        </w:rPr>
      </w:pPr>
      <w:r>
        <w:rPr>
          <w:rFonts w:hint="eastAsia" w:ascii="仿宋" w:hAnsi="仿宋" w:eastAsia="仿宋" w:cs="仿宋"/>
          <w:sz w:val="24"/>
          <w:szCs w:val="24"/>
        </w:rPr>
        <w:t>政府采购货物时，若投标产品仅部分符合优惠评审要求，投标人应提供满足要求的货物的名称和分项报价（详见投标投标明细报价表），否则不予认可。</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监狱企业产品价格扣除</w:t>
      </w:r>
    </w:p>
    <w:p>
      <w:pPr>
        <w:spacing w:line="360" w:lineRule="auto"/>
        <w:ind w:left="840" w:leftChars="400"/>
        <w:rPr>
          <w:rFonts w:ascii="仿宋" w:hAnsi="仿宋" w:eastAsia="仿宋" w:cs="仿宋"/>
          <w:bCs/>
          <w:sz w:val="24"/>
          <w:szCs w:val="24"/>
        </w:rPr>
      </w:pPr>
      <w:r>
        <w:rPr>
          <w:rFonts w:hint="eastAsia" w:ascii="仿宋" w:hAnsi="仿宋" w:eastAsia="仿宋" w:cs="仿宋"/>
          <w:bCs/>
          <w:sz w:val="24"/>
          <w:szCs w:val="24"/>
        </w:rPr>
        <w:t>根据财政部印发的《司法部关于政府采购支持监狱企业发展有关问题》的通知（财库</w:t>
      </w:r>
      <w:r>
        <w:rPr>
          <w:rFonts w:hint="eastAsia" w:ascii="仿宋" w:hAnsi="仿宋" w:eastAsia="仿宋" w:cs="仿宋"/>
          <w:sz w:val="24"/>
          <w:szCs w:val="24"/>
        </w:rPr>
        <w:t>〔2014〕</w:t>
      </w:r>
      <w:r>
        <w:rPr>
          <w:rFonts w:hint="eastAsia" w:ascii="仿宋" w:hAnsi="仿宋" w:eastAsia="仿宋" w:cs="仿宋"/>
          <w:bCs/>
          <w:sz w:val="24"/>
          <w:szCs w:val="24"/>
        </w:rPr>
        <w:t>68号）的规定，支持监狱和戒毒企业（简称“监狱企业”）发展，监狱企业视同中小企业给予相当中小企业的价格扣除。监狱企业参加政府采购活动时，应当提供由省级以上监狱管理局、戒毒管理局（含新疆生产建设兵团）出具的属于监狱企业的证明文件，否则视为非监狱企业。</w:t>
      </w:r>
    </w:p>
    <w:p>
      <w:pPr>
        <w:numPr>
          <w:ilvl w:val="1"/>
          <w:numId w:val="55"/>
        </w:numPr>
        <w:spacing w:line="360" w:lineRule="auto"/>
        <w:rPr>
          <w:rFonts w:ascii="仿宋" w:hAnsi="仿宋" w:eastAsia="仿宋" w:cs="仿宋"/>
          <w:sz w:val="24"/>
          <w:szCs w:val="24"/>
        </w:rPr>
      </w:pPr>
      <w:r>
        <w:rPr>
          <w:rFonts w:hint="eastAsia" w:ascii="仿宋" w:hAnsi="仿宋" w:eastAsia="仿宋" w:cs="仿宋"/>
          <w:sz w:val="24"/>
          <w:szCs w:val="24"/>
        </w:rPr>
        <w:t>残疾人福利性单位产品价格扣除</w:t>
      </w:r>
    </w:p>
    <w:p>
      <w:pPr>
        <w:spacing w:line="360" w:lineRule="auto"/>
        <w:ind w:left="840" w:leftChars="400"/>
        <w:rPr>
          <w:rFonts w:ascii="仿宋" w:hAnsi="仿宋" w:eastAsia="仿宋" w:cs="仿宋"/>
          <w:bCs/>
          <w:sz w:val="24"/>
          <w:szCs w:val="24"/>
        </w:rPr>
      </w:pPr>
      <w:r>
        <w:rPr>
          <w:rFonts w:hint="eastAsia" w:ascii="仿宋" w:hAnsi="仿宋" w:eastAsia="仿宋" w:cs="仿宋"/>
          <w:sz w:val="24"/>
          <w:szCs w:val="24"/>
        </w:rPr>
        <w:t>根据</w:t>
      </w:r>
      <w:r>
        <w:rPr>
          <w:rFonts w:hint="eastAsia" w:ascii="仿宋" w:hAnsi="仿宋" w:eastAsia="仿宋" w:cs="仿宋"/>
          <w:bCs/>
          <w:sz w:val="24"/>
          <w:szCs w:val="24"/>
        </w:rPr>
        <w:t>财政部印发的</w:t>
      </w:r>
      <w:r>
        <w:rPr>
          <w:rFonts w:hint="eastAsia" w:ascii="仿宋" w:hAnsi="仿宋" w:eastAsia="仿宋" w:cs="仿宋"/>
          <w:sz w:val="24"/>
          <w:szCs w:val="24"/>
        </w:rPr>
        <w:t>《关于促进残疾人就业政府采购政策的通知》（财库〔2017〕141号）的规定，</w:t>
      </w:r>
      <w:r>
        <w:rPr>
          <w:rFonts w:hint="eastAsia" w:ascii="仿宋" w:hAnsi="仿宋" w:eastAsia="仿宋" w:cs="仿宋"/>
          <w:bCs/>
          <w:sz w:val="24"/>
          <w:szCs w:val="24"/>
        </w:rPr>
        <w:t>残疾人福利性单位视同中小企业给予相当中小企业的价格扣除。残疾人福利性单位参加政府采购活动时，应当提供《残疾人福利性单位声明函》，否则视为非残疾人福利性单位。</w:t>
      </w:r>
    </w:p>
    <w:p>
      <w:pPr>
        <w:spacing w:line="360" w:lineRule="auto"/>
        <w:ind w:left="840" w:leftChars="400"/>
        <w:rPr>
          <w:rFonts w:ascii="仿宋" w:hAnsi="仿宋" w:eastAsia="仿宋" w:cs="仿宋"/>
          <w:b/>
          <w:sz w:val="24"/>
          <w:szCs w:val="24"/>
        </w:rPr>
      </w:pPr>
      <w:r>
        <w:rPr>
          <w:rFonts w:hint="eastAsia" w:ascii="仿宋" w:hAnsi="仿宋" w:eastAsia="仿宋" w:cs="仿宋"/>
          <w:b/>
          <w:sz w:val="24"/>
          <w:szCs w:val="24"/>
        </w:rPr>
        <w:t>注1：投标人若同时为中小企业、监狱企业、残疾人福利性单位或其中两种，均只能享受一次价格扣除。</w:t>
      </w:r>
    </w:p>
    <w:p>
      <w:pPr>
        <w:spacing w:line="360" w:lineRule="auto"/>
        <w:ind w:left="840" w:leftChars="400"/>
        <w:rPr>
          <w:rFonts w:ascii="仿宋" w:hAnsi="仿宋" w:eastAsia="仿宋" w:cs="仿宋"/>
          <w:b/>
          <w:sz w:val="24"/>
          <w:szCs w:val="24"/>
        </w:rPr>
      </w:pPr>
      <w:r>
        <w:rPr>
          <w:rFonts w:hint="eastAsia" w:ascii="仿宋" w:hAnsi="仿宋" w:eastAsia="仿宋" w:cs="仿宋"/>
          <w:b/>
          <w:sz w:val="24"/>
          <w:szCs w:val="24"/>
        </w:rPr>
        <w:t>注2：中小企业、残疾人福利性单位提供其他企业制造的货物的，则该货物的制造商也必须为上述企业，否则不能享受价格优惠。</w:t>
      </w:r>
    </w:p>
    <w:p>
      <w:pPr>
        <w:spacing w:line="360" w:lineRule="auto"/>
        <w:ind w:firstLine="964" w:firstLineChars="400"/>
        <w:rPr>
          <w:rFonts w:ascii="仿宋" w:hAnsi="仿宋" w:eastAsia="仿宋" w:cs="仿宋"/>
          <w:sz w:val="24"/>
          <w:szCs w:val="24"/>
        </w:rPr>
      </w:pPr>
      <w:r>
        <w:rPr>
          <w:rFonts w:hint="eastAsia" w:ascii="仿宋" w:hAnsi="仿宋" w:eastAsia="仿宋" w:cs="仿宋"/>
          <w:b/>
          <w:sz w:val="24"/>
          <w:szCs w:val="24"/>
        </w:rPr>
        <w:t>注3：中小企业声明函注意事项：</w:t>
      </w:r>
    </w:p>
    <w:p>
      <w:pPr>
        <w:spacing w:line="360" w:lineRule="auto"/>
        <w:ind w:left="870" w:leftChars="300" w:hanging="240" w:hangingChars="100"/>
        <w:rPr>
          <w:rFonts w:ascii="仿宋" w:hAnsi="仿宋" w:eastAsia="仿宋" w:cs="仿宋"/>
          <w:sz w:val="24"/>
          <w:szCs w:val="24"/>
        </w:rPr>
      </w:pPr>
      <w:r>
        <w:rPr>
          <w:rFonts w:hint="eastAsia" w:ascii="仿宋" w:hAnsi="仿宋" w:eastAsia="仿宋" w:cs="仿宋"/>
          <w:sz w:val="24"/>
          <w:szCs w:val="24"/>
        </w:rPr>
        <w:t>（1）投标人在此声明函未填写“小型、微型”其中之一的，将视为非中小企业，不能享受价格扣除。</w:t>
      </w:r>
    </w:p>
    <w:p>
      <w:pPr>
        <w:spacing w:line="360" w:lineRule="auto"/>
        <w:ind w:left="630" w:leftChars="300"/>
        <w:rPr>
          <w:rFonts w:ascii="仿宋" w:hAnsi="仿宋" w:eastAsia="仿宋" w:cs="仿宋"/>
          <w:sz w:val="24"/>
          <w:szCs w:val="24"/>
        </w:rPr>
      </w:pPr>
      <w:r>
        <w:rPr>
          <w:rFonts w:hint="eastAsia" w:ascii="仿宋" w:hAnsi="仿宋" w:eastAsia="仿宋" w:cs="仿宋"/>
          <w:sz w:val="24"/>
          <w:szCs w:val="24"/>
        </w:rPr>
        <w:t>（2）投标人提供其他制造商（生产厂家）制作的货物投标，需要同时提供《中小企业声明函》及《制造商中小企业声明函》（其中《中小企业声明函》加盖投标人公章，《制造商中小企业声明函》加盖制造商公章），中小企业优惠标准以制造商企业类型为准。具有多个制造商的货物须提供相应制造商的《制造商中小企业声明函》。提供资料不齐全的视为非中小企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（3）投标人提供自己制造的货物投标，则提供《中小企业声明函》。</w:t>
      </w:r>
    </w:p>
    <w:p>
      <w:pPr>
        <w:spacing w:after="120"/>
        <w:rPr>
          <w:rFonts w:ascii="仿宋" w:hAnsi="仿宋" w:eastAsia="仿宋" w:cs="仿宋"/>
          <w:sz w:val="24"/>
          <w:szCs w:val="24"/>
          <w:highlight w:val="yellow"/>
        </w:rPr>
      </w:pPr>
    </w:p>
    <w:p>
      <w:pPr>
        <w:pStyle w:val="22"/>
        <w:rPr>
          <w:rFonts w:ascii="仿宋" w:hAnsi="仿宋" w:eastAsia="仿宋" w:cs="仿宋"/>
          <w:sz w:val="24"/>
          <w:szCs w:val="24"/>
          <w:highlight w:val="yellow"/>
        </w:rPr>
      </w:pPr>
    </w:p>
    <w:p>
      <w:pPr>
        <w:pStyle w:val="22"/>
        <w:rPr>
          <w:rFonts w:ascii="仿宋" w:hAnsi="仿宋" w:eastAsia="仿宋" w:cs="仿宋"/>
          <w:sz w:val="24"/>
          <w:szCs w:val="24"/>
          <w:highlight w:val="yellow"/>
        </w:rPr>
      </w:pPr>
    </w:p>
    <w:p>
      <w:pPr>
        <w:pStyle w:val="22"/>
        <w:rPr>
          <w:rFonts w:ascii="仿宋" w:hAnsi="仿宋" w:eastAsia="仿宋" w:cs="仿宋"/>
          <w:sz w:val="24"/>
          <w:szCs w:val="24"/>
          <w:highlight w:val="yellow"/>
        </w:rPr>
      </w:pPr>
    </w:p>
    <w:p>
      <w:pPr>
        <w:pStyle w:val="22"/>
        <w:rPr>
          <w:rFonts w:ascii="仿宋" w:hAnsi="仿宋" w:eastAsia="仿宋" w:cs="仿宋"/>
          <w:sz w:val="24"/>
          <w:szCs w:val="24"/>
          <w:highlight w:val="yellow"/>
        </w:rPr>
      </w:pPr>
    </w:p>
    <w:p>
      <w:pPr>
        <w:outlineLvl w:val="0"/>
        <w:rPr>
          <w:rFonts w:ascii="仿宋" w:hAnsi="仿宋" w:eastAsia="仿宋" w:cs="仿宋"/>
          <w:kern w:val="44"/>
          <w:sz w:val="24"/>
          <w:szCs w:val="24"/>
          <w:highlight w:val="yellow"/>
        </w:rPr>
      </w:pPr>
      <w:bookmarkStart w:id="285" w:name="_Toc55778730"/>
      <w:bookmarkStart w:id="286" w:name="_Toc16833"/>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pStyle w:val="34"/>
        <w:rPr>
          <w:rFonts w:ascii="仿宋" w:hAnsi="仿宋" w:eastAsia="仿宋" w:cs="仿宋"/>
          <w:kern w:val="44"/>
          <w:highlight w:val="yellow"/>
        </w:rPr>
      </w:pPr>
    </w:p>
    <w:p>
      <w:pPr>
        <w:jc w:val="center"/>
        <w:outlineLvl w:val="0"/>
        <w:rPr>
          <w:rFonts w:ascii="仿宋" w:hAnsi="仿宋" w:eastAsia="仿宋" w:cs="仿宋"/>
          <w:b/>
          <w:bCs/>
          <w:kern w:val="44"/>
          <w:sz w:val="30"/>
          <w:szCs w:val="30"/>
        </w:rPr>
      </w:pPr>
      <w:bookmarkStart w:id="287" w:name="_Toc646"/>
      <w:r>
        <w:rPr>
          <w:rFonts w:hint="eastAsia" w:ascii="仿宋" w:hAnsi="仿宋" w:eastAsia="仿宋" w:cs="仿宋"/>
          <w:b/>
          <w:bCs/>
          <w:kern w:val="44"/>
          <w:sz w:val="30"/>
          <w:szCs w:val="30"/>
        </w:rPr>
        <w:t>第四章 合同格式</w:t>
      </w:r>
      <w:bookmarkEnd w:id="285"/>
      <w:bookmarkEnd w:id="286"/>
      <w:bookmarkEnd w:id="287"/>
    </w:p>
    <w:p>
      <w:pPr>
        <w:widowControl/>
        <w:kinsoku w:val="0"/>
        <w:overflowPunct w:val="0"/>
        <w:jc w:val="left"/>
        <w:rPr>
          <w:rFonts w:ascii="仿宋" w:hAnsi="仿宋" w:eastAsia="仿宋" w:cs="仿宋"/>
          <w:kern w:val="0"/>
          <w:sz w:val="24"/>
          <w:szCs w:val="24"/>
          <w:highlight w:val="yellow"/>
        </w:rPr>
      </w:pPr>
    </w:p>
    <w:p>
      <w:pPr>
        <w:pStyle w:val="22"/>
        <w:kinsoku w:val="0"/>
        <w:overflowPunct w:val="0"/>
        <w:rPr>
          <w:rFonts w:ascii="仿宋" w:hAnsi="仿宋" w:eastAsia="仿宋" w:cs="仿宋"/>
          <w:sz w:val="24"/>
          <w:szCs w:val="24"/>
          <w:highlight w:val="yellow"/>
        </w:rPr>
      </w:pPr>
    </w:p>
    <w:p>
      <w:pPr>
        <w:spacing w:line="360" w:lineRule="auto"/>
        <w:ind w:firstLine="480" w:firstLineChars="200"/>
        <w:jc w:val="center"/>
        <w:rPr>
          <w:rFonts w:ascii="宋体"/>
          <w:sz w:val="24"/>
        </w:rPr>
      </w:pPr>
      <w:r>
        <w:rPr>
          <w:rFonts w:ascii="宋体" w:hAnsi="宋体"/>
          <w:sz w:val="24"/>
        </w:rPr>
        <w:t>(</w:t>
      </w:r>
      <w:r>
        <w:rPr>
          <w:rFonts w:hint="eastAsia" w:ascii="宋体" w:hAnsi="宋体"/>
          <w:sz w:val="24"/>
        </w:rPr>
        <w:t>此合同样本仅供参考</w:t>
      </w:r>
      <w:r>
        <w:rPr>
          <w:rFonts w:ascii="宋体"/>
          <w:sz w:val="24"/>
        </w:rPr>
        <w:t>,</w:t>
      </w:r>
      <w:r>
        <w:rPr>
          <w:rFonts w:hint="eastAsia" w:ascii="宋体" w:hAnsi="宋体"/>
          <w:sz w:val="24"/>
        </w:rPr>
        <w:t>合同具体细则以成交双方协定为准</w:t>
      </w:r>
      <w:r>
        <w:rPr>
          <w:rFonts w:ascii="宋体" w:hAnsi="宋体"/>
          <w:sz w:val="24"/>
        </w:rPr>
        <w:t>)</w:t>
      </w:r>
    </w:p>
    <w:p>
      <w:pPr>
        <w:rPr>
          <w:rFonts w:ascii="楷体" w:hAnsi="楷体" w:eastAsia="楷体"/>
          <w:sz w:val="24"/>
          <w:u w:val="single"/>
        </w:rPr>
      </w:pPr>
      <w:r>
        <w:rPr>
          <w:rFonts w:hint="eastAsia" w:ascii="楷体" w:hAnsi="楷体" w:eastAsia="楷体"/>
          <w:sz w:val="24"/>
        </w:rPr>
        <w:t>合同编号：</w:t>
      </w:r>
    </w:p>
    <w:p>
      <w:pPr>
        <w:spacing w:line="480" w:lineRule="auto"/>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71"/>
        <w:rPr>
          <w:rFonts w:ascii="楷体" w:hAnsi="楷体" w:eastAsia="楷体"/>
          <w:szCs w:val="24"/>
        </w:rPr>
      </w:pPr>
    </w:p>
    <w:p>
      <w:pPr>
        <w:pStyle w:val="71"/>
        <w:rPr>
          <w:rFonts w:ascii="楷体" w:hAnsi="楷体" w:eastAsia="楷体"/>
          <w:szCs w:val="24"/>
        </w:rPr>
      </w:pPr>
    </w:p>
    <w:p>
      <w:pPr>
        <w:pStyle w:val="71"/>
        <w:rPr>
          <w:rFonts w:ascii="楷体" w:hAnsi="楷体" w:eastAsia="楷体"/>
          <w:szCs w:val="24"/>
        </w:rPr>
      </w:pPr>
    </w:p>
    <w:p>
      <w:pPr>
        <w:pStyle w:val="71"/>
        <w:spacing w:line="560" w:lineRule="exact"/>
        <w:ind w:firstLine="482"/>
        <w:jc w:val="center"/>
        <w:rPr>
          <w:rFonts w:ascii="宋体" w:hAnsi="宋体" w:cs="宋体"/>
          <w:b/>
          <w:sz w:val="24"/>
          <w:szCs w:val="24"/>
        </w:rPr>
      </w:pPr>
      <w:r>
        <w:rPr>
          <w:rFonts w:hint="eastAsia" w:ascii="宋体" w:hAnsi="宋体" w:cs="宋体"/>
          <w:b/>
          <w:sz w:val="24"/>
          <w:szCs w:val="24"/>
        </w:rPr>
        <w:t>第一部分 合同书</w:t>
      </w:r>
    </w:p>
    <w:p>
      <w:pPr>
        <w:pStyle w:val="71"/>
        <w:rPr>
          <w:rFonts w:ascii="楷体" w:hAnsi="楷体" w:eastAsia="楷体"/>
          <w:szCs w:val="24"/>
        </w:rPr>
      </w:pPr>
    </w:p>
    <w:p>
      <w:pPr>
        <w:pStyle w:val="71"/>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2"/>
        <w:spacing w:before="120" w:line="22" w:lineRule="atLeast"/>
        <w:rPr>
          <w:rFonts w:ascii="宋体" w:hAnsi="宋体" w:eastAsia="宋体" w:cs="宋体"/>
          <w:szCs w:val="24"/>
        </w:rPr>
      </w:pPr>
    </w:p>
    <w:p>
      <w:pPr>
        <w:pStyle w:val="72"/>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highlight w:val="yellow"/>
        </w:rPr>
        <w:sectPr>
          <w:headerReference r:id="rId3" w:type="default"/>
          <w:footerReference r:id="rId4" w:type="default"/>
          <w:type w:val="continuous"/>
          <w:pgSz w:w="11907" w:h="16840"/>
          <w:pgMar w:top="1474" w:right="1417" w:bottom="1474" w:left="1417" w:header="851" w:footer="851" w:gutter="0"/>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 </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w:t>
      </w:r>
      <w:r>
        <w:rPr>
          <w:rFonts w:hint="eastAsia" w:ascii="宋体" w:hAnsi="宋体" w:cs="宋体"/>
          <w:sz w:val="24"/>
          <w:szCs w:val="24"/>
        </w:rPr>
        <w:t>民法典</w:t>
      </w:r>
      <w:r>
        <w:rPr>
          <w:rFonts w:hint="eastAsia" w:ascii="宋体" w:hAnsi="宋体" w:cs="宋体"/>
          <w:sz w:val="24"/>
          <w:szCs w:val="24"/>
          <w:lang w:val="zh-CN"/>
        </w:rPr>
        <w:t>》、《中华人民共和国政府采购法》等相关法律法规之规定，按照平等、自愿、公平和诚实信用的原则，经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0"/>
        <w:rPr>
          <w:rFonts w:ascii="宋体" w:hAnsi="宋体" w:cs="宋体"/>
          <w:sz w:val="24"/>
          <w:szCs w:val="24"/>
        </w:rPr>
      </w:pPr>
      <w:bookmarkStart w:id="288" w:name="_Toc20421"/>
      <w:bookmarkStart w:id="289" w:name="_Toc2834"/>
      <w:bookmarkStart w:id="290" w:name="_Toc28855"/>
      <w:bookmarkStart w:id="291" w:name="_Toc22967"/>
      <w:bookmarkStart w:id="292" w:name="_Toc15367"/>
      <w:bookmarkStart w:id="293" w:name="_Toc19273"/>
      <w:r>
        <w:rPr>
          <w:rFonts w:hint="eastAsia" w:ascii="宋体" w:hAnsi="宋体" w:cs="宋体"/>
          <w:b/>
          <w:sz w:val="24"/>
          <w:szCs w:val="24"/>
        </w:rPr>
        <w:t>1.1 合同组成部分</w:t>
      </w:r>
      <w:bookmarkEnd w:id="288"/>
      <w:bookmarkEnd w:id="289"/>
      <w:bookmarkEnd w:id="290"/>
      <w:bookmarkEnd w:id="291"/>
      <w:bookmarkEnd w:id="292"/>
      <w:bookmarkEnd w:id="293"/>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招标文件（含澄清或者修改文件）；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0"/>
        <w:rPr>
          <w:rFonts w:ascii="宋体" w:hAnsi="宋体" w:cs="宋体"/>
          <w:b/>
          <w:sz w:val="24"/>
          <w:szCs w:val="24"/>
        </w:rPr>
      </w:pPr>
      <w:bookmarkStart w:id="294" w:name="_Toc6773"/>
      <w:bookmarkStart w:id="295" w:name="_Toc17205"/>
      <w:bookmarkStart w:id="296" w:name="_Toc22185"/>
      <w:bookmarkStart w:id="297" w:name="_Toc6311"/>
      <w:bookmarkStart w:id="298" w:name="_Toc2918"/>
      <w:bookmarkStart w:id="299" w:name="_Toc18585"/>
      <w:r>
        <w:rPr>
          <w:rFonts w:hint="eastAsia" w:ascii="宋体" w:hAnsi="宋体" w:cs="宋体"/>
          <w:b/>
          <w:sz w:val="24"/>
          <w:szCs w:val="24"/>
        </w:rPr>
        <w:t>1.2 标的</w:t>
      </w:r>
      <w:bookmarkEnd w:id="294"/>
      <w:bookmarkEnd w:id="295"/>
      <w:bookmarkEnd w:id="296"/>
      <w:bookmarkEnd w:id="297"/>
      <w:bookmarkEnd w:id="298"/>
      <w:bookmarkEnd w:id="299"/>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标的名称：；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标的数量：；</w:t>
      </w:r>
    </w:p>
    <w:p>
      <w:pPr>
        <w:spacing w:line="560" w:lineRule="exact"/>
        <w:ind w:firstLine="480" w:firstLineChars="200"/>
        <w:rPr>
          <w:rFonts w:ascii="宋体" w:hAnsi="宋体" w:cs="宋体"/>
          <w:sz w:val="24"/>
          <w:szCs w:val="24"/>
        </w:rPr>
      </w:pPr>
      <w:r>
        <w:rPr>
          <w:rFonts w:hint="eastAsia" w:ascii="宋体" w:hAnsi="宋体" w:cs="宋体"/>
          <w:sz w:val="24"/>
          <w:szCs w:val="24"/>
        </w:rPr>
        <w:t>1.2.3 标的质量：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0"/>
        <w:rPr>
          <w:rFonts w:ascii="宋体" w:hAnsi="宋体" w:cs="宋体"/>
          <w:b/>
          <w:sz w:val="24"/>
          <w:szCs w:val="24"/>
        </w:rPr>
      </w:pPr>
      <w:bookmarkStart w:id="300" w:name="_Toc13918"/>
      <w:bookmarkStart w:id="301" w:name="_Toc1386"/>
      <w:bookmarkStart w:id="302" w:name="_Toc5635"/>
      <w:bookmarkStart w:id="303" w:name="_Toc23139"/>
      <w:bookmarkStart w:id="304" w:name="_Toc4929"/>
      <w:bookmarkStart w:id="305" w:name="_Toc21124"/>
      <w:r>
        <w:rPr>
          <w:rFonts w:hint="eastAsia" w:ascii="宋体" w:hAnsi="宋体" w:cs="宋体"/>
          <w:b/>
          <w:sz w:val="24"/>
          <w:szCs w:val="24"/>
        </w:rPr>
        <w:t>1.3 价款</w:t>
      </w:r>
      <w:bookmarkEnd w:id="300"/>
      <w:bookmarkEnd w:id="301"/>
      <w:bookmarkEnd w:id="302"/>
      <w:bookmarkEnd w:id="303"/>
      <w:bookmarkEnd w:id="304"/>
      <w:bookmarkEnd w:id="305"/>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rPr>
      </w:pPr>
      <w:r>
        <w:rPr>
          <w:rFonts w:hint="eastAsia" w:ascii="宋体" w:hAnsi="宋体" w:cs="宋体"/>
          <w:sz w:val="24"/>
          <w:szCs w:val="24"/>
        </w:rPr>
        <w:t>分项价格：</w:t>
      </w:r>
    </w:p>
    <w:tbl>
      <w:tblPr>
        <w:tblStyle w:val="2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4222"/>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3"/>
              <w:spacing w:line="560" w:lineRule="exact"/>
              <w:jc w:val="center"/>
              <w:rPr>
                <w:rFonts w:hAnsi="宋体" w:eastAsia="宋体" w:cs="宋体"/>
                <w:sz w:val="24"/>
                <w:szCs w:val="24"/>
              </w:rPr>
            </w:pPr>
            <w:r>
              <w:rPr>
                <w:rFonts w:hint="eastAsia" w:hAnsi="宋体" w:eastAsia="宋体" w:cs="宋体"/>
                <w:sz w:val="24"/>
                <w:szCs w:val="24"/>
              </w:rPr>
              <w:t>序号</w:t>
            </w:r>
          </w:p>
        </w:tc>
        <w:tc>
          <w:tcPr>
            <w:tcW w:w="4222" w:type="dxa"/>
            <w:vAlign w:val="center"/>
          </w:tcPr>
          <w:p>
            <w:pPr>
              <w:pStyle w:val="73"/>
              <w:spacing w:line="560" w:lineRule="exact"/>
              <w:ind w:firstLine="200"/>
              <w:jc w:val="center"/>
              <w:rPr>
                <w:rFonts w:hAnsi="宋体" w:eastAsia="宋体" w:cs="宋体"/>
                <w:sz w:val="24"/>
                <w:szCs w:val="24"/>
              </w:rPr>
            </w:pPr>
            <w:r>
              <w:rPr>
                <w:rFonts w:hint="eastAsia" w:hAnsi="宋体" w:eastAsia="宋体" w:cs="宋体"/>
                <w:sz w:val="24"/>
                <w:szCs w:val="24"/>
              </w:rPr>
              <w:t>分项名称</w:t>
            </w:r>
          </w:p>
        </w:tc>
        <w:tc>
          <w:tcPr>
            <w:tcW w:w="3167" w:type="dxa"/>
            <w:vAlign w:val="center"/>
          </w:tcPr>
          <w:p>
            <w:pPr>
              <w:pStyle w:val="73"/>
              <w:spacing w:line="560" w:lineRule="exact"/>
              <w:jc w:val="center"/>
              <w:rPr>
                <w:rFonts w:hAnsi="宋体" w:eastAsia="宋体" w:cs="宋体"/>
                <w:color w:val="000000"/>
                <w:sz w:val="24"/>
                <w:szCs w:val="24"/>
                <w:highlight w:val="yellow"/>
              </w:rPr>
            </w:pPr>
            <w:r>
              <w:rPr>
                <w:rFonts w:hint="eastAsia"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3"/>
              <w:spacing w:line="560" w:lineRule="exact"/>
              <w:ind w:firstLine="200"/>
              <w:jc w:val="center"/>
              <w:rPr>
                <w:rFonts w:hAnsi="宋体" w:eastAsia="宋体" w:cs="宋体"/>
                <w:sz w:val="24"/>
                <w:szCs w:val="24"/>
              </w:rPr>
            </w:pPr>
          </w:p>
        </w:tc>
        <w:tc>
          <w:tcPr>
            <w:tcW w:w="4222" w:type="dxa"/>
            <w:vAlign w:val="center"/>
          </w:tcPr>
          <w:p>
            <w:pPr>
              <w:pStyle w:val="73"/>
              <w:spacing w:line="560" w:lineRule="exact"/>
              <w:ind w:firstLine="200"/>
              <w:jc w:val="center"/>
              <w:rPr>
                <w:rFonts w:hAnsi="宋体" w:eastAsia="宋体" w:cs="宋体"/>
                <w:sz w:val="24"/>
                <w:szCs w:val="24"/>
              </w:rPr>
            </w:pPr>
          </w:p>
        </w:tc>
        <w:tc>
          <w:tcPr>
            <w:tcW w:w="3167" w:type="dxa"/>
            <w:vAlign w:val="center"/>
          </w:tcPr>
          <w:p>
            <w:pPr>
              <w:pStyle w:val="73"/>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3"/>
              <w:spacing w:line="560" w:lineRule="exact"/>
              <w:ind w:firstLine="200"/>
              <w:jc w:val="center"/>
              <w:rPr>
                <w:rFonts w:hAnsi="宋体" w:eastAsia="宋体" w:cs="宋体"/>
                <w:sz w:val="24"/>
                <w:szCs w:val="24"/>
              </w:rPr>
            </w:pPr>
          </w:p>
        </w:tc>
        <w:tc>
          <w:tcPr>
            <w:tcW w:w="4222" w:type="dxa"/>
            <w:vAlign w:val="center"/>
          </w:tcPr>
          <w:p>
            <w:pPr>
              <w:pStyle w:val="73"/>
              <w:spacing w:line="560" w:lineRule="exact"/>
              <w:ind w:firstLine="200"/>
              <w:jc w:val="center"/>
              <w:rPr>
                <w:rFonts w:hAnsi="宋体" w:eastAsia="宋体" w:cs="宋体"/>
                <w:sz w:val="24"/>
                <w:szCs w:val="24"/>
              </w:rPr>
            </w:pPr>
          </w:p>
        </w:tc>
        <w:tc>
          <w:tcPr>
            <w:tcW w:w="3167" w:type="dxa"/>
            <w:vAlign w:val="center"/>
          </w:tcPr>
          <w:p>
            <w:pPr>
              <w:pStyle w:val="73"/>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3"/>
              <w:spacing w:line="560" w:lineRule="exact"/>
              <w:ind w:firstLine="200"/>
              <w:jc w:val="center"/>
              <w:rPr>
                <w:rFonts w:hAnsi="宋体" w:eastAsia="宋体" w:cs="宋体"/>
                <w:sz w:val="24"/>
                <w:szCs w:val="24"/>
              </w:rPr>
            </w:pPr>
          </w:p>
        </w:tc>
        <w:tc>
          <w:tcPr>
            <w:tcW w:w="4222" w:type="dxa"/>
            <w:vAlign w:val="center"/>
          </w:tcPr>
          <w:p>
            <w:pPr>
              <w:pStyle w:val="73"/>
              <w:spacing w:line="560" w:lineRule="exact"/>
              <w:ind w:firstLine="200"/>
              <w:jc w:val="center"/>
              <w:rPr>
                <w:rFonts w:hAnsi="宋体" w:eastAsia="宋体" w:cs="宋体"/>
                <w:sz w:val="24"/>
                <w:szCs w:val="24"/>
              </w:rPr>
            </w:pPr>
          </w:p>
        </w:tc>
        <w:tc>
          <w:tcPr>
            <w:tcW w:w="3167" w:type="dxa"/>
            <w:vAlign w:val="center"/>
          </w:tcPr>
          <w:p>
            <w:pPr>
              <w:pStyle w:val="73"/>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90" w:type="dxa"/>
            <w:vAlign w:val="center"/>
          </w:tcPr>
          <w:p>
            <w:pPr>
              <w:pStyle w:val="73"/>
              <w:spacing w:line="560" w:lineRule="exact"/>
              <w:ind w:firstLine="200"/>
              <w:jc w:val="center"/>
              <w:rPr>
                <w:rFonts w:hAnsi="宋体" w:eastAsia="宋体" w:cs="宋体"/>
                <w:sz w:val="24"/>
                <w:szCs w:val="24"/>
              </w:rPr>
            </w:pPr>
          </w:p>
        </w:tc>
        <w:tc>
          <w:tcPr>
            <w:tcW w:w="4222" w:type="dxa"/>
            <w:vAlign w:val="center"/>
          </w:tcPr>
          <w:p>
            <w:pPr>
              <w:pStyle w:val="73"/>
              <w:spacing w:line="560" w:lineRule="exact"/>
              <w:ind w:firstLine="200"/>
              <w:jc w:val="center"/>
              <w:rPr>
                <w:rFonts w:hAnsi="宋体" w:eastAsia="宋体" w:cs="宋体"/>
                <w:sz w:val="24"/>
                <w:szCs w:val="24"/>
              </w:rPr>
            </w:pPr>
          </w:p>
        </w:tc>
        <w:tc>
          <w:tcPr>
            <w:tcW w:w="3167" w:type="dxa"/>
            <w:vAlign w:val="center"/>
          </w:tcPr>
          <w:p>
            <w:pPr>
              <w:pStyle w:val="73"/>
              <w:spacing w:line="560" w:lineRule="exact"/>
              <w:ind w:firstLine="200"/>
              <w:jc w:val="center"/>
              <w:rPr>
                <w:rFonts w:hAnsi="宋体" w:eastAsia="宋体" w:cs="宋体"/>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12" w:type="dxa"/>
            <w:gridSpan w:val="2"/>
            <w:vAlign w:val="center"/>
          </w:tcPr>
          <w:p>
            <w:pPr>
              <w:pStyle w:val="73"/>
              <w:spacing w:line="560" w:lineRule="exact"/>
              <w:ind w:firstLine="200"/>
              <w:jc w:val="center"/>
              <w:rPr>
                <w:rFonts w:hAnsi="宋体" w:eastAsia="宋体" w:cs="宋体"/>
                <w:sz w:val="24"/>
                <w:szCs w:val="24"/>
              </w:rPr>
            </w:pPr>
            <w:r>
              <w:rPr>
                <w:rFonts w:hint="eastAsia" w:hAnsi="宋体" w:eastAsia="宋体" w:cs="宋体"/>
                <w:sz w:val="24"/>
                <w:szCs w:val="24"/>
              </w:rPr>
              <w:t>总价</w:t>
            </w:r>
          </w:p>
        </w:tc>
        <w:tc>
          <w:tcPr>
            <w:tcW w:w="3167" w:type="dxa"/>
            <w:vAlign w:val="center"/>
          </w:tcPr>
          <w:p>
            <w:pPr>
              <w:pStyle w:val="73"/>
              <w:spacing w:line="560" w:lineRule="exact"/>
              <w:ind w:firstLine="200"/>
              <w:jc w:val="center"/>
              <w:rPr>
                <w:rFonts w:hAnsi="宋体" w:eastAsia="宋体" w:cs="宋体"/>
                <w:color w:val="000000"/>
                <w:sz w:val="24"/>
                <w:szCs w:val="24"/>
                <w:highlight w:val="yellow"/>
              </w:rPr>
            </w:pPr>
          </w:p>
        </w:tc>
      </w:tr>
    </w:tbl>
    <w:p>
      <w:pPr>
        <w:spacing w:line="560" w:lineRule="exact"/>
        <w:ind w:firstLine="482" w:firstLineChars="200"/>
        <w:outlineLvl w:val="0"/>
        <w:rPr>
          <w:rFonts w:ascii="宋体" w:hAnsi="宋体" w:cs="宋体"/>
          <w:b/>
          <w:sz w:val="24"/>
          <w:szCs w:val="24"/>
        </w:rPr>
      </w:pPr>
      <w:bookmarkStart w:id="306" w:name="_Toc30158"/>
      <w:bookmarkStart w:id="307" w:name="_Toc30506"/>
      <w:bookmarkStart w:id="308" w:name="_Toc14993"/>
      <w:bookmarkStart w:id="309" w:name="_Toc30534"/>
      <w:bookmarkStart w:id="310" w:name="_Toc3654"/>
      <w:bookmarkStart w:id="311" w:name="_Toc26916"/>
      <w:r>
        <w:rPr>
          <w:rFonts w:hint="eastAsia" w:ascii="宋体" w:hAnsi="宋体" w:cs="宋体"/>
          <w:b/>
          <w:sz w:val="24"/>
          <w:szCs w:val="24"/>
        </w:rPr>
        <w:t>1.4 付款方式和发票开具方式</w:t>
      </w:r>
      <w:bookmarkEnd w:id="306"/>
      <w:bookmarkEnd w:id="307"/>
      <w:bookmarkEnd w:id="308"/>
      <w:bookmarkEnd w:id="309"/>
      <w:bookmarkEnd w:id="310"/>
      <w:bookmarkEnd w:id="311"/>
    </w:p>
    <w:p>
      <w:pPr>
        <w:spacing w:line="560" w:lineRule="exact"/>
        <w:ind w:firstLine="480" w:firstLineChars="200"/>
        <w:rPr>
          <w:rFonts w:ascii="宋体" w:hAnsi="宋体" w:cs="宋体"/>
          <w:sz w:val="24"/>
          <w:szCs w:val="24"/>
          <w:highlight w:val="yellow"/>
        </w:rPr>
      </w:pPr>
      <w:r>
        <w:rPr>
          <w:rFonts w:hint="eastAsia" w:ascii="宋体" w:hAnsi="宋体" w:cs="宋体"/>
          <w:sz w:val="24"/>
          <w:szCs w:val="24"/>
        </w:rPr>
        <w:t>1.4.1付款方式：每月结算一次，次月采购方将货款转入中标方账户。特殊情况可延期支付货款；</w:t>
      </w:r>
    </w:p>
    <w:p>
      <w:pPr>
        <w:spacing w:line="560" w:lineRule="exact"/>
        <w:ind w:firstLine="480" w:firstLineChars="200"/>
        <w:rPr>
          <w:rFonts w:ascii="宋体" w:hAnsi="宋体" w:cs="宋体"/>
          <w:sz w:val="24"/>
          <w:szCs w:val="24"/>
          <w:highlight w:val="yellow"/>
        </w:rPr>
      </w:pPr>
      <w:r>
        <w:rPr>
          <w:rFonts w:hint="eastAsia" w:ascii="宋体" w:hAnsi="宋体" w:cs="宋体"/>
          <w:sz w:val="24"/>
          <w:szCs w:val="24"/>
        </w:rPr>
        <w:t>1.4.2 发票开具方式：。</w:t>
      </w:r>
    </w:p>
    <w:p>
      <w:pPr>
        <w:spacing w:line="560" w:lineRule="exact"/>
        <w:ind w:firstLine="482" w:firstLineChars="200"/>
        <w:outlineLvl w:val="0"/>
        <w:rPr>
          <w:rFonts w:ascii="宋体" w:hAnsi="宋体" w:cs="宋体"/>
          <w:b/>
          <w:sz w:val="24"/>
          <w:szCs w:val="24"/>
        </w:rPr>
      </w:pPr>
      <w:bookmarkStart w:id="312" w:name="_Toc31421"/>
      <w:bookmarkStart w:id="313" w:name="_Toc11108"/>
      <w:bookmarkStart w:id="314" w:name="_Toc4760"/>
      <w:bookmarkStart w:id="315" w:name="_Toc21959"/>
      <w:bookmarkStart w:id="316" w:name="_Toc8772"/>
      <w:bookmarkStart w:id="317" w:name="_Toc3625"/>
      <w:r>
        <w:rPr>
          <w:rFonts w:hint="eastAsia" w:ascii="宋体" w:hAnsi="宋体" w:cs="宋体"/>
          <w:b/>
          <w:sz w:val="24"/>
          <w:szCs w:val="24"/>
        </w:rPr>
        <w:t>1.5 履行期限、地点和方式</w:t>
      </w:r>
      <w:bookmarkEnd w:id="312"/>
      <w:bookmarkEnd w:id="313"/>
      <w:bookmarkEnd w:id="314"/>
      <w:bookmarkEnd w:id="315"/>
      <w:bookmarkEnd w:id="316"/>
      <w:bookmarkEnd w:id="317"/>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履行期限：；</w:t>
      </w:r>
    </w:p>
    <w:p>
      <w:pPr>
        <w:spacing w:line="560" w:lineRule="exact"/>
        <w:ind w:firstLine="480" w:firstLineChars="200"/>
        <w:rPr>
          <w:rFonts w:ascii="宋体" w:hAnsi="宋体" w:cs="宋体"/>
          <w:sz w:val="24"/>
          <w:szCs w:val="24"/>
        </w:rPr>
      </w:pPr>
      <w:r>
        <w:rPr>
          <w:rFonts w:hint="eastAsia" w:ascii="宋体" w:hAnsi="宋体" w:cs="宋体"/>
          <w:sz w:val="24"/>
          <w:szCs w:val="24"/>
        </w:rPr>
        <w:t>1.5.2 履行地点：；</w:t>
      </w:r>
    </w:p>
    <w:p>
      <w:pPr>
        <w:spacing w:line="560" w:lineRule="exact"/>
        <w:ind w:firstLine="480" w:firstLineChars="200"/>
        <w:rPr>
          <w:rFonts w:ascii="宋体" w:hAnsi="宋体" w:cs="宋体"/>
          <w:sz w:val="24"/>
          <w:szCs w:val="24"/>
        </w:rPr>
      </w:pPr>
      <w:r>
        <w:rPr>
          <w:rFonts w:hint="eastAsia" w:ascii="宋体" w:hAnsi="宋体" w:cs="宋体"/>
          <w:sz w:val="24"/>
          <w:szCs w:val="24"/>
        </w:rPr>
        <w:t>1.5.3 履行方式：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0"/>
        <w:rPr>
          <w:rFonts w:ascii="宋体" w:hAnsi="宋体" w:cs="宋体"/>
          <w:sz w:val="24"/>
          <w:szCs w:val="24"/>
          <w:u w:val="single"/>
        </w:rPr>
      </w:pPr>
      <w:bookmarkStart w:id="318" w:name="_Toc3079"/>
      <w:bookmarkStart w:id="319" w:name="_Toc2375"/>
      <w:bookmarkStart w:id="320" w:name="_Toc17781"/>
      <w:bookmarkStart w:id="321" w:name="_Toc5698"/>
      <w:bookmarkStart w:id="322" w:name="_Toc8586"/>
      <w:bookmarkStart w:id="323" w:name="_Toc24662"/>
      <w:r>
        <w:rPr>
          <w:rFonts w:hint="eastAsia" w:ascii="宋体" w:hAnsi="宋体" w:cs="宋体"/>
          <w:b/>
          <w:sz w:val="24"/>
          <w:szCs w:val="24"/>
        </w:rPr>
        <w:t>1.6 违约责任</w:t>
      </w:r>
      <w:bookmarkEnd w:id="318"/>
      <w:bookmarkEnd w:id="319"/>
      <w:bookmarkEnd w:id="320"/>
      <w:bookmarkEnd w:id="321"/>
      <w:bookmarkEnd w:id="322"/>
      <w:bookmarkEnd w:id="323"/>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szCs w:val="24"/>
        </w:rPr>
      </w:pPr>
      <w:bookmarkStart w:id="324" w:name="_Toc26807"/>
      <w:bookmarkStart w:id="325" w:name="_Toc18683"/>
      <w:bookmarkStart w:id="326" w:name="_Toc5323"/>
      <w:bookmarkStart w:id="327" w:name="_Toc32454"/>
      <w:bookmarkStart w:id="328" w:name="_Toc30329"/>
      <w:bookmarkStart w:id="329" w:name="_Toc9497"/>
      <w:r>
        <w:rPr>
          <w:rFonts w:hint="eastAsia" w:ascii="宋体" w:hAnsi="宋体" w:cs="宋体"/>
          <w:b/>
          <w:sz w:val="24"/>
          <w:szCs w:val="24"/>
        </w:rPr>
        <w:t>1.7 合同争议的解决</w:t>
      </w:r>
      <w:bookmarkEnd w:id="324"/>
      <w:bookmarkEnd w:id="325"/>
      <w:bookmarkEnd w:id="326"/>
      <w:bookmarkEnd w:id="327"/>
      <w:bookmarkEnd w:id="328"/>
      <w:bookmarkEnd w:id="32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0"/>
        <w:rPr>
          <w:rFonts w:ascii="宋体" w:hAnsi="宋体" w:cs="宋体"/>
          <w:b/>
          <w:sz w:val="24"/>
          <w:szCs w:val="24"/>
        </w:rPr>
      </w:pPr>
      <w:bookmarkStart w:id="330" w:name="_Toc26227"/>
      <w:bookmarkStart w:id="331" w:name="_Toc15827"/>
      <w:bookmarkStart w:id="332" w:name="_Toc12273"/>
      <w:bookmarkStart w:id="333" w:name="_Toc19410"/>
      <w:bookmarkStart w:id="334" w:name="_Toc16417"/>
      <w:bookmarkStart w:id="335" w:name="_Toc23784"/>
      <w:r>
        <w:rPr>
          <w:rFonts w:hint="eastAsia" w:ascii="宋体" w:hAnsi="宋体" w:cs="宋体"/>
          <w:b/>
          <w:sz w:val="24"/>
          <w:szCs w:val="24"/>
        </w:rPr>
        <w:t>1.8 合同生效</w:t>
      </w:r>
      <w:bookmarkEnd w:id="330"/>
      <w:bookmarkEnd w:id="331"/>
      <w:bookmarkEnd w:id="332"/>
      <w:bookmarkEnd w:id="333"/>
      <w:bookmarkEnd w:id="334"/>
      <w:bookmarkEnd w:id="335"/>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336" w:name="_Toc331685783"/>
    </w:p>
    <w:p>
      <w:pPr>
        <w:widowControl/>
        <w:spacing w:line="560" w:lineRule="exact"/>
        <w:jc w:val="left"/>
        <w:rPr>
          <w:rFonts w:ascii="宋体" w:hAnsi="宋体" w:cs="宋体"/>
          <w:b/>
          <w:sz w:val="24"/>
          <w:szCs w:val="24"/>
          <w:highlight w:val="yellow"/>
        </w:rPr>
      </w:pPr>
    </w:p>
    <w:p>
      <w:pPr>
        <w:widowControl/>
        <w:spacing w:line="560" w:lineRule="exact"/>
        <w:jc w:val="left"/>
        <w:rPr>
          <w:rFonts w:ascii="宋体" w:hAnsi="宋体" w:cs="宋体"/>
          <w:b/>
          <w:kern w:val="0"/>
          <w:sz w:val="24"/>
          <w:szCs w:val="24"/>
          <w:highlight w:val="yellow"/>
        </w:rPr>
      </w:pPr>
    </w:p>
    <w:p>
      <w:pPr>
        <w:pStyle w:val="71"/>
        <w:ind w:firstLine="482"/>
        <w:rPr>
          <w:rFonts w:ascii="宋体" w:hAnsi="宋体" w:cs="宋体"/>
          <w:b/>
          <w:kern w:val="0"/>
          <w:sz w:val="24"/>
          <w:szCs w:val="24"/>
          <w:highlight w:val="yellow"/>
        </w:rPr>
      </w:pPr>
    </w:p>
    <w:p>
      <w:pPr>
        <w:widowControl/>
        <w:spacing w:line="560" w:lineRule="exact"/>
        <w:jc w:val="left"/>
        <w:rPr>
          <w:rFonts w:ascii="宋体" w:hAnsi="宋体" w:cs="宋体"/>
          <w:b/>
          <w:kern w:val="0"/>
          <w:sz w:val="24"/>
          <w:szCs w:val="24"/>
        </w:rPr>
      </w:pPr>
    </w:p>
    <w:p>
      <w:pPr>
        <w:pStyle w:val="34"/>
        <w:rPr>
          <w:rFonts w:hAnsi="宋体"/>
          <w:b/>
        </w:rPr>
      </w:pPr>
    </w:p>
    <w:p>
      <w:pPr>
        <w:pStyle w:val="34"/>
        <w:rPr>
          <w:rFonts w:hAnsi="宋体"/>
          <w:b/>
        </w:rPr>
      </w:pPr>
    </w:p>
    <w:p>
      <w:pPr>
        <w:pStyle w:val="34"/>
        <w:rPr>
          <w:rFonts w:hAnsi="宋体"/>
          <w:b/>
        </w:rPr>
      </w:pPr>
    </w:p>
    <w:p>
      <w:pPr>
        <w:pStyle w:val="34"/>
        <w:rPr>
          <w:rFonts w:hAnsi="宋体"/>
          <w:b/>
        </w:rPr>
      </w:pPr>
    </w:p>
    <w:p>
      <w:pPr>
        <w:pStyle w:val="34"/>
        <w:rPr>
          <w:rFonts w:hAnsi="宋体"/>
          <w:b/>
        </w:rPr>
      </w:pPr>
    </w:p>
    <w:p>
      <w:pPr>
        <w:pStyle w:val="34"/>
        <w:rPr>
          <w:rFonts w:hAnsi="宋体"/>
          <w:b/>
        </w:rPr>
      </w:pPr>
    </w:p>
    <w:p>
      <w:pPr>
        <w:pStyle w:val="71"/>
        <w:spacing w:line="560" w:lineRule="exact"/>
        <w:ind w:firstLine="482"/>
        <w:jc w:val="center"/>
        <w:rPr>
          <w:rFonts w:ascii="宋体" w:hAnsi="宋体" w:cs="宋体"/>
          <w:b/>
          <w:sz w:val="24"/>
          <w:szCs w:val="24"/>
        </w:rPr>
      </w:pPr>
      <w:r>
        <w:rPr>
          <w:rFonts w:hint="eastAsia" w:ascii="宋体" w:hAnsi="宋体" w:cs="宋体"/>
          <w:b/>
          <w:sz w:val="24"/>
          <w:szCs w:val="24"/>
        </w:rPr>
        <w:t>第二部分 合同一般条款</w:t>
      </w:r>
      <w:bookmarkEnd w:id="336"/>
    </w:p>
    <w:p>
      <w:pPr>
        <w:spacing w:line="560" w:lineRule="exact"/>
        <w:ind w:firstLine="482" w:firstLineChars="200"/>
        <w:outlineLvl w:val="0"/>
        <w:rPr>
          <w:rFonts w:ascii="宋体" w:hAnsi="宋体" w:cs="宋体"/>
          <w:b/>
          <w:sz w:val="24"/>
          <w:szCs w:val="24"/>
        </w:rPr>
      </w:pPr>
      <w:bookmarkStart w:id="337" w:name="_Toc5228"/>
      <w:bookmarkStart w:id="338" w:name="_Toc487900349"/>
      <w:bookmarkStart w:id="339" w:name="_Ref467379094"/>
      <w:bookmarkStart w:id="340" w:name="_Ref467379101"/>
      <w:bookmarkStart w:id="341" w:name="_Ref467378499"/>
      <w:bookmarkStart w:id="342" w:name="_Ref467379214"/>
      <w:bookmarkStart w:id="343" w:name="_Toc25079"/>
      <w:bookmarkStart w:id="344" w:name="_Ref467379109"/>
      <w:bookmarkStart w:id="345" w:name="_Ref467378404"/>
      <w:bookmarkStart w:id="346" w:name="_Ref467379195"/>
      <w:bookmarkStart w:id="347" w:name="_Toc31297"/>
      <w:bookmarkStart w:id="348" w:name="_Ref467379225"/>
      <w:bookmarkStart w:id="349" w:name="_Toc30482"/>
      <w:bookmarkStart w:id="350" w:name="_Toc279701240"/>
      <w:bookmarkStart w:id="351" w:name="_Ref467378463"/>
      <w:bookmarkStart w:id="352" w:name="_Toc14021"/>
      <w:bookmarkStart w:id="353" w:name="_Toc259093669"/>
      <w:bookmarkStart w:id="354" w:name="_Ref467379205"/>
      <w:bookmarkStart w:id="355" w:name="_Toc19680"/>
      <w:r>
        <w:rPr>
          <w:rFonts w:hint="eastAsia" w:ascii="宋体" w:hAnsi="宋体" w:cs="宋体"/>
          <w:b/>
          <w:sz w:val="24"/>
          <w:szCs w:val="24"/>
        </w:rPr>
        <w:t>2.1 定义</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szCs w:val="24"/>
        </w:rPr>
      </w:pPr>
      <w:bookmarkStart w:id="356" w:name="_Ref467378840"/>
      <w:r>
        <w:rPr>
          <w:rFonts w:hint="eastAsia" w:ascii="宋体" w:hAnsi="宋体" w:cs="宋体"/>
          <w:sz w:val="24"/>
          <w:szCs w:val="24"/>
        </w:rPr>
        <w:t>2.1.4 “甲方”系指与中标供应商签署合同的采购人</w:t>
      </w:r>
      <w:bookmarkEnd w:id="356"/>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357" w:name="_Ref467379400"/>
      <w:r>
        <w:rPr>
          <w:rFonts w:hint="eastAsia" w:ascii="宋体" w:hAnsi="宋体" w:cs="宋体"/>
          <w:sz w:val="24"/>
          <w:szCs w:val="24"/>
        </w:rPr>
        <w:t>2.1.5 “乙方”系指根据合同约定提供服务的中标供应商</w:t>
      </w:r>
      <w:bookmarkEnd w:id="357"/>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358" w:name="_Ref467379436"/>
      <w:r>
        <w:rPr>
          <w:rFonts w:hint="eastAsia" w:ascii="宋体" w:hAnsi="宋体" w:cs="宋体"/>
          <w:sz w:val="24"/>
          <w:szCs w:val="24"/>
        </w:rPr>
        <w:t>2.1.6 “现场”系指合同约定提供服务的地点。</w:t>
      </w:r>
      <w:bookmarkEnd w:id="358"/>
    </w:p>
    <w:p>
      <w:pPr>
        <w:spacing w:line="560" w:lineRule="exact"/>
        <w:ind w:firstLine="482" w:firstLineChars="200"/>
        <w:outlineLvl w:val="0"/>
        <w:rPr>
          <w:rFonts w:ascii="宋体" w:hAnsi="宋体" w:cs="宋体"/>
          <w:b/>
          <w:sz w:val="24"/>
          <w:szCs w:val="24"/>
        </w:rPr>
      </w:pPr>
      <w:bookmarkStart w:id="359" w:name="_Toc279701241"/>
      <w:bookmarkStart w:id="360" w:name="_Toc31402"/>
      <w:bookmarkStart w:id="361" w:name="_Toc3769"/>
      <w:bookmarkStart w:id="362" w:name="_Toc23289"/>
      <w:bookmarkStart w:id="363" w:name="_Toc1540"/>
      <w:bookmarkStart w:id="364" w:name="_Toc19539"/>
      <w:bookmarkStart w:id="365" w:name="_Toc16752"/>
      <w:bookmarkStart w:id="366" w:name="_Toc259093670"/>
      <w:bookmarkStart w:id="367" w:name="_Toc487900350"/>
      <w:r>
        <w:rPr>
          <w:rFonts w:hint="eastAsia" w:ascii="宋体" w:hAnsi="宋体" w:cs="宋体"/>
          <w:b/>
          <w:sz w:val="24"/>
          <w:szCs w:val="24"/>
        </w:rPr>
        <w:t>2.2 技术规范</w:t>
      </w:r>
      <w:bookmarkEnd w:id="359"/>
      <w:bookmarkEnd w:id="360"/>
      <w:bookmarkEnd w:id="361"/>
      <w:bookmarkEnd w:id="362"/>
      <w:bookmarkEnd w:id="363"/>
      <w:bookmarkEnd w:id="364"/>
      <w:bookmarkEnd w:id="365"/>
      <w:bookmarkEnd w:id="366"/>
      <w:bookmarkEnd w:id="367"/>
    </w:p>
    <w:p>
      <w:pPr>
        <w:spacing w:line="560" w:lineRule="exact"/>
        <w:ind w:firstLine="480" w:firstLineChars="200"/>
        <w:rPr>
          <w:rFonts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szCs w:val="24"/>
        </w:rPr>
      </w:pPr>
      <w:bookmarkStart w:id="368" w:name="_Toc12412"/>
      <w:bookmarkStart w:id="369" w:name="_Toc259093671"/>
      <w:bookmarkStart w:id="370" w:name="_Toc487900351"/>
      <w:bookmarkStart w:id="371" w:name="_Toc27945"/>
      <w:bookmarkStart w:id="372" w:name="_Toc13673"/>
      <w:bookmarkStart w:id="373" w:name="_Toc25098"/>
      <w:bookmarkStart w:id="374" w:name="_Toc279701242"/>
      <w:bookmarkStart w:id="375" w:name="_Toc9161"/>
      <w:bookmarkStart w:id="376" w:name="_Toc4133"/>
      <w:r>
        <w:rPr>
          <w:rFonts w:hint="eastAsia" w:ascii="宋体" w:hAnsi="宋体" w:cs="宋体"/>
          <w:b/>
          <w:sz w:val="24"/>
          <w:szCs w:val="24"/>
        </w:rPr>
        <w:t>2.3 知识产权</w:t>
      </w:r>
      <w:bookmarkEnd w:id="368"/>
      <w:bookmarkEnd w:id="369"/>
      <w:bookmarkEnd w:id="370"/>
      <w:bookmarkEnd w:id="371"/>
      <w:bookmarkEnd w:id="372"/>
      <w:bookmarkEnd w:id="373"/>
      <w:bookmarkEnd w:id="374"/>
      <w:bookmarkEnd w:id="375"/>
      <w:bookmarkEnd w:id="376"/>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 合同涉及技术成果的归属和收益的分成办法的，详见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rPr>
          <w:rFonts w:ascii="宋体" w:hAnsi="宋体" w:cs="宋体"/>
          <w:b/>
          <w:sz w:val="24"/>
          <w:szCs w:val="24"/>
        </w:rPr>
      </w:pPr>
      <w:r>
        <w:rPr>
          <w:rFonts w:hint="eastAsia" w:ascii="宋体" w:hAnsi="宋体" w:cs="宋体"/>
          <w:b/>
          <w:sz w:val="24"/>
          <w:szCs w:val="24"/>
        </w:rPr>
        <w:t>2.4 履约检查和问题反馈</w:t>
      </w:r>
    </w:p>
    <w:p>
      <w:pPr>
        <w:spacing w:line="560" w:lineRule="exact"/>
        <w:ind w:firstLine="480" w:firstLineChars="200"/>
        <w:rPr>
          <w:rFonts w:ascii="宋体" w:hAnsi="宋体" w:cs="宋体"/>
          <w:sz w:val="24"/>
          <w:szCs w:val="24"/>
        </w:rPr>
      </w:pPr>
      <w:bookmarkStart w:id="377" w:name="_Ref467379657"/>
      <w:r>
        <w:rPr>
          <w:rFonts w:hint="eastAsia" w:ascii="宋体" w:hAnsi="宋体" w:cs="宋体"/>
          <w:sz w:val="24"/>
          <w:szCs w:val="24"/>
        </w:rPr>
        <w:t>2.4.1</w:t>
      </w:r>
      <w:bookmarkEnd w:id="377"/>
      <w:bookmarkStart w:id="378" w:name="_Toc186431854"/>
      <w:bookmarkStart w:id="379" w:name="_Toc259093676"/>
      <w:bookmarkStart w:id="380" w:name="_Toc279701247"/>
      <w:bookmarkStart w:id="381" w:name="_Ref467379807"/>
      <w:bookmarkStart w:id="382" w:name="_Toc487900357"/>
      <w:bookmarkStart w:id="383" w:name="_Ref467379793"/>
      <w:r>
        <w:rPr>
          <w:rFonts w:hint="eastAsia" w:ascii="宋体" w:hAnsi="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2.4.2 合同履行期间，甲方有权将履行过程中出现的问题反馈给乙方，双方当事人应以书面形式约定需要完善和改进的内容</w:t>
      </w:r>
      <w:bookmarkEnd w:id="378"/>
      <w:bookmarkStart w:id="384" w:name="_Toc186431855"/>
      <w:r>
        <w:rPr>
          <w:rFonts w:hint="eastAsia" w:ascii="宋体" w:hAnsi="宋体" w:cs="宋体"/>
          <w:sz w:val="24"/>
          <w:szCs w:val="24"/>
        </w:rPr>
        <w:t>。</w:t>
      </w:r>
    </w:p>
    <w:bookmarkEnd w:id="384"/>
    <w:p>
      <w:pPr>
        <w:spacing w:line="560" w:lineRule="exact"/>
        <w:ind w:firstLine="482" w:firstLineChars="200"/>
        <w:outlineLvl w:val="0"/>
        <w:rPr>
          <w:rFonts w:ascii="宋体" w:hAnsi="宋体" w:cs="宋体"/>
          <w:b/>
          <w:sz w:val="24"/>
          <w:szCs w:val="24"/>
        </w:rPr>
      </w:pPr>
      <w:bookmarkStart w:id="385" w:name="_Toc32670"/>
      <w:bookmarkStart w:id="386" w:name="_Toc22011"/>
      <w:bookmarkStart w:id="387" w:name="_Toc31233"/>
      <w:bookmarkStart w:id="388" w:name="_Toc15447"/>
      <w:bookmarkStart w:id="389" w:name="_Toc17050"/>
      <w:bookmarkStart w:id="390" w:name="_Toc26555"/>
      <w:r>
        <w:rPr>
          <w:rFonts w:hint="eastAsia" w:ascii="宋体" w:hAnsi="宋体" w:cs="宋体"/>
          <w:b/>
          <w:sz w:val="24"/>
          <w:szCs w:val="24"/>
        </w:rPr>
        <w:t>2.5 结算方式和付款条件</w:t>
      </w:r>
      <w:bookmarkEnd w:id="379"/>
      <w:bookmarkEnd w:id="380"/>
      <w:bookmarkEnd w:id="381"/>
      <w:bookmarkEnd w:id="382"/>
      <w:bookmarkEnd w:id="383"/>
      <w:bookmarkEnd w:id="385"/>
      <w:bookmarkEnd w:id="386"/>
      <w:bookmarkEnd w:id="387"/>
      <w:bookmarkEnd w:id="388"/>
      <w:bookmarkEnd w:id="389"/>
      <w:bookmarkEnd w:id="390"/>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0"/>
        <w:rPr>
          <w:rFonts w:ascii="宋体" w:hAnsi="宋体" w:cs="宋体"/>
          <w:b/>
          <w:sz w:val="24"/>
          <w:szCs w:val="24"/>
        </w:rPr>
      </w:pPr>
      <w:bookmarkStart w:id="391" w:name="_Toc487900358"/>
      <w:bookmarkStart w:id="392" w:name="_Toc259093677"/>
      <w:bookmarkStart w:id="393" w:name="_Toc279701248"/>
      <w:bookmarkStart w:id="394" w:name="_Ref467379852"/>
      <w:bookmarkStart w:id="395" w:name="_Ref467379923"/>
      <w:bookmarkStart w:id="396" w:name="_Ref467379863"/>
      <w:bookmarkStart w:id="397" w:name="_Toc13154"/>
      <w:bookmarkStart w:id="398" w:name="_Toc18990"/>
      <w:bookmarkStart w:id="399" w:name="_Toc21874"/>
      <w:bookmarkStart w:id="400" w:name="_Toc13467"/>
      <w:bookmarkStart w:id="401" w:name="_Toc30507"/>
      <w:bookmarkStart w:id="402" w:name="_Toc16163"/>
      <w:r>
        <w:rPr>
          <w:rFonts w:hint="eastAsia" w:ascii="宋体" w:hAnsi="宋体" w:cs="宋体"/>
          <w:b/>
          <w:sz w:val="24"/>
          <w:szCs w:val="24"/>
        </w:rPr>
        <w:t>2.6 技术资料</w:t>
      </w:r>
      <w:bookmarkEnd w:id="391"/>
      <w:bookmarkEnd w:id="392"/>
      <w:bookmarkEnd w:id="393"/>
      <w:bookmarkEnd w:id="394"/>
      <w:bookmarkEnd w:id="395"/>
      <w:bookmarkEnd w:id="396"/>
      <w:r>
        <w:rPr>
          <w:rFonts w:hint="eastAsia" w:ascii="宋体" w:hAnsi="宋体" w:cs="宋体"/>
          <w:b/>
          <w:sz w:val="24"/>
          <w:szCs w:val="24"/>
        </w:rPr>
        <w:t>和保密义务</w:t>
      </w:r>
      <w:bookmarkEnd w:id="397"/>
      <w:bookmarkEnd w:id="398"/>
      <w:bookmarkEnd w:id="399"/>
      <w:bookmarkEnd w:id="400"/>
      <w:bookmarkEnd w:id="401"/>
      <w:bookmarkEnd w:id="402"/>
    </w:p>
    <w:p>
      <w:pPr>
        <w:spacing w:line="560" w:lineRule="exact"/>
        <w:ind w:firstLine="480" w:firstLineChars="200"/>
        <w:rPr>
          <w:rFonts w:ascii="宋体" w:hAnsi="宋体" w:cs="宋体"/>
          <w:sz w:val="24"/>
          <w:szCs w:val="24"/>
        </w:rPr>
      </w:pPr>
      <w:r>
        <w:rPr>
          <w:rFonts w:hint="eastAsia" w:ascii="宋体" w:hAnsi="宋体" w:cs="宋体"/>
          <w:sz w:val="24"/>
          <w:szCs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szCs w:val="24"/>
        </w:rPr>
      </w:pPr>
      <w:bookmarkStart w:id="403" w:name="_Toc19069"/>
      <w:bookmarkStart w:id="404" w:name="_Toc2044"/>
      <w:bookmarkStart w:id="405" w:name="_Toc487900362"/>
      <w:bookmarkStart w:id="406" w:name="_Toc259093681"/>
      <w:bookmarkStart w:id="407" w:name="_Toc279701252"/>
      <w:r>
        <w:rPr>
          <w:rFonts w:hint="eastAsia" w:ascii="宋体" w:hAnsi="宋体" w:cs="宋体"/>
          <w:b/>
          <w:sz w:val="24"/>
          <w:szCs w:val="24"/>
        </w:rPr>
        <w:t>2.7 质量保证</w:t>
      </w:r>
      <w:bookmarkEnd w:id="403"/>
      <w:bookmarkEnd w:id="404"/>
    </w:p>
    <w:p>
      <w:pPr>
        <w:spacing w:line="560" w:lineRule="exact"/>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szCs w:val="24"/>
        </w:rPr>
      </w:pPr>
      <w:bookmarkStart w:id="408" w:name="_Toc21789"/>
      <w:bookmarkStart w:id="409" w:name="_Toc22267"/>
      <w:r>
        <w:rPr>
          <w:rFonts w:hint="eastAsia" w:ascii="宋体" w:hAnsi="宋体" w:cs="宋体"/>
          <w:b/>
          <w:sz w:val="24"/>
          <w:szCs w:val="24"/>
        </w:rPr>
        <w:t>2.8 延迟</w:t>
      </w:r>
      <w:bookmarkEnd w:id="405"/>
      <w:bookmarkEnd w:id="406"/>
      <w:bookmarkEnd w:id="407"/>
      <w:r>
        <w:rPr>
          <w:rFonts w:hint="eastAsia" w:ascii="宋体" w:hAnsi="宋体" w:cs="宋体"/>
          <w:b/>
          <w:sz w:val="24"/>
          <w:szCs w:val="24"/>
        </w:rPr>
        <w:t>履行</w:t>
      </w:r>
      <w:bookmarkEnd w:id="408"/>
      <w:bookmarkEnd w:id="409"/>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szCs w:val="24"/>
        </w:rPr>
      </w:pPr>
      <w:bookmarkStart w:id="410" w:name="_Toc3504"/>
      <w:bookmarkStart w:id="411" w:name="_Toc10611"/>
      <w:bookmarkStart w:id="412" w:name="_Toc487900364"/>
      <w:bookmarkStart w:id="413" w:name="_Toc259093683"/>
      <w:bookmarkStart w:id="414" w:name="_Ref467378121"/>
      <w:bookmarkStart w:id="415" w:name="_Toc279701254"/>
      <w:r>
        <w:rPr>
          <w:rFonts w:hint="eastAsia" w:ascii="宋体" w:hAnsi="宋体" w:cs="宋体"/>
          <w:b/>
          <w:sz w:val="24"/>
          <w:szCs w:val="24"/>
        </w:rPr>
        <w:t>2.9 合同变更</w:t>
      </w:r>
      <w:bookmarkEnd w:id="410"/>
      <w:bookmarkEnd w:id="411"/>
    </w:p>
    <w:p>
      <w:pPr>
        <w:spacing w:line="560" w:lineRule="exact"/>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416" w:name="_Toc259093688"/>
      <w:bookmarkStart w:id="417" w:name="_Toc487900369"/>
      <w:bookmarkStart w:id="418" w:name="_Toc279701259"/>
    </w:p>
    <w:p>
      <w:pPr>
        <w:spacing w:line="560" w:lineRule="exact"/>
        <w:ind w:firstLine="482" w:firstLineChars="200"/>
        <w:outlineLvl w:val="0"/>
        <w:rPr>
          <w:rFonts w:ascii="宋体" w:hAnsi="宋体" w:cs="宋体"/>
          <w:b/>
          <w:sz w:val="24"/>
          <w:szCs w:val="24"/>
        </w:rPr>
      </w:pPr>
      <w:bookmarkStart w:id="419" w:name="_Toc26689"/>
      <w:bookmarkStart w:id="420" w:name="_Toc42"/>
      <w:bookmarkStart w:id="421" w:name="_Toc10663"/>
      <w:bookmarkStart w:id="422" w:name="_Toc22913"/>
      <w:bookmarkStart w:id="423" w:name="_Toc23368"/>
      <w:bookmarkStart w:id="424" w:name="_Toc21830"/>
      <w:r>
        <w:rPr>
          <w:rFonts w:hint="eastAsia" w:ascii="宋体" w:hAnsi="宋体" w:cs="宋体"/>
          <w:b/>
          <w:sz w:val="24"/>
          <w:szCs w:val="24"/>
        </w:rPr>
        <w:t>2.10 合同转让</w:t>
      </w:r>
      <w:bookmarkEnd w:id="416"/>
      <w:bookmarkEnd w:id="417"/>
      <w:bookmarkEnd w:id="418"/>
      <w:r>
        <w:rPr>
          <w:rFonts w:hint="eastAsia" w:ascii="宋体" w:hAnsi="宋体" w:cs="宋体"/>
          <w:b/>
          <w:sz w:val="24"/>
          <w:szCs w:val="24"/>
        </w:rPr>
        <w:t>和分包</w:t>
      </w:r>
      <w:bookmarkEnd w:id="419"/>
      <w:bookmarkEnd w:id="420"/>
      <w:bookmarkEnd w:id="421"/>
      <w:bookmarkEnd w:id="422"/>
      <w:bookmarkEnd w:id="423"/>
      <w:bookmarkEnd w:id="424"/>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szCs w:val="24"/>
        </w:rPr>
      </w:pPr>
      <w:bookmarkStart w:id="425" w:name="_Toc21786"/>
      <w:bookmarkStart w:id="426" w:name="_Toc14371"/>
      <w:bookmarkStart w:id="427" w:name="_Toc32494"/>
      <w:bookmarkStart w:id="428" w:name="_Toc25571"/>
      <w:bookmarkStart w:id="429" w:name="_Toc4720"/>
      <w:bookmarkStart w:id="430" w:name="_Toc26633"/>
      <w:r>
        <w:rPr>
          <w:rFonts w:hint="eastAsia" w:ascii="宋体" w:hAnsi="宋体" w:cs="宋体"/>
          <w:b/>
          <w:sz w:val="24"/>
          <w:szCs w:val="24"/>
        </w:rPr>
        <w:t>2.11 不可抗力</w:t>
      </w:r>
      <w:bookmarkEnd w:id="425"/>
      <w:bookmarkEnd w:id="426"/>
      <w:bookmarkEnd w:id="427"/>
      <w:bookmarkEnd w:id="428"/>
      <w:bookmarkEnd w:id="429"/>
      <w:bookmarkEnd w:id="430"/>
    </w:p>
    <w:p>
      <w:pPr>
        <w:spacing w:line="560" w:lineRule="exact"/>
        <w:ind w:firstLine="480" w:firstLineChars="200"/>
        <w:rPr>
          <w:rFonts w:ascii="宋体" w:hAnsi="宋体" w:cs="宋体"/>
          <w:sz w:val="24"/>
          <w:szCs w:val="24"/>
        </w:rPr>
      </w:pPr>
      <w:r>
        <w:rPr>
          <w:rFonts w:hint="eastAsia" w:ascii="宋体" w:hAnsi="宋体" w:cs="宋体"/>
          <w:sz w:val="24"/>
          <w:szCs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2.11.4受不可抗力影响的一方在不可抗力发生后，应在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0"/>
        <w:rPr>
          <w:rFonts w:ascii="宋体" w:hAnsi="宋体" w:cs="宋体"/>
          <w:b/>
          <w:sz w:val="24"/>
          <w:szCs w:val="24"/>
        </w:rPr>
      </w:pPr>
      <w:bookmarkStart w:id="431" w:name="_Toc25783"/>
      <w:bookmarkStart w:id="432" w:name="_Toc17950"/>
      <w:bookmarkStart w:id="433" w:name="_Toc279701255"/>
      <w:bookmarkStart w:id="434" w:name="_Toc259093684"/>
      <w:bookmarkStart w:id="435" w:name="_Toc14115"/>
      <w:bookmarkStart w:id="436" w:name="_Toc3638"/>
      <w:bookmarkStart w:id="437" w:name="_Toc24465"/>
      <w:bookmarkStart w:id="438" w:name="_Toc23854"/>
      <w:bookmarkStart w:id="439" w:name="_Toc487900365"/>
      <w:r>
        <w:rPr>
          <w:rFonts w:hint="eastAsia" w:ascii="宋体" w:hAnsi="宋体" w:cs="宋体"/>
          <w:b/>
          <w:sz w:val="24"/>
          <w:szCs w:val="24"/>
        </w:rPr>
        <w:t>2.12 税费</w:t>
      </w:r>
      <w:bookmarkEnd w:id="431"/>
      <w:bookmarkEnd w:id="432"/>
      <w:bookmarkEnd w:id="433"/>
      <w:bookmarkEnd w:id="434"/>
      <w:bookmarkEnd w:id="435"/>
      <w:bookmarkEnd w:id="436"/>
      <w:bookmarkEnd w:id="437"/>
      <w:bookmarkEnd w:id="438"/>
      <w:bookmarkEnd w:id="439"/>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560" w:lineRule="exact"/>
        <w:ind w:firstLine="482" w:firstLineChars="200"/>
        <w:outlineLvl w:val="0"/>
        <w:rPr>
          <w:rFonts w:ascii="宋体" w:hAnsi="宋体" w:cs="宋体"/>
          <w:b/>
          <w:sz w:val="24"/>
          <w:szCs w:val="24"/>
        </w:rPr>
      </w:pPr>
      <w:bookmarkStart w:id="440" w:name="_Toc7315"/>
      <w:bookmarkStart w:id="441" w:name="_Toc279701258"/>
      <w:bookmarkStart w:id="442" w:name="_Toc14814"/>
      <w:bookmarkStart w:id="443" w:name="_Toc26883"/>
      <w:bookmarkStart w:id="444" w:name="_Toc1242"/>
      <w:bookmarkStart w:id="445" w:name="_Toc259093687"/>
      <w:bookmarkStart w:id="446" w:name="_Toc30105"/>
      <w:bookmarkStart w:id="447" w:name="_Toc25525"/>
      <w:bookmarkStart w:id="448" w:name="_Toc487900368"/>
      <w:r>
        <w:rPr>
          <w:rFonts w:hint="eastAsia" w:ascii="宋体" w:hAnsi="宋体" w:cs="宋体"/>
          <w:b/>
          <w:sz w:val="24"/>
          <w:szCs w:val="24"/>
        </w:rPr>
        <w:t>2.13 乙方破产</w:t>
      </w:r>
      <w:bookmarkEnd w:id="440"/>
      <w:bookmarkEnd w:id="441"/>
      <w:bookmarkEnd w:id="442"/>
      <w:bookmarkEnd w:id="443"/>
      <w:bookmarkEnd w:id="444"/>
      <w:bookmarkEnd w:id="445"/>
      <w:bookmarkEnd w:id="446"/>
      <w:bookmarkEnd w:id="447"/>
      <w:bookmarkEnd w:id="448"/>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szCs w:val="24"/>
        </w:rPr>
      </w:pPr>
      <w:bookmarkStart w:id="449" w:name="_Toc7103"/>
      <w:bookmarkStart w:id="450" w:name="_Toc23323"/>
      <w:bookmarkStart w:id="451" w:name="_Toc1123"/>
      <w:bookmarkStart w:id="452" w:name="_Toc2016"/>
      <w:r>
        <w:rPr>
          <w:rFonts w:hint="eastAsia" w:ascii="宋体" w:hAnsi="宋体" w:cs="宋体"/>
          <w:b/>
          <w:sz w:val="24"/>
          <w:szCs w:val="24"/>
        </w:rPr>
        <w:t>2.14 合同中止、终止</w:t>
      </w:r>
      <w:bookmarkEnd w:id="449"/>
      <w:bookmarkEnd w:id="450"/>
      <w:bookmarkEnd w:id="451"/>
      <w:bookmarkEnd w:id="452"/>
    </w:p>
    <w:p>
      <w:pPr>
        <w:spacing w:line="560" w:lineRule="exact"/>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szCs w:val="24"/>
        </w:rPr>
      </w:pPr>
      <w:bookmarkStart w:id="453" w:name="_Toc17363"/>
      <w:bookmarkStart w:id="454" w:name="_Toc1138"/>
      <w:bookmarkStart w:id="455" w:name="_Toc14525"/>
      <w:bookmarkStart w:id="456" w:name="_Toc1969"/>
      <w:r>
        <w:rPr>
          <w:rFonts w:hint="eastAsia" w:ascii="宋体" w:hAnsi="宋体" w:cs="宋体"/>
          <w:b/>
          <w:sz w:val="24"/>
          <w:szCs w:val="24"/>
        </w:rPr>
        <w:t>2.15 检验和验收</w:t>
      </w:r>
      <w:bookmarkEnd w:id="453"/>
      <w:bookmarkEnd w:id="454"/>
      <w:bookmarkEnd w:id="455"/>
      <w:bookmarkEnd w:id="45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b/>
          <w:i/>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b/>
          <w:i/>
          <w:sz w:val="24"/>
          <w:szCs w:val="24"/>
          <w:u w:val="single"/>
        </w:rPr>
        <w:t>合同专用条款</w:t>
      </w:r>
      <w:r>
        <w:rPr>
          <w:rFonts w:hint="eastAsia" w:ascii="宋体" w:hAnsi="宋体" w:cs="宋体"/>
          <w:sz w:val="24"/>
          <w:szCs w:val="24"/>
        </w:rPr>
        <w:t>的约定进行定期验收；</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412"/>
    <w:bookmarkEnd w:id="413"/>
    <w:bookmarkEnd w:id="414"/>
    <w:bookmarkEnd w:id="415"/>
    <w:p>
      <w:pPr>
        <w:spacing w:line="560" w:lineRule="exact"/>
        <w:ind w:firstLine="482" w:firstLineChars="200"/>
        <w:outlineLvl w:val="0"/>
        <w:rPr>
          <w:rFonts w:ascii="宋体" w:hAnsi="宋体" w:cs="宋体"/>
          <w:b/>
          <w:sz w:val="24"/>
          <w:szCs w:val="24"/>
        </w:rPr>
      </w:pPr>
      <w:bookmarkStart w:id="457" w:name="_Toc487900371"/>
      <w:bookmarkStart w:id="458" w:name="_Toc279701261"/>
      <w:bookmarkStart w:id="459" w:name="_Toc259093690"/>
      <w:bookmarkStart w:id="460" w:name="_Toc25198"/>
      <w:bookmarkStart w:id="461" w:name="_Toc3619"/>
      <w:bookmarkStart w:id="462" w:name="_Toc31892"/>
      <w:bookmarkStart w:id="463" w:name="_Toc2308"/>
      <w:bookmarkStart w:id="464" w:name="_Toc9808"/>
      <w:bookmarkStart w:id="465" w:name="_Toc12666"/>
      <w:r>
        <w:rPr>
          <w:rFonts w:hint="eastAsia" w:ascii="宋体" w:hAnsi="宋体" w:cs="宋体"/>
          <w:b/>
          <w:sz w:val="24"/>
          <w:szCs w:val="24"/>
        </w:rPr>
        <w:t>2.16 通知</w:t>
      </w:r>
      <w:bookmarkEnd w:id="457"/>
      <w:bookmarkEnd w:id="458"/>
      <w:bookmarkEnd w:id="459"/>
      <w:r>
        <w:rPr>
          <w:rFonts w:hint="eastAsia" w:ascii="宋体" w:hAnsi="宋体" w:cs="宋体"/>
          <w:b/>
          <w:sz w:val="24"/>
          <w:szCs w:val="24"/>
        </w:rPr>
        <w:t>和送达</w:t>
      </w:r>
      <w:bookmarkEnd w:id="460"/>
      <w:bookmarkEnd w:id="461"/>
      <w:bookmarkEnd w:id="462"/>
      <w:bookmarkEnd w:id="463"/>
      <w:bookmarkEnd w:id="464"/>
      <w:bookmarkEnd w:id="465"/>
    </w:p>
    <w:p>
      <w:pPr>
        <w:spacing w:line="560" w:lineRule="exact"/>
        <w:ind w:firstLine="480" w:firstLineChars="200"/>
        <w:rPr>
          <w:rFonts w:ascii="宋体" w:hAnsi="宋体" w:cs="宋体"/>
          <w:sz w:val="24"/>
          <w:szCs w:val="24"/>
        </w:rPr>
      </w:pPr>
      <w:bookmarkStart w:id="466" w:name="_Toc7073"/>
      <w:bookmarkStart w:id="467" w:name="_Toc29220"/>
      <w:bookmarkStart w:id="468" w:name="_Toc487900372"/>
      <w:bookmarkStart w:id="469" w:name="_Toc259093691"/>
      <w:bookmarkStart w:id="470" w:name="_Toc279701262"/>
      <w:r>
        <w:rPr>
          <w:rFonts w:hint="eastAsia" w:ascii="宋体" w:hAnsi="宋体" w:cs="宋体"/>
          <w:sz w:val="24"/>
          <w:szCs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466"/>
      <w:bookmarkEnd w:id="467"/>
    </w:p>
    <w:p>
      <w:pPr>
        <w:spacing w:line="560" w:lineRule="exact"/>
        <w:ind w:firstLine="480" w:firstLineChars="200"/>
        <w:rPr>
          <w:rFonts w:ascii="宋体" w:hAnsi="宋体" w:cs="宋体"/>
          <w:sz w:val="24"/>
          <w:szCs w:val="24"/>
        </w:rPr>
      </w:pPr>
      <w:bookmarkStart w:id="471" w:name="_Toc27674"/>
      <w:bookmarkStart w:id="472" w:name="_Toc18401"/>
      <w:r>
        <w:rPr>
          <w:rFonts w:hint="eastAsia" w:ascii="宋体" w:hAnsi="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1"/>
      <w:bookmarkEnd w:id="472"/>
    </w:p>
    <w:bookmarkEnd w:id="468"/>
    <w:bookmarkEnd w:id="469"/>
    <w:bookmarkEnd w:id="470"/>
    <w:p>
      <w:pPr>
        <w:spacing w:line="560" w:lineRule="exact"/>
        <w:ind w:firstLine="482" w:firstLineChars="200"/>
        <w:outlineLvl w:val="0"/>
        <w:rPr>
          <w:rFonts w:ascii="宋体" w:hAnsi="宋体" w:cs="宋体"/>
          <w:b/>
          <w:sz w:val="24"/>
          <w:szCs w:val="24"/>
        </w:rPr>
      </w:pPr>
      <w:bookmarkStart w:id="473" w:name="_Toc20808"/>
      <w:bookmarkStart w:id="474" w:name="_Toc27644"/>
      <w:bookmarkStart w:id="475" w:name="_Toc5063"/>
      <w:bookmarkStart w:id="476" w:name="_Toc485"/>
      <w:bookmarkStart w:id="477" w:name="_Toc487900373"/>
      <w:bookmarkStart w:id="478" w:name="_Toc279701263"/>
      <w:bookmarkStart w:id="479" w:name="_Toc259093692"/>
      <w:bookmarkStart w:id="480" w:name="_Toc28906"/>
      <w:bookmarkStart w:id="481" w:name="_Toc12254"/>
      <w:r>
        <w:rPr>
          <w:rFonts w:hint="eastAsia" w:ascii="宋体" w:hAnsi="宋体" w:cs="宋体"/>
          <w:b/>
          <w:sz w:val="24"/>
          <w:szCs w:val="24"/>
        </w:rPr>
        <w:t>2.17 合同使用的文字和适用的法律</w:t>
      </w:r>
      <w:bookmarkEnd w:id="473"/>
      <w:bookmarkEnd w:id="474"/>
      <w:bookmarkEnd w:id="475"/>
      <w:bookmarkEnd w:id="476"/>
      <w:bookmarkEnd w:id="477"/>
      <w:bookmarkEnd w:id="478"/>
      <w:bookmarkEnd w:id="479"/>
      <w:bookmarkEnd w:id="480"/>
      <w:bookmarkEnd w:id="481"/>
    </w:p>
    <w:p>
      <w:pPr>
        <w:spacing w:line="560" w:lineRule="exact"/>
        <w:ind w:firstLine="480" w:firstLineChars="200"/>
        <w:rPr>
          <w:rFonts w:ascii="宋体" w:hAnsi="宋体" w:cs="宋体"/>
          <w:sz w:val="24"/>
          <w:szCs w:val="24"/>
        </w:rPr>
      </w:pPr>
      <w:r>
        <w:rPr>
          <w:rFonts w:hint="eastAsia" w:ascii="宋体" w:hAnsi="宋体" w:cs="宋体"/>
          <w:sz w:val="24"/>
          <w:szCs w:val="24"/>
        </w:rPr>
        <w:t>2.17.1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2.17.2 合同适用中华人民共和国法律。</w:t>
      </w:r>
    </w:p>
    <w:p>
      <w:pPr>
        <w:spacing w:line="560" w:lineRule="exact"/>
        <w:ind w:firstLine="482" w:firstLineChars="200"/>
        <w:outlineLvl w:val="0"/>
        <w:rPr>
          <w:rFonts w:ascii="宋体" w:hAnsi="宋体" w:cs="宋体"/>
          <w:b/>
          <w:sz w:val="24"/>
          <w:szCs w:val="24"/>
        </w:rPr>
      </w:pPr>
      <w:bookmarkStart w:id="482" w:name="_Toc259093693"/>
      <w:bookmarkStart w:id="483" w:name="_Toc8081"/>
      <w:bookmarkStart w:id="484" w:name="_Toc27127"/>
      <w:bookmarkStart w:id="485" w:name="_Toc1492"/>
      <w:bookmarkStart w:id="486" w:name="_Toc279701264"/>
      <w:bookmarkStart w:id="487" w:name="_Toc27403"/>
      <w:bookmarkStart w:id="488" w:name="_Toc30096"/>
      <w:bookmarkStart w:id="489" w:name="_Toc487900374"/>
      <w:r>
        <w:rPr>
          <w:rFonts w:hint="eastAsia" w:ascii="宋体" w:hAnsi="宋体" w:cs="宋体"/>
          <w:b/>
          <w:sz w:val="24"/>
          <w:szCs w:val="24"/>
        </w:rPr>
        <w:t>2.18 履约保证金</w:t>
      </w:r>
      <w:bookmarkEnd w:id="482"/>
      <w:bookmarkEnd w:id="483"/>
      <w:bookmarkEnd w:id="484"/>
      <w:bookmarkEnd w:id="485"/>
      <w:bookmarkEnd w:id="486"/>
      <w:bookmarkEnd w:id="487"/>
      <w:bookmarkEnd w:id="488"/>
    </w:p>
    <w:p>
      <w:pPr>
        <w:spacing w:line="560" w:lineRule="exact"/>
        <w:ind w:firstLine="480" w:firstLineChars="200"/>
        <w:rPr>
          <w:rFonts w:ascii="宋体" w:hAnsi="宋体" w:cs="宋体"/>
          <w:sz w:val="24"/>
          <w:szCs w:val="24"/>
        </w:rPr>
      </w:pPr>
      <w:r>
        <w:rPr>
          <w:rFonts w:hint="eastAsia" w:ascii="宋体" w:hAnsi="宋体" w:cs="宋体"/>
          <w:sz w:val="24"/>
          <w:szCs w:val="24"/>
        </w:rPr>
        <w:t>2.18.1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约定的方式，以支票、汇票、本票或者金融机构、担保机构出具的保函等非现金形式，提交不超过合同价5%的履约保证金；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2.18.2 履约保证金在</w:t>
      </w:r>
      <w:r>
        <w:rPr>
          <w:rFonts w:hint="eastAsia" w:ascii="宋体" w:hAnsi="宋体" w:cs="宋体"/>
          <w:b/>
          <w:i/>
          <w:sz w:val="24"/>
          <w:szCs w:val="24"/>
          <w:u w:val="single"/>
        </w:rPr>
        <w:t>合同专用条款</w:t>
      </w:r>
      <w:r>
        <w:rPr>
          <w:rFonts w:hint="eastAsia" w:ascii="宋体" w:hAnsi="宋体" w:cs="宋体"/>
          <w:sz w:val="24"/>
          <w:szCs w:val="24"/>
        </w:rPr>
        <w:t>约定期间内不予退还或者应完全有效，前述约定期间届满之日起个工作日内，甲方应将履约保证金退还乙方；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89"/>
    <w:p>
      <w:pPr>
        <w:spacing w:line="560" w:lineRule="exact"/>
        <w:ind w:firstLine="482" w:firstLineChars="200"/>
        <w:rPr>
          <w:rFonts w:ascii="宋体" w:hAnsi="宋体" w:cs="宋体"/>
          <w:b/>
          <w:sz w:val="24"/>
          <w:szCs w:val="24"/>
        </w:rPr>
      </w:pPr>
      <w:r>
        <w:rPr>
          <w:rFonts w:hint="eastAsia" w:ascii="宋体" w:hAnsi="宋体" w:cs="宋体"/>
          <w:b/>
          <w:sz w:val="24"/>
          <w:szCs w:val="24"/>
        </w:rPr>
        <w:t>2.19 合同份数</w:t>
      </w:r>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1"/>
        <w:spacing w:line="560" w:lineRule="exact"/>
        <w:ind w:firstLine="480"/>
        <w:jc w:val="center"/>
        <w:rPr>
          <w:rFonts w:ascii="宋体" w:hAnsi="宋体" w:cs="宋体"/>
          <w:b/>
          <w:color w:val="0000FF"/>
          <w:sz w:val="24"/>
          <w:szCs w:val="24"/>
        </w:rPr>
      </w:pPr>
      <w:r>
        <w:rPr>
          <w:rFonts w:hint="eastAsia" w:ascii="宋体" w:hAnsi="宋体" w:cs="宋体"/>
          <w:sz w:val="24"/>
          <w:szCs w:val="24"/>
        </w:rPr>
        <w:br w:type="page"/>
      </w:r>
      <w:bookmarkStart w:id="490" w:name="_Toc331685784"/>
      <w:r>
        <w:rPr>
          <w:rFonts w:hint="eastAsia" w:ascii="宋体" w:hAnsi="宋体" w:cs="宋体"/>
          <w:b/>
          <w:color w:val="0000FF"/>
          <w:sz w:val="24"/>
          <w:szCs w:val="24"/>
        </w:rPr>
        <w:t>第三部分  合同专用条款</w:t>
      </w:r>
      <w:bookmarkEnd w:id="490"/>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一、学校（幼儿园）餐厅食材、原材料、半成品价格</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1.根据中标通知书，中标价格（下浮率）。每月随机抽调学校（幼儿园）相关人员，会同市场监督管理局、纪检等部门组成询价小组，询价小组按照综合市场、超市相同货物的（不参考精品价和打折价）平均价格下浮。</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2.每月选择三家以上单位询一次价（特殊食品根据市场情况，选择2家以上），无论市场价格怎样变化，本月配送价格不予调整（特殊情况需提交询价书面申请备案）。定价含所有费用（货物费、运费、人工费、税金等各项费用）。</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二、学校（幼儿园）餐厅食材、半成品质量要求</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1.大米必须符合国家规定标准，取得合法的食品生产许可证，具有产品检验报告，在保质期内。</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2.食用油必须符合国家规定标准，取得合法的食品生产许可证，具有产品检验报告，在保质期内。</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3.面粉必须取得合法的食品生产许可证，具有产品检验报告，在保质期内。</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4.副食品、蛋、糕点、生粉豆制品、半成品、调味品、干果类【食盐、味精、酱油、醋等）必须取得《食品生产许可证》，具有产品检验报告。</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5.鲜肉类必须在屠宰场（或宰杀店）宰杀加工，具有营业执照、生产许可证、兽禽屠宰证、动物检验检疫合格证明，并经动物卫生检疫机构检疫合格，加盖检疫合格印章和屠宰场印章，并附有《动物产品检疫合格证明》；冷冻肉类必须向经营商索票索证，并报动物卫生检疫机构备案。</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6.蔬菜在配送前按照批次每月必须采样送检，并注明蔬菜的产地、生产者及数量等，或由配送企业检测室检测合格并出具农药残留检测合格报告单后，方可采收配送。</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7.乙方向甲方提供的产品必须符合国家规定的相关标准，提供各类合格票据与质检证明。</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8.若乙方提供的商品本身出现质量问题，乙方应无条件包退包换货品，并负责赔偿因质量问题引起的索赔及承担相关损失和责任。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9.若甲方发现乙方所供的产品存在质量问题2次以上（包含2次），甲方有权解除本合同，乙方承担违约责任或者损失赔偿责任，同时乙方缴纳的保证金不予退还。</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10.学校（幼儿园）所需食材、原料、半成品以巩留县所产为主，肉食类产品新鲜为主；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三、学校（幼儿园）餐厅食材、原料、半成品配送要求</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1.乙方根据学校（幼儿园）餐厅供餐需求，保质保量按时将所需食材送到甲方指定地点；</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2.若乙方造成食材质量问题、供餐数量严重不足，乙方必须立即补足，乙方承担所有责任；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3.乙方按照学校（幼儿园）的分布和食品安全的角度，提供整体食材（半成品及原料）配送方案；</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4.中标之日起在全县学校、幼儿园、教学点、办园点配送食材或半成品，保证学生供餐；</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5.食材、半成品按照现有各学校（幼儿园）的标准测定，满意度必须达到70%，若满意度低于70%，甲方有权终止合同；</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6.学生食品安全保险由乙方按实际就餐学生人数参保;</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四、学校（幼儿园）餐厅食材、原料、半成品验收</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双方合作期间，乙方按照甲方指定的时间送到指定的地点，双方验收签字确认。</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五、学校（幼儿园）餐厅食材、原料、半成品付款方式</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每月结算一次，在次月甲方将货款转入乙方账户。特殊情况可延期支付。</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六、自本合同签订之日起三个月为试供期。</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试供期满经甲方综合考察合格合同继续履行；若试供期间乙方货物质量、服务出现严重问题，甲方有权解除合同。</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七、违约责任及解决办法</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1.乙方向招标机构缴纳履约保证金。若乙方违反合同约定，保证金不予退还。若乙方未出现违约情况，合同到期后，全额无息退还乙方的保证金。</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2.乙方应对所供货物的质量、数量等负责，严禁向甲方出售数量短缺、腐烂、变质、搀假、假冒伪劣、超过保质期的产品，一旦发现，甲方有权对该产品作任何处置，不支付该产品货款，并向相关部门报告。</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若引发食物中毒，由乙方承担全部的经济和法律责任，乙方所缴质量保证金不予退还，并立即终止本合同。</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3.若乙方未按约定时间供货，经甲方电话或者书面通知乙方，乙方仍不能当日供货的，甲方有权选择解除本台同，或者选择自行从市场立即购买，因此而产生的批零差价从应付的货款中扣除。</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4.若因乙方所提供的产品在保质期内，出现的爆袋、漏气、漏油、变质等质量问题，乙方无条件包退换货并承担一切法律、经济责任。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5.因甲方保管不善而导致的虫蚀、鼠咬、霉烂，变质等原因，乙方不予退换货。</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6.乙方若需退出供货商，须提前30天书面通知甲方，经甲方审批后可终止合同，合同解除后退还乙方的质量保证金。</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7.所供应的物资出现食品安全问题，甲方有权解除合同、并要求乙方担相应的违约责任。造成不良影响和损失的，报送相关部门、追究法律责任。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8.本合同执行期间，如遇不可抗力（包含国家和地方政策、新疆教育系统内的文件等），致使合同无法履行时，以及价格等协商不能达成一致意见，甲方有权解除合同，不承担任何责任。</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八、合同执行</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l.双方应严格遵守以上合同条款，如合作中遇未尽事宜，须经双方友好协商，达成一致意见并签订书面补充协议。补充协议和本合同的附件（各类承诺书）与本合同具有同等效力。</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2.本合同有效期：</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3.本合同一式三份，经双方签字盖章后即生效，甲方执有二份，乙方执有一份。</w:t>
      </w:r>
    </w:p>
    <w:p>
      <w:pPr>
        <w:spacing w:line="560" w:lineRule="exact"/>
        <w:ind w:firstLine="480" w:firstLineChars="200"/>
        <w:rPr>
          <w:rFonts w:ascii="宋体" w:hAnsi="宋体" w:cs="宋体"/>
          <w:sz w:val="24"/>
          <w:szCs w:val="24"/>
        </w:rPr>
      </w:pPr>
      <w:r>
        <w:rPr>
          <w:rFonts w:hint="eastAsia" w:ascii="宋体" w:hAnsi="宋体" w:cs="宋体"/>
          <w:color w:val="0000FF"/>
          <w:sz w:val="24"/>
          <w:szCs w:val="24"/>
        </w:rPr>
        <w:t>4.凡与本合同有关的一切争议，甲乙双方应首先通过友好协商解决，如经协商后仍不能达成协议时，任何一方可以人民法院提起诉讼。</w:t>
      </w:r>
    </w:p>
    <w:p>
      <w:pPr>
        <w:spacing w:line="520" w:lineRule="exact"/>
        <w:ind w:firstLine="640" w:firstLineChars="200"/>
        <w:jc w:val="left"/>
        <w:rPr>
          <w:rFonts w:ascii="方正仿宋_GBK" w:hAnsi="方正仿宋_GBK" w:eastAsia="方正仿宋_GBK" w:cs="方正仿宋_GBK"/>
          <w:color w:val="0000FF"/>
          <w:kern w:val="0"/>
          <w:sz w:val="32"/>
          <w:szCs w:val="32"/>
        </w:rPr>
      </w:pPr>
    </w:p>
    <w:p>
      <w:pPr>
        <w:pStyle w:val="34"/>
        <w:rPr>
          <w:color w:val="0000FF"/>
        </w:rPr>
      </w:pPr>
    </w:p>
    <w:p>
      <w:pPr>
        <w:pStyle w:val="22"/>
        <w:spacing w:line="360" w:lineRule="auto"/>
        <w:ind w:firstLine="241" w:firstLineChars="100"/>
        <w:rPr>
          <w:rFonts w:ascii="仿宋" w:hAnsi="仿宋" w:eastAsia="仿宋" w:cs="仿宋"/>
          <w:b/>
          <w:bCs/>
          <w:color w:val="0000FF"/>
          <w:sz w:val="24"/>
          <w:szCs w:val="24"/>
          <w:highlight w:val="yellow"/>
        </w:rPr>
      </w:pPr>
    </w:p>
    <w:p>
      <w:pPr>
        <w:pStyle w:val="22"/>
        <w:spacing w:line="360" w:lineRule="auto"/>
        <w:ind w:firstLine="241" w:firstLineChars="100"/>
        <w:rPr>
          <w:rFonts w:ascii="仿宋" w:hAnsi="仿宋" w:eastAsia="仿宋" w:cs="仿宋"/>
          <w:b/>
          <w:bCs/>
          <w:color w:val="0000FF"/>
          <w:sz w:val="24"/>
          <w:szCs w:val="24"/>
          <w:highlight w:val="yellow"/>
        </w:rPr>
      </w:pPr>
    </w:p>
    <w:p>
      <w:pPr>
        <w:pStyle w:val="22"/>
        <w:spacing w:line="360" w:lineRule="auto"/>
        <w:ind w:firstLine="241" w:firstLineChars="100"/>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2"/>
        <w:spacing w:line="360" w:lineRule="auto"/>
        <w:rPr>
          <w:rFonts w:ascii="仿宋" w:hAnsi="仿宋" w:eastAsia="仿宋" w:cs="仿宋"/>
          <w:b/>
          <w:bCs/>
          <w:color w:val="0000FF"/>
          <w:sz w:val="24"/>
          <w:szCs w:val="24"/>
          <w:highlight w:val="yellow"/>
        </w:rPr>
      </w:pPr>
    </w:p>
    <w:p>
      <w:pPr>
        <w:pStyle w:val="27"/>
        <w:numPr>
          <w:ilvl w:val="0"/>
          <w:numId w:val="57"/>
        </w:numPr>
        <w:ind w:firstLine="883"/>
        <w:rPr>
          <w:rFonts w:ascii="仿宋" w:hAnsi="仿宋" w:eastAsia="仿宋" w:cs="仿宋"/>
          <w:sz w:val="30"/>
          <w:szCs w:val="30"/>
        </w:rPr>
      </w:pPr>
      <w:bookmarkStart w:id="491" w:name="_Toc6497"/>
      <w:r>
        <w:rPr>
          <w:rFonts w:hint="eastAsia" w:ascii="仿宋" w:hAnsi="仿宋" w:eastAsia="仿宋" w:cs="仿宋"/>
          <w:sz w:val="30"/>
          <w:szCs w:val="30"/>
        </w:rPr>
        <w:t>采购需求</w:t>
      </w:r>
      <w:bookmarkEnd w:id="491"/>
    </w:p>
    <w:p>
      <w:pPr>
        <w:pStyle w:val="36"/>
        <w:ind w:firstLine="420"/>
        <w:rPr>
          <w:color w:val="0000FF"/>
          <w:highlight w:val="yellow"/>
        </w:rPr>
      </w:pP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为进一步规范教育系统食堂大宗食材采购工作，建立竞争机制，降低采购成本，提高经济效益，确保食品安全，教育局拟招一家巩留县2023年教育系统所需大宗食材、半成品配送采购项目，为我县教育系统学校食材提供服务。</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招标项目：巩留县2023年教育系统所需大宗食材、半成品配送采购项目</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服务机构数量：暂定1家供应商。</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定点期限：暂定3年，以签订合同时间为准。</w:t>
      </w:r>
    </w:p>
    <w:p>
      <w:pPr>
        <w:spacing w:line="560" w:lineRule="exact"/>
        <w:ind w:firstLine="480" w:firstLineChars="200"/>
        <w:rPr>
          <w:rFonts w:ascii="宋体" w:hAnsi="宋体" w:cs="宋体"/>
          <w:color w:val="0000FF"/>
          <w:sz w:val="24"/>
          <w:szCs w:val="24"/>
        </w:rPr>
      </w:pPr>
      <w:r>
        <w:rPr>
          <w:rFonts w:hint="eastAsia" w:ascii="宋体" w:hAnsi="宋体" w:cs="宋体"/>
          <w:color w:val="0000FF"/>
          <w:sz w:val="24"/>
          <w:szCs w:val="24"/>
        </w:rPr>
        <w:t>定价标准：下浮率</w:t>
      </w:r>
    </w:p>
    <w:p>
      <w:pPr>
        <w:spacing w:line="560" w:lineRule="exact"/>
        <w:ind w:firstLine="480" w:firstLineChars="200"/>
        <w:rPr>
          <w:rFonts w:ascii="宋体" w:hAnsi="宋体" w:cs="宋体"/>
          <w:sz w:val="24"/>
          <w:szCs w:val="24"/>
        </w:rPr>
      </w:pPr>
      <w:r>
        <w:rPr>
          <w:rFonts w:hint="eastAsia" w:ascii="宋体" w:hAnsi="宋体" w:cs="宋体"/>
          <w:sz w:val="24"/>
          <w:szCs w:val="24"/>
        </w:rPr>
        <w:t>一、项目阐述：</w:t>
      </w:r>
    </w:p>
    <w:p>
      <w:pPr>
        <w:spacing w:line="560" w:lineRule="exact"/>
        <w:rPr>
          <w:rFonts w:ascii="宋体" w:hAnsi="宋体" w:cs="宋体"/>
          <w:sz w:val="24"/>
          <w:szCs w:val="24"/>
        </w:rPr>
      </w:pPr>
      <w:r>
        <w:rPr>
          <w:rFonts w:hint="eastAsia" w:ascii="宋体" w:hAnsi="宋体" w:cs="宋体"/>
          <w:sz w:val="24"/>
          <w:szCs w:val="24"/>
        </w:rPr>
        <w:t>服务说明：</w:t>
      </w:r>
    </w:p>
    <w:p>
      <w:pPr>
        <w:spacing w:line="560" w:lineRule="exact"/>
        <w:ind w:firstLine="240" w:firstLineChars="100"/>
        <w:rPr>
          <w:rFonts w:ascii="宋体" w:hAnsi="宋体" w:cs="宋体"/>
          <w:sz w:val="24"/>
          <w:szCs w:val="24"/>
        </w:rPr>
      </w:pPr>
      <w:r>
        <w:rPr>
          <w:rFonts w:hint="eastAsia" w:ascii="宋体" w:hAnsi="宋体" w:cs="宋体"/>
          <w:sz w:val="24"/>
          <w:szCs w:val="24"/>
        </w:rPr>
        <w:t>食材配送基本介绍：</w:t>
      </w:r>
    </w:p>
    <w:p>
      <w:pPr>
        <w:spacing w:line="560" w:lineRule="exact"/>
        <w:ind w:firstLine="480" w:firstLineChars="200"/>
        <w:rPr>
          <w:rFonts w:ascii="宋体" w:hAnsi="宋体" w:cs="宋体"/>
          <w:sz w:val="24"/>
          <w:szCs w:val="24"/>
        </w:rPr>
      </w:pPr>
      <w:r>
        <w:rPr>
          <w:rFonts w:hint="eastAsia" w:ascii="宋体" w:hAnsi="宋体" w:cs="宋体"/>
          <w:sz w:val="24"/>
          <w:szCs w:val="24"/>
        </w:rPr>
        <w:t>竞标单位按照巩留县学校、幼儿园的分布和食品安全的要求，提供食材（半成品及原料）配送方案，价格不超出规定的餐标，具体执行时间：</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中标之日起在全县学校、幼儿园、教学点、办园点配送食材或半成品，保证学生供餐； </w:t>
      </w:r>
    </w:p>
    <w:p>
      <w:pPr>
        <w:spacing w:line="560" w:lineRule="exact"/>
        <w:ind w:firstLine="480" w:firstLineChars="200"/>
        <w:rPr>
          <w:rFonts w:ascii="宋体" w:hAnsi="宋体" w:cs="宋体"/>
          <w:sz w:val="24"/>
          <w:szCs w:val="24"/>
        </w:rPr>
      </w:pPr>
      <w:r>
        <w:rPr>
          <w:rFonts w:hint="eastAsia" w:ascii="宋体" w:hAnsi="宋体" w:cs="宋体"/>
          <w:sz w:val="24"/>
          <w:szCs w:val="24"/>
        </w:rPr>
        <w:t>1.本次食材的配送包含：</w:t>
      </w:r>
    </w:p>
    <w:p>
      <w:pPr>
        <w:spacing w:line="560" w:lineRule="exact"/>
        <w:ind w:firstLine="480" w:firstLineChars="200"/>
        <w:rPr>
          <w:rFonts w:ascii="宋体" w:hAnsi="宋体" w:cs="宋体"/>
          <w:sz w:val="24"/>
          <w:szCs w:val="24"/>
        </w:rPr>
      </w:pPr>
      <w:r>
        <w:rPr>
          <w:rFonts w:hint="eastAsia" w:ascii="宋体" w:hAnsi="宋体" w:cs="宋体"/>
          <w:sz w:val="24"/>
          <w:szCs w:val="24"/>
        </w:rPr>
        <w:t>（1）半成品：净菜、分割肉、面点等；</w:t>
      </w:r>
    </w:p>
    <w:p>
      <w:pPr>
        <w:spacing w:line="560" w:lineRule="exact"/>
        <w:ind w:firstLine="480" w:firstLineChars="200"/>
        <w:rPr>
          <w:rFonts w:ascii="宋体" w:hAnsi="宋体" w:cs="宋体"/>
          <w:sz w:val="24"/>
          <w:szCs w:val="24"/>
        </w:rPr>
      </w:pPr>
      <w:r>
        <w:rPr>
          <w:rFonts w:hint="eastAsia" w:ascii="宋体" w:hAnsi="宋体" w:cs="宋体"/>
          <w:sz w:val="24"/>
          <w:szCs w:val="24"/>
        </w:rPr>
        <w:t>（2）原料：大米、食用油、大米、面粉、鲜肉、蔬菜、调料、乳制品、糕点、水果、副食品等其他品种。</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2.本次报价包含原材料加工成半成品的所有费用。所有食材以本地巩留县所产为主，肉食类产品新鲜为主；</w:t>
      </w:r>
    </w:p>
    <w:p>
      <w:pPr>
        <w:spacing w:line="560" w:lineRule="exact"/>
        <w:ind w:firstLine="480" w:firstLineChars="200"/>
        <w:rPr>
          <w:rFonts w:ascii="宋体" w:hAnsi="宋体" w:cs="宋体"/>
          <w:sz w:val="24"/>
          <w:szCs w:val="24"/>
        </w:rPr>
      </w:pPr>
      <w:r>
        <w:rPr>
          <w:rFonts w:hint="eastAsia" w:ascii="宋体" w:hAnsi="宋体" w:cs="宋体"/>
          <w:sz w:val="24"/>
          <w:szCs w:val="24"/>
        </w:rPr>
        <w:t>3.必须满足巩留县学校、幼儿园、教学点学生食材供应服务；</w:t>
      </w:r>
    </w:p>
    <w:p>
      <w:pPr>
        <w:spacing w:line="560" w:lineRule="exact"/>
        <w:ind w:firstLine="480" w:firstLineChars="200"/>
        <w:rPr>
          <w:rFonts w:ascii="宋体" w:hAnsi="宋体" w:cs="宋体"/>
          <w:sz w:val="24"/>
          <w:szCs w:val="24"/>
        </w:rPr>
      </w:pPr>
      <w:r>
        <w:rPr>
          <w:rFonts w:hint="eastAsia" w:ascii="宋体" w:hAnsi="宋体" w:cs="宋体"/>
          <w:sz w:val="24"/>
          <w:szCs w:val="24"/>
        </w:rPr>
        <w:t>4.本次项目食材区域，由一家指定服务，不允许转包和分包；</w:t>
      </w:r>
    </w:p>
    <w:p>
      <w:pPr>
        <w:spacing w:line="560" w:lineRule="exact"/>
        <w:ind w:firstLine="480" w:firstLineChars="200"/>
        <w:rPr>
          <w:rFonts w:ascii="宋体" w:hAnsi="宋体" w:cs="宋体"/>
          <w:sz w:val="24"/>
          <w:szCs w:val="24"/>
        </w:rPr>
      </w:pPr>
      <w:r>
        <w:rPr>
          <w:rFonts w:hint="eastAsia" w:ascii="宋体" w:hAnsi="宋体" w:cs="宋体"/>
          <w:sz w:val="24"/>
          <w:szCs w:val="24"/>
        </w:rPr>
        <w:t>6.在配送方案中要体现学校学生食材配送情况；</w:t>
      </w:r>
    </w:p>
    <w:p>
      <w:pPr>
        <w:spacing w:line="560" w:lineRule="exact"/>
        <w:ind w:firstLine="480" w:firstLineChars="200"/>
        <w:rPr>
          <w:rFonts w:ascii="宋体" w:hAnsi="宋体" w:cs="宋体"/>
          <w:sz w:val="24"/>
          <w:szCs w:val="24"/>
        </w:rPr>
      </w:pPr>
      <w:r>
        <w:rPr>
          <w:rFonts w:hint="eastAsia" w:ascii="宋体" w:hAnsi="宋体" w:cs="宋体"/>
          <w:sz w:val="24"/>
          <w:szCs w:val="24"/>
        </w:rPr>
        <w:t>二、定价方法</w:t>
      </w:r>
    </w:p>
    <w:p>
      <w:pPr>
        <w:spacing w:line="560" w:lineRule="exact"/>
        <w:ind w:firstLine="480" w:firstLineChars="200"/>
        <w:rPr>
          <w:rFonts w:ascii="宋体" w:hAnsi="宋体" w:cs="宋体"/>
          <w:sz w:val="24"/>
          <w:szCs w:val="24"/>
        </w:rPr>
      </w:pPr>
      <w:r>
        <w:rPr>
          <w:rFonts w:hint="eastAsia" w:ascii="宋体" w:hAnsi="宋体" w:cs="宋体"/>
          <w:sz w:val="24"/>
          <w:szCs w:val="24"/>
        </w:rPr>
        <w:t>货物价格询价小组询价平均价格×下浮率计算（含货物费、运费、人工费、税金等各项费用）。</w:t>
      </w:r>
    </w:p>
    <w:p>
      <w:pPr>
        <w:spacing w:line="560" w:lineRule="exact"/>
        <w:ind w:firstLine="480" w:firstLineChars="200"/>
        <w:rPr>
          <w:rFonts w:ascii="宋体" w:hAnsi="宋体" w:cs="宋体"/>
          <w:sz w:val="24"/>
          <w:szCs w:val="24"/>
        </w:rPr>
      </w:pPr>
      <w:r>
        <w:rPr>
          <w:rFonts w:hint="eastAsia" w:ascii="宋体" w:hAnsi="宋体" w:cs="宋体"/>
          <w:sz w:val="24"/>
          <w:szCs w:val="24"/>
        </w:rPr>
        <w:t>三、采购计划的确认</w:t>
      </w:r>
    </w:p>
    <w:p>
      <w:pPr>
        <w:spacing w:line="560" w:lineRule="exact"/>
        <w:ind w:firstLine="480" w:firstLineChars="200"/>
        <w:rPr>
          <w:rFonts w:ascii="宋体" w:hAnsi="宋体" w:cs="宋体"/>
          <w:sz w:val="24"/>
          <w:szCs w:val="24"/>
        </w:rPr>
      </w:pPr>
      <w:r>
        <w:rPr>
          <w:rFonts w:hint="eastAsia" w:ascii="宋体" w:hAnsi="宋体" w:cs="宋体"/>
          <w:sz w:val="24"/>
          <w:szCs w:val="24"/>
        </w:rPr>
        <w:t>1.甲方在每月定价前，将本月至下月的采购计划以书面形式通知乙方。</w:t>
      </w:r>
    </w:p>
    <w:p>
      <w:pPr>
        <w:spacing w:line="560" w:lineRule="exact"/>
        <w:ind w:firstLine="480" w:firstLineChars="200"/>
        <w:rPr>
          <w:rFonts w:ascii="宋体" w:hAnsi="宋体" w:cs="宋体"/>
          <w:sz w:val="24"/>
          <w:szCs w:val="24"/>
        </w:rPr>
      </w:pPr>
      <w:r>
        <w:rPr>
          <w:rFonts w:hint="eastAsia" w:ascii="宋体" w:hAnsi="宋体" w:cs="宋体"/>
          <w:sz w:val="24"/>
          <w:szCs w:val="24"/>
        </w:rPr>
        <w:t>2.原则上采购计划与实际下达的订单偏差控制在5%以内。</w:t>
      </w:r>
    </w:p>
    <w:p>
      <w:pPr>
        <w:spacing w:line="560" w:lineRule="exact"/>
        <w:ind w:firstLine="480" w:firstLineChars="200"/>
        <w:rPr>
          <w:rFonts w:ascii="宋体" w:hAnsi="宋体" w:cs="宋体"/>
          <w:sz w:val="24"/>
          <w:szCs w:val="24"/>
        </w:rPr>
      </w:pPr>
      <w:r>
        <w:rPr>
          <w:rFonts w:hint="eastAsia" w:ascii="宋体" w:hAnsi="宋体" w:cs="宋体"/>
          <w:sz w:val="24"/>
          <w:szCs w:val="24"/>
        </w:rPr>
        <w:t>3.最终采购数量以甲方每天下订单的数量为准。</w:t>
      </w:r>
    </w:p>
    <w:p>
      <w:pPr>
        <w:spacing w:line="560" w:lineRule="exact"/>
        <w:ind w:firstLine="480" w:firstLineChars="200"/>
        <w:rPr>
          <w:rFonts w:ascii="宋体" w:hAnsi="宋体" w:cs="宋体"/>
          <w:sz w:val="24"/>
          <w:szCs w:val="24"/>
        </w:rPr>
      </w:pPr>
      <w:r>
        <w:rPr>
          <w:rFonts w:hint="eastAsia" w:ascii="宋体" w:hAnsi="宋体" w:cs="宋体"/>
          <w:sz w:val="24"/>
          <w:szCs w:val="24"/>
        </w:rPr>
        <w:t>4.双方可根据蔬菜水果、蛋、干果、坚果及鲜肉生产季节、天气、市场价格情况等协商调整每期采购计划中货物品种和数量。乙方必须能保证提供丰富的品种供甲方选择。</w:t>
      </w:r>
    </w:p>
    <w:p>
      <w:pPr>
        <w:spacing w:line="560" w:lineRule="exact"/>
        <w:ind w:firstLine="480" w:firstLineChars="200"/>
        <w:rPr>
          <w:rFonts w:ascii="宋体" w:hAnsi="宋体" w:cs="宋体"/>
          <w:sz w:val="24"/>
          <w:szCs w:val="24"/>
        </w:rPr>
      </w:pPr>
      <w:bookmarkStart w:id="492" w:name="_Toc472089678"/>
      <w:r>
        <w:rPr>
          <w:rFonts w:hint="eastAsia" w:ascii="宋体" w:hAnsi="宋体" w:cs="宋体"/>
          <w:sz w:val="24"/>
          <w:szCs w:val="24"/>
        </w:rPr>
        <w:t>四、甲方下订单订货</w:t>
      </w:r>
      <w:bookmarkEnd w:id="492"/>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1.甲方每周四下午6：30前向乙方下达第二周的订单，甲方以网上下单通知乙方，订单内容包括名称、种类、规格、数量、运送时间、送达地点、订单联系人等具体要求。</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2.乙方接到甲方订单后，个别品种因缺货而无法提供的，乙方应在送货前一天及时知会甲方并协商好解决方法。</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3.甲方根据学生实际到校情况，提前一天可调整订单数量。</w:t>
      </w:r>
    </w:p>
    <w:p>
      <w:pPr>
        <w:spacing w:line="560" w:lineRule="exact"/>
        <w:ind w:firstLine="480" w:firstLineChars="200"/>
        <w:rPr>
          <w:rFonts w:ascii="宋体" w:hAnsi="宋体" w:cs="宋体"/>
          <w:sz w:val="24"/>
          <w:szCs w:val="24"/>
        </w:rPr>
      </w:pPr>
      <w:bookmarkStart w:id="493" w:name="_Toc472089679"/>
      <w:r>
        <w:rPr>
          <w:rFonts w:hint="eastAsia" w:ascii="宋体" w:hAnsi="宋体" w:cs="宋体"/>
          <w:sz w:val="24"/>
          <w:szCs w:val="24"/>
        </w:rPr>
        <w:t>五、交货要求</w:t>
      </w:r>
      <w:bookmarkEnd w:id="493"/>
    </w:p>
    <w:p>
      <w:pPr>
        <w:spacing w:line="560" w:lineRule="exact"/>
        <w:ind w:firstLine="480" w:firstLineChars="200"/>
        <w:rPr>
          <w:rFonts w:ascii="宋体" w:hAnsi="宋体" w:cs="宋体"/>
          <w:sz w:val="24"/>
          <w:szCs w:val="24"/>
        </w:rPr>
      </w:pPr>
      <w:r>
        <w:rPr>
          <w:rFonts w:hint="eastAsia" w:ascii="宋体" w:hAnsi="宋体" w:cs="宋体"/>
          <w:sz w:val="24"/>
          <w:szCs w:val="24"/>
        </w:rPr>
        <w:t>1.乙方送货车辆必须在规定的时间内将所有物品送到甲方指定的地点并配送完毕，乙方提供《送货清单》一式两份，甲乙双方现场过秤并验收签名，作结算凭证。</w:t>
      </w:r>
    </w:p>
    <w:p>
      <w:pPr>
        <w:spacing w:line="560" w:lineRule="exact"/>
        <w:ind w:firstLine="480" w:firstLineChars="200"/>
        <w:rPr>
          <w:rFonts w:ascii="宋体" w:hAnsi="宋体" w:cs="宋体"/>
          <w:sz w:val="24"/>
          <w:szCs w:val="24"/>
        </w:rPr>
      </w:pPr>
      <w:r>
        <w:rPr>
          <w:rFonts w:hint="eastAsia" w:ascii="宋体" w:hAnsi="宋体" w:cs="宋体"/>
          <w:sz w:val="24"/>
          <w:szCs w:val="24"/>
        </w:rPr>
        <w:t>2.所有品种按除箱净重过磅，最终交易重量以双方确认的过磅数为准。</w:t>
      </w:r>
    </w:p>
    <w:p>
      <w:pPr>
        <w:spacing w:line="560" w:lineRule="exact"/>
        <w:ind w:firstLine="480" w:firstLineChars="200"/>
        <w:rPr>
          <w:rFonts w:ascii="宋体" w:hAnsi="宋体" w:cs="宋体"/>
          <w:sz w:val="24"/>
          <w:szCs w:val="24"/>
        </w:rPr>
      </w:pPr>
      <w:r>
        <w:rPr>
          <w:rFonts w:hint="eastAsia" w:ascii="宋体" w:hAnsi="宋体" w:cs="宋体"/>
          <w:sz w:val="24"/>
          <w:szCs w:val="24"/>
        </w:rPr>
        <w:t>3.乙方送货人员负责将货物从车上搬到称上过磅，然后放到指定地点。</w:t>
      </w:r>
    </w:p>
    <w:p>
      <w:pPr>
        <w:spacing w:line="560" w:lineRule="exact"/>
        <w:ind w:firstLine="480" w:firstLineChars="200"/>
        <w:rPr>
          <w:rFonts w:ascii="宋体" w:hAnsi="宋体" w:cs="宋体"/>
          <w:sz w:val="24"/>
          <w:szCs w:val="24"/>
        </w:rPr>
      </w:pPr>
      <w:bookmarkStart w:id="494" w:name="_Toc472089680"/>
      <w:r>
        <w:rPr>
          <w:rFonts w:hint="eastAsia" w:ascii="宋体" w:hAnsi="宋体" w:cs="宋体"/>
          <w:sz w:val="24"/>
          <w:szCs w:val="24"/>
        </w:rPr>
        <w:t>六、数量、质量、品质要求</w:t>
      </w:r>
      <w:bookmarkEnd w:id="494"/>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 1.品种及数量与甲方订单要求相差不能超过5%，各品种数量超出规定的部分由乙方带回，不纳入结算，短缺的部份由乙方补足。</w:t>
      </w:r>
    </w:p>
    <w:p>
      <w:pPr>
        <w:spacing w:line="560" w:lineRule="exact"/>
        <w:ind w:firstLine="480" w:firstLineChars="200"/>
        <w:rPr>
          <w:rFonts w:ascii="宋体" w:hAnsi="宋体" w:cs="宋体"/>
          <w:sz w:val="24"/>
          <w:szCs w:val="24"/>
        </w:rPr>
      </w:pPr>
      <w:r>
        <w:rPr>
          <w:rFonts w:hint="eastAsia" w:ascii="宋体" w:hAnsi="宋体" w:cs="宋体"/>
          <w:sz w:val="24"/>
          <w:szCs w:val="24"/>
        </w:rPr>
        <w:t>2.每个品种的重量以双方核准的净重过磅数为准，双方签字确认作为结算凭证。</w:t>
      </w:r>
    </w:p>
    <w:p>
      <w:pPr>
        <w:spacing w:line="560" w:lineRule="exact"/>
        <w:ind w:firstLine="480" w:firstLineChars="200"/>
        <w:rPr>
          <w:rFonts w:ascii="宋体" w:hAnsi="宋体" w:cs="宋体"/>
          <w:sz w:val="24"/>
          <w:szCs w:val="24"/>
        </w:rPr>
      </w:pPr>
      <w:r>
        <w:rPr>
          <w:rFonts w:hint="eastAsia" w:ascii="宋体" w:hAnsi="宋体" w:cs="宋体"/>
          <w:sz w:val="24"/>
          <w:szCs w:val="24"/>
        </w:rPr>
        <w:t>3．乙方供货质量必须符合《中华人民共和国食品安全法》相关规定。</w:t>
      </w:r>
    </w:p>
    <w:p>
      <w:pPr>
        <w:spacing w:line="560" w:lineRule="exact"/>
        <w:ind w:firstLine="480" w:firstLineChars="200"/>
        <w:rPr>
          <w:rFonts w:ascii="宋体" w:hAnsi="宋体" w:cs="宋体"/>
          <w:sz w:val="24"/>
          <w:szCs w:val="24"/>
        </w:rPr>
      </w:pPr>
      <w:r>
        <w:rPr>
          <w:rFonts w:hint="eastAsia" w:ascii="宋体" w:hAnsi="宋体" w:cs="宋体"/>
          <w:sz w:val="24"/>
          <w:szCs w:val="24"/>
        </w:rPr>
        <w:t>七、监督检查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巩留县教育局将组织有关部门不定期对供应商的承诺执行情况进行检查，一旦发现供应商严重违反投标承诺，将视情节严重程度，采取以下几种追究供应商违约责任。</w:t>
      </w:r>
    </w:p>
    <w:p>
      <w:pPr>
        <w:spacing w:line="560" w:lineRule="exact"/>
        <w:ind w:firstLine="480" w:firstLineChars="200"/>
        <w:rPr>
          <w:rFonts w:ascii="宋体" w:hAnsi="宋体" w:cs="宋体"/>
          <w:sz w:val="24"/>
          <w:szCs w:val="24"/>
        </w:rPr>
      </w:pPr>
      <w:r>
        <w:rPr>
          <w:rFonts w:hint="eastAsia" w:ascii="宋体" w:hAnsi="宋体" w:cs="宋体"/>
          <w:sz w:val="24"/>
          <w:szCs w:val="24"/>
        </w:rPr>
        <w:t>1、通报批评。</w:t>
      </w:r>
    </w:p>
    <w:p>
      <w:pPr>
        <w:spacing w:line="560" w:lineRule="exact"/>
        <w:ind w:firstLine="480" w:firstLineChars="200"/>
        <w:rPr>
          <w:rFonts w:ascii="宋体" w:hAnsi="宋体" w:cs="宋体"/>
          <w:sz w:val="24"/>
          <w:szCs w:val="24"/>
        </w:rPr>
      </w:pPr>
      <w:r>
        <w:rPr>
          <w:rFonts w:hint="eastAsia" w:ascii="宋体" w:hAnsi="宋体" w:cs="宋体"/>
          <w:sz w:val="24"/>
          <w:szCs w:val="24"/>
        </w:rPr>
        <w:t>2、没收履约保证金。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3、取消该单位入围供应商库的资格，并且一至三年内不再参与任何教育局项目及政府采购。</w:t>
      </w:r>
    </w:p>
    <w:p>
      <w:pPr>
        <w:spacing w:line="560" w:lineRule="exact"/>
        <w:ind w:firstLine="480" w:firstLineChars="200"/>
        <w:rPr>
          <w:rFonts w:ascii="宋体" w:hAnsi="宋体" w:cs="宋体"/>
          <w:sz w:val="24"/>
          <w:szCs w:val="24"/>
        </w:rPr>
      </w:pPr>
      <w:r>
        <w:rPr>
          <w:rFonts w:hint="eastAsia" w:ascii="宋体" w:hAnsi="宋体" w:cs="宋体"/>
          <w:sz w:val="24"/>
          <w:szCs w:val="24"/>
        </w:rPr>
        <w:t>八、试供期</w:t>
      </w:r>
    </w:p>
    <w:p>
      <w:pPr>
        <w:spacing w:line="560" w:lineRule="exact"/>
        <w:ind w:firstLine="480" w:firstLineChars="200"/>
        <w:rPr>
          <w:rFonts w:ascii="宋体" w:hAnsi="宋体" w:cs="宋体"/>
          <w:sz w:val="24"/>
          <w:szCs w:val="24"/>
        </w:rPr>
      </w:pPr>
      <w:bookmarkStart w:id="495" w:name="_Toc472089695"/>
      <w:r>
        <w:rPr>
          <w:rFonts w:hint="eastAsia" w:ascii="宋体" w:hAnsi="宋体" w:cs="宋体"/>
          <w:sz w:val="24"/>
          <w:szCs w:val="24"/>
        </w:rPr>
        <w:t>1、试供期规定</w:t>
      </w:r>
      <w:bookmarkEnd w:id="495"/>
    </w:p>
    <w:p>
      <w:pPr>
        <w:spacing w:line="560" w:lineRule="exact"/>
        <w:ind w:firstLine="480" w:firstLineChars="200"/>
        <w:rPr>
          <w:rFonts w:ascii="宋体" w:hAnsi="宋体" w:cs="宋体"/>
          <w:sz w:val="24"/>
          <w:szCs w:val="24"/>
        </w:rPr>
      </w:pPr>
      <w:r>
        <w:rPr>
          <w:rFonts w:hint="eastAsia" w:ascii="宋体" w:hAnsi="宋体" w:cs="宋体"/>
          <w:sz w:val="24"/>
          <w:szCs w:val="24"/>
        </w:rPr>
        <w:t>中标人签订合同后正式进入试供期，试供期为三个月，主要考察中标人货物质量、服务、信誉等方面。</w:t>
      </w:r>
    </w:p>
    <w:p>
      <w:pPr>
        <w:spacing w:line="560" w:lineRule="exact"/>
        <w:ind w:firstLine="480" w:firstLineChars="200"/>
        <w:rPr>
          <w:rFonts w:ascii="宋体" w:hAnsi="宋体" w:cs="宋体"/>
          <w:sz w:val="24"/>
          <w:szCs w:val="24"/>
        </w:rPr>
      </w:pPr>
      <w:bookmarkStart w:id="496" w:name="_Toc472089696"/>
      <w:r>
        <w:rPr>
          <w:rFonts w:hint="eastAsia" w:ascii="宋体" w:hAnsi="宋体" w:cs="宋体"/>
          <w:sz w:val="24"/>
          <w:szCs w:val="24"/>
        </w:rPr>
        <w:t>2、试供期结束</w:t>
      </w:r>
      <w:bookmarkEnd w:id="496"/>
    </w:p>
    <w:p>
      <w:pPr>
        <w:spacing w:line="560" w:lineRule="exact"/>
        <w:ind w:firstLine="480" w:firstLineChars="200"/>
        <w:rPr>
          <w:rFonts w:ascii="宋体" w:hAnsi="宋体" w:cs="宋体"/>
          <w:sz w:val="24"/>
          <w:szCs w:val="24"/>
        </w:rPr>
      </w:pPr>
      <w:r>
        <w:rPr>
          <w:rFonts w:hint="eastAsia" w:ascii="宋体" w:hAnsi="宋体" w:cs="宋体"/>
          <w:sz w:val="24"/>
          <w:szCs w:val="24"/>
        </w:rPr>
        <w:t>试供期满且经甲方综合考察认为合格的，合同继续执行：若试供期间出现质量、服务等难以磨合的问题的，经双方协商同意后，可终止合同，甲方有权选择本项目下一中标候选人进行替补。</w:t>
      </w:r>
    </w:p>
    <w:p>
      <w:pPr>
        <w:spacing w:line="560" w:lineRule="exact"/>
        <w:ind w:firstLine="480" w:firstLineChars="200"/>
        <w:rPr>
          <w:rFonts w:ascii="宋体" w:hAnsi="宋体" w:cs="宋体"/>
          <w:sz w:val="24"/>
          <w:szCs w:val="24"/>
        </w:rPr>
      </w:pPr>
      <w:bookmarkStart w:id="497" w:name="_Toc472089697"/>
      <w:r>
        <w:rPr>
          <w:rFonts w:hint="eastAsia" w:ascii="宋体" w:hAnsi="宋体" w:cs="宋体"/>
          <w:sz w:val="24"/>
          <w:szCs w:val="24"/>
        </w:rPr>
        <w:t>九、结算方式</w:t>
      </w:r>
      <w:bookmarkEnd w:id="497"/>
    </w:p>
    <w:p>
      <w:pPr>
        <w:spacing w:line="560" w:lineRule="exact"/>
        <w:ind w:firstLine="480" w:firstLineChars="200"/>
        <w:rPr>
          <w:rFonts w:ascii="方正仿宋_GBK" w:hAnsi="方正仿宋_GBK" w:eastAsia="方正仿宋_GBK" w:cs="方正仿宋_GBK"/>
          <w:kern w:val="0"/>
          <w:sz w:val="32"/>
          <w:szCs w:val="32"/>
        </w:rPr>
      </w:pPr>
      <w:r>
        <w:rPr>
          <w:rFonts w:hint="eastAsia" w:ascii="宋体" w:hAnsi="宋体" w:cs="宋体"/>
          <w:sz w:val="24"/>
          <w:szCs w:val="24"/>
        </w:rPr>
        <w:t>每月货物按照物品价格平均价格×下浮率计算，每月结算一次，在次月甲方将货款转入乙方账户。特殊情况可延期支付。</w:t>
      </w:r>
    </w:p>
    <w:p>
      <w:pPr>
        <w:spacing w:line="500" w:lineRule="exact"/>
        <w:ind w:firstLine="640" w:firstLineChars="200"/>
        <w:rPr>
          <w:rFonts w:ascii="方正仿宋_GBK" w:hAnsi="方正仿宋_GBK" w:eastAsia="方正仿宋_GBK" w:cs="方正仿宋_GBK"/>
          <w:kern w:val="0"/>
          <w:sz w:val="32"/>
          <w:szCs w:val="32"/>
        </w:rPr>
      </w:pPr>
    </w:p>
    <w:p>
      <w:pPr>
        <w:pStyle w:val="3"/>
        <w:jc w:val="center"/>
        <w:rPr>
          <w:rFonts w:ascii="仿宋" w:hAnsi="仿宋" w:eastAsia="仿宋" w:cs="仿宋"/>
          <w:sz w:val="30"/>
          <w:szCs w:val="30"/>
        </w:rPr>
      </w:pPr>
      <w:bookmarkStart w:id="498" w:name="_Toc14947"/>
      <w:r>
        <w:rPr>
          <w:rFonts w:hint="eastAsia" w:ascii="仿宋" w:hAnsi="仿宋" w:eastAsia="仿宋" w:cs="仿宋"/>
          <w:sz w:val="30"/>
          <w:szCs w:val="30"/>
        </w:rPr>
        <w:t>第六章   投标文件部分格式</w:t>
      </w:r>
      <w:bookmarkEnd w:id="498"/>
    </w:p>
    <w:p>
      <w:pPr>
        <w:pStyle w:val="36"/>
        <w:ind w:firstLine="420"/>
      </w:pPr>
    </w:p>
    <w:p>
      <w:pPr>
        <w:spacing w:line="360" w:lineRule="auto"/>
        <w:jc w:val="center"/>
        <w:rPr>
          <w:rFonts w:ascii="仿宋" w:hAnsi="仿宋" w:eastAsia="仿宋" w:cs="仿宋"/>
          <w:sz w:val="24"/>
          <w:szCs w:val="24"/>
        </w:rPr>
      </w:pPr>
      <w:bookmarkStart w:id="499" w:name="_Toc4221_WPSOffice_Level1"/>
      <w:bookmarkStart w:id="500" w:name="_Toc8812_WPSOffice_Level1"/>
      <w:r>
        <w:rPr>
          <w:rFonts w:hint="eastAsia" w:ascii="仿宋" w:hAnsi="仿宋" w:eastAsia="仿宋" w:cs="仿宋"/>
          <w:sz w:val="24"/>
          <w:szCs w:val="24"/>
        </w:rPr>
        <w:t>正本/副本</w:t>
      </w:r>
      <w:bookmarkEnd w:id="499"/>
      <w:bookmarkEnd w:id="500"/>
    </w:p>
    <w:p>
      <w:pPr>
        <w:spacing w:line="360" w:lineRule="auto"/>
        <w:rPr>
          <w:rFonts w:ascii="仿宋" w:hAnsi="仿宋" w:eastAsia="仿宋" w:cs="仿宋"/>
          <w:sz w:val="24"/>
          <w:szCs w:val="24"/>
          <w:highlight w:val="yellow"/>
        </w:rPr>
      </w:pPr>
    </w:p>
    <w:p>
      <w:pPr>
        <w:spacing w:line="360" w:lineRule="auto"/>
        <w:ind w:firstLine="480" w:firstLineChars="200"/>
        <w:rPr>
          <w:rFonts w:ascii="仿宋" w:hAnsi="仿宋" w:eastAsia="仿宋" w:cs="仿宋"/>
          <w:sz w:val="24"/>
          <w:szCs w:val="24"/>
          <w:highlight w:val="yellow"/>
        </w:rPr>
      </w:pPr>
    </w:p>
    <w:p>
      <w:pPr>
        <w:pStyle w:val="22"/>
        <w:spacing w:line="360" w:lineRule="auto"/>
        <w:rPr>
          <w:rFonts w:ascii="仿宋" w:hAnsi="仿宋" w:eastAsia="仿宋" w:cs="仿宋"/>
          <w:sz w:val="24"/>
          <w:szCs w:val="24"/>
          <w:highlight w:val="yellow"/>
        </w:rPr>
      </w:pPr>
    </w:p>
    <w:p>
      <w:pPr>
        <w:pStyle w:val="22"/>
        <w:spacing w:line="360" w:lineRule="auto"/>
        <w:rPr>
          <w:rFonts w:ascii="仿宋" w:hAnsi="仿宋" w:eastAsia="仿宋" w:cs="仿宋"/>
          <w:sz w:val="24"/>
          <w:szCs w:val="24"/>
          <w:highlight w:val="yellow"/>
        </w:rPr>
      </w:pPr>
    </w:p>
    <w:p>
      <w:pPr>
        <w:pStyle w:val="22"/>
        <w:spacing w:line="360" w:lineRule="auto"/>
        <w:rPr>
          <w:rFonts w:ascii="仿宋" w:hAnsi="仿宋" w:eastAsia="仿宋" w:cs="仿宋"/>
          <w:sz w:val="24"/>
          <w:szCs w:val="24"/>
          <w:highlight w:val="yellow"/>
        </w:rPr>
      </w:pPr>
    </w:p>
    <w:p>
      <w:pPr>
        <w:spacing w:line="360" w:lineRule="auto"/>
        <w:ind w:firstLine="1440" w:firstLineChars="600"/>
        <w:rPr>
          <w:rFonts w:ascii="仿宋" w:hAnsi="仿宋" w:eastAsia="仿宋" w:cs="仿宋"/>
          <w:sz w:val="24"/>
          <w:szCs w:val="24"/>
        </w:rPr>
      </w:pPr>
      <w:r>
        <w:rPr>
          <w:rFonts w:hint="eastAsia" w:ascii="仿宋" w:hAnsi="仿宋" w:eastAsia="仿宋" w:cs="仿宋"/>
          <w:sz w:val="24"/>
          <w:szCs w:val="24"/>
          <w:u w:val="single"/>
        </w:rPr>
        <w:t xml:space="preserve">             （项目名称）                </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pStyle w:val="22"/>
        <w:spacing w:line="360" w:lineRule="auto"/>
        <w:rPr>
          <w:rFonts w:ascii="仿宋" w:hAnsi="仿宋" w:eastAsia="仿宋" w:cs="仿宋"/>
          <w:sz w:val="24"/>
          <w:szCs w:val="24"/>
        </w:rPr>
      </w:pPr>
    </w:p>
    <w:p>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投标文件</w:t>
      </w:r>
    </w:p>
    <w:p>
      <w:pPr>
        <w:pStyle w:val="36"/>
        <w:ind w:firstLine="482"/>
        <w:rPr>
          <w:rFonts w:ascii="仿宋" w:hAnsi="仿宋" w:eastAsia="仿宋" w:cs="仿宋"/>
          <w:b/>
          <w:bCs/>
          <w:sz w:val="24"/>
          <w:szCs w:val="24"/>
        </w:rPr>
      </w:pPr>
    </w:p>
    <w:p>
      <w:pPr>
        <w:pStyle w:val="36"/>
        <w:ind w:firstLine="482"/>
        <w:rPr>
          <w:rFonts w:ascii="仿宋" w:hAnsi="仿宋" w:eastAsia="仿宋" w:cs="仿宋"/>
          <w:b/>
          <w:bCs/>
          <w:sz w:val="24"/>
          <w:szCs w:val="24"/>
          <w:highlight w:val="yellow"/>
        </w:rPr>
      </w:pPr>
    </w:p>
    <w:p>
      <w:pPr>
        <w:pStyle w:val="36"/>
        <w:ind w:firstLine="482"/>
        <w:rPr>
          <w:rFonts w:ascii="仿宋" w:hAnsi="仿宋" w:eastAsia="仿宋" w:cs="仿宋"/>
          <w:b/>
          <w:bCs/>
          <w:sz w:val="24"/>
          <w:szCs w:val="24"/>
          <w:highlight w:val="yellow"/>
        </w:rPr>
      </w:pPr>
    </w:p>
    <w:p>
      <w:pPr>
        <w:pStyle w:val="36"/>
        <w:ind w:firstLine="482"/>
        <w:rPr>
          <w:rFonts w:ascii="仿宋" w:hAnsi="仿宋" w:eastAsia="仿宋" w:cs="仿宋"/>
          <w:b/>
          <w:bCs/>
          <w:sz w:val="24"/>
          <w:szCs w:val="24"/>
          <w:highlight w:val="yellow"/>
        </w:rPr>
      </w:pPr>
    </w:p>
    <w:p>
      <w:pPr>
        <w:pStyle w:val="36"/>
        <w:ind w:firstLine="482"/>
        <w:rPr>
          <w:rFonts w:ascii="仿宋" w:hAnsi="仿宋" w:eastAsia="仿宋" w:cs="仿宋"/>
          <w:b/>
          <w:bCs/>
          <w:sz w:val="24"/>
          <w:szCs w:val="24"/>
          <w:highlight w:val="yellow"/>
        </w:rPr>
      </w:pPr>
    </w:p>
    <w:p>
      <w:pPr>
        <w:pStyle w:val="36"/>
        <w:ind w:firstLine="482"/>
        <w:rPr>
          <w:rFonts w:ascii="仿宋" w:hAnsi="仿宋" w:eastAsia="仿宋" w:cs="仿宋"/>
          <w:b/>
          <w:bCs/>
          <w:sz w:val="24"/>
          <w:szCs w:val="24"/>
          <w:highlight w:val="yellow"/>
        </w:rPr>
      </w:pPr>
    </w:p>
    <w:p>
      <w:pPr>
        <w:pStyle w:val="36"/>
        <w:ind w:firstLine="482"/>
        <w:rPr>
          <w:rFonts w:ascii="仿宋" w:hAnsi="仿宋" w:eastAsia="仿宋" w:cs="仿宋"/>
          <w:b/>
          <w:bCs/>
          <w:sz w:val="24"/>
          <w:szCs w:val="24"/>
          <w:highlight w:val="yellow"/>
        </w:rPr>
      </w:pPr>
    </w:p>
    <w:p>
      <w:pPr>
        <w:spacing w:line="360" w:lineRule="auto"/>
        <w:ind w:firstLine="120" w:firstLineChars="50"/>
        <w:rPr>
          <w:rFonts w:ascii="仿宋" w:hAnsi="仿宋" w:eastAsia="仿宋" w:cs="仿宋"/>
          <w:kern w:val="0"/>
          <w:sz w:val="24"/>
          <w:szCs w:val="24"/>
          <w:highlight w:val="yellow"/>
        </w:rPr>
      </w:pPr>
    </w:p>
    <w:p>
      <w:pPr>
        <w:spacing w:line="360" w:lineRule="auto"/>
        <w:rPr>
          <w:rFonts w:ascii="仿宋" w:hAnsi="仿宋" w:eastAsia="仿宋" w:cs="仿宋"/>
          <w:kern w:val="0"/>
          <w:sz w:val="24"/>
          <w:szCs w:val="24"/>
          <w:highlight w:val="yellow"/>
        </w:rPr>
      </w:pP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投标单位名称（盖章）：</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法人或委托代理人（签字或盖章）：</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单 位 地  址：</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联   系   人：</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联 系 电  话：</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邮  政 编 码：</w:t>
      </w:r>
    </w:p>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年        月        日</w:t>
      </w:r>
    </w:p>
    <w:p>
      <w:pPr>
        <w:pStyle w:val="22"/>
        <w:rPr>
          <w:rFonts w:ascii="仿宋" w:hAnsi="仿宋" w:eastAsia="仿宋" w:cs="仿宋"/>
          <w:spacing w:val="-4"/>
          <w:kern w:val="0"/>
          <w:sz w:val="24"/>
          <w:szCs w:val="24"/>
          <w:highlight w:val="yellow"/>
        </w:rPr>
      </w:pPr>
    </w:p>
    <w:p>
      <w:pPr>
        <w:pStyle w:val="63"/>
        <w:spacing w:line="360" w:lineRule="auto"/>
        <w:ind w:firstLineChars="83"/>
        <w:jc w:val="center"/>
        <w:rPr>
          <w:rFonts w:ascii="仿宋" w:hAnsi="仿宋" w:eastAsia="仿宋" w:cs="仿宋"/>
          <w:b/>
          <w:sz w:val="24"/>
          <w:szCs w:val="24"/>
          <w:highlight w:val="yellow"/>
        </w:rPr>
      </w:pPr>
    </w:p>
    <w:p>
      <w:pPr>
        <w:pStyle w:val="63"/>
        <w:spacing w:line="360" w:lineRule="auto"/>
        <w:ind w:firstLineChars="83"/>
        <w:jc w:val="center"/>
        <w:rPr>
          <w:rFonts w:ascii="仿宋" w:hAnsi="仿宋" w:eastAsia="仿宋" w:cs="仿宋"/>
          <w:b/>
          <w:sz w:val="24"/>
          <w:szCs w:val="24"/>
        </w:rPr>
      </w:pPr>
      <w:r>
        <w:rPr>
          <w:rFonts w:hint="eastAsia" w:ascii="仿宋" w:hAnsi="仿宋" w:eastAsia="仿宋" w:cs="仿宋"/>
          <w:b/>
          <w:sz w:val="24"/>
          <w:szCs w:val="24"/>
        </w:rPr>
        <w:t>投标文件目录</w:t>
      </w:r>
    </w:p>
    <w:p>
      <w:pPr>
        <w:pStyle w:val="63"/>
        <w:spacing w:line="480" w:lineRule="auto"/>
        <w:ind w:firstLine="475" w:firstLineChars="197"/>
        <w:rPr>
          <w:rFonts w:ascii="仿宋" w:hAnsi="仿宋" w:eastAsia="仿宋" w:cs="仿宋"/>
          <w:b/>
          <w:sz w:val="24"/>
          <w:szCs w:val="24"/>
        </w:rPr>
      </w:pPr>
      <w:r>
        <w:rPr>
          <w:rFonts w:hint="eastAsia" w:ascii="仿宋" w:hAnsi="仿宋" w:eastAsia="仿宋" w:cs="仿宋"/>
          <w:b/>
          <w:sz w:val="24"/>
          <w:szCs w:val="24"/>
        </w:rPr>
        <w:t>（1）投标承诺书</w:t>
      </w:r>
    </w:p>
    <w:p>
      <w:pPr>
        <w:pStyle w:val="63"/>
        <w:spacing w:line="480" w:lineRule="auto"/>
        <w:ind w:firstLine="475" w:firstLineChars="197"/>
        <w:rPr>
          <w:rFonts w:ascii="仿宋" w:hAnsi="仿宋" w:eastAsia="仿宋" w:cs="仿宋"/>
          <w:b/>
          <w:sz w:val="24"/>
          <w:szCs w:val="24"/>
        </w:rPr>
      </w:pPr>
      <w:r>
        <w:rPr>
          <w:rFonts w:hint="eastAsia" w:ascii="仿宋" w:hAnsi="仿宋" w:eastAsia="仿宋" w:cs="仿宋"/>
          <w:b/>
          <w:sz w:val="24"/>
          <w:szCs w:val="24"/>
        </w:rPr>
        <w:t>（2）报价表</w:t>
      </w:r>
    </w:p>
    <w:p>
      <w:pPr>
        <w:pStyle w:val="63"/>
        <w:spacing w:line="480" w:lineRule="auto"/>
        <w:ind w:firstLine="482"/>
        <w:rPr>
          <w:rFonts w:ascii="仿宋" w:hAnsi="仿宋" w:eastAsia="仿宋" w:cs="仿宋"/>
          <w:b/>
          <w:sz w:val="24"/>
          <w:szCs w:val="24"/>
        </w:rPr>
      </w:pPr>
      <w:r>
        <w:rPr>
          <w:rFonts w:hint="eastAsia" w:ascii="仿宋" w:hAnsi="仿宋" w:eastAsia="仿宋" w:cs="仿宋"/>
          <w:b/>
          <w:sz w:val="24"/>
          <w:szCs w:val="24"/>
        </w:rPr>
        <w:t>（3）法定代表人身份证明</w:t>
      </w:r>
    </w:p>
    <w:p>
      <w:pPr>
        <w:pStyle w:val="63"/>
        <w:spacing w:line="480" w:lineRule="auto"/>
        <w:ind w:firstLine="482"/>
        <w:rPr>
          <w:rFonts w:ascii="仿宋" w:hAnsi="仿宋" w:eastAsia="仿宋" w:cs="仿宋"/>
          <w:b/>
          <w:sz w:val="24"/>
          <w:szCs w:val="24"/>
        </w:rPr>
      </w:pPr>
      <w:r>
        <w:rPr>
          <w:rFonts w:hint="eastAsia" w:ascii="仿宋" w:hAnsi="仿宋" w:eastAsia="仿宋" w:cs="仿宋"/>
          <w:b/>
          <w:sz w:val="24"/>
          <w:szCs w:val="24"/>
        </w:rPr>
        <w:t>（4）法定代表人授权委托书</w:t>
      </w:r>
    </w:p>
    <w:p>
      <w:pPr>
        <w:pStyle w:val="63"/>
        <w:spacing w:line="480" w:lineRule="auto"/>
        <w:ind w:firstLine="482"/>
        <w:rPr>
          <w:rFonts w:ascii="仿宋" w:hAnsi="仿宋" w:eastAsia="仿宋" w:cs="仿宋"/>
          <w:b/>
          <w:sz w:val="24"/>
          <w:szCs w:val="24"/>
        </w:rPr>
      </w:pPr>
      <w:r>
        <w:rPr>
          <w:rFonts w:hint="eastAsia" w:ascii="仿宋" w:hAnsi="仿宋" w:eastAsia="仿宋" w:cs="仿宋"/>
          <w:b/>
          <w:sz w:val="24"/>
          <w:szCs w:val="24"/>
        </w:rPr>
        <w:t>（5）保证金</w:t>
      </w:r>
    </w:p>
    <w:p>
      <w:pPr>
        <w:pStyle w:val="63"/>
        <w:spacing w:line="480" w:lineRule="auto"/>
        <w:ind w:left="1202" w:leftChars="228" w:hanging="723" w:hangingChars="300"/>
        <w:rPr>
          <w:rFonts w:ascii="仿宋" w:hAnsi="仿宋" w:eastAsia="仿宋" w:cs="仿宋"/>
          <w:b/>
          <w:sz w:val="24"/>
          <w:szCs w:val="24"/>
        </w:rPr>
      </w:pPr>
      <w:r>
        <w:rPr>
          <w:rFonts w:hint="eastAsia" w:ascii="仿宋" w:hAnsi="仿宋" w:eastAsia="仿宋" w:cs="仿宋"/>
          <w:b/>
          <w:sz w:val="24"/>
          <w:szCs w:val="24"/>
        </w:rPr>
        <w:t>（6）技术条件响应/偏离表</w:t>
      </w:r>
    </w:p>
    <w:p>
      <w:pPr>
        <w:pStyle w:val="22"/>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（7）商务条件响应/偏离表</w:t>
      </w:r>
    </w:p>
    <w:p>
      <w:pPr>
        <w:pStyle w:val="63"/>
        <w:spacing w:line="480" w:lineRule="auto"/>
        <w:ind w:firstLine="482"/>
        <w:rPr>
          <w:rFonts w:ascii="仿宋" w:hAnsi="仿宋" w:eastAsia="仿宋" w:cs="仿宋"/>
          <w:b/>
          <w:sz w:val="24"/>
          <w:szCs w:val="24"/>
        </w:rPr>
      </w:pPr>
      <w:r>
        <w:rPr>
          <w:rFonts w:hint="eastAsia" w:ascii="仿宋" w:hAnsi="仿宋" w:eastAsia="仿宋" w:cs="仿宋"/>
          <w:b/>
          <w:sz w:val="24"/>
          <w:szCs w:val="24"/>
        </w:rPr>
        <w:t>（8）投标人法人营业执照的证明材料、相关资质证书副本等材料的复印件以及商务因素、技术因素、服务因素所需证明资料（格式自拟）</w:t>
      </w:r>
    </w:p>
    <w:p>
      <w:pPr>
        <w:pStyle w:val="63"/>
        <w:spacing w:line="480" w:lineRule="auto"/>
        <w:ind w:firstLine="482"/>
        <w:rPr>
          <w:rFonts w:ascii="仿宋" w:hAnsi="仿宋" w:eastAsia="仿宋" w:cs="仿宋"/>
          <w:b/>
          <w:sz w:val="24"/>
          <w:szCs w:val="24"/>
        </w:rPr>
      </w:pPr>
      <w:r>
        <w:rPr>
          <w:rFonts w:hint="eastAsia" w:ascii="仿宋" w:hAnsi="仿宋" w:eastAsia="仿宋" w:cs="仿宋"/>
          <w:b/>
          <w:sz w:val="24"/>
          <w:szCs w:val="24"/>
        </w:rPr>
        <w:t>（9）投标人近四年（2020年1月1日至今）类似项目业绩</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（10）项目维保服务方案、培训方案、承诺等内容</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（11）投标人基本情况说明</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（12）项目人员配置情况表</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（13）投标人认为需要提供的其他材料说明</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附件1、在经营活动中没有重大违法记录的书面声明</w:t>
      </w:r>
    </w:p>
    <w:p>
      <w:pPr>
        <w:pStyle w:val="63"/>
        <w:autoSpaceDE w:val="0"/>
        <w:autoSpaceDN w:val="0"/>
        <w:adjustRightInd w:val="0"/>
        <w:spacing w:line="480" w:lineRule="auto"/>
        <w:ind w:firstLine="482"/>
        <w:rPr>
          <w:rFonts w:ascii="仿宋" w:hAnsi="仿宋" w:eastAsia="仿宋" w:cs="仿宋"/>
          <w:b/>
          <w:sz w:val="24"/>
          <w:szCs w:val="24"/>
        </w:rPr>
      </w:pPr>
      <w:r>
        <w:rPr>
          <w:rFonts w:hint="eastAsia" w:ascii="仿宋" w:hAnsi="仿宋" w:eastAsia="仿宋" w:cs="仿宋"/>
          <w:b/>
          <w:sz w:val="24"/>
          <w:szCs w:val="24"/>
        </w:rPr>
        <w:t>附件2、中小企业声明函（如有）</w:t>
      </w:r>
    </w:p>
    <w:p>
      <w:pPr>
        <w:pStyle w:val="22"/>
        <w:rPr>
          <w:rFonts w:ascii="仿宋" w:hAnsi="仿宋" w:eastAsia="仿宋" w:cs="仿宋"/>
          <w:spacing w:val="-4"/>
          <w:kern w:val="0"/>
          <w:sz w:val="24"/>
          <w:szCs w:val="24"/>
          <w:highlight w:val="yellow"/>
        </w:rPr>
      </w:pPr>
    </w:p>
    <w:p>
      <w:pPr>
        <w:pStyle w:val="4"/>
        <w:rPr>
          <w:rStyle w:val="64"/>
          <w:rFonts w:ascii="仿宋" w:hAnsi="仿宋" w:eastAsia="仿宋" w:cs="仿宋"/>
          <w:b/>
          <w:bCs w:val="0"/>
          <w:sz w:val="24"/>
          <w:szCs w:val="24"/>
        </w:rPr>
      </w:pPr>
      <w:bookmarkStart w:id="501" w:name="_Toc4030"/>
      <w:bookmarkStart w:id="502" w:name="_Toc11515"/>
      <w:bookmarkStart w:id="503" w:name="_Toc50459034"/>
      <w:bookmarkStart w:id="504" w:name="_Toc22332"/>
    </w:p>
    <w:p>
      <w:pPr>
        <w:rPr>
          <w:highlight w:val="yellow"/>
        </w:rPr>
      </w:pPr>
    </w:p>
    <w:p>
      <w:pPr>
        <w:pStyle w:val="34"/>
        <w:rPr>
          <w:highlight w:val="yellow"/>
        </w:rPr>
      </w:pPr>
    </w:p>
    <w:p>
      <w:pPr>
        <w:pStyle w:val="34"/>
        <w:rPr>
          <w:highlight w:val="yellow"/>
        </w:rPr>
      </w:pPr>
    </w:p>
    <w:p>
      <w:pPr>
        <w:pStyle w:val="34"/>
        <w:rPr>
          <w:highlight w:val="yellow"/>
        </w:rPr>
      </w:pPr>
    </w:p>
    <w:p>
      <w:pPr>
        <w:pStyle w:val="4"/>
        <w:jc w:val="center"/>
        <w:rPr>
          <w:rStyle w:val="64"/>
          <w:rFonts w:ascii="仿宋" w:hAnsi="仿宋" w:eastAsia="仿宋" w:cs="仿宋"/>
          <w:b/>
          <w:bCs w:val="0"/>
          <w:sz w:val="24"/>
          <w:szCs w:val="24"/>
        </w:rPr>
      </w:pPr>
      <w:r>
        <w:rPr>
          <w:rStyle w:val="64"/>
          <w:rFonts w:hint="eastAsia" w:ascii="仿宋" w:hAnsi="仿宋" w:eastAsia="仿宋" w:cs="仿宋"/>
          <w:b/>
          <w:bCs w:val="0"/>
          <w:sz w:val="24"/>
          <w:szCs w:val="24"/>
        </w:rPr>
        <w:t>1、投标承诺书</w:t>
      </w:r>
      <w:bookmarkEnd w:id="501"/>
      <w:bookmarkEnd w:id="502"/>
      <w:bookmarkEnd w:id="503"/>
      <w:bookmarkEnd w:id="504"/>
    </w:p>
    <w:p>
      <w:pPr>
        <w:spacing w:line="360" w:lineRule="auto"/>
        <w:rPr>
          <w:rFonts w:ascii="仿宋" w:hAnsi="仿宋" w:eastAsia="仿宋" w:cs="仿宋"/>
          <w:sz w:val="24"/>
          <w:szCs w:val="24"/>
          <w:u w:val="single"/>
        </w:rPr>
      </w:pPr>
      <w:r>
        <w:rPr>
          <w:rFonts w:hint="eastAsia" w:ascii="仿宋" w:hAnsi="仿宋" w:eastAsia="仿宋" w:cs="仿宋"/>
          <w:sz w:val="24"/>
          <w:szCs w:val="24"/>
        </w:rPr>
        <w:t>致（采购人）：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根据已收到的</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招标文件，我单位经研究贵方的招标文件后：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1、我方愿以在市场平均单价的基础上下浮</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%，大写：百分之</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及投标承诺书的承诺承包本招标文件中所述招标范围内的全部内容。</w:t>
      </w:r>
    </w:p>
    <w:p>
      <w:pPr>
        <w:autoSpaceDE w:val="0"/>
        <w:autoSpaceDN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2、服务期：</w:t>
      </w:r>
      <w:r>
        <w:rPr>
          <w:rFonts w:hint="eastAsia" w:ascii="仿宋" w:hAnsi="仿宋" w:eastAsia="仿宋" w:cs="仿宋"/>
          <w:sz w:val="24"/>
          <w:szCs w:val="24"/>
          <w:u w:val="single"/>
        </w:rPr>
        <w:t xml:space="preserve">                                         。</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3、如果我方中标，非采购人原因，我方保证将按招标文件要求，完成本项目服务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4、如果我方中标，我方将按招标文件规定的时间内签订合同。如果违约，我方愿以投标保证金作为赔偿金，同时贵方有权终止我方中标并选择其它投标人。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5、如果我方中标，完成项目的服务与招标文件要求不一致的，服务达不到要求，我方将进行整改直至贵方对服务满意为止。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6、贵方的招标文件、答疑文件、招标文件补充、成交通知书和本投标文件将做为合同附件，具有同等法律效力。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7、如果我方未中标，贵方没有必要对我方做出任何解释和说明，我方将充分尊重和理解贵方的选择。</w:t>
      </w:r>
    </w:p>
    <w:p>
      <w:pPr>
        <w:pStyle w:val="65"/>
        <w:spacing w:line="360" w:lineRule="auto"/>
        <w:ind w:right="480"/>
        <w:rPr>
          <w:rFonts w:ascii="仿宋" w:hAnsi="仿宋" w:eastAsia="仿宋" w:cs="仿宋"/>
          <w:szCs w:val="24"/>
        </w:rPr>
      </w:pPr>
    </w:p>
    <w:p>
      <w:pPr>
        <w:pStyle w:val="65"/>
        <w:spacing w:line="360" w:lineRule="auto"/>
        <w:ind w:right="480"/>
        <w:rPr>
          <w:rFonts w:ascii="仿宋" w:hAnsi="仿宋" w:eastAsia="仿宋" w:cs="仿宋"/>
          <w:szCs w:val="24"/>
        </w:rPr>
      </w:pPr>
    </w:p>
    <w:p>
      <w:pPr>
        <w:pStyle w:val="65"/>
        <w:spacing w:line="360" w:lineRule="auto"/>
        <w:ind w:right="480"/>
        <w:rPr>
          <w:rFonts w:ascii="仿宋" w:hAnsi="仿宋" w:eastAsia="仿宋" w:cs="仿宋"/>
          <w:szCs w:val="24"/>
        </w:rPr>
      </w:pPr>
    </w:p>
    <w:p>
      <w:pPr>
        <w:pStyle w:val="65"/>
        <w:spacing w:line="360" w:lineRule="auto"/>
        <w:ind w:right="480"/>
        <w:rPr>
          <w:rFonts w:ascii="仿宋" w:hAnsi="仿宋" w:eastAsia="仿宋" w:cs="仿宋"/>
          <w:szCs w:val="24"/>
        </w:rPr>
      </w:pPr>
    </w:p>
    <w:p>
      <w:pPr>
        <w:pStyle w:val="65"/>
        <w:spacing w:line="360" w:lineRule="auto"/>
        <w:ind w:right="480"/>
        <w:rPr>
          <w:rFonts w:ascii="仿宋" w:hAnsi="仿宋" w:eastAsia="仿宋" w:cs="仿宋"/>
          <w:szCs w:val="24"/>
        </w:rPr>
      </w:pPr>
    </w:p>
    <w:p>
      <w:pPr>
        <w:pStyle w:val="65"/>
        <w:spacing w:line="360" w:lineRule="auto"/>
        <w:ind w:right="480" w:firstLine="3360" w:firstLineChars="1400"/>
        <w:rPr>
          <w:rFonts w:ascii="仿宋" w:hAnsi="仿宋" w:eastAsia="仿宋" w:cs="仿宋"/>
          <w:szCs w:val="24"/>
        </w:rPr>
      </w:pPr>
      <w:r>
        <w:rPr>
          <w:rFonts w:hint="eastAsia" w:ascii="仿宋" w:hAnsi="仿宋" w:eastAsia="仿宋" w:cs="仿宋"/>
          <w:szCs w:val="24"/>
        </w:rPr>
        <w:t>投标人（盖章）：</w:t>
      </w:r>
    </w:p>
    <w:p>
      <w:pPr>
        <w:pStyle w:val="65"/>
        <w:spacing w:line="360" w:lineRule="auto"/>
        <w:ind w:right="840"/>
        <w:jc w:val="right"/>
        <w:rPr>
          <w:rFonts w:ascii="仿宋" w:hAnsi="仿宋" w:eastAsia="仿宋" w:cs="仿宋"/>
          <w:szCs w:val="24"/>
        </w:rPr>
      </w:pPr>
      <w:r>
        <w:rPr>
          <w:rFonts w:hint="eastAsia" w:ascii="仿宋" w:hAnsi="仿宋" w:eastAsia="仿宋" w:cs="仿宋"/>
          <w:szCs w:val="24"/>
        </w:rPr>
        <w:t>法定代表人或委托代理人（签字或盖章）：</w:t>
      </w:r>
    </w:p>
    <w:p>
      <w:pPr>
        <w:pStyle w:val="65"/>
        <w:spacing w:line="360" w:lineRule="auto"/>
        <w:ind w:right="840" w:firstLine="3360" w:firstLineChars="1400"/>
        <w:rPr>
          <w:rFonts w:ascii="仿宋" w:hAnsi="仿宋" w:eastAsia="仿宋" w:cs="仿宋"/>
          <w:szCs w:val="24"/>
        </w:rPr>
      </w:pPr>
      <w:r>
        <w:rPr>
          <w:rFonts w:hint="eastAsia" w:ascii="仿宋" w:hAnsi="仿宋" w:eastAsia="仿宋" w:cs="仿宋"/>
          <w:szCs w:val="24"/>
        </w:rPr>
        <w:t xml:space="preserve">日   期：  </w:t>
      </w:r>
    </w:p>
    <w:p>
      <w:pPr>
        <w:pStyle w:val="22"/>
        <w:rPr>
          <w:rFonts w:ascii="仿宋" w:hAnsi="仿宋" w:eastAsia="仿宋" w:cs="仿宋"/>
          <w:spacing w:val="-4"/>
          <w:kern w:val="0"/>
          <w:sz w:val="24"/>
          <w:szCs w:val="24"/>
        </w:rPr>
      </w:pPr>
    </w:p>
    <w:p>
      <w:pPr>
        <w:autoSpaceDE w:val="0"/>
        <w:autoSpaceDN w:val="0"/>
        <w:spacing w:line="360" w:lineRule="auto"/>
        <w:jc w:val="center"/>
        <w:rPr>
          <w:rFonts w:ascii="仿宋" w:hAnsi="仿宋" w:eastAsia="仿宋" w:cs="仿宋"/>
          <w:b/>
          <w:sz w:val="24"/>
          <w:szCs w:val="24"/>
        </w:rPr>
      </w:pPr>
      <w:bookmarkStart w:id="505" w:name="_Toc28014_WPSOffice_Level1"/>
      <w:bookmarkStart w:id="506" w:name="_Toc6735_WPSOffice_Level1"/>
    </w:p>
    <w:p>
      <w:pPr>
        <w:pStyle w:val="22"/>
        <w:rPr>
          <w:rFonts w:ascii="仿宋" w:hAnsi="仿宋" w:eastAsia="仿宋" w:cs="仿宋"/>
          <w:sz w:val="24"/>
          <w:szCs w:val="24"/>
        </w:rPr>
      </w:pPr>
    </w:p>
    <w:p>
      <w:bookmarkStart w:id="507" w:name="_Toc16266"/>
    </w:p>
    <w:p>
      <w:pPr>
        <w:pStyle w:val="4"/>
        <w:jc w:val="center"/>
        <w:rPr>
          <w:rStyle w:val="64"/>
          <w:rFonts w:ascii="仿宋" w:hAnsi="仿宋" w:eastAsia="仿宋" w:cs="仿宋"/>
          <w:b/>
          <w:bCs w:val="0"/>
          <w:sz w:val="24"/>
          <w:szCs w:val="24"/>
        </w:rPr>
      </w:pPr>
      <w:r>
        <w:rPr>
          <w:rStyle w:val="64"/>
          <w:rFonts w:hint="eastAsia" w:ascii="仿宋" w:hAnsi="仿宋" w:eastAsia="仿宋" w:cs="仿宋"/>
          <w:b/>
          <w:bCs w:val="0"/>
          <w:sz w:val="24"/>
          <w:szCs w:val="24"/>
        </w:rPr>
        <w:t>2、</w:t>
      </w:r>
      <w:bookmarkEnd w:id="505"/>
      <w:bookmarkEnd w:id="506"/>
      <w:r>
        <w:rPr>
          <w:rStyle w:val="64"/>
          <w:rFonts w:hint="eastAsia" w:ascii="仿宋" w:hAnsi="仿宋" w:eastAsia="仿宋" w:cs="仿宋"/>
          <w:b/>
          <w:bCs w:val="0"/>
          <w:sz w:val="24"/>
          <w:szCs w:val="24"/>
        </w:rPr>
        <w:t>报价</w:t>
      </w:r>
      <w:bookmarkEnd w:id="507"/>
      <w:r>
        <w:rPr>
          <w:rStyle w:val="64"/>
          <w:rFonts w:hint="eastAsia" w:ascii="仿宋" w:hAnsi="仿宋" w:eastAsia="仿宋" w:cs="仿宋"/>
          <w:b/>
          <w:bCs w:val="0"/>
          <w:sz w:val="24"/>
          <w:szCs w:val="24"/>
        </w:rPr>
        <w:t>表</w:t>
      </w:r>
    </w:p>
    <w:tbl>
      <w:tblPr>
        <w:tblStyle w:val="29"/>
        <w:tblpPr w:leftFromText="180" w:rightFromText="180" w:vertAnchor="text" w:horzAnchor="page" w:tblpX="2056" w:tblpY="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0"/>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0" w:type="dxa"/>
          </w:tcPr>
          <w:p>
            <w:pPr>
              <w:adjustRightInd w:val="0"/>
              <w:snapToGrid w:val="0"/>
              <w:spacing w:line="360" w:lineRule="auto"/>
              <w:rPr>
                <w:rFonts w:ascii="仿宋" w:hAnsi="仿宋" w:eastAsia="仿宋" w:cs="仿宋"/>
                <w:b/>
                <w:bCs/>
                <w:sz w:val="24"/>
                <w:szCs w:val="24"/>
              </w:rPr>
            </w:pPr>
            <w:bookmarkStart w:id="508" w:name="_Toc18030_WPSOffice_Level1"/>
            <w:bookmarkStart w:id="509" w:name="_Toc18663"/>
            <w:bookmarkStart w:id="510" w:name="_Toc50459035"/>
            <w:bookmarkStart w:id="511" w:name="_Toc31386"/>
            <w:bookmarkStart w:id="512" w:name="_Toc30221_WPSOffice_Level1"/>
            <w:bookmarkStart w:id="513" w:name="_Toc16901"/>
            <w:r>
              <w:rPr>
                <w:rFonts w:hint="eastAsia" w:ascii="仿宋" w:hAnsi="仿宋" w:eastAsia="仿宋" w:cs="仿宋"/>
                <w:b/>
                <w:bCs/>
                <w:sz w:val="24"/>
                <w:szCs w:val="24"/>
              </w:rPr>
              <w:t>报价类别</w:t>
            </w:r>
          </w:p>
        </w:tc>
        <w:tc>
          <w:tcPr>
            <w:tcW w:w="2880" w:type="dxa"/>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下浮率（%）</w:t>
            </w:r>
          </w:p>
        </w:tc>
        <w:tc>
          <w:tcPr>
            <w:tcW w:w="2257" w:type="dxa"/>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鲜牛（羊）肉类，其它食材类，平均下浮率</w:t>
            </w:r>
          </w:p>
        </w:tc>
        <w:tc>
          <w:tcPr>
            <w:tcW w:w="2880" w:type="dxa"/>
          </w:tcPr>
          <w:p>
            <w:pPr>
              <w:adjustRightInd w:val="0"/>
              <w:snapToGrid w:val="0"/>
              <w:spacing w:line="360" w:lineRule="auto"/>
              <w:rPr>
                <w:rFonts w:ascii="仿宋" w:hAnsi="仿宋" w:eastAsia="仿宋" w:cs="仿宋"/>
                <w:b/>
                <w:bCs/>
                <w:sz w:val="24"/>
                <w:szCs w:val="24"/>
              </w:rPr>
            </w:pPr>
          </w:p>
        </w:tc>
        <w:tc>
          <w:tcPr>
            <w:tcW w:w="2257" w:type="dxa"/>
          </w:tcPr>
          <w:p>
            <w:pPr>
              <w:adjustRightInd w:val="0"/>
              <w:snapToGrid w:val="0"/>
              <w:spacing w:line="360" w:lineRule="auto"/>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 xml:space="preserve">服务期： </w:t>
            </w:r>
          </w:p>
        </w:tc>
        <w:tc>
          <w:tcPr>
            <w:tcW w:w="2880" w:type="dxa"/>
            <w:vAlign w:val="center"/>
          </w:tcPr>
          <w:p>
            <w:pPr>
              <w:pStyle w:val="71"/>
              <w:ind w:firstLine="0" w:firstLineChars="0"/>
              <w:rPr>
                <w:rFonts w:ascii="仿宋" w:hAnsi="仿宋" w:eastAsia="仿宋" w:cs="仿宋"/>
                <w:b/>
                <w:bCs/>
                <w:sz w:val="24"/>
                <w:szCs w:val="24"/>
              </w:rPr>
            </w:pPr>
          </w:p>
        </w:tc>
        <w:tc>
          <w:tcPr>
            <w:tcW w:w="2257" w:type="dxa"/>
            <w:vAlign w:val="center"/>
          </w:tcPr>
          <w:p>
            <w:pPr>
              <w:tabs>
                <w:tab w:val="left" w:pos="9135"/>
              </w:tabs>
              <w:spacing w:line="360" w:lineRule="auto"/>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供货时间：</w:t>
            </w:r>
          </w:p>
        </w:tc>
        <w:tc>
          <w:tcPr>
            <w:tcW w:w="2880" w:type="dxa"/>
            <w:vAlign w:val="center"/>
          </w:tcPr>
          <w:p>
            <w:pPr>
              <w:pStyle w:val="71"/>
              <w:ind w:firstLine="0" w:firstLineChars="0"/>
              <w:rPr>
                <w:rFonts w:ascii="仿宋" w:hAnsi="仿宋" w:eastAsia="仿宋" w:cs="仿宋"/>
                <w:b/>
                <w:bCs/>
                <w:sz w:val="24"/>
                <w:szCs w:val="24"/>
              </w:rPr>
            </w:pPr>
          </w:p>
        </w:tc>
        <w:tc>
          <w:tcPr>
            <w:tcW w:w="2257" w:type="dxa"/>
            <w:vAlign w:val="center"/>
          </w:tcPr>
          <w:p>
            <w:pPr>
              <w:tabs>
                <w:tab w:val="left" w:pos="9135"/>
              </w:tabs>
              <w:spacing w:line="360" w:lineRule="auto"/>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质量保证：</w:t>
            </w:r>
          </w:p>
        </w:tc>
        <w:tc>
          <w:tcPr>
            <w:tcW w:w="2880" w:type="dxa"/>
            <w:vAlign w:val="center"/>
          </w:tcPr>
          <w:p>
            <w:pPr>
              <w:pStyle w:val="71"/>
              <w:ind w:firstLine="0" w:firstLineChars="0"/>
              <w:rPr>
                <w:rFonts w:ascii="仿宋" w:hAnsi="仿宋" w:eastAsia="仿宋" w:cs="仿宋"/>
                <w:b/>
                <w:bCs/>
                <w:sz w:val="24"/>
                <w:szCs w:val="24"/>
              </w:rPr>
            </w:pPr>
          </w:p>
        </w:tc>
        <w:tc>
          <w:tcPr>
            <w:tcW w:w="2257" w:type="dxa"/>
            <w:vAlign w:val="center"/>
          </w:tcPr>
          <w:p>
            <w:pPr>
              <w:tabs>
                <w:tab w:val="left" w:pos="9135"/>
              </w:tabs>
              <w:spacing w:line="360" w:lineRule="auto"/>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017" w:type="dxa"/>
            <w:gridSpan w:val="3"/>
          </w:tcPr>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报价说明：</w:t>
            </w:r>
          </w:p>
          <w:p>
            <w:pPr>
              <w:numPr>
                <w:ilvl w:val="0"/>
                <w:numId w:val="58"/>
              </w:num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在合同执行期间下浮率为固定不变值。</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2. 其它食材类是指除鲜牛肉、鲜羊肉外的所有食材。</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3. 投标人的报价包括了送货运输、卸货、发票等一切费用。</w:t>
            </w:r>
          </w:p>
        </w:tc>
      </w:tr>
    </w:tbl>
    <w:p>
      <w:pPr>
        <w:spacing w:line="500" w:lineRule="exact"/>
        <w:rPr>
          <w:rFonts w:ascii="宋体" w:hAnsi="宋体" w:cs="宋体"/>
          <w:color w:val="000000"/>
          <w:kern w:val="0"/>
          <w:sz w:val="28"/>
          <w:szCs w:val="28"/>
        </w:rPr>
      </w:pPr>
    </w:p>
    <w:p>
      <w:pPr>
        <w:spacing w:line="500" w:lineRule="exact"/>
        <w:rPr>
          <w:rFonts w:ascii="宋体" w:hAnsi="宋体" w:cs="宋体"/>
          <w:color w:val="000000"/>
          <w:kern w:val="0"/>
          <w:sz w:val="28"/>
          <w:szCs w:val="28"/>
        </w:rPr>
      </w:pPr>
    </w:p>
    <w:p>
      <w:pPr>
        <w:spacing w:line="500" w:lineRule="exact"/>
        <w:rPr>
          <w:rFonts w:ascii="宋体" w:hAnsi="宋体" w:cs="宋体"/>
          <w:color w:val="000000"/>
          <w:kern w:val="0"/>
          <w:sz w:val="28"/>
          <w:szCs w:val="28"/>
        </w:rPr>
      </w:pPr>
    </w:p>
    <w:p>
      <w:pPr>
        <w:spacing w:line="500" w:lineRule="exact"/>
        <w:rPr>
          <w:rFonts w:ascii="宋体" w:hAnsi="宋体" w:cs="宋体"/>
          <w:color w:val="000000"/>
          <w:kern w:val="0"/>
          <w:sz w:val="28"/>
          <w:szCs w:val="28"/>
        </w:rPr>
      </w:pPr>
    </w:p>
    <w:p>
      <w:pPr>
        <w:spacing w:line="500" w:lineRule="exact"/>
        <w:rPr>
          <w:rFonts w:ascii="宋体" w:hAnsi="宋体" w:cs="宋体"/>
          <w:color w:val="000000"/>
          <w:kern w:val="0"/>
          <w:sz w:val="28"/>
          <w:szCs w:val="28"/>
        </w:rPr>
      </w:pPr>
    </w:p>
    <w:p>
      <w:pPr>
        <w:spacing w:line="500" w:lineRule="exact"/>
        <w:rPr>
          <w:rFonts w:ascii="宋体" w:hAnsi="宋体" w:cs="宋体"/>
          <w:color w:val="000000"/>
          <w:kern w:val="0"/>
          <w:sz w:val="28"/>
          <w:szCs w:val="28"/>
        </w:rPr>
      </w:pP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报价说明：</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1.原则上合同执行期间价格保持不变，如因市场发生变化并达到一定的变化率20%，可以提出书面申请，经学校同意并进行市场考察后进行变动。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 投标人的报价包括了送货运输、卸货、发票等一切费用。</w:t>
      </w:r>
    </w:p>
    <w:p>
      <w:pPr>
        <w:pStyle w:val="16"/>
        <w:ind w:firstLine="562"/>
        <w:jc w:val="center"/>
        <w:rPr>
          <w:rFonts w:ascii="宋体" w:hAnsi="宋体" w:cs="宋体"/>
          <w:b/>
          <w:sz w:val="28"/>
          <w:szCs w:val="28"/>
        </w:rPr>
      </w:pPr>
    </w:p>
    <w:p>
      <w:pPr>
        <w:pStyle w:val="16"/>
        <w:ind w:firstLine="562"/>
        <w:jc w:val="center"/>
        <w:rPr>
          <w:rFonts w:ascii="宋体" w:hAnsi="宋体" w:cs="宋体"/>
          <w:b/>
          <w:sz w:val="28"/>
          <w:szCs w:val="28"/>
        </w:rPr>
      </w:pPr>
    </w:p>
    <w:p>
      <w:pPr>
        <w:pStyle w:val="16"/>
        <w:ind w:firstLine="562"/>
        <w:jc w:val="center"/>
        <w:rPr>
          <w:rFonts w:ascii="宋体" w:hAnsi="宋体" w:cs="宋体"/>
          <w:b/>
          <w:sz w:val="28"/>
          <w:szCs w:val="28"/>
        </w:rPr>
      </w:pPr>
    </w:p>
    <w:p>
      <w:pPr>
        <w:pStyle w:val="16"/>
        <w:ind w:firstLine="562"/>
        <w:jc w:val="center"/>
        <w:rPr>
          <w:rFonts w:ascii="宋体" w:hAnsi="宋体" w:cs="宋体"/>
          <w:b/>
          <w:sz w:val="28"/>
          <w:szCs w:val="28"/>
        </w:rPr>
      </w:pPr>
    </w:p>
    <w:p>
      <w:pPr>
        <w:pStyle w:val="16"/>
        <w:ind w:firstLine="562"/>
        <w:jc w:val="center"/>
        <w:rPr>
          <w:rFonts w:ascii="宋体" w:hAnsi="宋体" w:cs="宋体"/>
          <w:b/>
          <w:sz w:val="28"/>
          <w:szCs w:val="28"/>
        </w:rPr>
      </w:pPr>
    </w:p>
    <w:p>
      <w:pPr>
        <w:pStyle w:val="4"/>
        <w:jc w:val="center"/>
        <w:rPr>
          <w:rStyle w:val="64"/>
          <w:rFonts w:ascii="仿宋" w:hAnsi="仿宋" w:eastAsia="仿宋" w:cs="仿宋"/>
          <w:b/>
          <w:bCs w:val="0"/>
          <w:sz w:val="24"/>
          <w:szCs w:val="24"/>
        </w:rPr>
      </w:pPr>
      <w:r>
        <w:rPr>
          <w:rStyle w:val="64"/>
          <w:rFonts w:hint="eastAsia" w:ascii="仿宋" w:hAnsi="仿宋" w:eastAsia="仿宋" w:cs="仿宋"/>
          <w:b/>
          <w:bCs w:val="0"/>
          <w:sz w:val="24"/>
          <w:szCs w:val="24"/>
        </w:rPr>
        <w:t>3、法定代表人身份证明</w:t>
      </w:r>
      <w:bookmarkEnd w:id="508"/>
      <w:bookmarkEnd w:id="509"/>
      <w:bookmarkEnd w:id="510"/>
      <w:bookmarkEnd w:id="511"/>
      <w:bookmarkEnd w:id="512"/>
      <w:bookmarkEnd w:id="513"/>
    </w:p>
    <w:p>
      <w:pPr>
        <w:adjustRightInd w:val="0"/>
        <w:snapToGrid w:val="0"/>
        <w:spacing w:line="360" w:lineRule="auto"/>
        <w:jc w:val="center"/>
        <w:rPr>
          <w:rFonts w:ascii="仿宋" w:hAnsi="仿宋" w:eastAsia="仿宋" w:cs="仿宋"/>
          <w:sz w:val="24"/>
          <w:szCs w:val="24"/>
        </w:rPr>
      </w:pP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单位名称：</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单位性质：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成立时间：年 月日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经营期限：</w:t>
      </w:r>
    </w:p>
    <w:p>
      <w:pPr>
        <w:adjustRightInd w:val="0"/>
        <w:snapToGrid w:val="0"/>
        <w:spacing w:line="360" w:lineRule="auto"/>
        <w:rPr>
          <w:rFonts w:ascii="仿宋" w:hAnsi="仿宋" w:eastAsia="仿宋" w:cs="仿宋"/>
          <w:sz w:val="24"/>
          <w:szCs w:val="24"/>
          <w:u w:val="single"/>
        </w:rPr>
      </w:pPr>
      <w:r>
        <w:rPr>
          <w:rFonts w:hint="eastAsia" w:ascii="仿宋" w:hAnsi="仿宋" w:eastAsia="仿宋" w:cs="仿宋"/>
          <w:sz w:val="24"/>
          <w:szCs w:val="24"/>
        </w:rPr>
        <w:t xml:space="preserve">   姓名：性别：年龄：职务：</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系的法定代表人。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特此证明。 </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单位：（盖单位章） </w:t>
      </w:r>
    </w:p>
    <w:p>
      <w:pPr>
        <w:spacing w:line="360" w:lineRule="auto"/>
        <w:jc w:val="right"/>
        <w:rPr>
          <w:rFonts w:ascii="仿宋" w:hAnsi="仿宋" w:eastAsia="仿宋" w:cs="仿宋"/>
          <w:sz w:val="24"/>
          <w:szCs w:val="24"/>
        </w:rPr>
      </w:pPr>
    </w:p>
    <w:p>
      <w:pPr>
        <w:spacing w:line="360" w:lineRule="auto"/>
        <w:jc w:val="right"/>
        <w:rPr>
          <w:rFonts w:ascii="仿宋" w:hAnsi="仿宋" w:eastAsia="仿宋" w:cs="仿宋"/>
          <w:b/>
          <w:sz w:val="24"/>
          <w:szCs w:val="24"/>
        </w:rPr>
      </w:pPr>
      <w:r>
        <w:rPr>
          <w:rFonts w:hint="eastAsia" w:ascii="仿宋" w:hAnsi="仿宋" w:eastAsia="仿宋" w:cs="仿宋"/>
          <w:sz w:val="24"/>
          <w:szCs w:val="24"/>
        </w:rPr>
        <w:t>年月日</w:t>
      </w: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4"/>
        <w:jc w:val="center"/>
        <w:rPr>
          <w:rStyle w:val="64"/>
          <w:rFonts w:ascii="仿宋" w:hAnsi="仿宋" w:eastAsia="仿宋" w:cs="仿宋"/>
          <w:b/>
          <w:bCs w:val="0"/>
          <w:sz w:val="24"/>
          <w:szCs w:val="24"/>
        </w:rPr>
      </w:pPr>
      <w:bookmarkStart w:id="514" w:name="_Toc2043"/>
      <w:bookmarkStart w:id="515" w:name="_Toc24648"/>
      <w:bookmarkStart w:id="516" w:name="_Toc5305"/>
      <w:bookmarkStart w:id="517" w:name="_Toc50459036"/>
      <w:r>
        <w:rPr>
          <w:rStyle w:val="64"/>
          <w:rFonts w:hint="eastAsia" w:ascii="仿宋" w:hAnsi="仿宋" w:eastAsia="仿宋" w:cs="仿宋"/>
          <w:b/>
          <w:bCs w:val="0"/>
          <w:sz w:val="24"/>
          <w:szCs w:val="24"/>
        </w:rPr>
        <w:t>4、法定代表人授权委托书</w:t>
      </w:r>
      <w:bookmarkEnd w:id="514"/>
      <w:bookmarkEnd w:id="515"/>
      <w:bookmarkEnd w:id="516"/>
      <w:bookmarkEnd w:id="517"/>
    </w:p>
    <w:p>
      <w:pPr>
        <w:spacing w:line="360" w:lineRule="auto"/>
        <w:jc w:val="center"/>
        <w:rPr>
          <w:rFonts w:ascii="仿宋" w:hAnsi="仿宋" w:eastAsia="仿宋" w:cs="仿宋"/>
          <w:b/>
          <w:bCs/>
          <w:sz w:val="24"/>
          <w:szCs w:val="24"/>
        </w:rPr>
      </w:pPr>
    </w:p>
    <w:p>
      <w:pPr>
        <w:spacing w:line="360" w:lineRule="auto"/>
        <w:ind w:firstLine="453" w:firstLineChars="189"/>
        <w:jc w:val="left"/>
        <w:rPr>
          <w:rFonts w:ascii="仿宋" w:hAnsi="仿宋" w:eastAsia="仿宋" w:cs="仿宋"/>
          <w:bCs/>
          <w:sz w:val="24"/>
          <w:szCs w:val="24"/>
          <w:u w:val="single"/>
        </w:rPr>
      </w:pPr>
      <w:r>
        <w:rPr>
          <w:rFonts w:hint="eastAsia" w:ascii="仿宋" w:hAnsi="仿宋" w:eastAsia="仿宋" w:cs="仿宋"/>
          <w:bCs/>
          <w:sz w:val="24"/>
          <w:szCs w:val="24"/>
        </w:rPr>
        <w:t>本授权委托书声明：我系的法定代表人，现授权委托的为我的代理人，以本单位的名义参加投标活动。代理人在参加整个招标投标活动、合同磋商过程中所签署的一切文件和处理与之相关的一切事物，我均予承认。</w:t>
      </w:r>
    </w:p>
    <w:p>
      <w:pPr>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代理人：   性别：  年龄：</w:t>
      </w:r>
    </w:p>
    <w:p>
      <w:pPr>
        <w:spacing w:line="360" w:lineRule="auto"/>
        <w:ind w:firstLine="453" w:firstLineChars="189"/>
        <w:rPr>
          <w:rFonts w:ascii="仿宋" w:hAnsi="仿宋" w:eastAsia="仿宋" w:cs="仿宋"/>
          <w:bCs/>
          <w:sz w:val="24"/>
          <w:szCs w:val="24"/>
          <w:u w:val="single"/>
        </w:rPr>
      </w:pPr>
      <w:r>
        <w:rPr>
          <w:rFonts w:hint="eastAsia" w:ascii="仿宋" w:hAnsi="仿宋" w:eastAsia="仿宋" w:cs="仿宋"/>
          <w:bCs/>
          <w:sz w:val="24"/>
          <w:szCs w:val="24"/>
        </w:rPr>
        <w:t>部  门：  职务：</w:t>
      </w:r>
    </w:p>
    <w:p>
      <w:pPr>
        <w:spacing w:line="360" w:lineRule="auto"/>
        <w:rPr>
          <w:rFonts w:ascii="仿宋" w:hAnsi="仿宋" w:eastAsia="仿宋" w:cs="仿宋"/>
          <w:bCs/>
          <w:sz w:val="24"/>
          <w:szCs w:val="24"/>
        </w:rPr>
      </w:pPr>
      <w:r>
        <w:rPr>
          <w:rFonts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t6M8UNkAAAAK&#10;AQAADwAAAGRycy9kb3ducmV2LnhtbE2PwU7DMBBE70j8g7VIXFDrhIQ0DXF6QALBDQqCqxtvk4h4&#10;HWw3LX/PcoLjap5m3tabkx3FjD4MjhSkywQEUuvMQJ2Ct9f7RQkiRE1Gj45QwTcG2DTnZ7WujDvS&#10;C87b2AkuoVBpBX2MUyVlaHu0OizdhMTZ3nmrI5++k8brI5fbUV4nSSGtHogXej3hXY/t5/ZgFZT5&#10;4/wRnrLn97bYj+t4tZofvrxSlxdpcgsi4in+wfCrz+rQsNPOHcgEMSpYpHnBKAfrDAQD+U2Wg9gp&#10;yNJVCbKp5f8Xmh9QSwMEFAAAAAgAh07iQInh9lMSAgAARQQAAA4AAABkcnMvZTJvRG9jLnhtbK1T&#10;zY7TMBC+I/EOlu80adWybdR0JSjlggBp4QFcx0ks+U8et0lfAN6AExfuPFefY8dOt3SXPfSwOTjj&#10;mfE3M9/MLG97rcheeJDWlHQ8yikRhttKmqak379t3swpgcBMxZQ1oqQHAfR29frVsnOFmNjWqkp4&#10;giAGis6VtA3BFVkGvBWawcg6YdBYW69ZwKtvssqzDtG1yiZ5/jbrrK+ct1wAoHY9GOkJ0V8DaOta&#10;crG2fKeFCQOqF4oFLAla6YCuUrZ1LXj4UtcgAlElxUpDOjEIytt4ZqslKxrPXCv5KQV2TQpPatJM&#10;Ggx6hlqzwMjOy/+gtOTegq3DiFudDYUkRrCKcf6Em7uWOZFqQarBnUmHl4Pln/dfPZFVSaeUGKax&#10;4cdfP4+//x7//CDTSE/noECvO4d+oX9nexyaBz2gMlbd117HP9ZD0I7kHs7kij4QjsrJ4mY8z9HE&#10;0TaeL2bTm1nEyf49dx7CR2E1iUJJPXYvkcr2nyAMrg8uMRpYJauNVCpdfLN9rzzZM+z0Jn0n9Edu&#10;ypCupIvZZIaJMBzfGscGRe2QAjBNivfoBVwC5+l7DjgmtmbQDgkkhOjGCi2D8ElqBas+mIqEg0Oa&#10;DW4XjcloUVGiBC5jlJJnYFJd44ncKRODiDTqJ5Zix4bORCn02x5Bo7i11QG7uHNeNi0SnPqYRQtO&#10;V+rEaRPi+F7eUb7c/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6M8UNkAAAAKAQAADwAAAAAA&#10;AAABACAAAAAiAAAAZHJzL2Rvd25yZXYueG1sUEsBAhQAFAAAAAgAh07iQInh9lMSAgAARQQAAA4A&#10;AAAAAAAAAQAgAAAAKAEAAGRycy9lMm9Eb2MueG1sUEsFBgAAAAAGAAYAWQEAAKwFA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sz w:val="32"/>
                          <w:szCs w:val="32"/>
                        </w:rPr>
                      </w:pPr>
                      <w:r>
                        <w:rPr>
                          <w:rFonts w:hint="eastAsia" w:ascii="仿宋" w:hAnsi="仿宋" w:eastAsia="仿宋"/>
                          <w:sz w:val="36"/>
                          <w:szCs w:val="36"/>
                        </w:rPr>
                        <w:t>（正反面）</w:t>
                      </w:r>
                    </w:p>
                  </w:txbxContent>
                </v:textbox>
              </v:shape>
            </w:pict>
          </mc:Fallback>
        </mc:AlternateContent>
      </w:r>
      <w:r>
        <w:rPr>
          <w:rFonts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wps:txbx>
                      <wps:bodyPr upright="1"/>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1qiYONkAAAAK&#10;AQAADwAAAGRycy9kb3ducmV2LnhtbE2Py07DMBBF90j8gzVIbBB1QkLzIE4XSCDYlVKVrRu7SYQ9&#10;Drablr9nWMFy5h7dOdOsztawWfswOhSQLhJgGjunRuwFbN+fbktgIUpU0jjUAr51gFV7edHIWrkT&#10;vul5E3tGJRhqKWCIcao5D92grQwLN2mk7OC8lZFG33Pl5YnKreF3SbLkVo5IFwY56cdBd5+boxVQ&#10;5i/zR3jN1rtueTBVvCnm5y8vxPVVmjwAi/oc/2D41Sd1aMlp746oAjMC8rLKCaWgyoARUN0XtNgL&#10;yNKiBN42/P8L7Q9QSwMEFAAAAAgAh07iQBQjRvEQAgAARQQAAA4AAABkcnMvZTJvRG9jLnhtbK1T&#10;Ta7TMBDeI3EHy3uatKK8Nmr6JChlgwDpwQFcZ5JY8p9st0kvADdgxYY95+o53tgJpe9n0QVZOGPP&#10;529mvhmvbnslyQGcF0aXdDrJKQHNTSV0U9JvX7evFpT4wHTFpNFQ0iN4ert++WLV2QJmpjWyAkeQ&#10;RPuisyVtQ7BFlnnegmJ+YixodNbGKRZw65qscqxDdiWzWZ6/yTrjKusMB+/xdDM46cjoriE0dS04&#10;bAzfK9BhYHUgWcCSfCusp+uUbV0DD5/r2kMgsqRYaUgrBkF7F9dsvWJF45htBR9TYNek8KgmxYTG&#10;oGeqDQuM7J14QqUEd8abOky4UdlQSFIEq5jmj7S5a5mFVAtK7e1ZdP//aPmnwxdHRIWTQIlmCht+&#10;+vnj9OvP6fd3Mo3ydNYXiLqziAv9W9NH6Hju8TBW3ddOxT/WQ9CP4h7P4kIfCMfD2fJmusjRxdE3&#10;XSznr2/mkSf7d906Hz6AUSQaJXXYvSQqO3z0YYD+hcRo3khRbYWUaeOa3TvpyIFhp7fpG9kfwKQm&#10;XUmX89kcE2E4vjWODZrKogReNynegxv+kjhP33PEMbEN8+2QQGKIMFYoEcAlqwVWvdcVCUeLMmt8&#10;XTQmo6CiRAI+xmglZGBCXoNE7aSOQSCN+qhS7NjQmWiFftcjaTR3pjpiF/fWiaZFgVMfs+jB6Uqd&#10;GF9CHN/LPdqXr39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aomDjZAAAACgEAAA8AAAAAAAAA&#10;AQAgAAAAIgAAAGRycy9kb3ducmV2LnhtbFBLAQIUABQAAAAIAIdO4kAUI0bxEAIAAEUEAAAOAAAA&#10;AAAAAAEAIAAAACgBAABkcnMvZTJvRG9jLnhtbFBLBQYAAAAABgAGAFkBAACqBQAAAAA=&#10;">
                <v:fill on="t" focussize="0,0"/>
                <v:stroke color="#000000" joinstyle="miter"/>
                <v:imagedata o:title=""/>
                <o:lock v:ext="edit" aspectratio="f"/>
                <v:textbox>
                  <w:txbxContent>
                    <w:p>
                      <w:pPr>
                        <w:jc w:val="center"/>
                        <w:rPr>
                          <w:rFonts w:ascii="仿宋" w:hAnsi="仿宋" w:eastAsia="仿宋"/>
                          <w:sz w:val="36"/>
                          <w:szCs w:val="36"/>
                        </w:rPr>
                      </w:pPr>
                    </w:p>
                    <w:p>
                      <w:pPr>
                        <w:jc w:val="center"/>
                        <w:rPr>
                          <w:rFonts w:ascii="仿宋" w:hAnsi="仿宋" w:eastAsia="仿宋"/>
                          <w:sz w:val="36"/>
                          <w:szCs w:val="36"/>
                        </w:rPr>
                      </w:pPr>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spacing w:line="360" w:lineRule="auto"/>
        <w:rPr>
          <w:rFonts w:ascii="仿宋" w:hAnsi="仿宋" w:eastAsia="仿宋" w:cs="仿宋"/>
          <w:bCs/>
          <w:sz w:val="24"/>
          <w:szCs w:val="24"/>
          <w:highlight w:val="yellow"/>
        </w:rPr>
      </w:pPr>
    </w:p>
    <w:p>
      <w:pPr>
        <w:pStyle w:val="22"/>
        <w:spacing w:line="360" w:lineRule="auto"/>
        <w:ind w:left="1620" w:hanging="420"/>
        <w:rPr>
          <w:rFonts w:ascii="仿宋" w:hAnsi="仿宋" w:eastAsia="仿宋" w:cs="仿宋"/>
          <w:sz w:val="24"/>
          <w:szCs w:val="24"/>
          <w:highlight w:val="yellow"/>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  标  人：（盖章）</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法定代表人或其委托代理人：（签字或盖章）</w:t>
      </w:r>
    </w:p>
    <w:p>
      <w:pPr>
        <w:pStyle w:val="2"/>
        <w:rPr>
          <w:rFonts w:ascii="仿宋" w:hAnsi="仿宋" w:eastAsia="仿宋" w:cs="仿宋"/>
          <w:sz w:val="24"/>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22"/>
        <w:spacing w:line="360" w:lineRule="auto"/>
        <w:rPr>
          <w:rFonts w:ascii="仿宋" w:hAnsi="仿宋" w:eastAsia="仿宋" w:cs="仿宋"/>
          <w:b/>
          <w:bCs/>
          <w:sz w:val="24"/>
          <w:szCs w:val="24"/>
          <w:highlight w:val="yellow"/>
        </w:rPr>
      </w:pPr>
    </w:p>
    <w:p>
      <w:pPr>
        <w:pStyle w:val="4"/>
        <w:jc w:val="center"/>
        <w:rPr>
          <w:rStyle w:val="64"/>
          <w:rFonts w:ascii="仿宋" w:hAnsi="仿宋" w:eastAsia="仿宋" w:cs="仿宋"/>
          <w:b/>
          <w:bCs w:val="0"/>
          <w:sz w:val="24"/>
          <w:szCs w:val="24"/>
        </w:rPr>
      </w:pPr>
      <w:bookmarkStart w:id="518" w:name="_Toc12008"/>
      <w:bookmarkStart w:id="519" w:name="_Toc28582"/>
      <w:bookmarkStart w:id="520" w:name="_Toc50459038"/>
      <w:bookmarkStart w:id="521" w:name="_Toc9258"/>
      <w:r>
        <w:rPr>
          <w:rStyle w:val="64"/>
          <w:rFonts w:hint="eastAsia" w:ascii="仿宋" w:hAnsi="仿宋" w:eastAsia="仿宋" w:cs="仿宋"/>
          <w:b/>
          <w:bCs w:val="0"/>
          <w:sz w:val="24"/>
          <w:szCs w:val="24"/>
        </w:rPr>
        <w:t>5、保证金</w:t>
      </w:r>
      <w:bookmarkEnd w:id="518"/>
      <w:bookmarkEnd w:id="519"/>
      <w:bookmarkEnd w:id="520"/>
      <w:bookmarkEnd w:id="521"/>
    </w:p>
    <w:p>
      <w:pPr>
        <w:jc w:val="center"/>
        <w:rPr>
          <w:rFonts w:ascii="仿宋" w:hAnsi="仿宋" w:eastAsia="仿宋" w:cs="仿宋"/>
          <w:b/>
          <w:sz w:val="24"/>
          <w:szCs w:val="24"/>
        </w:rPr>
      </w:pPr>
      <w:r>
        <w:rPr>
          <w:rFonts w:hint="eastAsia" w:ascii="仿宋" w:hAnsi="仿宋" w:eastAsia="仿宋" w:cs="仿宋"/>
          <w:b/>
          <w:sz w:val="24"/>
          <w:szCs w:val="24"/>
        </w:rPr>
        <w:t>（附保证金缴纳凭证扫描件或投标保函扫描件）</w:t>
      </w:r>
    </w:p>
    <w:p>
      <w:pPr>
        <w:spacing w:line="360" w:lineRule="auto"/>
        <w:jc w:val="left"/>
        <w:rPr>
          <w:rFonts w:ascii="仿宋" w:hAnsi="仿宋" w:eastAsia="仿宋" w:cs="仿宋"/>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22"/>
        <w:spacing w:line="360" w:lineRule="auto"/>
        <w:rPr>
          <w:rFonts w:ascii="仿宋" w:hAnsi="仿宋" w:eastAsia="仿宋" w:cs="仿宋"/>
          <w:b/>
          <w:bCs/>
          <w:sz w:val="24"/>
          <w:szCs w:val="24"/>
        </w:rPr>
      </w:pPr>
    </w:p>
    <w:p>
      <w:pPr>
        <w:pStyle w:val="4"/>
        <w:jc w:val="center"/>
        <w:rPr>
          <w:rStyle w:val="64"/>
          <w:rFonts w:ascii="仿宋" w:hAnsi="仿宋" w:eastAsia="仿宋" w:cs="仿宋"/>
          <w:b/>
          <w:bCs w:val="0"/>
          <w:sz w:val="24"/>
          <w:szCs w:val="24"/>
        </w:rPr>
      </w:pPr>
      <w:bookmarkStart w:id="522" w:name="_Toc8807"/>
      <w:r>
        <w:rPr>
          <w:rStyle w:val="64"/>
          <w:rFonts w:hint="eastAsia" w:ascii="仿宋" w:hAnsi="仿宋" w:eastAsia="仿宋" w:cs="仿宋"/>
          <w:b/>
          <w:bCs w:val="0"/>
          <w:sz w:val="24"/>
          <w:szCs w:val="24"/>
        </w:rPr>
        <w:t>6、技术条件响应/偏离表</w:t>
      </w:r>
      <w:bookmarkEnd w:id="522"/>
    </w:p>
    <w:p>
      <w:pPr>
        <w:spacing w:after="156" w:afterLines="50" w:line="360" w:lineRule="auto"/>
        <w:rPr>
          <w:rFonts w:ascii="仿宋" w:hAnsi="仿宋" w:eastAsia="仿宋" w:cs="仿宋"/>
          <w:sz w:val="24"/>
          <w:szCs w:val="24"/>
          <w:u w:val="single"/>
        </w:rPr>
      </w:pPr>
      <w:r>
        <w:rPr>
          <w:rFonts w:hint="eastAsia" w:ascii="仿宋" w:hAnsi="仿宋" w:eastAsia="仿宋" w:cs="仿宋"/>
          <w:sz w:val="24"/>
          <w:szCs w:val="24"/>
        </w:rPr>
        <w:t>投标人名称（公章）：</w:t>
      </w:r>
      <w:r>
        <w:rPr>
          <w:rFonts w:hint="eastAsia" w:ascii="仿宋" w:hAnsi="仿宋" w:eastAsia="仿宋" w:cs="仿宋"/>
          <w:sz w:val="24"/>
          <w:szCs w:val="24"/>
          <w:u w:val="single"/>
        </w:rPr>
        <w:t xml:space="preserve">         　　　　　  </w:t>
      </w:r>
      <w:r>
        <w:rPr>
          <w:rFonts w:hint="eastAsia" w:ascii="仿宋" w:hAnsi="仿宋" w:eastAsia="仿宋" w:cs="仿宋"/>
          <w:sz w:val="24"/>
          <w:szCs w:val="24"/>
        </w:rPr>
        <w:t>标项编号：</w:t>
      </w:r>
      <w:r>
        <w:rPr>
          <w:rFonts w:hint="eastAsia" w:ascii="仿宋" w:hAnsi="仿宋" w:eastAsia="仿宋" w:cs="仿宋"/>
          <w:sz w:val="24"/>
          <w:szCs w:val="24"/>
          <w:u w:val="single"/>
        </w:rPr>
        <w:t>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招标服务要求</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投标服务响应</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响应/偏离</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bl>
    <w:p>
      <w:pPr>
        <w:spacing w:line="360" w:lineRule="auto"/>
        <w:rPr>
          <w:rFonts w:ascii="仿宋" w:hAnsi="仿宋" w:eastAsia="仿宋" w:cs="仿宋"/>
          <w:sz w:val="24"/>
          <w:szCs w:val="24"/>
        </w:rPr>
      </w:pPr>
      <w:r>
        <w:rPr>
          <w:rFonts w:hint="eastAsia" w:ascii="仿宋" w:hAnsi="仿宋" w:eastAsia="仿宋" w:cs="仿宋"/>
          <w:sz w:val="24"/>
          <w:szCs w:val="24"/>
        </w:rPr>
        <w:t>注：与招标文件要求逐条对应填写。</w:t>
      </w:r>
    </w:p>
    <w:p>
      <w:pPr>
        <w:spacing w:line="360" w:lineRule="auto"/>
        <w:rPr>
          <w:rFonts w:ascii="仿宋" w:hAnsi="仿宋" w:eastAsia="仿宋" w:cs="仿宋"/>
          <w:sz w:val="24"/>
          <w:szCs w:val="24"/>
          <w:u w:val="single"/>
        </w:rPr>
      </w:pPr>
      <w:r>
        <w:rPr>
          <w:rFonts w:hint="eastAsia" w:ascii="仿宋" w:hAnsi="仿宋" w:eastAsia="仿宋" w:cs="仿宋"/>
          <w:sz w:val="24"/>
          <w:szCs w:val="24"/>
        </w:rPr>
        <w:t>投标人代表签字：</w:t>
      </w:r>
      <w:r>
        <w:rPr>
          <w:rFonts w:hint="eastAsia" w:ascii="仿宋" w:hAnsi="仿宋" w:eastAsia="仿宋" w:cs="仿宋"/>
          <w:sz w:val="24"/>
          <w:szCs w:val="24"/>
          <w:u w:val="single"/>
        </w:rPr>
        <w:t>　　　　　　　　　　　　　　　</w:t>
      </w:r>
    </w:p>
    <w:p>
      <w:pPr>
        <w:pStyle w:val="18"/>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4"/>
          <w:rFonts w:ascii="仿宋" w:hAnsi="仿宋" w:eastAsia="仿宋" w:cs="仿宋"/>
          <w:b/>
          <w:bCs w:val="0"/>
          <w:sz w:val="24"/>
          <w:szCs w:val="24"/>
        </w:rPr>
      </w:pPr>
      <w:bookmarkStart w:id="523" w:name="_Toc20143"/>
      <w:r>
        <w:rPr>
          <w:rStyle w:val="64"/>
          <w:rFonts w:hint="eastAsia" w:ascii="仿宋" w:hAnsi="仿宋" w:eastAsia="仿宋" w:cs="仿宋"/>
          <w:b/>
          <w:bCs w:val="0"/>
          <w:sz w:val="24"/>
          <w:szCs w:val="24"/>
        </w:rPr>
        <w:t>7、商务条件响应/偏离表</w:t>
      </w:r>
      <w:bookmarkEnd w:id="523"/>
    </w:p>
    <w:p>
      <w:pPr>
        <w:spacing w:after="156" w:afterLines="50" w:line="360" w:lineRule="auto"/>
        <w:rPr>
          <w:rFonts w:ascii="仿宋" w:hAnsi="仿宋" w:eastAsia="仿宋" w:cs="仿宋"/>
          <w:sz w:val="24"/>
          <w:szCs w:val="24"/>
          <w:u w:val="single"/>
        </w:rPr>
      </w:pPr>
      <w:r>
        <w:rPr>
          <w:rFonts w:hint="eastAsia" w:ascii="仿宋" w:hAnsi="仿宋" w:eastAsia="仿宋" w:cs="仿宋"/>
          <w:sz w:val="24"/>
          <w:szCs w:val="24"/>
        </w:rPr>
        <w:t>投标人名称（公章）：</w:t>
      </w:r>
      <w:r>
        <w:rPr>
          <w:rFonts w:hint="eastAsia" w:ascii="仿宋" w:hAnsi="仿宋" w:eastAsia="仿宋" w:cs="仿宋"/>
          <w:sz w:val="24"/>
          <w:szCs w:val="24"/>
          <w:u w:val="single"/>
        </w:rPr>
        <w:t xml:space="preserve">         　　　　　  </w:t>
      </w:r>
      <w:r>
        <w:rPr>
          <w:rFonts w:hint="eastAsia" w:ascii="仿宋" w:hAnsi="仿宋" w:eastAsia="仿宋" w:cs="仿宋"/>
          <w:sz w:val="24"/>
          <w:szCs w:val="24"/>
        </w:rPr>
        <w:t>标项编号：</w:t>
      </w:r>
      <w:r>
        <w:rPr>
          <w:rFonts w:hint="eastAsia" w:ascii="仿宋" w:hAnsi="仿宋" w:eastAsia="仿宋" w:cs="仿宋"/>
          <w:sz w:val="24"/>
          <w:szCs w:val="24"/>
          <w:u w:val="single"/>
        </w:rPr>
        <w:t>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招标服务要求</w:t>
            </w:r>
          </w:p>
        </w:tc>
        <w:tc>
          <w:tcPr>
            <w:tcW w:w="1704"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投标服务响应</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响应/偏离</w:t>
            </w:r>
          </w:p>
        </w:tc>
        <w:tc>
          <w:tcPr>
            <w:tcW w:w="1705"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1704" w:type="dxa"/>
          </w:tcPr>
          <w:p>
            <w:pPr>
              <w:spacing w:line="360" w:lineRule="auto"/>
              <w:rPr>
                <w:rFonts w:ascii="仿宋" w:hAnsi="仿宋" w:eastAsia="仿宋" w:cs="仿宋"/>
                <w:sz w:val="24"/>
                <w:szCs w:val="24"/>
              </w:rPr>
            </w:pPr>
          </w:p>
        </w:tc>
        <w:tc>
          <w:tcPr>
            <w:tcW w:w="1704"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c>
          <w:tcPr>
            <w:tcW w:w="1705" w:type="dxa"/>
          </w:tcPr>
          <w:p>
            <w:pPr>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704" w:type="dxa"/>
          </w:tcPr>
          <w:p>
            <w:pPr>
              <w:spacing w:line="360" w:lineRule="auto"/>
              <w:jc w:val="center"/>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4"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c>
          <w:tcPr>
            <w:tcW w:w="1705" w:type="dxa"/>
          </w:tcPr>
          <w:p>
            <w:pPr>
              <w:spacing w:line="360" w:lineRule="auto"/>
              <w:rPr>
                <w:rFonts w:ascii="仿宋" w:hAnsi="仿宋" w:eastAsia="仿宋" w:cs="仿宋"/>
                <w:sz w:val="24"/>
                <w:szCs w:val="24"/>
                <w:highlight w:val="yellow"/>
              </w:rPr>
            </w:pPr>
          </w:p>
        </w:tc>
      </w:tr>
    </w:tbl>
    <w:p>
      <w:pPr>
        <w:spacing w:line="360" w:lineRule="auto"/>
        <w:rPr>
          <w:rFonts w:ascii="仿宋" w:hAnsi="仿宋" w:eastAsia="仿宋" w:cs="仿宋"/>
          <w:sz w:val="24"/>
          <w:szCs w:val="24"/>
        </w:rPr>
      </w:pPr>
      <w:r>
        <w:rPr>
          <w:rFonts w:hint="eastAsia" w:ascii="仿宋" w:hAnsi="仿宋" w:eastAsia="仿宋" w:cs="仿宋"/>
          <w:sz w:val="24"/>
          <w:szCs w:val="24"/>
        </w:rPr>
        <w:t>注：与招标文件要求逐条对应填写。</w:t>
      </w:r>
    </w:p>
    <w:p>
      <w:pPr>
        <w:spacing w:line="360" w:lineRule="auto"/>
        <w:rPr>
          <w:rFonts w:ascii="仿宋" w:hAnsi="仿宋" w:eastAsia="仿宋" w:cs="仿宋"/>
          <w:sz w:val="24"/>
          <w:szCs w:val="24"/>
          <w:u w:val="single"/>
        </w:rPr>
      </w:pPr>
      <w:r>
        <w:rPr>
          <w:rFonts w:hint="eastAsia" w:ascii="仿宋" w:hAnsi="仿宋" w:eastAsia="仿宋" w:cs="仿宋"/>
          <w:sz w:val="24"/>
          <w:szCs w:val="24"/>
        </w:rPr>
        <w:t>投标人代表签字：</w:t>
      </w:r>
      <w:r>
        <w:rPr>
          <w:rFonts w:hint="eastAsia" w:ascii="仿宋" w:hAnsi="仿宋" w:eastAsia="仿宋" w:cs="仿宋"/>
          <w:sz w:val="24"/>
          <w:szCs w:val="24"/>
          <w:u w:val="single"/>
        </w:rPr>
        <w:t>　　　　　　　　　　　　　　　</w:t>
      </w:r>
    </w:p>
    <w:p>
      <w:pPr>
        <w:widowControl/>
        <w:jc w:val="left"/>
        <w:rPr>
          <w:rFonts w:ascii="仿宋" w:hAnsi="仿宋" w:eastAsia="仿宋" w:cs="仿宋"/>
          <w:b/>
          <w:bCs/>
          <w:sz w:val="24"/>
          <w:szCs w:val="24"/>
        </w:rPr>
      </w:pPr>
      <w:r>
        <w:rPr>
          <w:rFonts w:hint="eastAsia" w:ascii="仿宋" w:hAnsi="仿宋" w:eastAsia="仿宋" w:cs="仿宋"/>
          <w:b/>
          <w:bCs/>
          <w:sz w:val="24"/>
          <w:szCs w:val="24"/>
        </w:rPr>
        <w:br w:type="page"/>
      </w:r>
    </w:p>
    <w:p>
      <w:pPr>
        <w:widowControl/>
        <w:jc w:val="left"/>
        <w:rPr>
          <w:rFonts w:ascii="仿宋" w:hAnsi="仿宋" w:eastAsia="仿宋" w:cs="仿宋"/>
          <w:b/>
          <w:bCs/>
          <w:sz w:val="24"/>
          <w:szCs w:val="24"/>
          <w:highlight w:val="yellow"/>
        </w:rPr>
      </w:pPr>
    </w:p>
    <w:p>
      <w:pPr>
        <w:pStyle w:val="4"/>
        <w:jc w:val="center"/>
        <w:rPr>
          <w:rStyle w:val="64"/>
          <w:rFonts w:ascii="仿宋" w:hAnsi="仿宋" w:eastAsia="仿宋" w:cs="仿宋"/>
          <w:b/>
          <w:bCs w:val="0"/>
          <w:sz w:val="24"/>
          <w:szCs w:val="24"/>
        </w:rPr>
      </w:pPr>
      <w:bookmarkStart w:id="524" w:name="_Toc3770"/>
      <w:r>
        <w:rPr>
          <w:rStyle w:val="64"/>
          <w:rFonts w:hint="eastAsia" w:ascii="仿宋" w:hAnsi="仿宋" w:eastAsia="仿宋" w:cs="仿宋"/>
          <w:b/>
          <w:bCs w:val="0"/>
          <w:sz w:val="24"/>
          <w:szCs w:val="24"/>
        </w:rPr>
        <w:t>8、投标人法人营业执照的证明材料、相关资质证书副本等材料的复印件以及商务因素、技术因素、服务因素所需证明资料（格式自拟）</w:t>
      </w:r>
      <w:bookmarkEnd w:id="524"/>
    </w:p>
    <w:p>
      <w:pPr>
        <w:pStyle w:val="18"/>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4"/>
          <w:rFonts w:ascii="仿宋" w:hAnsi="仿宋" w:eastAsia="仿宋" w:cs="仿宋"/>
          <w:b/>
          <w:bCs w:val="0"/>
          <w:sz w:val="24"/>
          <w:szCs w:val="24"/>
        </w:rPr>
      </w:pPr>
      <w:bookmarkStart w:id="525" w:name="_Toc13410"/>
      <w:r>
        <w:rPr>
          <w:rStyle w:val="64"/>
          <w:rFonts w:hint="eastAsia" w:ascii="仿宋" w:hAnsi="仿宋" w:eastAsia="仿宋" w:cs="仿宋"/>
          <w:b/>
          <w:bCs w:val="0"/>
          <w:sz w:val="24"/>
          <w:szCs w:val="24"/>
        </w:rPr>
        <w:t>9、投标人近四年（2020年1月1日至今）类似项目业绩</w:t>
      </w:r>
      <w:bookmarkEnd w:id="525"/>
    </w:p>
    <w:tbl>
      <w:tblPr>
        <w:tblStyle w:val="30"/>
        <w:tblW w:w="8863"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003"/>
        <w:gridCol w:w="1925"/>
        <w:gridCol w:w="1180"/>
        <w:gridCol w:w="1740"/>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32"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003"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1925"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项目内容</w:t>
            </w:r>
          </w:p>
        </w:tc>
        <w:tc>
          <w:tcPr>
            <w:tcW w:w="1180"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合同总价</w:t>
            </w:r>
          </w:p>
        </w:tc>
        <w:tc>
          <w:tcPr>
            <w:tcW w:w="1740"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采购服务单位</w:t>
            </w:r>
          </w:p>
        </w:tc>
        <w:tc>
          <w:tcPr>
            <w:tcW w:w="1483" w:type="dxa"/>
            <w:vAlign w:val="center"/>
          </w:tcPr>
          <w:p>
            <w:pPr>
              <w:pStyle w:val="22"/>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rPr>
            </w:pPr>
          </w:p>
        </w:tc>
        <w:tc>
          <w:tcPr>
            <w:tcW w:w="2003" w:type="dxa"/>
            <w:vAlign w:val="center"/>
          </w:tcPr>
          <w:p>
            <w:pPr>
              <w:pStyle w:val="22"/>
              <w:spacing w:line="360" w:lineRule="auto"/>
              <w:jc w:val="center"/>
              <w:rPr>
                <w:rFonts w:ascii="仿宋" w:hAnsi="仿宋" w:eastAsia="仿宋" w:cs="仿宋"/>
                <w:sz w:val="24"/>
                <w:szCs w:val="24"/>
              </w:rPr>
            </w:pPr>
          </w:p>
        </w:tc>
        <w:tc>
          <w:tcPr>
            <w:tcW w:w="1925" w:type="dxa"/>
            <w:vAlign w:val="center"/>
          </w:tcPr>
          <w:p>
            <w:pPr>
              <w:pStyle w:val="22"/>
              <w:spacing w:line="360" w:lineRule="auto"/>
              <w:jc w:val="center"/>
              <w:rPr>
                <w:rFonts w:ascii="仿宋" w:hAnsi="仿宋" w:eastAsia="仿宋" w:cs="仿宋"/>
                <w:sz w:val="24"/>
                <w:szCs w:val="24"/>
              </w:rPr>
            </w:pPr>
          </w:p>
        </w:tc>
        <w:tc>
          <w:tcPr>
            <w:tcW w:w="1180" w:type="dxa"/>
            <w:vAlign w:val="center"/>
          </w:tcPr>
          <w:p>
            <w:pPr>
              <w:pStyle w:val="22"/>
              <w:spacing w:line="360" w:lineRule="auto"/>
              <w:jc w:val="center"/>
              <w:rPr>
                <w:rFonts w:ascii="仿宋" w:hAnsi="仿宋" w:eastAsia="仿宋" w:cs="仿宋"/>
                <w:sz w:val="24"/>
                <w:szCs w:val="24"/>
              </w:rPr>
            </w:pPr>
          </w:p>
        </w:tc>
        <w:tc>
          <w:tcPr>
            <w:tcW w:w="1740" w:type="dxa"/>
            <w:vAlign w:val="center"/>
          </w:tcPr>
          <w:p>
            <w:pPr>
              <w:pStyle w:val="22"/>
              <w:spacing w:line="360" w:lineRule="auto"/>
              <w:jc w:val="center"/>
              <w:rPr>
                <w:rFonts w:ascii="仿宋" w:hAnsi="仿宋" w:eastAsia="仿宋" w:cs="仿宋"/>
                <w:sz w:val="24"/>
                <w:szCs w:val="24"/>
              </w:rPr>
            </w:pPr>
          </w:p>
        </w:tc>
        <w:tc>
          <w:tcPr>
            <w:tcW w:w="1483" w:type="dxa"/>
            <w:vAlign w:val="center"/>
          </w:tcPr>
          <w:p>
            <w:pPr>
              <w:pStyle w:val="22"/>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32" w:type="dxa"/>
            <w:vAlign w:val="center"/>
          </w:tcPr>
          <w:p>
            <w:pPr>
              <w:pStyle w:val="22"/>
              <w:spacing w:line="360" w:lineRule="auto"/>
              <w:jc w:val="center"/>
              <w:rPr>
                <w:rFonts w:ascii="仿宋" w:hAnsi="仿宋" w:eastAsia="仿宋" w:cs="仿宋"/>
                <w:sz w:val="24"/>
                <w:szCs w:val="24"/>
                <w:highlight w:val="yellow"/>
              </w:rPr>
            </w:pPr>
          </w:p>
        </w:tc>
        <w:tc>
          <w:tcPr>
            <w:tcW w:w="2003" w:type="dxa"/>
            <w:vAlign w:val="center"/>
          </w:tcPr>
          <w:p>
            <w:pPr>
              <w:pStyle w:val="22"/>
              <w:spacing w:line="360" w:lineRule="auto"/>
              <w:jc w:val="center"/>
              <w:rPr>
                <w:rFonts w:ascii="仿宋" w:hAnsi="仿宋" w:eastAsia="仿宋" w:cs="仿宋"/>
                <w:sz w:val="24"/>
                <w:szCs w:val="24"/>
                <w:highlight w:val="yellow"/>
              </w:rPr>
            </w:pPr>
          </w:p>
        </w:tc>
        <w:tc>
          <w:tcPr>
            <w:tcW w:w="1925" w:type="dxa"/>
            <w:vAlign w:val="center"/>
          </w:tcPr>
          <w:p>
            <w:pPr>
              <w:pStyle w:val="22"/>
              <w:spacing w:line="360" w:lineRule="auto"/>
              <w:jc w:val="center"/>
              <w:rPr>
                <w:rFonts w:ascii="仿宋" w:hAnsi="仿宋" w:eastAsia="仿宋" w:cs="仿宋"/>
                <w:sz w:val="24"/>
                <w:szCs w:val="24"/>
                <w:highlight w:val="yellow"/>
              </w:rPr>
            </w:pPr>
          </w:p>
        </w:tc>
        <w:tc>
          <w:tcPr>
            <w:tcW w:w="1180" w:type="dxa"/>
            <w:vAlign w:val="center"/>
          </w:tcPr>
          <w:p>
            <w:pPr>
              <w:pStyle w:val="22"/>
              <w:spacing w:line="360" w:lineRule="auto"/>
              <w:jc w:val="center"/>
              <w:rPr>
                <w:rFonts w:ascii="仿宋" w:hAnsi="仿宋" w:eastAsia="仿宋" w:cs="仿宋"/>
                <w:sz w:val="24"/>
                <w:szCs w:val="24"/>
                <w:highlight w:val="yellow"/>
              </w:rPr>
            </w:pPr>
          </w:p>
        </w:tc>
        <w:tc>
          <w:tcPr>
            <w:tcW w:w="1740" w:type="dxa"/>
            <w:vAlign w:val="center"/>
          </w:tcPr>
          <w:p>
            <w:pPr>
              <w:pStyle w:val="22"/>
              <w:spacing w:line="360" w:lineRule="auto"/>
              <w:jc w:val="center"/>
              <w:rPr>
                <w:rFonts w:ascii="仿宋" w:hAnsi="仿宋" w:eastAsia="仿宋" w:cs="仿宋"/>
                <w:sz w:val="24"/>
                <w:szCs w:val="24"/>
                <w:highlight w:val="yellow"/>
              </w:rPr>
            </w:pPr>
          </w:p>
        </w:tc>
        <w:tc>
          <w:tcPr>
            <w:tcW w:w="1483" w:type="dxa"/>
            <w:vAlign w:val="center"/>
          </w:tcPr>
          <w:p>
            <w:pPr>
              <w:pStyle w:val="22"/>
              <w:spacing w:line="360" w:lineRule="auto"/>
              <w:jc w:val="center"/>
              <w:rPr>
                <w:rFonts w:ascii="仿宋" w:hAnsi="仿宋" w:eastAsia="仿宋" w:cs="仿宋"/>
                <w:sz w:val="24"/>
                <w:szCs w:val="24"/>
                <w:highlight w:val="yellow"/>
              </w:rPr>
            </w:pPr>
          </w:p>
        </w:tc>
      </w:tr>
    </w:tbl>
    <w:p>
      <w:pPr>
        <w:pStyle w:val="22"/>
        <w:spacing w:line="360" w:lineRule="auto"/>
        <w:rPr>
          <w:rFonts w:ascii="仿宋" w:hAnsi="仿宋" w:eastAsia="仿宋" w:cs="仿宋"/>
          <w:sz w:val="24"/>
          <w:szCs w:val="24"/>
        </w:rPr>
      </w:pPr>
      <w:r>
        <w:rPr>
          <w:rFonts w:hint="eastAsia" w:ascii="仿宋" w:hAnsi="仿宋" w:eastAsia="仿宋" w:cs="仿宋"/>
          <w:sz w:val="24"/>
          <w:szCs w:val="24"/>
        </w:rPr>
        <w:t>投标人填写本表的同时，须提供验收报告或合同，投标人填写的内容必须真实可靠，如有虚假或者隐瞒，一经查实投标将被否决。</w:t>
      </w:r>
    </w:p>
    <w:p>
      <w:pPr>
        <w:pStyle w:val="18"/>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4"/>
          <w:rFonts w:ascii="仿宋" w:hAnsi="仿宋" w:eastAsia="仿宋" w:cs="仿宋"/>
          <w:b/>
          <w:bCs w:val="0"/>
          <w:sz w:val="24"/>
          <w:szCs w:val="24"/>
        </w:rPr>
      </w:pPr>
      <w:bookmarkStart w:id="526" w:name="_Toc10599_WPSOffice_Level1"/>
      <w:bookmarkStart w:id="527" w:name="_Toc13505"/>
      <w:r>
        <w:rPr>
          <w:rStyle w:val="64"/>
          <w:rFonts w:hint="eastAsia" w:ascii="仿宋" w:hAnsi="仿宋" w:eastAsia="仿宋" w:cs="仿宋"/>
          <w:b/>
          <w:bCs w:val="0"/>
          <w:sz w:val="24"/>
          <w:szCs w:val="24"/>
        </w:rPr>
        <w:t>10、项目维保服务</w:t>
      </w:r>
      <w:bookmarkEnd w:id="526"/>
      <w:r>
        <w:rPr>
          <w:rStyle w:val="64"/>
          <w:rFonts w:hint="eastAsia" w:ascii="仿宋" w:hAnsi="仿宋" w:eastAsia="仿宋" w:cs="仿宋"/>
          <w:b/>
          <w:bCs w:val="0"/>
          <w:sz w:val="24"/>
          <w:szCs w:val="24"/>
        </w:rPr>
        <w:t>方案、售后方案、承诺等内容</w:t>
      </w:r>
      <w:bookmarkEnd w:id="527"/>
    </w:p>
    <w:p>
      <w:pPr>
        <w:pStyle w:val="4"/>
        <w:jc w:val="center"/>
        <w:rPr>
          <w:rFonts w:ascii="仿宋" w:hAnsi="仿宋" w:eastAsia="仿宋" w:cs="仿宋"/>
          <w:sz w:val="24"/>
          <w:szCs w:val="24"/>
          <w:highlight w:val="yellow"/>
        </w:rPr>
      </w:pPr>
      <w:bookmarkStart w:id="528" w:name="_Toc14228"/>
      <w:r>
        <w:rPr>
          <w:rStyle w:val="64"/>
          <w:rFonts w:hint="eastAsia" w:ascii="仿宋" w:hAnsi="仿宋" w:eastAsia="仿宋" w:cs="仿宋"/>
          <w:b/>
          <w:bCs w:val="0"/>
          <w:sz w:val="24"/>
          <w:szCs w:val="24"/>
        </w:rPr>
        <w:t>格式自拟</w:t>
      </w:r>
      <w:bookmarkEnd w:id="528"/>
    </w:p>
    <w:p>
      <w:pPr>
        <w:widowControl/>
        <w:jc w:val="left"/>
        <w:rPr>
          <w:rFonts w:ascii="仿宋" w:hAnsi="仿宋" w:eastAsia="仿宋" w:cs="仿宋"/>
          <w:b/>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pStyle w:val="18"/>
        <w:rPr>
          <w:rFonts w:ascii="仿宋" w:hAnsi="仿宋" w:eastAsia="仿宋" w:cs="仿宋"/>
          <w:sz w:val="24"/>
          <w:szCs w:val="24"/>
          <w:highlight w:val="yellow"/>
        </w:rPr>
      </w:pPr>
    </w:p>
    <w:p>
      <w:pPr>
        <w:pStyle w:val="18"/>
        <w:rPr>
          <w:rFonts w:ascii="仿宋" w:hAnsi="仿宋" w:eastAsia="仿宋" w:cs="仿宋"/>
          <w:sz w:val="24"/>
          <w:szCs w:val="24"/>
          <w:highlight w:val="yellow"/>
        </w:rPr>
      </w:pPr>
    </w:p>
    <w:p>
      <w:pPr>
        <w:pStyle w:val="18"/>
        <w:rPr>
          <w:rFonts w:ascii="仿宋" w:hAnsi="仿宋" w:eastAsia="仿宋" w:cs="仿宋"/>
          <w:sz w:val="24"/>
          <w:szCs w:val="24"/>
          <w:highlight w:val="yellow"/>
        </w:rPr>
      </w:pPr>
    </w:p>
    <w:p>
      <w:pPr>
        <w:widowControl/>
        <w:spacing w:line="360" w:lineRule="auto"/>
        <w:ind w:firstLine="899"/>
        <w:jc w:val="left"/>
        <w:rPr>
          <w:rFonts w:ascii="仿宋" w:hAnsi="仿宋" w:eastAsia="仿宋" w:cs="仿宋"/>
          <w:kern w:val="0"/>
          <w:sz w:val="24"/>
          <w:szCs w:val="24"/>
          <w:highlight w:val="yellow"/>
        </w:rPr>
      </w:pPr>
    </w:p>
    <w:p>
      <w:pPr>
        <w:pStyle w:val="18"/>
        <w:rPr>
          <w:rFonts w:ascii="仿宋" w:hAnsi="仿宋" w:eastAsia="仿宋" w:cs="仿宋"/>
          <w:sz w:val="24"/>
          <w:szCs w:val="24"/>
        </w:rPr>
      </w:pPr>
      <w:r>
        <w:rPr>
          <w:rFonts w:hint="eastAsia" w:ascii="仿宋" w:hAnsi="仿宋" w:eastAsia="仿宋" w:cs="仿宋"/>
          <w:sz w:val="24"/>
          <w:szCs w:val="24"/>
        </w:rPr>
        <w:br w:type="page"/>
      </w:r>
    </w:p>
    <w:p>
      <w:pPr>
        <w:pStyle w:val="4"/>
        <w:jc w:val="center"/>
        <w:rPr>
          <w:rStyle w:val="64"/>
          <w:rFonts w:ascii="仿宋" w:hAnsi="仿宋" w:eastAsia="仿宋" w:cs="仿宋"/>
          <w:b/>
          <w:bCs w:val="0"/>
          <w:sz w:val="24"/>
          <w:szCs w:val="24"/>
        </w:rPr>
      </w:pPr>
      <w:bookmarkStart w:id="529" w:name="_Toc23416"/>
      <w:bookmarkStart w:id="530" w:name="_Toc45795252"/>
      <w:r>
        <w:rPr>
          <w:rStyle w:val="64"/>
          <w:rFonts w:hint="eastAsia" w:ascii="仿宋" w:hAnsi="仿宋" w:eastAsia="仿宋" w:cs="仿宋"/>
          <w:b/>
          <w:bCs w:val="0"/>
          <w:sz w:val="24"/>
          <w:szCs w:val="24"/>
        </w:rPr>
        <w:t>11、投标人基本情况说明</w:t>
      </w:r>
      <w:bookmarkEnd w:id="529"/>
    </w:p>
    <w:p>
      <w:pPr>
        <w:spacing w:line="360" w:lineRule="auto"/>
        <w:rPr>
          <w:rFonts w:ascii="仿宋" w:hAnsi="仿宋" w:eastAsia="仿宋" w:cs="仿宋"/>
          <w:b/>
          <w:bCs/>
          <w:sz w:val="24"/>
          <w:szCs w:val="24"/>
        </w:rPr>
      </w:pPr>
      <w:r>
        <w:rPr>
          <w:rFonts w:hint="eastAsia" w:ascii="仿宋" w:hAnsi="仿宋" w:eastAsia="仿宋" w:cs="仿宋"/>
          <w:b/>
          <w:bCs/>
          <w:sz w:val="24"/>
          <w:szCs w:val="24"/>
        </w:rPr>
        <w:t>一、公司简介：</w:t>
      </w:r>
    </w:p>
    <w:p>
      <w:pPr>
        <w:rPr>
          <w:rFonts w:ascii="仿宋" w:hAnsi="仿宋" w:eastAsia="仿宋" w:cs="仿宋"/>
          <w:sz w:val="24"/>
          <w:szCs w:val="24"/>
        </w:rPr>
      </w:pPr>
      <w:r>
        <w:rPr>
          <w:rFonts w:hint="eastAsia" w:ascii="仿宋" w:hAnsi="仿宋" w:eastAsia="仿宋" w:cs="仿宋"/>
          <w:sz w:val="24"/>
          <w:szCs w:val="24"/>
        </w:rPr>
        <w:t>二、</w:t>
      </w:r>
    </w:p>
    <w:p>
      <w:pPr>
        <w:pStyle w:val="18"/>
        <w:jc w:val="center"/>
        <w:rPr>
          <w:rFonts w:ascii="仿宋" w:hAnsi="仿宋" w:eastAsia="仿宋" w:cs="仿宋"/>
          <w:b/>
          <w:bCs/>
          <w:sz w:val="24"/>
          <w:szCs w:val="24"/>
        </w:rPr>
      </w:pPr>
      <w:r>
        <w:rPr>
          <w:rFonts w:hint="eastAsia" w:ascii="仿宋" w:hAnsi="仿宋" w:eastAsia="仿宋" w:cs="仿宋"/>
          <w:b/>
          <w:bCs/>
          <w:sz w:val="24"/>
          <w:szCs w:val="24"/>
        </w:rPr>
        <w:t>企业信息一览表</w:t>
      </w:r>
    </w:p>
    <w:tbl>
      <w:tblPr>
        <w:tblStyle w:val="30"/>
        <w:tblW w:w="9682"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17"/>
        <w:gridCol w:w="1217"/>
        <w:gridCol w:w="1217"/>
        <w:gridCol w:w="1218"/>
        <w:gridCol w:w="121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投标人名称</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注册地址</w:t>
            </w:r>
          </w:p>
        </w:tc>
        <w:tc>
          <w:tcPr>
            <w:tcW w:w="3651" w:type="dxa"/>
            <w:gridSpan w:val="3"/>
            <w:vAlign w:val="center"/>
          </w:tcPr>
          <w:p>
            <w:pPr>
              <w:pStyle w:val="18"/>
              <w:jc w:val="center"/>
              <w:rPr>
                <w:rFonts w:ascii="仿宋" w:hAnsi="仿宋" w:eastAsia="仿宋" w:cs="仿宋"/>
                <w:sz w:val="24"/>
                <w:szCs w:val="24"/>
              </w:rPr>
            </w:pPr>
          </w:p>
        </w:tc>
        <w:tc>
          <w:tcPr>
            <w:tcW w:w="1218"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邮政编码</w:t>
            </w:r>
          </w:p>
        </w:tc>
        <w:tc>
          <w:tcPr>
            <w:tcW w:w="3077" w:type="dxa"/>
            <w:gridSpan w:val="2"/>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Merge w:val="restart"/>
            <w:vAlign w:val="center"/>
          </w:tcPr>
          <w:p>
            <w:pPr>
              <w:pStyle w:val="18"/>
              <w:jc w:val="center"/>
              <w:rPr>
                <w:rFonts w:ascii="仿宋" w:hAnsi="仿宋" w:eastAsia="仿宋" w:cs="仿宋"/>
                <w:sz w:val="24"/>
                <w:szCs w:val="24"/>
              </w:rPr>
            </w:pPr>
            <w:r>
              <w:rPr>
                <w:rFonts w:hint="eastAsia" w:ascii="仿宋" w:hAnsi="仿宋" w:eastAsia="仿宋" w:cs="仿宋"/>
                <w:sz w:val="24"/>
                <w:szCs w:val="24"/>
              </w:rPr>
              <w:t>联系方式</w:t>
            </w: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联系人</w:t>
            </w:r>
          </w:p>
        </w:tc>
        <w:tc>
          <w:tcPr>
            <w:tcW w:w="2434" w:type="dxa"/>
            <w:gridSpan w:val="2"/>
            <w:vAlign w:val="center"/>
          </w:tcPr>
          <w:p>
            <w:pPr>
              <w:pStyle w:val="18"/>
              <w:jc w:val="center"/>
              <w:rPr>
                <w:rFonts w:ascii="仿宋" w:hAnsi="仿宋" w:eastAsia="仿宋" w:cs="仿宋"/>
                <w:sz w:val="24"/>
                <w:szCs w:val="24"/>
              </w:rPr>
            </w:pPr>
          </w:p>
        </w:tc>
        <w:tc>
          <w:tcPr>
            <w:tcW w:w="1218"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联系电话</w:t>
            </w:r>
          </w:p>
        </w:tc>
        <w:tc>
          <w:tcPr>
            <w:tcW w:w="3077" w:type="dxa"/>
            <w:gridSpan w:val="2"/>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Merge w:val="continue"/>
            <w:vAlign w:val="center"/>
          </w:tcPr>
          <w:p>
            <w:pPr>
              <w:pStyle w:val="18"/>
              <w:jc w:val="center"/>
              <w:rPr>
                <w:rFonts w:ascii="仿宋" w:hAnsi="仿宋" w:eastAsia="仿宋" w:cs="仿宋"/>
                <w:sz w:val="24"/>
                <w:szCs w:val="24"/>
              </w:rPr>
            </w:pP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传真</w:t>
            </w:r>
          </w:p>
        </w:tc>
        <w:tc>
          <w:tcPr>
            <w:tcW w:w="2434" w:type="dxa"/>
            <w:gridSpan w:val="2"/>
            <w:vAlign w:val="center"/>
          </w:tcPr>
          <w:p>
            <w:pPr>
              <w:pStyle w:val="18"/>
              <w:jc w:val="center"/>
              <w:rPr>
                <w:rFonts w:ascii="仿宋" w:hAnsi="仿宋" w:eastAsia="仿宋" w:cs="仿宋"/>
                <w:sz w:val="24"/>
                <w:szCs w:val="24"/>
              </w:rPr>
            </w:pPr>
          </w:p>
        </w:tc>
        <w:tc>
          <w:tcPr>
            <w:tcW w:w="1218"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邮箱</w:t>
            </w:r>
          </w:p>
        </w:tc>
        <w:tc>
          <w:tcPr>
            <w:tcW w:w="3077" w:type="dxa"/>
            <w:gridSpan w:val="2"/>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企业性质</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法定代表人</w:t>
            </w: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姓名</w:t>
            </w:r>
          </w:p>
        </w:tc>
        <w:tc>
          <w:tcPr>
            <w:tcW w:w="1217" w:type="dxa"/>
            <w:vAlign w:val="center"/>
          </w:tcPr>
          <w:p>
            <w:pPr>
              <w:pStyle w:val="18"/>
              <w:jc w:val="center"/>
              <w:rPr>
                <w:rFonts w:ascii="仿宋" w:hAnsi="仿宋" w:eastAsia="仿宋" w:cs="仿宋"/>
                <w:sz w:val="24"/>
                <w:szCs w:val="24"/>
              </w:rPr>
            </w:pP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技术职称</w:t>
            </w:r>
          </w:p>
        </w:tc>
        <w:tc>
          <w:tcPr>
            <w:tcW w:w="1218" w:type="dxa"/>
            <w:vAlign w:val="center"/>
          </w:tcPr>
          <w:p>
            <w:pPr>
              <w:pStyle w:val="18"/>
              <w:jc w:val="center"/>
              <w:rPr>
                <w:rFonts w:ascii="仿宋" w:hAnsi="仿宋" w:eastAsia="仿宋" w:cs="仿宋"/>
                <w:sz w:val="24"/>
                <w:szCs w:val="24"/>
              </w:rPr>
            </w:pPr>
          </w:p>
        </w:tc>
        <w:tc>
          <w:tcPr>
            <w:tcW w:w="1218"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电话</w:t>
            </w:r>
          </w:p>
        </w:tc>
        <w:tc>
          <w:tcPr>
            <w:tcW w:w="1859" w:type="dxa"/>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技术负责人</w:t>
            </w: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姓名</w:t>
            </w:r>
          </w:p>
        </w:tc>
        <w:tc>
          <w:tcPr>
            <w:tcW w:w="1217" w:type="dxa"/>
            <w:vAlign w:val="center"/>
          </w:tcPr>
          <w:p>
            <w:pPr>
              <w:pStyle w:val="18"/>
              <w:jc w:val="center"/>
              <w:rPr>
                <w:rFonts w:ascii="仿宋" w:hAnsi="仿宋" w:eastAsia="仿宋" w:cs="仿宋"/>
                <w:sz w:val="24"/>
                <w:szCs w:val="24"/>
              </w:rPr>
            </w:pPr>
          </w:p>
        </w:tc>
        <w:tc>
          <w:tcPr>
            <w:tcW w:w="1217"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技术职称</w:t>
            </w:r>
          </w:p>
        </w:tc>
        <w:tc>
          <w:tcPr>
            <w:tcW w:w="1218" w:type="dxa"/>
            <w:vAlign w:val="center"/>
          </w:tcPr>
          <w:p>
            <w:pPr>
              <w:pStyle w:val="18"/>
              <w:jc w:val="center"/>
              <w:rPr>
                <w:rFonts w:ascii="仿宋" w:hAnsi="仿宋" w:eastAsia="仿宋" w:cs="仿宋"/>
                <w:sz w:val="24"/>
                <w:szCs w:val="24"/>
              </w:rPr>
            </w:pPr>
          </w:p>
        </w:tc>
        <w:tc>
          <w:tcPr>
            <w:tcW w:w="1218"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电话</w:t>
            </w:r>
          </w:p>
        </w:tc>
        <w:tc>
          <w:tcPr>
            <w:tcW w:w="1859" w:type="dxa"/>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成立时间</w:t>
            </w:r>
          </w:p>
        </w:tc>
        <w:tc>
          <w:tcPr>
            <w:tcW w:w="2434" w:type="dxa"/>
            <w:gridSpan w:val="2"/>
            <w:vAlign w:val="center"/>
          </w:tcPr>
          <w:p>
            <w:pPr>
              <w:pStyle w:val="18"/>
              <w:jc w:val="center"/>
              <w:rPr>
                <w:rFonts w:ascii="仿宋" w:hAnsi="仿宋" w:eastAsia="仿宋" w:cs="仿宋"/>
                <w:sz w:val="24"/>
                <w:szCs w:val="24"/>
              </w:rPr>
            </w:pPr>
          </w:p>
        </w:tc>
        <w:tc>
          <w:tcPr>
            <w:tcW w:w="5512" w:type="dxa"/>
            <w:gridSpan w:val="4"/>
            <w:vAlign w:val="center"/>
          </w:tcPr>
          <w:p>
            <w:pPr>
              <w:pStyle w:val="18"/>
              <w:jc w:val="both"/>
              <w:rPr>
                <w:rFonts w:ascii="仿宋" w:hAnsi="仿宋" w:eastAsia="仿宋" w:cs="仿宋"/>
                <w:sz w:val="24"/>
                <w:szCs w:val="24"/>
              </w:rPr>
            </w:pPr>
            <w:r>
              <w:rPr>
                <w:rFonts w:hint="eastAsia" w:ascii="仿宋" w:hAnsi="仿宋" w:eastAsia="仿宋" w:cs="仿宋"/>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营业执照号</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注册时间</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开户银行</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银行账号</w:t>
            </w:r>
          </w:p>
        </w:tc>
        <w:tc>
          <w:tcPr>
            <w:tcW w:w="7946" w:type="dxa"/>
            <w:gridSpan w:val="6"/>
            <w:vAlign w:val="center"/>
          </w:tcPr>
          <w:p>
            <w:pPr>
              <w:pStyle w:val="18"/>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736" w:type="dxa"/>
            <w:vAlign w:val="center"/>
          </w:tcPr>
          <w:p>
            <w:pPr>
              <w:pStyle w:val="18"/>
              <w:jc w:val="center"/>
              <w:rPr>
                <w:rFonts w:ascii="仿宋" w:hAnsi="仿宋" w:eastAsia="仿宋" w:cs="仿宋"/>
                <w:sz w:val="24"/>
                <w:szCs w:val="24"/>
              </w:rPr>
            </w:pPr>
            <w:r>
              <w:rPr>
                <w:rFonts w:hint="eastAsia" w:ascii="仿宋" w:hAnsi="仿宋" w:eastAsia="仿宋" w:cs="仿宋"/>
                <w:sz w:val="24"/>
                <w:szCs w:val="24"/>
              </w:rPr>
              <w:t>经营范围备注</w:t>
            </w:r>
          </w:p>
        </w:tc>
        <w:tc>
          <w:tcPr>
            <w:tcW w:w="7946" w:type="dxa"/>
            <w:gridSpan w:val="6"/>
            <w:vAlign w:val="center"/>
          </w:tcPr>
          <w:p>
            <w:pPr>
              <w:pStyle w:val="18"/>
              <w:jc w:val="center"/>
              <w:rPr>
                <w:rFonts w:ascii="仿宋" w:hAnsi="仿宋" w:eastAsia="仿宋" w:cs="仿宋"/>
                <w:sz w:val="24"/>
                <w:szCs w:val="24"/>
              </w:rPr>
            </w:pPr>
          </w:p>
        </w:tc>
      </w:tr>
    </w:tbl>
    <w:p>
      <w:pPr>
        <w:spacing w:line="420" w:lineRule="exact"/>
        <w:ind w:right="561"/>
        <w:rPr>
          <w:rFonts w:ascii="仿宋" w:hAnsi="仿宋" w:eastAsia="仿宋" w:cs="仿宋"/>
          <w:sz w:val="24"/>
          <w:szCs w:val="24"/>
        </w:rPr>
      </w:pPr>
    </w:p>
    <w:p>
      <w:pPr>
        <w:spacing w:line="420" w:lineRule="exact"/>
        <w:ind w:right="561"/>
        <w:rPr>
          <w:rFonts w:ascii="仿宋" w:hAnsi="仿宋" w:eastAsia="仿宋" w:cs="仿宋"/>
          <w:sz w:val="24"/>
          <w:szCs w:val="24"/>
        </w:rPr>
      </w:pPr>
      <w:r>
        <w:rPr>
          <w:rFonts w:hint="eastAsia" w:ascii="仿宋" w:hAnsi="仿宋" w:eastAsia="仿宋" w:cs="仿宋"/>
          <w:sz w:val="24"/>
          <w:szCs w:val="24"/>
        </w:rPr>
        <w:t>投标人名称（加盖公章）：</w:t>
      </w:r>
    </w:p>
    <w:p>
      <w:pPr>
        <w:spacing w:line="420" w:lineRule="exact"/>
        <w:ind w:right="561"/>
        <w:rPr>
          <w:rFonts w:ascii="仿宋" w:hAnsi="仿宋" w:eastAsia="仿宋" w:cs="仿宋"/>
          <w:sz w:val="24"/>
          <w:szCs w:val="24"/>
        </w:rPr>
      </w:pPr>
      <w:r>
        <w:rPr>
          <w:rFonts w:hint="eastAsia" w:ascii="仿宋" w:hAnsi="仿宋" w:eastAsia="仿宋" w:cs="仿宋"/>
          <w:sz w:val="24"/>
          <w:szCs w:val="24"/>
        </w:rPr>
        <w:t>投标人法定代表人或受委托人（签名或盖私章）：</w:t>
      </w:r>
    </w:p>
    <w:p>
      <w:pPr>
        <w:spacing w:line="420" w:lineRule="exact"/>
        <w:ind w:right="561"/>
        <w:rPr>
          <w:rFonts w:ascii="仿宋" w:hAnsi="仿宋" w:eastAsia="仿宋" w:cs="仿宋"/>
          <w:sz w:val="24"/>
          <w:szCs w:val="24"/>
        </w:rPr>
      </w:pPr>
      <w:r>
        <w:rPr>
          <w:rFonts w:hint="eastAsia" w:ascii="仿宋" w:hAnsi="仿宋" w:eastAsia="仿宋" w:cs="仿宋"/>
          <w:sz w:val="24"/>
          <w:szCs w:val="24"/>
        </w:rPr>
        <w:t>日      期：</w:t>
      </w:r>
    </w:p>
    <w:p>
      <w:pPr>
        <w:pStyle w:val="4"/>
        <w:jc w:val="center"/>
        <w:rPr>
          <w:rStyle w:val="64"/>
          <w:rFonts w:ascii="仿宋" w:hAnsi="仿宋" w:eastAsia="仿宋" w:cs="仿宋"/>
          <w:b/>
          <w:bCs w:val="0"/>
          <w:sz w:val="24"/>
          <w:szCs w:val="24"/>
        </w:rPr>
      </w:pPr>
      <w:bookmarkStart w:id="531" w:name="_Toc545"/>
      <w:r>
        <w:rPr>
          <w:rStyle w:val="64"/>
          <w:rFonts w:hint="eastAsia" w:ascii="仿宋" w:hAnsi="仿宋" w:eastAsia="仿宋" w:cs="仿宋"/>
          <w:b/>
          <w:bCs w:val="0"/>
          <w:sz w:val="24"/>
          <w:szCs w:val="24"/>
        </w:rPr>
        <w:t>12、项目人员配置情况表</w:t>
      </w:r>
      <w:bookmarkEnd w:id="531"/>
    </w:p>
    <w:p>
      <w:pPr>
        <w:pStyle w:val="70"/>
        <w:spacing w:line="420" w:lineRule="exact"/>
        <w:ind w:left="696" w:hanging="696" w:hangingChars="290"/>
        <w:rPr>
          <w:rFonts w:ascii="仿宋" w:hAnsi="仿宋" w:eastAsia="仿宋" w:cs="仿宋"/>
          <w:sz w:val="24"/>
          <w:szCs w:val="24"/>
        </w:rPr>
      </w:pPr>
      <w:r>
        <w:rPr>
          <w:rFonts w:hint="eastAsia" w:ascii="仿宋" w:hAnsi="仿宋" w:eastAsia="仿宋" w:cs="仿宋"/>
          <w:sz w:val="24"/>
          <w:szCs w:val="24"/>
        </w:rPr>
        <w:t xml:space="preserve">项目名称：                                项目编号：                 </w:t>
      </w:r>
    </w:p>
    <w:tbl>
      <w:tblPr>
        <w:tblStyle w:val="29"/>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8" w:hRule="atLeast"/>
        </w:trPr>
        <w:tc>
          <w:tcPr>
            <w:tcW w:w="738"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序号</w:t>
            </w:r>
          </w:p>
        </w:tc>
        <w:tc>
          <w:tcPr>
            <w:tcW w:w="1050"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姓名</w:t>
            </w:r>
          </w:p>
        </w:tc>
        <w:tc>
          <w:tcPr>
            <w:tcW w:w="1260"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职务</w:t>
            </w:r>
          </w:p>
        </w:tc>
        <w:tc>
          <w:tcPr>
            <w:tcW w:w="5040" w:type="dxa"/>
            <w:gridSpan w:val="4"/>
            <w:noWrap/>
            <w:vAlign w:val="center"/>
          </w:tcPr>
          <w:p>
            <w:pPr>
              <w:jc w:val="center"/>
              <w:rPr>
                <w:rFonts w:ascii="仿宋" w:hAnsi="仿宋" w:eastAsia="仿宋" w:cs="仿宋"/>
                <w:b/>
                <w:sz w:val="24"/>
                <w:szCs w:val="24"/>
              </w:rPr>
            </w:pPr>
            <w:r>
              <w:rPr>
                <w:rFonts w:hint="eastAsia" w:ascii="仿宋" w:hAnsi="仿宋" w:eastAsia="仿宋" w:cs="仿宋"/>
                <w:b/>
                <w:sz w:val="24"/>
                <w:szCs w:val="24"/>
              </w:rPr>
              <w:t>执业或职业资格证明</w:t>
            </w:r>
          </w:p>
        </w:tc>
        <w:tc>
          <w:tcPr>
            <w:tcW w:w="876" w:type="dxa"/>
            <w:vMerge w:val="restart"/>
            <w:noWrap/>
            <w:vAlign w:val="center"/>
          </w:tcPr>
          <w:p>
            <w:pPr>
              <w:jc w:val="center"/>
              <w:rPr>
                <w:rFonts w:ascii="仿宋" w:hAnsi="仿宋" w:eastAsia="仿宋" w:cs="仿宋"/>
                <w:b/>
                <w:sz w:val="24"/>
                <w:szCs w:val="24"/>
              </w:rPr>
            </w:pPr>
            <w:r>
              <w:rPr>
                <w:rFonts w:hint="eastAsia" w:ascii="仿宋" w:hAnsi="仿宋" w:eastAsia="仿宋" w:cs="仿宋"/>
                <w:b/>
                <w:sz w:val="24"/>
                <w:szCs w:val="24"/>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ign w:val="center"/>
          </w:tcPr>
          <w:p>
            <w:pPr>
              <w:jc w:val="center"/>
              <w:rPr>
                <w:rFonts w:ascii="仿宋" w:hAnsi="仿宋" w:eastAsia="仿宋" w:cs="仿宋"/>
                <w:b/>
                <w:sz w:val="24"/>
                <w:szCs w:val="24"/>
              </w:rPr>
            </w:pPr>
          </w:p>
        </w:tc>
        <w:tc>
          <w:tcPr>
            <w:tcW w:w="1050" w:type="dxa"/>
            <w:vMerge w:val="continue"/>
            <w:noWrap/>
            <w:vAlign w:val="center"/>
          </w:tcPr>
          <w:p>
            <w:pPr>
              <w:jc w:val="center"/>
              <w:rPr>
                <w:rFonts w:ascii="仿宋" w:hAnsi="仿宋" w:eastAsia="仿宋" w:cs="仿宋"/>
                <w:b/>
                <w:sz w:val="24"/>
                <w:szCs w:val="24"/>
              </w:rPr>
            </w:pPr>
          </w:p>
        </w:tc>
        <w:tc>
          <w:tcPr>
            <w:tcW w:w="1260" w:type="dxa"/>
            <w:vMerge w:val="continue"/>
            <w:noWrap/>
            <w:vAlign w:val="center"/>
          </w:tcPr>
          <w:p>
            <w:pPr>
              <w:jc w:val="center"/>
              <w:rPr>
                <w:rFonts w:ascii="仿宋" w:hAnsi="仿宋" w:eastAsia="仿宋" w:cs="仿宋"/>
                <w:b/>
                <w:sz w:val="24"/>
                <w:szCs w:val="24"/>
              </w:rPr>
            </w:pPr>
          </w:p>
        </w:tc>
        <w:tc>
          <w:tcPr>
            <w:tcW w:w="1575"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证书名称</w:t>
            </w:r>
          </w:p>
        </w:tc>
        <w:tc>
          <w:tcPr>
            <w:tcW w:w="1365"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证号</w:t>
            </w:r>
          </w:p>
        </w:tc>
        <w:tc>
          <w:tcPr>
            <w:tcW w:w="105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级别</w:t>
            </w:r>
          </w:p>
        </w:tc>
        <w:tc>
          <w:tcPr>
            <w:tcW w:w="1050" w:type="dxa"/>
            <w:noWrap/>
            <w:vAlign w:val="center"/>
          </w:tcPr>
          <w:p>
            <w:pPr>
              <w:jc w:val="center"/>
              <w:rPr>
                <w:rFonts w:ascii="仿宋" w:hAnsi="仿宋" w:eastAsia="仿宋" w:cs="仿宋"/>
                <w:b/>
                <w:sz w:val="24"/>
                <w:szCs w:val="24"/>
              </w:rPr>
            </w:pPr>
            <w:r>
              <w:rPr>
                <w:rFonts w:hint="eastAsia" w:ascii="仿宋" w:hAnsi="仿宋" w:eastAsia="仿宋" w:cs="仿宋"/>
                <w:b/>
                <w:sz w:val="24"/>
                <w:szCs w:val="24"/>
              </w:rPr>
              <w:t>专业</w:t>
            </w:r>
          </w:p>
        </w:tc>
        <w:tc>
          <w:tcPr>
            <w:tcW w:w="876" w:type="dxa"/>
            <w:vMerge w:val="continue"/>
            <w:noWrap/>
            <w:vAlign w:val="center"/>
          </w:tcPr>
          <w:p>
            <w:pPr>
              <w:jc w:val="center"/>
              <w:rPr>
                <w:rFonts w:ascii="仿宋" w:hAnsi="仿宋" w:eastAsia="仿宋" w:cs="仿宋"/>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260" w:type="dxa"/>
            <w:noWrap/>
            <w:vAlign w:val="center"/>
          </w:tcPr>
          <w:p>
            <w:pPr>
              <w:jc w:val="center"/>
              <w:rPr>
                <w:rFonts w:ascii="仿宋" w:hAnsi="仿宋" w:eastAsia="仿宋" w:cs="仿宋"/>
                <w:sz w:val="24"/>
                <w:szCs w:val="24"/>
              </w:rPr>
            </w:pPr>
          </w:p>
        </w:tc>
        <w:tc>
          <w:tcPr>
            <w:tcW w:w="1575" w:type="dxa"/>
            <w:noWrap/>
            <w:vAlign w:val="center"/>
          </w:tcPr>
          <w:p>
            <w:pPr>
              <w:jc w:val="center"/>
              <w:rPr>
                <w:rFonts w:ascii="仿宋" w:hAnsi="仿宋" w:eastAsia="仿宋" w:cs="仿宋"/>
                <w:sz w:val="24"/>
                <w:szCs w:val="24"/>
              </w:rPr>
            </w:pPr>
          </w:p>
        </w:tc>
        <w:tc>
          <w:tcPr>
            <w:tcW w:w="1365" w:type="dxa"/>
            <w:noWrap/>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1050" w:type="dxa"/>
            <w:noWrap/>
            <w:vAlign w:val="center"/>
          </w:tcPr>
          <w:p>
            <w:pPr>
              <w:jc w:val="center"/>
              <w:rPr>
                <w:rFonts w:ascii="仿宋" w:hAnsi="仿宋" w:eastAsia="仿宋" w:cs="仿宋"/>
                <w:sz w:val="24"/>
                <w:szCs w:val="24"/>
              </w:rPr>
            </w:pPr>
          </w:p>
        </w:tc>
        <w:tc>
          <w:tcPr>
            <w:tcW w:w="876" w:type="dxa"/>
            <w:noWrap/>
          </w:tcPr>
          <w:p>
            <w:pPr>
              <w:jc w:val="center"/>
              <w:rPr>
                <w:rFonts w:ascii="仿宋" w:hAnsi="仿宋" w:eastAsia="仿宋" w:cs="仿宋"/>
                <w:sz w:val="24"/>
                <w:szCs w:val="24"/>
              </w:rPr>
            </w:pPr>
          </w:p>
        </w:tc>
      </w:tr>
    </w:tbl>
    <w:p>
      <w:pPr>
        <w:numPr>
          <w:ilvl w:val="0"/>
          <w:numId w:val="59"/>
        </w:numPr>
        <w:jc w:val="center"/>
        <w:rPr>
          <w:rFonts w:ascii="仿宋" w:hAnsi="仿宋" w:eastAsia="仿宋" w:cs="仿宋"/>
          <w:b/>
          <w:sz w:val="24"/>
          <w:szCs w:val="24"/>
        </w:rPr>
      </w:pPr>
      <w:r>
        <w:rPr>
          <w:rFonts w:hint="eastAsia" w:ascii="仿宋" w:hAnsi="仿宋" w:eastAsia="仿宋" w:cs="仿宋"/>
          <w:b/>
          <w:sz w:val="24"/>
          <w:szCs w:val="24"/>
        </w:rPr>
        <w:t>主要人员简历表</w:t>
      </w:r>
    </w:p>
    <w:p>
      <w:pPr>
        <w:pStyle w:val="18"/>
        <w:rPr>
          <w:rFonts w:ascii="仿宋" w:hAnsi="仿宋" w:eastAsia="仿宋" w:cs="仿宋"/>
          <w:sz w:val="24"/>
          <w:szCs w:val="24"/>
        </w:rPr>
      </w:pPr>
    </w:p>
    <w:p>
      <w:pPr>
        <w:rPr>
          <w:rFonts w:ascii="仿宋" w:hAnsi="仿宋" w:eastAsia="仿宋" w:cs="仿宋"/>
          <w:b/>
          <w:sz w:val="24"/>
          <w:szCs w:val="24"/>
        </w:rPr>
      </w:pPr>
      <w:r>
        <w:rPr>
          <w:rFonts w:hint="eastAsia" w:ascii="仿宋" w:hAnsi="仿宋" w:eastAsia="仿宋" w:cs="仿宋"/>
          <w:sz w:val="24"/>
          <w:szCs w:val="24"/>
        </w:rPr>
        <w:t>项目名称：                                项目编号：</w:t>
      </w:r>
    </w:p>
    <w:tbl>
      <w:tblPr>
        <w:tblStyle w:val="29"/>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2625" w:type="dxa"/>
            <w:gridSpan w:val="3"/>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029" w:type="dxa"/>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性别</w:t>
            </w:r>
          </w:p>
        </w:tc>
        <w:tc>
          <w:tcPr>
            <w:tcW w:w="2013" w:type="dxa"/>
            <w:gridSpan w:val="3"/>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156" w:type="dxa"/>
            <w:gridSpan w:val="2"/>
            <w:tcBorders>
              <w:top w:val="single" w:color="auto" w:sz="12"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年龄</w:t>
            </w:r>
          </w:p>
        </w:tc>
        <w:tc>
          <w:tcPr>
            <w:tcW w:w="1158" w:type="dxa"/>
            <w:tcBorders>
              <w:top w:val="single" w:color="auto" w:sz="12"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职务</w:t>
            </w:r>
          </w:p>
        </w:tc>
        <w:tc>
          <w:tcPr>
            <w:tcW w:w="2625"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029" w:type="dxa"/>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职称</w:t>
            </w:r>
          </w:p>
        </w:tc>
        <w:tc>
          <w:tcPr>
            <w:tcW w:w="2013"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156"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学历</w:t>
            </w:r>
          </w:p>
        </w:tc>
        <w:tc>
          <w:tcPr>
            <w:tcW w:w="1158" w:type="dxa"/>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634" w:type="dxa"/>
            <w:gridSpan w:val="4"/>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相关经验年限</w:t>
            </w:r>
          </w:p>
        </w:tc>
        <w:tc>
          <w:tcPr>
            <w:tcW w:w="1158" w:type="dxa"/>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采购人</w:t>
            </w: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6"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6" w:space="0"/>
              <w:right w:val="single" w:color="auto" w:sz="12" w:space="0"/>
            </w:tcBorders>
            <w:noWrap/>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2200"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1579" w:type="dxa"/>
            <w:gridSpan w:val="3"/>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1559" w:type="dxa"/>
            <w:gridSpan w:val="2"/>
            <w:tcBorders>
              <w:top w:val="single" w:color="auto" w:sz="6" w:space="0"/>
              <w:left w:val="single" w:color="auto" w:sz="6" w:space="0"/>
              <w:bottom w:val="single" w:color="auto" w:sz="12" w:space="0"/>
              <w:right w:val="single" w:color="auto" w:sz="6" w:space="0"/>
            </w:tcBorders>
            <w:noWrap/>
            <w:vAlign w:val="center"/>
          </w:tcPr>
          <w:p>
            <w:pPr>
              <w:jc w:val="center"/>
              <w:rPr>
                <w:rFonts w:ascii="仿宋" w:hAnsi="仿宋" w:eastAsia="仿宋" w:cs="仿宋"/>
                <w:sz w:val="24"/>
                <w:szCs w:val="24"/>
              </w:rPr>
            </w:pPr>
          </w:p>
        </w:tc>
        <w:tc>
          <w:tcPr>
            <w:tcW w:w="2218" w:type="dxa"/>
            <w:gridSpan w:val="2"/>
            <w:tcBorders>
              <w:top w:val="single" w:color="auto" w:sz="6" w:space="0"/>
              <w:left w:val="single" w:color="auto" w:sz="6" w:space="0"/>
              <w:bottom w:val="single" w:color="auto" w:sz="12" w:space="0"/>
              <w:right w:val="single" w:color="auto" w:sz="12" w:space="0"/>
            </w:tcBorders>
            <w:noWrap/>
            <w:vAlign w:val="center"/>
          </w:tcPr>
          <w:p>
            <w:pPr>
              <w:jc w:val="center"/>
              <w:rPr>
                <w:rFonts w:ascii="仿宋" w:hAnsi="仿宋" w:eastAsia="仿宋" w:cs="仿宋"/>
                <w:sz w:val="24"/>
                <w:szCs w:val="24"/>
              </w:rPr>
            </w:pPr>
          </w:p>
        </w:tc>
      </w:tr>
    </w:tbl>
    <w:p>
      <w:pPr>
        <w:pStyle w:val="70"/>
        <w:spacing w:line="420" w:lineRule="exact"/>
        <w:ind w:left="696" w:hanging="696" w:hangingChars="290"/>
        <w:rPr>
          <w:rFonts w:ascii="仿宋" w:hAnsi="仿宋" w:eastAsia="仿宋" w:cs="仿宋"/>
          <w:sz w:val="24"/>
          <w:szCs w:val="24"/>
        </w:rPr>
      </w:pPr>
    </w:p>
    <w:p>
      <w:pPr>
        <w:pStyle w:val="2"/>
        <w:overflowPunct w:val="0"/>
        <w:spacing w:line="520" w:lineRule="atLeast"/>
        <w:rPr>
          <w:rFonts w:ascii="仿宋" w:hAnsi="仿宋" w:eastAsia="仿宋" w:cs="仿宋"/>
          <w:b/>
          <w:sz w:val="24"/>
        </w:rPr>
      </w:pPr>
      <w:r>
        <w:rPr>
          <w:rFonts w:hint="eastAsia" w:ascii="仿宋" w:hAnsi="仿宋" w:eastAsia="仿宋" w:cs="仿宋"/>
          <w:b/>
          <w:sz w:val="24"/>
        </w:rPr>
        <w:t xml:space="preserve">我方承诺上述材料真实有效且具备履行合同所必需的专业技术能力。 </w:t>
      </w:r>
    </w:p>
    <w:p>
      <w:pPr>
        <w:pStyle w:val="2"/>
        <w:spacing w:after="0" w:line="360" w:lineRule="auto"/>
        <w:rPr>
          <w:rFonts w:ascii="仿宋" w:hAnsi="仿宋" w:eastAsia="仿宋" w:cs="仿宋"/>
          <w:sz w:val="24"/>
        </w:rPr>
      </w:pPr>
    </w:p>
    <w:p>
      <w:pPr>
        <w:pStyle w:val="2"/>
        <w:spacing w:after="0" w:line="360" w:lineRule="auto"/>
        <w:rPr>
          <w:rFonts w:ascii="仿宋" w:hAnsi="仿宋" w:eastAsia="仿宋" w:cs="仿宋"/>
          <w:sz w:val="24"/>
        </w:rPr>
      </w:pPr>
      <w:r>
        <w:rPr>
          <w:rFonts w:hint="eastAsia" w:ascii="仿宋" w:hAnsi="仿宋" w:eastAsia="仿宋" w:cs="仿宋"/>
          <w:sz w:val="24"/>
        </w:rPr>
        <w:t>投标人名称（加盖公章）：</w:t>
      </w:r>
    </w:p>
    <w:p>
      <w:pPr>
        <w:pStyle w:val="2"/>
        <w:spacing w:after="0" w:line="360" w:lineRule="auto"/>
        <w:rPr>
          <w:rFonts w:ascii="仿宋" w:hAnsi="仿宋" w:eastAsia="仿宋" w:cs="仿宋"/>
          <w:sz w:val="24"/>
        </w:rPr>
      </w:pPr>
      <w:r>
        <w:rPr>
          <w:rFonts w:hint="eastAsia" w:ascii="仿宋" w:hAnsi="仿宋" w:eastAsia="仿宋" w:cs="仿宋"/>
          <w:sz w:val="24"/>
        </w:rPr>
        <w:t>投标人法定代表人或受委托人（签名或盖私章）：</w:t>
      </w:r>
    </w:p>
    <w:p>
      <w:pPr>
        <w:spacing w:line="480" w:lineRule="auto"/>
        <w:rPr>
          <w:rFonts w:ascii="仿宋" w:hAnsi="仿宋" w:eastAsia="仿宋" w:cs="仿宋"/>
          <w:b/>
          <w:sz w:val="24"/>
          <w:szCs w:val="24"/>
        </w:rPr>
      </w:pPr>
      <w:r>
        <w:rPr>
          <w:rFonts w:hint="eastAsia" w:ascii="仿宋" w:hAnsi="仿宋" w:eastAsia="仿宋" w:cs="仿宋"/>
          <w:sz w:val="24"/>
          <w:szCs w:val="24"/>
        </w:rPr>
        <w:t>日       期：</w:t>
      </w:r>
    </w:p>
    <w:p>
      <w:pPr>
        <w:pStyle w:val="4"/>
        <w:jc w:val="center"/>
        <w:rPr>
          <w:rStyle w:val="64"/>
          <w:rFonts w:ascii="仿宋" w:hAnsi="仿宋" w:eastAsia="仿宋" w:cs="仿宋"/>
          <w:b/>
          <w:bCs w:val="0"/>
          <w:sz w:val="24"/>
          <w:szCs w:val="24"/>
        </w:rPr>
      </w:pPr>
      <w:bookmarkStart w:id="532" w:name="_Toc28527"/>
      <w:r>
        <w:rPr>
          <w:rStyle w:val="64"/>
          <w:rFonts w:hint="eastAsia" w:ascii="仿宋" w:hAnsi="仿宋" w:eastAsia="仿宋" w:cs="仿宋"/>
          <w:b/>
          <w:bCs w:val="0"/>
          <w:sz w:val="24"/>
          <w:szCs w:val="24"/>
        </w:rPr>
        <w:t>13、投标人认为需要提供的其他材料说明</w:t>
      </w:r>
      <w:bookmarkEnd w:id="532"/>
    </w:p>
    <w:p>
      <w:pPr>
        <w:pStyle w:val="18"/>
        <w:rPr>
          <w:rFonts w:ascii="仿宋" w:hAnsi="仿宋" w:eastAsia="仿宋" w:cs="仿宋"/>
          <w:sz w:val="24"/>
          <w:szCs w:val="24"/>
        </w:rPr>
      </w:pPr>
      <w:r>
        <w:rPr>
          <w:rFonts w:hint="eastAsia" w:ascii="仿宋" w:hAnsi="仿宋" w:eastAsia="仿宋" w:cs="仿宋"/>
          <w:sz w:val="24"/>
          <w:szCs w:val="24"/>
        </w:rPr>
        <w:br w:type="page"/>
      </w:r>
    </w:p>
    <w:p>
      <w:pPr>
        <w:jc w:val="center"/>
        <w:rPr>
          <w:rFonts w:ascii="仿宋" w:hAnsi="仿宋" w:eastAsia="仿宋" w:cs="仿宋"/>
          <w:b/>
          <w:sz w:val="24"/>
          <w:szCs w:val="24"/>
        </w:rPr>
      </w:pPr>
      <w:r>
        <w:rPr>
          <w:rFonts w:hint="eastAsia" w:ascii="仿宋" w:hAnsi="仿宋" w:eastAsia="仿宋" w:cs="仿宋"/>
          <w:b/>
          <w:sz w:val="24"/>
          <w:szCs w:val="24"/>
        </w:rPr>
        <w:t xml:space="preserve">附件1、在经营活动中没有重大违法记录的书面声明 </w:t>
      </w:r>
    </w:p>
    <w:p>
      <w:pPr>
        <w:pStyle w:val="70"/>
        <w:spacing w:line="360" w:lineRule="atLeast"/>
        <w:ind w:firstLine="494"/>
        <w:rPr>
          <w:rFonts w:ascii="仿宋" w:hAnsi="仿宋" w:eastAsia="仿宋" w:cs="仿宋"/>
          <w:sz w:val="24"/>
          <w:szCs w:val="24"/>
        </w:rPr>
      </w:pPr>
    </w:p>
    <w:p>
      <w:pPr>
        <w:spacing w:line="480" w:lineRule="auto"/>
        <w:rPr>
          <w:rFonts w:ascii="仿宋" w:hAnsi="仿宋" w:eastAsia="仿宋" w:cs="仿宋"/>
          <w:b/>
          <w:sz w:val="24"/>
          <w:szCs w:val="24"/>
        </w:rPr>
      </w:pPr>
      <w:r>
        <w:rPr>
          <w:rFonts w:hint="eastAsia" w:ascii="仿宋" w:hAnsi="仿宋" w:eastAsia="仿宋" w:cs="仿宋"/>
          <w:b/>
          <w:sz w:val="24"/>
          <w:szCs w:val="24"/>
        </w:rPr>
        <w:t>新疆金磐工程管理咨询有限公司:</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我方参加项目（标项编号：　      　　　）的政府采购活动，并声明：</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我方参加本采购项目政府采购前3年内在经营活动中没有因违法经营受到刑事处罚或者责令停产停业、吊销许可证或者执照、较大数额罚款等行政处罚。</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pStyle w:val="70"/>
        <w:spacing w:line="480" w:lineRule="auto"/>
        <w:ind w:firstLine="494"/>
        <w:rPr>
          <w:rFonts w:ascii="仿宋" w:hAnsi="仿宋" w:eastAsia="仿宋" w:cs="仿宋"/>
          <w:sz w:val="24"/>
          <w:szCs w:val="24"/>
        </w:rPr>
      </w:pPr>
    </w:p>
    <w:p>
      <w:pPr>
        <w:pStyle w:val="70"/>
        <w:spacing w:line="480" w:lineRule="auto"/>
        <w:ind w:firstLine="494"/>
        <w:rPr>
          <w:rFonts w:ascii="仿宋" w:hAnsi="仿宋" w:eastAsia="仿宋" w:cs="仿宋"/>
          <w:sz w:val="24"/>
          <w:szCs w:val="24"/>
        </w:rPr>
      </w:pPr>
    </w:p>
    <w:p>
      <w:pPr>
        <w:pStyle w:val="70"/>
        <w:spacing w:line="480" w:lineRule="auto"/>
        <w:ind w:firstLine="494"/>
        <w:rPr>
          <w:rFonts w:ascii="仿宋" w:hAnsi="仿宋" w:eastAsia="仿宋" w:cs="仿宋"/>
          <w:sz w:val="24"/>
          <w:szCs w:val="24"/>
        </w:rPr>
      </w:pPr>
    </w:p>
    <w:p>
      <w:pPr>
        <w:pStyle w:val="70"/>
        <w:spacing w:line="480" w:lineRule="auto"/>
        <w:ind w:firstLine="0" w:firstLineChars="0"/>
        <w:rPr>
          <w:rFonts w:ascii="仿宋" w:hAnsi="仿宋" w:eastAsia="仿宋" w:cs="仿宋"/>
          <w:sz w:val="24"/>
          <w:szCs w:val="24"/>
        </w:rPr>
      </w:pPr>
      <w:r>
        <w:rPr>
          <w:rFonts w:hint="eastAsia" w:ascii="仿宋" w:hAnsi="仿宋" w:eastAsia="仿宋" w:cs="仿宋"/>
          <w:sz w:val="24"/>
          <w:szCs w:val="24"/>
        </w:rPr>
        <w:t>投标人名称（加盖公章）：</w:t>
      </w:r>
    </w:p>
    <w:p>
      <w:pPr>
        <w:pStyle w:val="70"/>
        <w:spacing w:line="480" w:lineRule="auto"/>
        <w:ind w:firstLine="0" w:firstLineChars="0"/>
        <w:rPr>
          <w:rFonts w:ascii="仿宋" w:hAnsi="仿宋" w:eastAsia="仿宋" w:cs="仿宋"/>
          <w:sz w:val="24"/>
          <w:szCs w:val="24"/>
        </w:rPr>
      </w:pPr>
      <w:r>
        <w:rPr>
          <w:rFonts w:hint="eastAsia" w:ascii="仿宋" w:hAnsi="仿宋" w:eastAsia="仿宋" w:cs="仿宋"/>
          <w:sz w:val="24"/>
          <w:szCs w:val="24"/>
        </w:rPr>
        <w:t>投标人法定代表人或受委托人（签名或盖私章）：</w:t>
      </w:r>
    </w:p>
    <w:p>
      <w:pPr>
        <w:pStyle w:val="70"/>
        <w:ind w:firstLine="0" w:firstLineChars="0"/>
        <w:rPr>
          <w:rFonts w:ascii="仿宋" w:hAnsi="仿宋" w:eastAsia="仿宋" w:cs="仿宋"/>
          <w:sz w:val="24"/>
          <w:szCs w:val="24"/>
        </w:rPr>
      </w:pPr>
      <w:r>
        <w:rPr>
          <w:rFonts w:hint="eastAsia" w:ascii="仿宋" w:hAnsi="仿宋" w:eastAsia="仿宋" w:cs="仿宋"/>
          <w:sz w:val="24"/>
          <w:szCs w:val="24"/>
        </w:rPr>
        <w:t>日      期：</w:t>
      </w:r>
    </w:p>
    <w:p>
      <w:pPr>
        <w:pStyle w:val="18"/>
        <w:rPr>
          <w:rFonts w:ascii="仿宋" w:hAnsi="仿宋" w:eastAsia="仿宋" w:cs="仿宋"/>
          <w:sz w:val="24"/>
          <w:szCs w:val="24"/>
        </w:rPr>
      </w:pPr>
      <w:r>
        <w:rPr>
          <w:rFonts w:hint="eastAsia" w:ascii="仿宋" w:hAnsi="仿宋" w:eastAsia="仿宋" w:cs="仿宋"/>
          <w:sz w:val="24"/>
          <w:szCs w:val="24"/>
        </w:rPr>
        <w:br w:type="page"/>
      </w:r>
    </w:p>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附件2、中小企业声明函（工程、服务）（如有）</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本公司（联合体）郑重声明，根据《政府采购促进中小企业发展管理办法》(财库[2020]46号)的规定，本公司参加</w:t>
      </w:r>
      <w:r>
        <w:rPr>
          <w:rFonts w:hint="eastAsia" w:ascii="仿宋" w:hAnsi="仿宋" w:eastAsia="仿宋" w:cs="仿宋"/>
          <w:sz w:val="24"/>
          <w:szCs w:val="24"/>
          <w:u w:val="single"/>
        </w:rPr>
        <w:t>（单位名称）</w:t>
      </w:r>
      <w:r>
        <w:rPr>
          <w:rFonts w:hint="eastAsia" w:ascii="仿宋" w:hAnsi="仿宋" w:eastAsia="仿宋" w:cs="仿宋"/>
          <w:sz w:val="24"/>
          <w:szCs w:val="24"/>
        </w:rPr>
        <w:t xml:space="preserve"> 的</w:t>
      </w:r>
      <w:r>
        <w:rPr>
          <w:rFonts w:hint="eastAsia" w:ascii="仿宋" w:hAnsi="仿宋" w:eastAsia="仿宋" w:cs="仿宋"/>
          <w:sz w:val="24"/>
          <w:szCs w:val="24"/>
          <w:u w:val="single"/>
        </w:rPr>
        <w:t xml:space="preserve"> （项目名称）</w:t>
      </w:r>
      <w:r>
        <w:rPr>
          <w:rFonts w:hint="eastAsia" w:ascii="仿宋" w:hAnsi="仿宋" w:eastAsia="仿宋" w:cs="仿宋"/>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行业 ；承建（承接）企业为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，从业人员人，营业收入为万元，资产总额为 万元</w:t>
      </w:r>
      <w:r>
        <w:rPr>
          <w:rFonts w:hint="eastAsia" w:ascii="仿宋" w:hAnsi="仿宋" w:eastAsia="仿宋" w:cs="仿宋"/>
          <w:sz w:val="24"/>
          <w:szCs w:val="24"/>
          <w:vertAlign w:val="superscript"/>
        </w:rPr>
        <w:t>1</w:t>
      </w:r>
      <w:r>
        <w:rPr>
          <w:rFonts w:hint="eastAsia" w:ascii="仿宋" w:hAnsi="仿宋" w:eastAsia="仿宋" w:cs="仿宋"/>
          <w:sz w:val="24"/>
          <w:szCs w:val="24"/>
        </w:rPr>
        <w:t>，属于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行业 ；承建（承接）企业为为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，从业人员人，营业收入为万元，资产总额为 万元 ，属于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以上企业，不属于大企业的分支机构，不存在控股股东为大企业的情况，也不存在与大企业的负责人为同一人的情况。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360" w:lineRule="auto"/>
        <w:ind w:firstLine="3523" w:firstLineChars="1468"/>
        <w:rPr>
          <w:rFonts w:ascii="仿宋" w:hAnsi="仿宋" w:eastAsia="仿宋" w:cs="仿宋"/>
          <w:sz w:val="24"/>
          <w:szCs w:val="24"/>
        </w:rPr>
      </w:pPr>
    </w:p>
    <w:p>
      <w:pPr>
        <w:spacing w:line="360" w:lineRule="auto"/>
        <w:ind w:firstLine="3523" w:firstLineChars="1468"/>
        <w:rPr>
          <w:rFonts w:ascii="仿宋" w:hAnsi="仿宋" w:eastAsia="仿宋" w:cs="仿宋"/>
          <w:sz w:val="24"/>
          <w:szCs w:val="24"/>
        </w:rPr>
      </w:pPr>
      <w:r>
        <w:rPr>
          <w:rFonts w:hint="eastAsia" w:ascii="仿宋" w:hAnsi="仿宋" w:eastAsia="仿宋" w:cs="仿宋"/>
          <w:sz w:val="24"/>
          <w:szCs w:val="24"/>
        </w:rPr>
        <w:t>投标单位名称（盖章）：</w:t>
      </w:r>
    </w:p>
    <w:p>
      <w:pPr>
        <w:spacing w:line="360" w:lineRule="auto"/>
        <w:ind w:firstLine="3523" w:firstLineChars="1468"/>
        <w:rPr>
          <w:rFonts w:ascii="仿宋" w:hAnsi="仿宋" w:eastAsia="仿宋" w:cs="仿宋"/>
          <w:sz w:val="24"/>
          <w:szCs w:val="24"/>
        </w:rPr>
      </w:pPr>
      <w:r>
        <w:rPr>
          <w:rFonts w:hint="eastAsia" w:ascii="仿宋" w:hAnsi="仿宋" w:eastAsia="仿宋" w:cs="仿宋"/>
          <w:sz w:val="24"/>
          <w:szCs w:val="24"/>
        </w:rPr>
        <w:t>日期：</w:t>
      </w:r>
    </w:p>
    <w:p>
      <w:pPr>
        <w:spacing w:line="360" w:lineRule="auto"/>
        <w:ind w:firstLine="480" w:firstLineChars="200"/>
        <w:rPr>
          <w:rFonts w:ascii="仿宋" w:hAnsi="仿宋" w:eastAsia="仿宋" w:cs="仿宋"/>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p>
      <w:pPr>
        <w:pStyle w:val="63"/>
        <w:spacing w:line="360" w:lineRule="auto"/>
        <w:ind w:firstLine="0" w:firstLineChars="0"/>
        <w:rPr>
          <w:rFonts w:ascii="仿宋" w:hAnsi="仿宋" w:eastAsia="仿宋" w:cs="仿宋"/>
          <w:b/>
          <w:sz w:val="24"/>
          <w:szCs w:val="24"/>
        </w:rPr>
      </w:pPr>
    </w:p>
    <w:bookmarkEnd w:id="530"/>
    <w:p>
      <w:pPr>
        <w:pStyle w:val="22"/>
        <w:spacing w:line="360" w:lineRule="auto"/>
        <w:rPr>
          <w:rFonts w:ascii="仿宋" w:hAnsi="仿宋" w:eastAsia="仿宋" w:cs="仿宋"/>
          <w:b/>
          <w:sz w:val="24"/>
          <w:szCs w:val="24"/>
        </w:rPr>
      </w:pPr>
    </w:p>
    <w:sectPr>
      <w:headerReference r:id="rId5"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pPr>
                          <w:r>
                            <w:fldChar w:fldCharType="begin"/>
                          </w:r>
                          <w:r>
                            <w:instrText xml:space="preserve">PAGE   \* MERGEFORMAT</w:instrText>
                          </w:r>
                          <w:r>
                            <w:fldChar w:fldCharType="separate"/>
                          </w:r>
                          <w:r>
                            <w:rPr>
                              <w:lang w:val="zh-CN"/>
                            </w:rPr>
                            <w:t>122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122</w:t>
                    </w:r>
                    <w:r>
                      <w:rPr>
                        <w:lang w:val="zh-CN"/>
                      </w:rPr>
                      <w:fldChar w:fldCharType="end"/>
                    </w:r>
                  </w:p>
                </w:txbxContent>
              </v:textbox>
            </v:shape>
          </w:pict>
        </mc:Fallback>
      </mc:AlternateContent>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420" w:hanging="420" w:hangingChars="200"/>
      <w:rPr>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1CB1BA8"/>
    <w:multiLevelType w:val="singleLevel"/>
    <w:tmpl w:val="A1CB1BA8"/>
    <w:lvl w:ilvl="0" w:tentative="0">
      <w:start w:val="1"/>
      <w:numFmt w:val="chineseCounting"/>
      <w:suff w:val="nothing"/>
      <w:lvlText w:val="%1、"/>
      <w:lvlJc w:val="left"/>
      <w:rPr>
        <w:rFonts w:hint="eastAsia"/>
      </w:rPr>
    </w:lvl>
  </w:abstractNum>
  <w:abstractNum w:abstractNumId="5">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BF917F50"/>
    <w:multiLevelType w:val="singleLevel"/>
    <w:tmpl w:val="BF917F50"/>
    <w:lvl w:ilvl="0" w:tentative="0">
      <w:start w:val="1"/>
      <w:numFmt w:val="decimal"/>
      <w:suff w:val="space"/>
      <w:lvlText w:val="%1."/>
      <w:lvlJc w:val="left"/>
    </w:lvl>
  </w:abstractNum>
  <w:abstractNum w:abstractNumId="15">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color w:val="auto"/>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0">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4944B75"/>
    <w:multiLevelType w:val="multilevel"/>
    <w:tmpl w:val="04944B75"/>
    <w:lvl w:ilvl="0" w:tentative="0">
      <w:start w:val="1"/>
      <w:numFmt w:val="decimal"/>
      <w:lvlText w:val="%1."/>
      <w:lvlJc w:val="left"/>
      <w:pPr>
        <w:tabs>
          <w:tab w:val="left" w:pos="907"/>
        </w:tabs>
        <w:ind w:left="907" w:hanging="907"/>
      </w:pPr>
      <w:rPr>
        <w:rFonts w:hint="eastAsia"/>
        <w:b/>
      </w:rPr>
    </w:lvl>
    <w:lvl w:ilvl="1" w:tentative="0">
      <w:start w:val="1"/>
      <w:numFmt w:val="decimal"/>
      <w:isLgl/>
      <w:lvlText w:val="11.%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609AC39"/>
    <w:multiLevelType w:val="singleLevel"/>
    <w:tmpl w:val="0609AC39"/>
    <w:lvl w:ilvl="0" w:tentative="0">
      <w:start w:val="2"/>
      <w:numFmt w:val="chineseCounting"/>
      <w:suff w:val="nothing"/>
      <w:lvlText w:val="（%1）"/>
      <w:lvlJc w:val="left"/>
      <w:rPr>
        <w:rFonts w:hint="eastAsia"/>
      </w:rPr>
    </w:lvl>
  </w:abstractNum>
  <w:abstractNum w:abstractNumId="34">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39">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8">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0">
    <w:nsid w:val="5F8F954A"/>
    <w:multiLevelType w:val="multilevel"/>
    <w:tmpl w:val="5F8F954A"/>
    <w:lvl w:ilvl="0" w:tentative="0">
      <w:start w:val="1"/>
      <w:numFmt w:val="decimal"/>
      <w:lvlText w:val="%1."/>
      <w:lvlJc w:val="left"/>
      <w:pPr>
        <w:tabs>
          <w:tab w:val="left" w:pos="907"/>
        </w:tabs>
        <w:ind w:left="907" w:hanging="907"/>
      </w:pPr>
      <w:rPr>
        <w:rFonts w:hint="eastAsia"/>
        <w:b/>
      </w:rPr>
    </w:lvl>
    <w:lvl w:ilvl="1" w:tentative="0">
      <w:start w:val="1"/>
      <w:numFmt w:val="decimal"/>
      <w:isLgl/>
      <w:lvlText w:val="41.%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1">
    <w:nsid w:val="5FADE20A"/>
    <w:multiLevelType w:val="singleLevel"/>
    <w:tmpl w:val="5FADE20A"/>
    <w:lvl w:ilvl="0" w:tentative="0">
      <w:start w:val="5"/>
      <w:numFmt w:val="chineseCounting"/>
      <w:suff w:val="space"/>
      <w:lvlText w:val="第%1章"/>
      <w:lvlJc w:val="left"/>
    </w:lvl>
  </w:abstractNum>
  <w:abstractNum w:abstractNumId="52">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6CE7ABAE"/>
    <w:multiLevelType w:val="singleLevel"/>
    <w:tmpl w:val="6CE7ABAE"/>
    <w:lvl w:ilvl="0" w:tentative="0">
      <w:start w:val="2"/>
      <w:numFmt w:val="decimal"/>
      <w:suff w:val="nothing"/>
      <w:lvlText w:val="%1、"/>
      <w:lvlJc w:val="left"/>
    </w:lvl>
  </w:abstractNum>
  <w:abstractNum w:abstractNumId="56">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1"/>
  </w:num>
  <w:num w:numId="2">
    <w:abstractNumId w:val="4"/>
  </w:num>
  <w:num w:numId="3">
    <w:abstractNumId w:val="55"/>
  </w:num>
  <w:num w:numId="4">
    <w:abstractNumId w:val="29"/>
  </w:num>
  <w:num w:numId="5">
    <w:abstractNumId w:val="38"/>
  </w:num>
  <w:num w:numId="6">
    <w:abstractNumId w:val="31"/>
  </w:num>
  <w:num w:numId="7">
    <w:abstractNumId w:val="36"/>
  </w:num>
  <w:num w:numId="8">
    <w:abstractNumId w:val="30"/>
  </w:num>
  <w:num w:numId="9">
    <w:abstractNumId w:val="39"/>
  </w:num>
  <w:num w:numId="10">
    <w:abstractNumId w:val="11"/>
  </w:num>
  <w:num w:numId="11">
    <w:abstractNumId w:val="45"/>
  </w:num>
  <w:num w:numId="12">
    <w:abstractNumId w:val="0"/>
  </w:num>
  <w:num w:numId="13">
    <w:abstractNumId w:val="32"/>
  </w:num>
  <w:num w:numId="14">
    <w:abstractNumId w:val="8"/>
  </w:num>
  <w:num w:numId="15">
    <w:abstractNumId w:val="15"/>
  </w:num>
  <w:num w:numId="16">
    <w:abstractNumId w:val="37"/>
  </w:num>
  <w:num w:numId="17">
    <w:abstractNumId w:val="57"/>
  </w:num>
  <w:num w:numId="18">
    <w:abstractNumId w:val="48"/>
  </w:num>
  <w:num w:numId="19">
    <w:abstractNumId w:val="22"/>
  </w:num>
  <w:num w:numId="20">
    <w:abstractNumId w:val="1"/>
  </w:num>
  <w:num w:numId="21">
    <w:abstractNumId w:val="47"/>
  </w:num>
  <w:num w:numId="22">
    <w:abstractNumId w:val="9"/>
  </w:num>
  <w:num w:numId="23">
    <w:abstractNumId w:val="10"/>
  </w:num>
  <w:num w:numId="24">
    <w:abstractNumId w:val="12"/>
  </w:num>
  <w:num w:numId="25">
    <w:abstractNumId w:val="56"/>
  </w:num>
  <w:num w:numId="26">
    <w:abstractNumId w:val="54"/>
  </w:num>
  <w:num w:numId="27">
    <w:abstractNumId w:val="52"/>
  </w:num>
  <w:num w:numId="28">
    <w:abstractNumId w:val="49"/>
  </w:num>
  <w:num w:numId="29">
    <w:abstractNumId w:val="42"/>
  </w:num>
  <w:num w:numId="30">
    <w:abstractNumId w:val="40"/>
  </w:num>
  <w:num w:numId="31">
    <w:abstractNumId w:val="28"/>
  </w:num>
  <w:num w:numId="32">
    <w:abstractNumId w:val="6"/>
  </w:num>
  <w:num w:numId="33">
    <w:abstractNumId w:val="34"/>
  </w:num>
  <w:num w:numId="34">
    <w:abstractNumId w:val="25"/>
  </w:num>
  <w:num w:numId="35">
    <w:abstractNumId w:val="35"/>
  </w:num>
  <w:num w:numId="36">
    <w:abstractNumId w:val="24"/>
  </w:num>
  <w:num w:numId="37">
    <w:abstractNumId w:val="21"/>
  </w:num>
  <w:num w:numId="38">
    <w:abstractNumId w:val="43"/>
  </w:num>
  <w:num w:numId="39">
    <w:abstractNumId w:val="19"/>
  </w:num>
  <w:num w:numId="40">
    <w:abstractNumId w:val="53"/>
  </w:num>
  <w:num w:numId="41">
    <w:abstractNumId w:val="13"/>
  </w:num>
  <w:num w:numId="42">
    <w:abstractNumId w:val="7"/>
  </w:num>
  <w:num w:numId="43">
    <w:abstractNumId w:val="5"/>
  </w:num>
  <w:num w:numId="44">
    <w:abstractNumId w:val="16"/>
  </w:num>
  <w:num w:numId="45">
    <w:abstractNumId w:val="27"/>
  </w:num>
  <w:num w:numId="46">
    <w:abstractNumId w:val="46"/>
  </w:num>
  <w:num w:numId="47">
    <w:abstractNumId w:val="58"/>
  </w:num>
  <w:num w:numId="48">
    <w:abstractNumId w:val="2"/>
  </w:num>
  <w:num w:numId="49">
    <w:abstractNumId w:val="20"/>
  </w:num>
  <w:num w:numId="50">
    <w:abstractNumId w:val="18"/>
  </w:num>
  <w:num w:numId="51">
    <w:abstractNumId w:val="23"/>
  </w:num>
  <w:num w:numId="52">
    <w:abstractNumId w:val="44"/>
  </w:num>
  <w:num w:numId="53">
    <w:abstractNumId w:val="50"/>
  </w:num>
  <w:num w:numId="54">
    <w:abstractNumId w:val="26"/>
  </w:num>
  <w:num w:numId="55">
    <w:abstractNumId w:val="17"/>
  </w:num>
  <w:num w:numId="56">
    <w:abstractNumId w:val="3"/>
  </w:num>
  <w:num w:numId="57">
    <w:abstractNumId w:val="51"/>
  </w:num>
  <w:num w:numId="58">
    <w:abstractNumId w:val="14"/>
  </w:num>
  <w:num w:numId="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ZDFkNGI0YjkwNzllZTgyZTA0NzE0OWQ3YjgxZWYifQ=="/>
    <w:docVar w:name="KSO_WPS_MARK_KEY" w:val="d5523776-c68f-4319-8b5a-3238f7280179"/>
  </w:docVars>
  <w:rsids>
    <w:rsidRoot w:val="004D745D"/>
    <w:rsid w:val="0002561E"/>
    <w:rsid w:val="000268AB"/>
    <w:rsid w:val="00032669"/>
    <w:rsid w:val="00040642"/>
    <w:rsid w:val="00062C58"/>
    <w:rsid w:val="000630E8"/>
    <w:rsid w:val="000755AA"/>
    <w:rsid w:val="00094D81"/>
    <w:rsid w:val="000A1C5F"/>
    <w:rsid w:val="000B49D9"/>
    <w:rsid w:val="000B5709"/>
    <w:rsid w:val="000C5B79"/>
    <w:rsid w:val="000D1780"/>
    <w:rsid w:val="000E5316"/>
    <w:rsid w:val="000F7605"/>
    <w:rsid w:val="00106543"/>
    <w:rsid w:val="00124A8F"/>
    <w:rsid w:val="00131EFB"/>
    <w:rsid w:val="001445B4"/>
    <w:rsid w:val="00155EEC"/>
    <w:rsid w:val="00195545"/>
    <w:rsid w:val="001B26AA"/>
    <w:rsid w:val="002039FE"/>
    <w:rsid w:val="002232B4"/>
    <w:rsid w:val="002331D1"/>
    <w:rsid w:val="00242F89"/>
    <w:rsid w:val="002520CC"/>
    <w:rsid w:val="00255931"/>
    <w:rsid w:val="0026454E"/>
    <w:rsid w:val="00271920"/>
    <w:rsid w:val="00285085"/>
    <w:rsid w:val="00287ACC"/>
    <w:rsid w:val="002E0FFF"/>
    <w:rsid w:val="003311B7"/>
    <w:rsid w:val="003916CF"/>
    <w:rsid w:val="00395BBF"/>
    <w:rsid w:val="003C468C"/>
    <w:rsid w:val="003D7628"/>
    <w:rsid w:val="003F6C93"/>
    <w:rsid w:val="00407C44"/>
    <w:rsid w:val="00422FF1"/>
    <w:rsid w:val="004243B5"/>
    <w:rsid w:val="004433C7"/>
    <w:rsid w:val="004B7BE0"/>
    <w:rsid w:val="004C3A76"/>
    <w:rsid w:val="004D4324"/>
    <w:rsid w:val="004D745D"/>
    <w:rsid w:val="005140A0"/>
    <w:rsid w:val="005235BD"/>
    <w:rsid w:val="005257C6"/>
    <w:rsid w:val="00536F1D"/>
    <w:rsid w:val="0055182C"/>
    <w:rsid w:val="00557E97"/>
    <w:rsid w:val="005A18F3"/>
    <w:rsid w:val="005D7312"/>
    <w:rsid w:val="00614509"/>
    <w:rsid w:val="00620A7B"/>
    <w:rsid w:val="00625004"/>
    <w:rsid w:val="00634FFB"/>
    <w:rsid w:val="006360DF"/>
    <w:rsid w:val="00636825"/>
    <w:rsid w:val="00672F0A"/>
    <w:rsid w:val="00690563"/>
    <w:rsid w:val="00693467"/>
    <w:rsid w:val="006A122F"/>
    <w:rsid w:val="006A1773"/>
    <w:rsid w:val="006C5C9E"/>
    <w:rsid w:val="006E4A62"/>
    <w:rsid w:val="0075366B"/>
    <w:rsid w:val="007538CE"/>
    <w:rsid w:val="007C1288"/>
    <w:rsid w:val="007C3986"/>
    <w:rsid w:val="007D3CDC"/>
    <w:rsid w:val="00831EB2"/>
    <w:rsid w:val="00851B11"/>
    <w:rsid w:val="0086078F"/>
    <w:rsid w:val="008659D7"/>
    <w:rsid w:val="00871F22"/>
    <w:rsid w:val="00883C54"/>
    <w:rsid w:val="00894562"/>
    <w:rsid w:val="0089782B"/>
    <w:rsid w:val="008C240D"/>
    <w:rsid w:val="008E595B"/>
    <w:rsid w:val="008F45E0"/>
    <w:rsid w:val="0091265D"/>
    <w:rsid w:val="009161F2"/>
    <w:rsid w:val="00926A2C"/>
    <w:rsid w:val="009314B7"/>
    <w:rsid w:val="009320CD"/>
    <w:rsid w:val="00956E2E"/>
    <w:rsid w:val="00964911"/>
    <w:rsid w:val="009A078B"/>
    <w:rsid w:val="009D04C7"/>
    <w:rsid w:val="009F2A63"/>
    <w:rsid w:val="00A11027"/>
    <w:rsid w:val="00A4483F"/>
    <w:rsid w:val="00A758B8"/>
    <w:rsid w:val="00AA5E5B"/>
    <w:rsid w:val="00AC7EC5"/>
    <w:rsid w:val="00AD63BD"/>
    <w:rsid w:val="00AF7B47"/>
    <w:rsid w:val="00B006CF"/>
    <w:rsid w:val="00B11B99"/>
    <w:rsid w:val="00B16CA6"/>
    <w:rsid w:val="00B24090"/>
    <w:rsid w:val="00B2435D"/>
    <w:rsid w:val="00B4111A"/>
    <w:rsid w:val="00B454D4"/>
    <w:rsid w:val="00B45E5A"/>
    <w:rsid w:val="00B62A93"/>
    <w:rsid w:val="00B95B2D"/>
    <w:rsid w:val="00BB3C20"/>
    <w:rsid w:val="00BC3E67"/>
    <w:rsid w:val="00BF50F3"/>
    <w:rsid w:val="00BF52BD"/>
    <w:rsid w:val="00C01EBD"/>
    <w:rsid w:val="00C106BE"/>
    <w:rsid w:val="00C16B46"/>
    <w:rsid w:val="00C33D60"/>
    <w:rsid w:val="00C36EEB"/>
    <w:rsid w:val="00CA0D5E"/>
    <w:rsid w:val="00CA0F14"/>
    <w:rsid w:val="00CA2485"/>
    <w:rsid w:val="00CC41B7"/>
    <w:rsid w:val="00CD124F"/>
    <w:rsid w:val="00CF1D1F"/>
    <w:rsid w:val="00D2762D"/>
    <w:rsid w:val="00D44368"/>
    <w:rsid w:val="00D4536F"/>
    <w:rsid w:val="00D6252C"/>
    <w:rsid w:val="00D931B2"/>
    <w:rsid w:val="00DA4FC7"/>
    <w:rsid w:val="00DA7521"/>
    <w:rsid w:val="00DC5E6F"/>
    <w:rsid w:val="00DD0E0A"/>
    <w:rsid w:val="00DD1D4B"/>
    <w:rsid w:val="00DE4F8B"/>
    <w:rsid w:val="00E1798B"/>
    <w:rsid w:val="00E35776"/>
    <w:rsid w:val="00E426FC"/>
    <w:rsid w:val="00E771BD"/>
    <w:rsid w:val="00EA0245"/>
    <w:rsid w:val="00EB23BF"/>
    <w:rsid w:val="00EE1205"/>
    <w:rsid w:val="00EF38D6"/>
    <w:rsid w:val="00F21C37"/>
    <w:rsid w:val="00F4344F"/>
    <w:rsid w:val="00F50F55"/>
    <w:rsid w:val="00F77098"/>
    <w:rsid w:val="00F96F6D"/>
    <w:rsid w:val="00FC4844"/>
    <w:rsid w:val="010B22B0"/>
    <w:rsid w:val="01141165"/>
    <w:rsid w:val="011D29D3"/>
    <w:rsid w:val="01541EA9"/>
    <w:rsid w:val="01723854"/>
    <w:rsid w:val="01E21263"/>
    <w:rsid w:val="022402D8"/>
    <w:rsid w:val="022E14F7"/>
    <w:rsid w:val="039B6A7A"/>
    <w:rsid w:val="039E11BA"/>
    <w:rsid w:val="03A93F14"/>
    <w:rsid w:val="03AB4D58"/>
    <w:rsid w:val="03B44D43"/>
    <w:rsid w:val="04284DF7"/>
    <w:rsid w:val="042C2C6A"/>
    <w:rsid w:val="04351B1E"/>
    <w:rsid w:val="04934A97"/>
    <w:rsid w:val="049A4077"/>
    <w:rsid w:val="04BB67EA"/>
    <w:rsid w:val="052B7D68"/>
    <w:rsid w:val="052F2A11"/>
    <w:rsid w:val="053C7EE8"/>
    <w:rsid w:val="05DD405D"/>
    <w:rsid w:val="065A4F71"/>
    <w:rsid w:val="0680729D"/>
    <w:rsid w:val="068B1EC9"/>
    <w:rsid w:val="068D252B"/>
    <w:rsid w:val="06C764CB"/>
    <w:rsid w:val="06E96BF0"/>
    <w:rsid w:val="06F92A76"/>
    <w:rsid w:val="07550729"/>
    <w:rsid w:val="077936F3"/>
    <w:rsid w:val="07B216D8"/>
    <w:rsid w:val="07DD49A7"/>
    <w:rsid w:val="07EB6D02"/>
    <w:rsid w:val="07F817E1"/>
    <w:rsid w:val="084560A8"/>
    <w:rsid w:val="087370B9"/>
    <w:rsid w:val="08813251"/>
    <w:rsid w:val="088E5CA1"/>
    <w:rsid w:val="091B505B"/>
    <w:rsid w:val="093E76C7"/>
    <w:rsid w:val="09414AC1"/>
    <w:rsid w:val="09710ACA"/>
    <w:rsid w:val="098D186D"/>
    <w:rsid w:val="09BC676A"/>
    <w:rsid w:val="09BE4364"/>
    <w:rsid w:val="0ADD43C6"/>
    <w:rsid w:val="0B5C2B1E"/>
    <w:rsid w:val="0B6C4C4F"/>
    <w:rsid w:val="0B95187B"/>
    <w:rsid w:val="0BBA6DAD"/>
    <w:rsid w:val="0BDB7443"/>
    <w:rsid w:val="0C403403"/>
    <w:rsid w:val="0C9C64B3"/>
    <w:rsid w:val="0D103128"/>
    <w:rsid w:val="0D4234FE"/>
    <w:rsid w:val="0D676AC1"/>
    <w:rsid w:val="0D7348C3"/>
    <w:rsid w:val="0D7A3B40"/>
    <w:rsid w:val="0D807ECA"/>
    <w:rsid w:val="0DEC55AB"/>
    <w:rsid w:val="0E604004"/>
    <w:rsid w:val="0EB421D9"/>
    <w:rsid w:val="0EDB7766"/>
    <w:rsid w:val="0EF32D02"/>
    <w:rsid w:val="0F056591"/>
    <w:rsid w:val="0F1F3AF7"/>
    <w:rsid w:val="0F21471A"/>
    <w:rsid w:val="0F7B4AA5"/>
    <w:rsid w:val="0F835409"/>
    <w:rsid w:val="0FC621C4"/>
    <w:rsid w:val="0FC71A98"/>
    <w:rsid w:val="0FCD5301"/>
    <w:rsid w:val="0FE64614"/>
    <w:rsid w:val="0FE70356"/>
    <w:rsid w:val="0FEE5277"/>
    <w:rsid w:val="106A1193"/>
    <w:rsid w:val="106A6FF4"/>
    <w:rsid w:val="108005C5"/>
    <w:rsid w:val="10855BDB"/>
    <w:rsid w:val="10E35716"/>
    <w:rsid w:val="113969C6"/>
    <w:rsid w:val="116E48C1"/>
    <w:rsid w:val="116F4196"/>
    <w:rsid w:val="1186727F"/>
    <w:rsid w:val="11A62133"/>
    <w:rsid w:val="11E53D92"/>
    <w:rsid w:val="125300E4"/>
    <w:rsid w:val="125A6BF4"/>
    <w:rsid w:val="12695089"/>
    <w:rsid w:val="12737232"/>
    <w:rsid w:val="129739A4"/>
    <w:rsid w:val="12F232D0"/>
    <w:rsid w:val="13795061"/>
    <w:rsid w:val="138A175B"/>
    <w:rsid w:val="139F6FB4"/>
    <w:rsid w:val="13B77AAE"/>
    <w:rsid w:val="144A6380"/>
    <w:rsid w:val="147F2942"/>
    <w:rsid w:val="14AD3953"/>
    <w:rsid w:val="14B35AE2"/>
    <w:rsid w:val="15145780"/>
    <w:rsid w:val="151A7A0E"/>
    <w:rsid w:val="152C2AC9"/>
    <w:rsid w:val="15545B7C"/>
    <w:rsid w:val="15CF32C4"/>
    <w:rsid w:val="16021A7C"/>
    <w:rsid w:val="165A3666"/>
    <w:rsid w:val="167C182F"/>
    <w:rsid w:val="16C65BD4"/>
    <w:rsid w:val="16D50F3F"/>
    <w:rsid w:val="16DC051F"/>
    <w:rsid w:val="17147CB9"/>
    <w:rsid w:val="178F10EE"/>
    <w:rsid w:val="179359CE"/>
    <w:rsid w:val="17DB29DD"/>
    <w:rsid w:val="17F11DA8"/>
    <w:rsid w:val="17F24FE8"/>
    <w:rsid w:val="17FE78E9"/>
    <w:rsid w:val="1871436F"/>
    <w:rsid w:val="187273DD"/>
    <w:rsid w:val="18770500"/>
    <w:rsid w:val="18C9062F"/>
    <w:rsid w:val="194D300E"/>
    <w:rsid w:val="19C10BCE"/>
    <w:rsid w:val="1A036844"/>
    <w:rsid w:val="1A1A55E6"/>
    <w:rsid w:val="1A21456C"/>
    <w:rsid w:val="1A3146DE"/>
    <w:rsid w:val="1A7B46F0"/>
    <w:rsid w:val="1A845156"/>
    <w:rsid w:val="1AE6196C"/>
    <w:rsid w:val="1AF220BF"/>
    <w:rsid w:val="1AF776D6"/>
    <w:rsid w:val="1B2852C5"/>
    <w:rsid w:val="1B7E7A42"/>
    <w:rsid w:val="1BCB46BE"/>
    <w:rsid w:val="1C197B20"/>
    <w:rsid w:val="1C5F3784"/>
    <w:rsid w:val="1C790EA2"/>
    <w:rsid w:val="1CBB4733"/>
    <w:rsid w:val="1CCD3F1F"/>
    <w:rsid w:val="1CFE11EF"/>
    <w:rsid w:val="1D17405F"/>
    <w:rsid w:val="1E0B405F"/>
    <w:rsid w:val="1E135B88"/>
    <w:rsid w:val="1E560BB7"/>
    <w:rsid w:val="1E62755C"/>
    <w:rsid w:val="1EE75CB3"/>
    <w:rsid w:val="1F136AA8"/>
    <w:rsid w:val="1F6F7E60"/>
    <w:rsid w:val="1F775289"/>
    <w:rsid w:val="1F7B2C73"/>
    <w:rsid w:val="1FBE067F"/>
    <w:rsid w:val="1FC80AE0"/>
    <w:rsid w:val="1FD13B1D"/>
    <w:rsid w:val="1FD46237"/>
    <w:rsid w:val="1FD618FC"/>
    <w:rsid w:val="20012DA5"/>
    <w:rsid w:val="20341B32"/>
    <w:rsid w:val="204809D3"/>
    <w:rsid w:val="209B6D55"/>
    <w:rsid w:val="20BF6817"/>
    <w:rsid w:val="210C2083"/>
    <w:rsid w:val="21321990"/>
    <w:rsid w:val="21342863"/>
    <w:rsid w:val="21DE185B"/>
    <w:rsid w:val="21FB3F4F"/>
    <w:rsid w:val="222B5EB7"/>
    <w:rsid w:val="22360C5E"/>
    <w:rsid w:val="223C6316"/>
    <w:rsid w:val="22616361"/>
    <w:rsid w:val="2265586D"/>
    <w:rsid w:val="22771648"/>
    <w:rsid w:val="22C73E32"/>
    <w:rsid w:val="22E96105"/>
    <w:rsid w:val="22F62592"/>
    <w:rsid w:val="23AE6E53"/>
    <w:rsid w:val="243B67B0"/>
    <w:rsid w:val="243F4E31"/>
    <w:rsid w:val="24672DFE"/>
    <w:rsid w:val="247F6640"/>
    <w:rsid w:val="24970DA1"/>
    <w:rsid w:val="24FB0BDF"/>
    <w:rsid w:val="25063990"/>
    <w:rsid w:val="252B0548"/>
    <w:rsid w:val="257F6C45"/>
    <w:rsid w:val="25A20B86"/>
    <w:rsid w:val="25FC3DF2"/>
    <w:rsid w:val="26086C3B"/>
    <w:rsid w:val="262302AF"/>
    <w:rsid w:val="26263565"/>
    <w:rsid w:val="26753BA5"/>
    <w:rsid w:val="2678718B"/>
    <w:rsid w:val="269404CF"/>
    <w:rsid w:val="26CF59AB"/>
    <w:rsid w:val="26FE3B9A"/>
    <w:rsid w:val="27545EB0"/>
    <w:rsid w:val="27675BE3"/>
    <w:rsid w:val="27734FB0"/>
    <w:rsid w:val="27BA3F65"/>
    <w:rsid w:val="27C04AC9"/>
    <w:rsid w:val="27DE7F37"/>
    <w:rsid w:val="281318C7"/>
    <w:rsid w:val="28416434"/>
    <w:rsid w:val="2842528D"/>
    <w:rsid w:val="28437DE4"/>
    <w:rsid w:val="28577A06"/>
    <w:rsid w:val="287B1BD9"/>
    <w:rsid w:val="289E3886"/>
    <w:rsid w:val="28B04398"/>
    <w:rsid w:val="293B2E83"/>
    <w:rsid w:val="299E756B"/>
    <w:rsid w:val="29A92FCA"/>
    <w:rsid w:val="29C94933"/>
    <w:rsid w:val="2A517FF3"/>
    <w:rsid w:val="2A77438F"/>
    <w:rsid w:val="2A88659C"/>
    <w:rsid w:val="2AD03A9F"/>
    <w:rsid w:val="2AF3311B"/>
    <w:rsid w:val="2B231E21"/>
    <w:rsid w:val="2B5D17D7"/>
    <w:rsid w:val="2B960845"/>
    <w:rsid w:val="2BAA2542"/>
    <w:rsid w:val="2BE041B6"/>
    <w:rsid w:val="2BFD2672"/>
    <w:rsid w:val="2C0A43BD"/>
    <w:rsid w:val="2C46226B"/>
    <w:rsid w:val="2C6646BB"/>
    <w:rsid w:val="2C757690"/>
    <w:rsid w:val="2DA03BFD"/>
    <w:rsid w:val="2DC67BA9"/>
    <w:rsid w:val="2DCA2A28"/>
    <w:rsid w:val="2E4B3B69"/>
    <w:rsid w:val="2E873790"/>
    <w:rsid w:val="2E877731"/>
    <w:rsid w:val="2EA80FBB"/>
    <w:rsid w:val="2EAE2349"/>
    <w:rsid w:val="2EB01C1E"/>
    <w:rsid w:val="2ED26038"/>
    <w:rsid w:val="2EF87276"/>
    <w:rsid w:val="2F1321AD"/>
    <w:rsid w:val="2F9C03F4"/>
    <w:rsid w:val="2FA86D99"/>
    <w:rsid w:val="2FC040E2"/>
    <w:rsid w:val="2FC260AC"/>
    <w:rsid w:val="2FD55B62"/>
    <w:rsid w:val="2FF27415"/>
    <w:rsid w:val="2FF40230"/>
    <w:rsid w:val="30662EDC"/>
    <w:rsid w:val="30A25EDE"/>
    <w:rsid w:val="30A457B2"/>
    <w:rsid w:val="30C9346B"/>
    <w:rsid w:val="30F949CF"/>
    <w:rsid w:val="314E4A9B"/>
    <w:rsid w:val="315A40C3"/>
    <w:rsid w:val="318E3088"/>
    <w:rsid w:val="319E66A5"/>
    <w:rsid w:val="31AD0696"/>
    <w:rsid w:val="320E68D6"/>
    <w:rsid w:val="321E5052"/>
    <w:rsid w:val="3227669B"/>
    <w:rsid w:val="3273487A"/>
    <w:rsid w:val="32F65893"/>
    <w:rsid w:val="332B3F69"/>
    <w:rsid w:val="3341378C"/>
    <w:rsid w:val="3392111C"/>
    <w:rsid w:val="33F51DC1"/>
    <w:rsid w:val="33F7090C"/>
    <w:rsid w:val="342655A2"/>
    <w:rsid w:val="343A1627"/>
    <w:rsid w:val="349A0CEE"/>
    <w:rsid w:val="34BB18DF"/>
    <w:rsid w:val="352E5F92"/>
    <w:rsid w:val="35836DF6"/>
    <w:rsid w:val="35942299"/>
    <w:rsid w:val="35984464"/>
    <w:rsid w:val="35A16764"/>
    <w:rsid w:val="35E054DE"/>
    <w:rsid w:val="361C228F"/>
    <w:rsid w:val="361D0069"/>
    <w:rsid w:val="36392E40"/>
    <w:rsid w:val="36410489"/>
    <w:rsid w:val="367E0853"/>
    <w:rsid w:val="36973CE6"/>
    <w:rsid w:val="36A577FF"/>
    <w:rsid w:val="36AA789A"/>
    <w:rsid w:val="36BB706D"/>
    <w:rsid w:val="36CD288E"/>
    <w:rsid w:val="372F00FC"/>
    <w:rsid w:val="37411FAD"/>
    <w:rsid w:val="37492C0F"/>
    <w:rsid w:val="37B06CB9"/>
    <w:rsid w:val="37CD55EE"/>
    <w:rsid w:val="385201EA"/>
    <w:rsid w:val="38691290"/>
    <w:rsid w:val="38784439"/>
    <w:rsid w:val="38EA4F9B"/>
    <w:rsid w:val="39022224"/>
    <w:rsid w:val="390F7E89"/>
    <w:rsid w:val="394A0EC1"/>
    <w:rsid w:val="3958538C"/>
    <w:rsid w:val="39641F82"/>
    <w:rsid w:val="39C508A9"/>
    <w:rsid w:val="39FB1F96"/>
    <w:rsid w:val="3A281202"/>
    <w:rsid w:val="3A35183F"/>
    <w:rsid w:val="3A797CAF"/>
    <w:rsid w:val="3AAF547F"/>
    <w:rsid w:val="3AB01D2D"/>
    <w:rsid w:val="3AEA4709"/>
    <w:rsid w:val="3AFE45A9"/>
    <w:rsid w:val="3B1E43B3"/>
    <w:rsid w:val="3B27770B"/>
    <w:rsid w:val="3B9C1459"/>
    <w:rsid w:val="3BDC3014"/>
    <w:rsid w:val="3BED7720"/>
    <w:rsid w:val="3C3E4385"/>
    <w:rsid w:val="3C4E0CC8"/>
    <w:rsid w:val="3C8841DA"/>
    <w:rsid w:val="3CC2593E"/>
    <w:rsid w:val="3CD67F5F"/>
    <w:rsid w:val="3CDD7527"/>
    <w:rsid w:val="3CF749CD"/>
    <w:rsid w:val="3D393726"/>
    <w:rsid w:val="3D9B618F"/>
    <w:rsid w:val="3DB73753"/>
    <w:rsid w:val="3DC329AA"/>
    <w:rsid w:val="3DD84CED"/>
    <w:rsid w:val="3E5C0C91"/>
    <w:rsid w:val="3E8B7504"/>
    <w:rsid w:val="3E924A3A"/>
    <w:rsid w:val="3EDB6353"/>
    <w:rsid w:val="3F0F626E"/>
    <w:rsid w:val="3F3E5024"/>
    <w:rsid w:val="3F8844F1"/>
    <w:rsid w:val="3F8F3AD1"/>
    <w:rsid w:val="3FBC52EF"/>
    <w:rsid w:val="40464190"/>
    <w:rsid w:val="40546445"/>
    <w:rsid w:val="40A156BC"/>
    <w:rsid w:val="40B27A77"/>
    <w:rsid w:val="40E35E83"/>
    <w:rsid w:val="40EB11DB"/>
    <w:rsid w:val="412169AB"/>
    <w:rsid w:val="416A65A4"/>
    <w:rsid w:val="41850CE8"/>
    <w:rsid w:val="4185309F"/>
    <w:rsid w:val="421309EA"/>
    <w:rsid w:val="42240501"/>
    <w:rsid w:val="42417305"/>
    <w:rsid w:val="42497F67"/>
    <w:rsid w:val="427174BE"/>
    <w:rsid w:val="42AE2961"/>
    <w:rsid w:val="42F51E9D"/>
    <w:rsid w:val="430B7913"/>
    <w:rsid w:val="43122A4F"/>
    <w:rsid w:val="434B5F61"/>
    <w:rsid w:val="439B47F3"/>
    <w:rsid w:val="43EB73B7"/>
    <w:rsid w:val="43EC14F2"/>
    <w:rsid w:val="448B5355"/>
    <w:rsid w:val="45230F44"/>
    <w:rsid w:val="452B429C"/>
    <w:rsid w:val="454F5136"/>
    <w:rsid w:val="45F13F14"/>
    <w:rsid w:val="460C731A"/>
    <w:rsid w:val="46276812"/>
    <w:rsid w:val="46963997"/>
    <w:rsid w:val="47154B28"/>
    <w:rsid w:val="479954ED"/>
    <w:rsid w:val="47A520E4"/>
    <w:rsid w:val="47E464E1"/>
    <w:rsid w:val="48253225"/>
    <w:rsid w:val="48623172"/>
    <w:rsid w:val="486A62DB"/>
    <w:rsid w:val="489804DA"/>
    <w:rsid w:val="48D507A7"/>
    <w:rsid w:val="49530909"/>
    <w:rsid w:val="496F6480"/>
    <w:rsid w:val="49A85EBB"/>
    <w:rsid w:val="4A041EBB"/>
    <w:rsid w:val="4A132597"/>
    <w:rsid w:val="4A22313A"/>
    <w:rsid w:val="4A2D4613"/>
    <w:rsid w:val="4A301A0D"/>
    <w:rsid w:val="4A3E05CE"/>
    <w:rsid w:val="4AC26B09"/>
    <w:rsid w:val="4B2F1727"/>
    <w:rsid w:val="4B545D45"/>
    <w:rsid w:val="4B7366F9"/>
    <w:rsid w:val="4B800849"/>
    <w:rsid w:val="4BB328F5"/>
    <w:rsid w:val="4BB618E9"/>
    <w:rsid w:val="4BCD1C09"/>
    <w:rsid w:val="4BF90C50"/>
    <w:rsid w:val="4C0D64AA"/>
    <w:rsid w:val="4C17619D"/>
    <w:rsid w:val="4C373527"/>
    <w:rsid w:val="4C59524B"/>
    <w:rsid w:val="4C9B5863"/>
    <w:rsid w:val="4CA24E44"/>
    <w:rsid w:val="4CF65190"/>
    <w:rsid w:val="4D1C7CE2"/>
    <w:rsid w:val="4D714816"/>
    <w:rsid w:val="4D924EB8"/>
    <w:rsid w:val="4E037B64"/>
    <w:rsid w:val="4E726A98"/>
    <w:rsid w:val="4E736C23"/>
    <w:rsid w:val="4E9844D8"/>
    <w:rsid w:val="4E9E788D"/>
    <w:rsid w:val="4EE4305C"/>
    <w:rsid w:val="4EEF40A5"/>
    <w:rsid w:val="4F132029"/>
    <w:rsid w:val="4F351F9F"/>
    <w:rsid w:val="4F4246BC"/>
    <w:rsid w:val="4F7F76BE"/>
    <w:rsid w:val="4F8C3B89"/>
    <w:rsid w:val="4F9F1B0F"/>
    <w:rsid w:val="4FB1539E"/>
    <w:rsid w:val="4FB8497E"/>
    <w:rsid w:val="50011E81"/>
    <w:rsid w:val="500808B3"/>
    <w:rsid w:val="507B7E86"/>
    <w:rsid w:val="508E2130"/>
    <w:rsid w:val="509052E3"/>
    <w:rsid w:val="50D650BC"/>
    <w:rsid w:val="50F814D6"/>
    <w:rsid w:val="5119769F"/>
    <w:rsid w:val="511A5456"/>
    <w:rsid w:val="51A52CE0"/>
    <w:rsid w:val="51D25A47"/>
    <w:rsid w:val="520E24F1"/>
    <w:rsid w:val="520F5CB4"/>
    <w:rsid w:val="524644C3"/>
    <w:rsid w:val="52F91536"/>
    <w:rsid w:val="52FC4B82"/>
    <w:rsid w:val="532742F5"/>
    <w:rsid w:val="53395DD6"/>
    <w:rsid w:val="5349426B"/>
    <w:rsid w:val="535624E4"/>
    <w:rsid w:val="5371638D"/>
    <w:rsid w:val="53740BBC"/>
    <w:rsid w:val="53CB2ED2"/>
    <w:rsid w:val="53EE22BF"/>
    <w:rsid w:val="53F200E2"/>
    <w:rsid w:val="546926EB"/>
    <w:rsid w:val="54A11E85"/>
    <w:rsid w:val="54A86D6F"/>
    <w:rsid w:val="54C662FF"/>
    <w:rsid w:val="54E57FC4"/>
    <w:rsid w:val="55532D28"/>
    <w:rsid w:val="55674E7D"/>
    <w:rsid w:val="55CA71B9"/>
    <w:rsid w:val="55EE796A"/>
    <w:rsid w:val="56075D18"/>
    <w:rsid w:val="56367A9F"/>
    <w:rsid w:val="56606E23"/>
    <w:rsid w:val="5670206E"/>
    <w:rsid w:val="56BA5480"/>
    <w:rsid w:val="56ED6783"/>
    <w:rsid w:val="57842AAA"/>
    <w:rsid w:val="57F16C7F"/>
    <w:rsid w:val="58082C12"/>
    <w:rsid w:val="583F5C3D"/>
    <w:rsid w:val="58511E7C"/>
    <w:rsid w:val="58984200"/>
    <w:rsid w:val="58B8154B"/>
    <w:rsid w:val="58E660B8"/>
    <w:rsid w:val="5A750890"/>
    <w:rsid w:val="5AB05476"/>
    <w:rsid w:val="5AC30E2E"/>
    <w:rsid w:val="5ADB214F"/>
    <w:rsid w:val="5AE42ACB"/>
    <w:rsid w:val="5AFA0244"/>
    <w:rsid w:val="5B9B691A"/>
    <w:rsid w:val="5BA3015F"/>
    <w:rsid w:val="5BB45F0F"/>
    <w:rsid w:val="5BC545AA"/>
    <w:rsid w:val="5BFC1B24"/>
    <w:rsid w:val="5C43724B"/>
    <w:rsid w:val="5C682135"/>
    <w:rsid w:val="5D1523DC"/>
    <w:rsid w:val="5D7D2FEA"/>
    <w:rsid w:val="5DB1283B"/>
    <w:rsid w:val="5DB33FE7"/>
    <w:rsid w:val="5DEF1EB3"/>
    <w:rsid w:val="5E4E4F75"/>
    <w:rsid w:val="5E624433"/>
    <w:rsid w:val="5E7027B3"/>
    <w:rsid w:val="5E7D4589"/>
    <w:rsid w:val="5F0D0843"/>
    <w:rsid w:val="5F2C67EF"/>
    <w:rsid w:val="5F4678B1"/>
    <w:rsid w:val="5F6E316F"/>
    <w:rsid w:val="5F8D4FB7"/>
    <w:rsid w:val="5FAB3BB8"/>
    <w:rsid w:val="5FB962D5"/>
    <w:rsid w:val="5FBE1B3D"/>
    <w:rsid w:val="60440664"/>
    <w:rsid w:val="60936B26"/>
    <w:rsid w:val="60966E71"/>
    <w:rsid w:val="609F196E"/>
    <w:rsid w:val="60B80169"/>
    <w:rsid w:val="60CB78E5"/>
    <w:rsid w:val="60D618C6"/>
    <w:rsid w:val="6105535C"/>
    <w:rsid w:val="61333E65"/>
    <w:rsid w:val="613F6CAD"/>
    <w:rsid w:val="61453B98"/>
    <w:rsid w:val="614E0E03"/>
    <w:rsid w:val="616D55C9"/>
    <w:rsid w:val="62067841"/>
    <w:rsid w:val="624D6221"/>
    <w:rsid w:val="625B3673"/>
    <w:rsid w:val="62C70D09"/>
    <w:rsid w:val="62CC4571"/>
    <w:rsid w:val="62ED6B99"/>
    <w:rsid w:val="630B32EB"/>
    <w:rsid w:val="631D6B7A"/>
    <w:rsid w:val="63696264"/>
    <w:rsid w:val="63EC14BE"/>
    <w:rsid w:val="640970FF"/>
    <w:rsid w:val="641A755E"/>
    <w:rsid w:val="641C5C65"/>
    <w:rsid w:val="64326656"/>
    <w:rsid w:val="64373C6C"/>
    <w:rsid w:val="64393E88"/>
    <w:rsid w:val="64460353"/>
    <w:rsid w:val="644F7208"/>
    <w:rsid w:val="646E7959"/>
    <w:rsid w:val="647307E7"/>
    <w:rsid w:val="647D5E76"/>
    <w:rsid w:val="649410BE"/>
    <w:rsid w:val="651D1F50"/>
    <w:rsid w:val="653B0AC5"/>
    <w:rsid w:val="655F791E"/>
    <w:rsid w:val="65674A25"/>
    <w:rsid w:val="65B01722"/>
    <w:rsid w:val="66091FB7"/>
    <w:rsid w:val="670A0B8F"/>
    <w:rsid w:val="672174CA"/>
    <w:rsid w:val="67780823"/>
    <w:rsid w:val="678673E4"/>
    <w:rsid w:val="67955879"/>
    <w:rsid w:val="67961104"/>
    <w:rsid w:val="67DF6AF4"/>
    <w:rsid w:val="680F708F"/>
    <w:rsid w:val="696F71F1"/>
    <w:rsid w:val="69797A95"/>
    <w:rsid w:val="69AF0748"/>
    <w:rsid w:val="69B56ABB"/>
    <w:rsid w:val="69BD315D"/>
    <w:rsid w:val="69D501AF"/>
    <w:rsid w:val="69E46644"/>
    <w:rsid w:val="69FA1301"/>
    <w:rsid w:val="6A1707C7"/>
    <w:rsid w:val="6A52585A"/>
    <w:rsid w:val="6A582B8E"/>
    <w:rsid w:val="6AAB1A1A"/>
    <w:rsid w:val="6AD00976"/>
    <w:rsid w:val="6AD06BC8"/>
    <w:rsid w:val="6B642EDD"/>
    <w:rsid w:val="6B8D6867"/>
    <w:rsid w:val="6BEA3CBA"/>
    <w:rsid w:val="6C1379F3"/>
    <w:rsid w:val="6C375151"/>
    <w:rsid w:val="6C523D39"/>
    <w:rsid w:val="6C57134F"/>
    <w:rsid w:val="6CB43A23"/>
    <w:rsid w:val="6CB87914"/>
    <w:rsid w:val="6D191B34"/>
    <w:rsid w:val="6D7B72BF"/>
    <w:rsid w:val="6DA57E98"/>
    <w:rsid w:val="6DB4611F"/>
    <w:rsid w:val="6DE36C13"/>
    <w:rsid w:val="6E14501E"/>
    <w:rsid w:val="6E1A0886"/>
    <w:rsid w:val="6E781A51"/>
    <w:rsid w:val="6EC72CAC"/>
    <w:rsid w:val="6F2D283B"/>
    <w:rsid w:val="6F3C3357"/>
    <w:rsid w:val="6F7B3BDC"/>
    <w:rsid w:val="6F9208F0"/>
    <w:rsid w:val="6FA32AFD"/>
    <w:rsid w:val="6FA83C70"/>
    <w:rsid w:val="6FF60E93"/>
    <w:rsid w:val="701171BF"/>
    <w:rsid w:val="701E3F32"/>
    <w:rsid w:val="707E2326"/>
    <w:rsid w:val="708C533F"/>
    <w:rsid w:val="70B63B34"/>
    <w:rsid w:val="7128150C"/>
    <w:rsid w:val="71872296"/>
    <w:rsid w:val="719C2A2E"/>
    <w:rsid w:val="71BB5EDC"/>
    <w:rsid w:val="71CD3E62"/>
    <w:rsid w:val="71E216BE"/>
    <w:rsid w:val="72356C99"/>
    <w:rsid w:val="723D4B43"/>
    <w:rsid w:val="72710C91"/>
    <w:rsid w:val="727B1B10"/>
    <w:rsid w:val="72AC5157"/>
    <w:rsid w:val="72B56DCF"/>
    <w:rsid w:val="72DB435C"/>
    <w:rsid w:val="72EC6569"/>
    <w:rsid w:val="72EE0533"/>
    <w:rsid w:val="731F06ED"/>
    <w:rsid w:val="733C1156"/>
    <w:rsid w:val="73A330CC"/>
    <w:rsid w:val="74130252"/>
    <w:rsid w:val="74235DC1"/>
    <w:rsid w:val="74336552"/>
    <w:rsid w:val="7456013E"/>
    <w:rsid w:val="745B5755"/>
    <w:rsid w:val="74716D26"/>
    <w:rsid w:val="748E3F2E"/>
    <w:rsid w:val="74962C31"/>
    <w:rsid w:val="74CD402D"/>
    <w:rsid w:val="74FF2584"/>
    <w:rsid w:val="75587EE6"/>
    <w:rsid w:val="75D21A46"/>
    <w:rsid w:val="762229CE"/>
    <w:rsid w:val="7623463A"/>
    <w:rsid w:val="762F6E99"/>
    <w:rsid w:val="764741F6"/>
    <w:rsid w:val="766F54E7"/>
    <w:rsid w:val="768935A6"/>
    <w:rsid w:val="76B80D1A"/>
    <w:rsid w:val="76FB6D7B"/>
    <w:rsid w:val="773504DF"/>
    <w:rsid w:val="77422BFC"/>
    <w:rsid w:val="77E70A98"/>
    <w:rsid w:val="77F547F3"/>
    <w:rsid w:val="78060B96"/>
    <w:rsid w:val="782F13D2"/>
    <w:rsid w:val="784F29CE"/>
    <w:rsid w:val="785D5F3F"/>
    <w:rsid w:val="78767001"/>
    <w:rsid w:val="78782D79"/>
    <w:rsid w:val="787B4617"/>
    <w:rsid w:val="78EA70A7"/>
    <w:rsid w:val="78FB7506"/>
    <w:rsid w:val="790C526F"/>
    <w:rsid w:val="790C6D01"/>
    <w:rsid w:val="79362FB2"/>
    <w:rsid w:val="79C21DD2"/>
    <w:rsid w:val="79F04B91"/>
    <w:rsid w:val="79F45B8D"/>
    <w:rsid w:val="7A470B87"/>
    <w:rsid w:val="7A552EF7"/>
    <w:rsid w:val="7A85177D"/>
    <w:rsid w:val="7AAD4830"/>
    <w:rsid w:val="7AB43E11"/>
    <w:rsid w:val="7AC73B44"/>
    <w:rsid w:val="7AEF6BF7"/>
    <w:rsid w:val="7AFB1A3F"/>
    <w:rsid w:val="7AFE5AFB"/>
    <w:rsid w:val="7B7E2E0F"/>
    <w:rsid w:val="7BE0283D"/>
    <w:rsid w:val="7BF02C26"/>
    <w:rsid w:val="7C2E19A1"/>
    <w:rsid w:val="7C324FED"/>
    <w:rsid w:val="7C4D0079"/>
    <w:rsid w:val="7CAF680C"/>
    <w:rsid w:val="7D2F3C22"/>
    <w:rsid w:val="7D7D673C"/>
    <w:rsid w:val="7DB4751F"/>
    <w:rsid w:val="7DEE52CE"/>
    <w:rsid w:val="7E094473"/>
    <w:rsid w:val="7E192908"/>
    <w:rsid w:val="7E417769"/>
    <w:rsid w:val="7E505BFE"/>
    <w:rsid w:val="7EC56E34"/>
    <w:rsid w:val="7F224D4A"/>
    <w:rsid w:val="7F6000C3"/>
    <w:rsid w:val="7F7B6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tabs>
        <w:tab w:val="left" w:pos="540"/>
      </w:tabs>
      <w:adjustRightInd w:val="0"/>
      <w:snapToGrid w:val="0"/>
      <w:spacing w:line="360" w:lineRule="auto"/>
      <w:jc w:val="left"/>
      <w:outlineLvl w:val="2"/>
    </w:pPr>
    <w:rPr>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qFormat/>
    <w:uiPriority w:val="99"/>
    <w:pPr>
      <w:spacing w:after="120"/>
    </w:pPr>
    <w:rPr>
      <w:rFonts w:asciiTheme="minorHAnsi" w:hAnsiTheme="minorHAnsi" w:cstheme="minorBidi"/>
      <w:szCs w:val="24"/>
    </w:rPr>
  </w:style>
  <w:style w:type="paragraph" w:styleId="6">
    <w:name w:val="List 3"/>
    <w:basedOn w:val="1"/>
    <w:qFormat/>
    <w:uiPriority w:val="0"/>
    <w:pPr>
      <w:ind w:left="100" w:leftChars="400" w:hanging="200" w:hangingChars="200"/>
      <w:contextualSpacing/>
    </w:pPr>
  </w:style>
  <w:style w:type="paragraph" w:styleId="7">
    <w:name w:val="Normal Indent"/>
    <w:basedOn w:val="1"/>
    <w:next w:val="1"/>
    <w:qFormat/>
    <w:uiPriority w:val="99"/>
    <w:pPr>
      <w:adjustRightInd w:val="0"/>
      <w:spacing w:line="360" w:lineRule="atLeast"/>
      <w:ind w:firstLine="482"/>
    </w:pPr>
    <w:rPr>
      <w:sz w:val="24"/>
    </w:rPr>
  </w:style>
  <w:style w:type="paragraph" w:styleId="8">
    <w:name w:val="caption"/>
    <w:basedOn w:val="1"/>
    <w:next w:val="1"/>
    <w:semiHidden/>
    <w:unhideWhenUsed/>
    <w:qFormat/>
    <w:uiPriority w:val="0"/>
    <w:pPr>
      <w:spacing w:before="152" w:after="160"/>
    </w:pPr>
    <w:rPr>
      <w:rFonts w:ascii="Arial" w:hAnsi="Arial" w:eastAsia="黑体" w:cs="Arial"/>
      <w:sz w:val="20"/>
    </w:rPr>
  </w:style>
  <w:style w:type="paragraph" w:styleId="9">
    <w:name w:val="annotation text"/>
    <w:basedOn w:val="1"/>
    <w:link w:val="53"/>
    <w:qFormat/>
    <w:uiPriority w:val="0"/>
    <w:pPr>
      <w:adjustRightInd w:val="0"/>
      <w:spacing w:line="360" w:lineRule="atLeast"/>
      <w:jc w:val="left"/>
      <w:textAlignment w:val="baseline"/>
    </w:pPr>
    <w:rPr>
      <w:kern w:val="0"/>
      <w:sz w:val="24"/>
    </w:rPr>
  </w:style>
  <w:style w:type="paragraph" w:styleId="10">
    <w:name w:val="Salutation"/>
    <w:basedOn w:val="1"/>
    <w:next w:val="1"/>
    <w:link w:val="50"/>
    <w:qFormat/>
    <w:uiPriority w:val="0"/>
    <w:rPr>
      <w:sz w:val="24"/>
    </w:rPr>
  </w:style>
  <w:style w:type="paragraph" w:styleId="11">
    <w:name w:val="Body Text Indent"/>
    <w:basedOn w:val="1"/>
    <w:next w:val="12"/>
    <w:qFormat/>
    <w:uiPriority w:val="99"/>
    <w:pPr>
      <w:adjustRightInd w:val="0"/>
      <w:snapToGrid w:val="0"/>
      <w:spacing w:line="460" w:lineRule="exact"/>
      <w:ind w:firstLine="560" w:firstLineChars="200"/>
    </w:pPr>
    <w:rPr>
      <w:rFonts w:ascii="仿宋_GB2312" w:hAnsi="Tahoma" w:eastAsia="仿宋_GB2312"/>
      <w:sz w:val="28"/>
    </w:rPr>
  </w:style>
  <w:style w:type="paragraph" w:styleId="12">
    <w:name w:val="Body Text First Indent 2"/>
    <w:basedOn w:val="11"/>
    <w:unhideWhenUsed/>
    <w:qFormat/>
    <w:uiPriority w:val="0"/>
    <w:pPr>
      <w:adjustRightInd/>
      <w:snapToGrid/>
      <w:spacing w:after="120" w:line="360" w:lineRule="auto"/>
      <w:ind w:left="420" w:leftChars="200" w:firstLine="420"/>
    </w:pPr>
    <w:rPr>
      <w:rFonts w:ascii="Calibri" w:hAnsi="Calibri" w:eastAsia="宋体"/>
      <w:sz w:val="24"/>
      <w:szCs w:val="22"/>
    </w:rPr>
  </w:style>
  <w:style w:type="paragraph" w:styleId="13">
    <w:name w:val="List 2"/>
    <w:basedOn w:val="1"/>
    <w:qFormat/>
    <w:uiPriority w:val="0"/>
    <w:pPr>
      <w:ind w:left="100" w:leftChars="200" w:hanging="200" w:hangingChars="200"/>
    </w:pPr>
    <w:rPr>
      <w:szCs w:val="24"/>
    </w:rPr>
  </w:style>
  <w:style w:type="paragraph" w:styleId="14">
    <w:name w:val="Plain Text"/>
    <w:basedOn w:val="1"/>
    <w:link w:val="48"/>
    <w:qFormat/>
    <w:uiPriority w:val="0"/>
    <w:rPr>
      <w:rFonts w:ascii="宋体" w:hAnsi="Courier New"/>
    </w:rPr>
  </w:style>
  <w:style w:type="paragraph" w:styleId="15">
    <w:name w:val="Date"/>
    <w:basedOn w:val="1"/>
    <w:next w:val="1"/>
    <w:qFormat/>
    <w:uiPriority w:val="0"/>
    <w:pPr>
      <w:ind w:left="100" w:leftChars="2500"/>
    </w:pPr>
    <w:rPr>
      <w:szCs w:val="22"/>
    </w:rPr>
  </w:style>
  <w:style w:type="paragraph" w:styleId="16">
    <w:name w:val="Body Text Indent 2"/>
    <w:basedOn w:val="1"/>
    <w:qFormat/>
    <w:uiPriority w:val="0"/>
    <w:pPr>
      <w:ind w:firstLine="640" w:firstLineChars="200"/>
    </w:pPr>
    <w:rPr>
      <w:sz w:val="32"/>
    </w:rPr>
  </w:style>
  <w:style w:type="paragraph" w:styleId="17">
    <w:name w:val="Balloon Text"/>
    <w:basedOn w:val="1"/>
    <w:link w:val="83"/>
    <w:qFormat/>
    <w:uiPriority w:val="0"/>
    <w:rPr>
      <w:sz w:val="18"/>
      <w:szCs w:val="18"/>
    </w:rPr>
  </w:style>
  <w:style w:type="paragraph" w:styleId="18">
    <w:name w:val="footer"/>
    <w:basedOn w:val="1"/>
    <w:link w:val="43"/>
    <w:qFormat/>
    <w:uiPriority w:val="0"/>
    <w:pPr>
      <w:tabs>
        <w:tab w:val="center" w:pos="4153"/>
        <w:tab w:val="right" w:pos="8306"/>
      </w:tabs>
      <w:snapToGrid w:val="0"/>
      <w:jc w:val="left"/>
    </w:pPr>
    <w:rPr>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628"/>
      </w:tabs>
      <w:spacing w:line="360" w:lineRule="auto"/>
    </w:pPr>
    <w:rPr>
      <w:szCs w:val="24"/>
    </w:rPr>
  </w:style>
  <w:style w:type="paragraph" w:styleId="21">
    <w:name w:val="List"/>
    <w:basedOn w:val="1"/>
    <w:qFormat/>
    <w:uiPriority w:val="0"/>
    <w:pPr>
      <w:spacing w:line="360" w:lineRule="exact"/>
      <w:ind w:left="420" w:hanging="420"/>
      <w:jc w:val="left"/>
    </w:pPr>
    <w:rPr>
      <w:szCs w:val="21"/>
    </w:rPr>
  </w:style>
  <w:style w:type="paragraph" w:styleId="22">
    <w:name w:val="footnote text"/>
    <w:basedOn w:val="1"/>
    <w:link w:val="38"/>
    <w:qFormat/>
    <w:uiPriority w:val="99"/>
    <w:pPr>
      <w:snapToGrid w:val="0"/>
      <w:jc w:val="left"/>
    </w:pPr>
    <w:rPr>
      <w:rFonts w:asciiTheme="minorHAnsi" w:hAnsiTheme="minorHAnsi" w:eastAsiaTheme="minorEastAsia" w:cstheme="minorBidi"/>
      <w:sz w:val="18"/>
      <w:szCs w:val="22"/>
    </w:rPr>
  </w:style>
  <w:style w:type="paragraph" w:styleId="23">
    <w:name w:val="toc 2"/>
    <w:basedOn w:val="1"/>
    <w:next w:val="1"/>
    <w:qFormat/>
    <w:uiPriority w:val="0"/>
    <w:pPr>
      <w:adjustRightInd w:val="0"/>
      <w:spacing w:line="360" w:lineRule="auto"/>
      <w:ind w:left="240" w:firstLine="425"/>
      <w:jc w:val="left"/>
      <w:textAlignment w:val="baseline"/>
    </w:pPr>
    <w:rPr>
      <w:smallCaps/>
      <w:sz w:val="20"/>
    </w:rPr>
  </w:style>
  <w:style w:type="paragraph" w:styleId="24">
    <w:name w:val="Body Text 2"/>
    <w:basedOn w:val="1"/>
    <w:qFormat/>
    <w:uiPriority w:val="0"/>
    <w:rPr>
      <w:rFonts w:ascii="楷体_GB2312" w:hAnsi="Copperplate Gothic Bold" w:eastAsia="楷体_GB2312"/>
      <w:sz w:val="28"/>
      <w:szCs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39"/>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8">
    <w:name w:val="Body Text First Indent"/>
    <w:basedOn w:val="2"/>
    <w:qFormat/>
    <w:uiPriority w:val="99"/>
    <w:pPr>
      <w:ind w:firstLine="420" w:firstLineChars="10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ascii="Calibri" w:hAnsi="Calibri" w:eastAsia="宋体" w:cs="Times New Roman"/>
      <w:b/>
      <w:bCs/>
    </w:rPr>
  </w:style>
  <w:style w:type="character" w:styleId="33">
    <w:name w:val="Hyperlink"/>
    <w:qFormat/>
    <w:uiPriority w:val="0"/>
    <w:rPr>
      <w:color w:val="0000FF"/>
      <w:u w:val="single"/>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首行缩进"/>
    <w:basedOn w:val="1"/>
    <w:qFormat/>
    <w:uiPriority w:val="99"/>
    <w:pPr>
      <w:ind w:firstLine="480" w:firstLineChars="200"/>
    </w:pPr>
    <w:rPr>
      <w:lang w:val="zh-CN"/>
    </w:rPr>
  </w:style>
  <w:style w:type="paragraph" w:customStyle="1" w:styleId="37">
    <w:name w:val="默认段落字体 Para Char Char Char Char Char Char Char Char Char Char"/>
    <w:basedOn w:val="1"/>
    <w:qFormat/>
    <w:uiPriority w:val="0"/>
    <w:rPr>
      <w:rFonts w:ascii="Tahoma" w:hAnsi="Tahoma"/>
      <w:sz w:val="24"/>
    </w:rPr>
  </w:style>
  <w:style w:type="character" w:customStyle="1" w:styleId="38">
    <w:name w:val="脚注文本 字符"/>
    <w:link w:val="22"/>
    <w:qFormat/>
    <w:uiPriority w:val="99"/>
    <w:rPr>
      <w:sz w:val="18"/>
    </w:rPr>
  </w:style>
  <w:style w:type="character" w:customStyle="1" w:styleId="39">
    <w:name w:val="标题 字符"/>
    <w:link w:val="27"/>
    <w:qFormat/>
    <w:uiPriority w:val="0"/>
    <w:rPr>
      <w:rFonts w:ascii="黑体"/>
      <w:b/>
      <w:snapToGrid w:val="0"/>
      <w:sz w:val="44"/>
    </w:rPr>
  </w:style>
  <w:style w:type="character" w:customStyle="1" w:styleId="40">
    <w:name w:val="标题 Char1"/>
    <w:basedOn w:val="31"/>
    <w:qFormat/>
    <w:uiPriority w:val="10"/>
    <w:rPr>
      <w:rFonts w:eastAsia="宋体" w:asciiTheme="majorHAnsi" w:hAnsiTheme="majorHAnsi" w:cstheme="majorBidi"/>
      <w:b/>
      <w:bCs/>
      <w:sz w:val="32"/>
      <w:szCs w:val="32"/>
    </w:rPr>
  </w:style>
  <w:style w:type="character" w:customStyle="1" w:styleId="41">
    <w:name w:val="脚注文本 Char1"/>
    <w:basedOn w:val="31"/>
    <w:semiHidden/>
    <w:qFormat/>
    <w:uiPriority w:val="99"/>
    <w:rPr>
      <w:rFonts w:ascii="Times New Roman" w:hAnsi="Times New Roman" w:eastAsia="宋体" w:cs="Times New Roman"/>
      <w:sz w:val="18"/>
      <w:szCs w:val="18"/>
    </w:rPr>
  </w:style>
  <w:style w:type="paragraph" w:customStyle="1" w:styleId="4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3">
    <w:name w:val="页脚 字符"/>
    <w:basedOn w:val="31"/>
    <w:link w:val="18"/>
    <w:qFormat/>
    <w:uiPriority w:val="0"/>
    <w:rPr>
      <w:rFonts w:ascii="Times New Roman" w:hAnsi="Times New Roman" w:eastAsia="宋体" w:cs="Times New Roman"/>
      <w:sz w:val="18"/>
      <w:szCs w:val="18"/>
    </w:rPr>
  </w:style>
  <w:style w:type="character" w:customStyle="1" w:styleId="44">
    <w:name w:val="页眉 字符"/>
    <w:basedOn w:val="31"/>
    <w:link w:val="19"/>
    <w:qFormat/>
    <w:uiPriority w:val="0"/>
    <w:rPr>
      <w:rFonts w:ascii="Times New Roman" w:hAnsi="Times New Roman" w:eastAsia="宋体" w:cs="Times New Roman"/>
      <w:sz w:val="18"/>
      <w:szCs w:val="18"/>
    </w:rPr>
  </w:style>
  <w:style w:type="character" w:customStyle="1" w:styleId="45">
    <w:name w:val="页脚 Char1"/>
    <w:basedOn w:val="31"/>
    <w:semiHidden/>
    <w:qFormat/>
    <w:uiPriority w:val="99"/>
    <w:rPr>
      <w:sz w:val="18"/>
      <w:szCs w:val="18"/>
    </w:rPr>
  </w:style>
  <w:style w:type="character" w:customStyle="1" w:styleId="46">
    <w:name w:val="Default Text Char Char"/>
    <w:link w:val="47"/>
    <w:qFormat/>
    <w:uiPriority w:val="0"/>
    <w:rPr>
      <w:color w:val="000000"/>
      <w:sz w:val="24"/>
    </w:rPr>
  </w:style>
  <w:style w:type="paragraph" w:customStyle="1" w:styleId="47">
    <w:name w:val="Default Text"/>
    <w:link w:val="4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8">
    <w:name w:val="纯文本 字符"/>
    <w:link w:val="14"/>
    <w:qFormat/>
    <w:uiPriority w:val="0"/>
    <w:rPr>
      <w:rFonts w:ascii="宋体" w:hAnsi="Courier New" w:eastAsia="宋体" w:cs="Times New Roman"/>
      <w:szCs w:val="20"/>
    </w:rPr>
  </w:style>
  <w:style w:type="character" w:customStyle="1" w:styleId="49">
    <w:name w:val="15"/>
    <w:qFormat/>
    <w:uiPriority w:val="0"/>
    <w:rPr>
      <w:rFonts w:hint="default" w:ascii="Times New Roman" w:hAnsi="Times New Roman" w:cs="Times New Roman"/>
    </w:rPr>
  </w:style>
  <w:style w:type="character" w:customStyle="1" w:styleId="50">
    <w:name w:val="称呼 字符"/>
    <w:link w:val="10"/>
    <w:qFormat/>
    <w:uiPriority w:val="0"/>
    <w:rPr>
      <w:rFonts w:ascii="Times New Roman" w:hAnsi="Times New Roman" w:eastAsia="宋体" w:cs="Times New Roman"/>
      <w:sz w:val="24"/>
      <w:szCs w:val="20"/>
    </w:rPr>
  </w:style>
  <w:style w:type="character" w:customStyle="1" w:styleId="51">
    <w:name w:val="称呼 Char1"/>
    <w:basedOn w:val="31"/>
    <w:semiHidden/>
    <w:qFormat/>
    <w:uiPriority w:val="99"/>
    <w:rPr>
      <w:rFonts w:ascii="Times New Roman" w:hAnsi="Times New Roman" w:eastAsia="宋体" w:cs="Times New Roman"/>
      <w:szCs w:val="20"/>
    </w:rPr>
  </w:style>
  <w:style w:type="character" w:customStyle="1" w:styleId="52">
    <w:name w:val="纯文本 Char"/>
    <w:basedOn w:val="31"/>
    <w:semiHidden/>
    <w:qFormat/>
    <w:uiPriority w:val="99"/>
    <w:rPr>
      <w:rFonts w:ascii="宋体" w:hAnsi="Courier New" w:eastAsia="宋体" w:cs="Courier New"/>
      <w:szCs w:val="21"/>
    </w:rPr>
  </w:style>
  <w:style w:type="character" w:customStyle="1" w:styleId="53">
    <w:name w:val="批注文字 字符"/>
    <w:link w:val="9"/>
    <w:qFormat/>
    <w:uiPriority w:val="0"/>
    <w:rPr>
      <w:rFonts w:ascii="Times New Roman" w:hAnsi="Times New Roman" w:eastAsia="宋体" w:cs="Times New Roman"/>
      <w:kern w:val="0"/>
      <w:sz w:val="24"/>
      <w:szCs w:val="20"/>
    </w:rPr>
  </w:style>
  <w:style w:type="character" w:customStyle="1" w:styleId="54">
    <w:name w:val="批注文字 Char1"/>
    <w:basedOn w:val="31"/>
    <w:semiHidden/>
    <w:qFormat/>
    <w:uiPriority w:val="99"/>
    <w:rPr>
      <w:rFonts w:ascii="Times New Roman" w:hAnsi="Times New Roman" w:eastAsia="宋体" w:cs="Times New Roman"/>
      <w:szCs w:val="20"/>
    </w:rPr>
  </w:style>
  <w:style w:type="character" w:customStyle="1" w:styleId="55">
    <w:name w:val="标题 1 字符"/>
    <w:basedOn w:val="31"/>
    <w:link w:val="3"/>
    <w:qFormat/>
    <w:uiPriority w:val="0"/>
    <w:rPr>
      <w:rFonts w:ascii="Times New Roman" w:hAnsi="Times New Roman" w:eastAsia="宋体" w:cs="Times New Roman"/>
      <w:b/>
      <w:bCs/>
      <w:kern w:val="44"/>
      <w:sz w:val="44"/>
      <w:szCs w:val="44"/>
    </w:rPr>
  </w:style>
  <w:style w:type="character" w:customStyle="1" w:styleId="56">
    <w:name w:val="标题 3 Char Char"/>
    <w:qFormat/>
    <w:uiPriority w:val="0"/>
    <w:rPr>
      <w:rFonts w:ascii="黑体" w:eastAsia="黑体"/>
      <w:bCs/>
      <w:sz w:val="30"/>
    </w:rPr>
  </w:style>
  <w:style w:type="character" w:customStyle="1" w:styleId="57">
    <w:name w:val="正文文本 字符"/>
    <w:link w:val="2"/>
    <w:qFormat/>
    <w:uiPriority w:val="0"/>
    <w:rPr>
      <w:rFonts w:eastAsia="宋体"/>
      <w:szCs w:val="24"/>
    </w:rPr>
  </w:style>
  <w:style w:type="character" w:customStyle="1" w:styleId="58">
    <w:name w:val="正文文本 Char1"/>
    <w:basedOn w:val="31"/>
    <w:semiHidden/>
    <w:qFormat/>
    <w:uiPriority w:val="99"/>
    <w:rPr>
      <w:rFonts w:ascii="Times New Roman" w:hAnsi="Times New Roman" w:eastAsia="宋体" w:cs="Times New Roman"/>
      <w:szCs w:val="20"/>
    </w:rPr>
  </w:style>
  <w:style w:type="paragraph" w:customStyle="1" w:styleId="59">
    <w:name w:val="列出段落1"/>
    <w:basedOn w:val="1"/>
    <w:qFormat/>
    <w:uiPriority w:val="34"/>
    <w:pPr>
      <w:ind w:firstLine="420" w:firstLineChars="200"/>
    </w:pPr>
  </w:style>
  <w:style w:type="character" w:customStyle="1" w:styleId="60">
    <w:name w:val="标题 2 字符"/>
    <w:basedOn w:val="31"/>
    <w:link w:val="4"/>
    <w:qFormat/>
    <w:uiPriority w:val="0"/>
    <w:rPr>
      <w:rFonts w:ascii="Arial" w:hAnsi="Arial" w:eastAsia="黑体" w:cs="Times New Roman"/>
      <w:b/>
      <w:bCs/>
      <w:sz w:val="32"/>
      <w:szCs w:val="32"/>
    </w:rPr>
  </w:style>
  <w:style w:type="paragraph" w:customStyle="1" w:styleId="61">
    <w:name w:val="_Style 2"/>
    <w:basedOn w:val="3"/>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2">
    <w:name w:val="font61"/>
    <w:basedOn w:val="31"/>
    <w:qFormat/>
    <w:uiPriority w:val="0"/>
    <w:rPr>
      <w:rFonts w:hint="eastAsia" w:ascii="微软雅黑" w:hAnsi="微软雅黑" w:eastAsia="微软雅黑" w:cs="微软雅黑"/>
      <w:b/>
      <w:color w:val="000000"/>
      <w:sz w:val="21"/>
      <w:szCs w:val="21"/>
      <w:u w:val="none"/>
    </w:rPr>
  </w:style>
  <w:style w:type="paragraph" w:customStyle="1" w:styleId="63">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64">
    <w:name w:val="标题 3 Char"/>
    <w:qFormat/>
    <w:uiPriority w:val="0"/>
    <w:rPr>
      <w:rFonts w:eastAsia="宋体"/>
      <w:b/>
      <w:bCs/>
      <w:kern w:val="2"/>
      <w:sz w:val="32"/>
      <w:szCs w:val="32"/>
      <w:lang w:val="en-US" w:eastAsia="zh-CN" w:bidi="ar-SA"/>
    </w:rPr>
  </w:style>
  <w:style w:type="paragraph" w:customStyle="1" w:styleId="65">
    <w:name w:val="È¡ÀÊ¡ÎÄ¡À¾"/>
    <w:basedOn w:val="1"/>
    <w:qFormat/>
    <w:uiPriority w:val="99"/>
    <w:pPr>
      <w:overflowPunct w:val="0"/>
      <w:autoSpaceDE w:val="0"/>
      <w:autoSpaceDN w:val="0"/>
      <w:textAlignment w:val="baseline"/>
    </w:pPr>
    <w:rPr>
      <w:rFonts w:ascii="Calibri" w:hAnsi="Calibri"/>
      <w:sz w:val="24"/>
    </w:rPr>
  </w:style>
  <w:style w:type="character" w:customStyle="1" w:styleId="66">
    <w:name w:val="标题1"/>
    <w:qFormat/>
    <w:uiPriority w:val="0"/>
  </w:style>
  <w:style w:type="paragraph" w:customStyle="1" w:styleId="67">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68">
    <w:name w:val="List Paragraph"/>
    <w:basedOn w:val="1"/>
    <w:unhideWhenUsed/>
    <w:qFormat/>
    <w:uiPriority w:val="99"/>
    <w:pPr>
      <w:ind w:firstLine="420" w:firstLineChars="200"/>
    </w:pPr>
  </w:style>
  <w:style w:type="character" w:customStyle="1" w:styleId="69">
    <w:name w:val="正文缩进2格 Char"/>
    <w:link w:val="70"/>
    <w:qFormat/>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paragraph" w:customStyle="1" w:styleId="71">
    <w:name w:val="正文缩进1"/>
    <w:basedOn w:val="1"/>
    <w:qFormat/>
    <w:uiPriority w:val="0"/>
    <w:pPr>
      <w:ind w:firstLine="420" w:firstLineChars="200"/>
    </w:pPr>
  </w:style>
  <w:style w:type="paragraph" w:customStyle="1" w:styleId="72">
    <w:name w:val="索引 11"/>
    <w:basedOn w:val="1"/>
    <w:next w:val="1"/>
    <w:qFormat/>
    <w:uiPriority w:val="0"/>
    <w:pPr>
      <w:spacing w:line="360" w:lineRule="auto"/>
    </w:pPr>
    <w:rPr>
      <w:rFonts w:ascii="仿宋_GB2312" w:eastAsia="仿宋_GB2312"/>
      <w:sz w:val="24"/>
    </w:rPr>
  </w:style>
  <w:style w:type="paragraph" w:customStyle="1" w:styleId="73">
    <w:name w:val="纯文本1"/>
    <w:basedOn w:val="1"/>
    <w:qFormat/>
    <w:uiPriority w:val="0"/>
    <w:rPr>
      <w:rFonts w:ascii="宋体" w:hAnsi="Courier New" w:eastAsiaTheme="minorEastAsia" w:cstheme="minorBidi"/>
      <w:szCs w:val="22"/>
    </w:rPr>
  </w:style>
  <w:style w:type="character" w:customStyle="1" w:styleId="74">
    <w:name w:val="NormalCharacter"/>
    <w:qFormat/>
    <w:uiPriority w:val="0"/>
  </w:style>
  <w:style w:type="paragraph" w:customStyle="1" w:styleId="75">
    <w:name w:val="Table Paragraph"/>
    <w:basedOn w:val="1"/>
    <w:qFormat/>
    <w:uiPriority w:val="1"/>
  </w:style>
  <w:style w:type="table" w:customStyle="1" w:styleId="7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77">
    <w:name w:val="font01"/>
    <w:basedOn w:val="31"/>
    <w:qFormat/>
    <w:uiPriority w:val="0"/>
    <w:rPr>
      <w:rFonts w:hint="default" w:ascii="等线" w:hAnsi="等线" w:eastAsia="等线" w:cs="等线"/>
      <w:color w:val="000000"/>
      <w:sz w:val="22"/>
      <w:szCs w:val="22"/>
      <w:u w:val="none"/>
    </w:rPr>
  </w:style>
  <w:style w:type="character" w:customStyle="1" w:styleId="78">
    <w:name w:val="font31"/>
    <w:basedOn w:val="31"/>
    <w:qFormat/>
    <w:uiPriority w:val="0"/>
    <w:rPr>
      <w:rFonts w:hint="default" w:ascii="等线" w:hAnsi="等线" w:eastAsia="等线" w:cs="等线"/>
      <w:b/>
      <w:bCs/>
      <w:color w:val="000000"/>
      <w:sz w:val="22"/>
      <w:szCs w:val="22"/>
      <w:u w:val="none"/>
    </w:rPr>
  </w:style>
  <w:style w:type="character" w:customStyle="1" w:styleId="79">
    <w:name w:val="font51"/>
    <w:basedOn w:val="31"/>
    <w:qFormat/>
    <w:uiPriority w:val="0"/>
    <w:rPr>
      <w:rFonts w:hint="default" w:ascii="等线" w:hAnsi="等线" w:eastAsia="等线" w:cs="等线"/>
      <w:b/>
      <w:bCs/>
      <w:color w:val="000000"/>
      <w:sz w:val="24"/>
      <w:szCs w:val="24"/>
      <w:u w:val="none"/>
    </w:rPr>
  </w:style>
  <w:style w:type="character" w:customStyle="1" w:styleId="80">
    <w:name w:val="font21"/>
    <w:basedOn w:val="31"/>
    <w:qFormat/>
    <w:uiPriority w:val="0"/>
    <w:rPr>
      <w:rFonts w:hint="eastAsia" w:ascii="宋体" w:hAnsi="宋体" w:eastAsia="宋体" w:cs="宋体"/>
      <w:color w:val="000000"/>
      <w:sz w:val="24"/>
      <w:szCs w:val="24"/>
      <w:u w:val="none"/>
    </w:rPr>
  </w:style>
  <w:style w:type="character" w:customStyle="1" w:styleId="81">
    <w:name w:val="font11"/>
    <w:basedOn w:val="31"/>
    <w:qFormat/>
    <w:uiPriority w:val="0"/>
    <w:rPr>
      <w:rFonts w:ascii="Calibri" w:hAnsi="Calibri" w:cs="Calibri"/>
      <w:color w:val="000000"/>
      <w:sz w:val="24"/>
      <w:szCs w:val="24"/>
      <w:u w:val="none"/>
    </w:rPr>
  </w:style>
  <w:style w:type="character" w:customStyle="1" w:styleId="82">
    <w:name w:val="font41"/>
    <w:basedOn w:val="31"/>
    <w:qFormat/>
    <w:uiPriority w:val="0"/>
    <w:rPr>
      <w:rFonts w:hint="eastAsia" w:ascii="宋体" w:hAnsi="宋体" w:eastAsia="宋体" w:cs="宋体"/>
      <w:color w:val="000000"/>
      <w:sz w:val="22"/>
      <w:szCs w:val="22"/>
      <w:u w:val="none"/>
    </w:rPr>
  </w:style>
  <w:style w:type="character" w:customStyle="1" w:styleId="83">
    <w:name w:val="批注框文本 字符"/>
    <w:basedOn w:val="31"/>
    <w:link w:val="17"/>
    <w:qFormat/>
    <w:uiPriority w:val="0"/>
    <w:rPr>
      <w:kern w:val="2"/>
      <w:sz w:val="18"/>
      <w:szCs w:val="18"/>
    </w:rPr>
  </w:style>
  <w:style w:type="paragraph" w:customStyle="1" w:styleId="84">
    <w:name w:val="*正文"/>
    <w:basedOn w:val="1"/>
    <w:next w:val="1"/>
    <w:qFormat/>
    <w:uiPriority w:val="0"/>
    <w:pPr>
      <w:widowControl/>
      <w:ind w:firstLine="482"/>
    </w:pPr>
    <w:rPr>
      <w:rFonts w:ascii="微软雅黑" w:hAnsi="微软雅黑" w:eastAsia="微软雅黑"/>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29F58-ADDC-4F33-BD56-1C6CDA4438AC}">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68</Pages>
  <Words>33109</Words>
  <Characters>34711</Characters>
  <Lines>41</Lines>
  <Paragraphs>76</Paragraphs>
  <TotalTime>15</TotalTime>
  <ScaleCrop>false</ScaleCrop>
  <LinksUpToDate>false</LinksUpToDate>
  <CharactersWithSpaces>36287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Crazy俊</cp:lastModifiedBy>
  <cp:lastPrinted>2023-03-16T07:12:00Z</cp:lastPrinted>
  <dcterms:modified xsi:type="dcterms:W3CDTF">2023-08-03T13:37:46Z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7A9428C200C844CB90A75FA055ED5000_13</vt:lpwstr>
  </property>
</Properties>
</file>