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宋体" w:hAnsi="宋体" w:eastAsia="宋体" w:cs="宋体"/>
          <w:b/>
          <w:color w:val="auto"/>
          <w:spacing w:val="0"/>
          <w:w w:val="100"/>
          <w:position w:val="0"/>
          <w:sz w:val="56"/>
          <w:szCs w:val="21"/>
          <w:highlight w:val="none"/>
        </w:rPr>
      </w:pPr>
    </w:p>
    <w:p>
      <w:pPr>
        <w:pStyle w:val="13"/>
        <w:outlineLvl w:val="9"/>
        <w:rPr>
          <w:rFonts w:hint="eastAsia" w:ascii="宋体" w:hAnsi="宋体" w:eastAsia="宋体" w:cs="宋体"/>
          <w:b/>
          <w:color w:val="auto"/>
          <w:spacing w:val="0"/>
          <w:w w:val="100"/>
          <w:position w:val="0"/>
          <w:sz w:val="56"/>
          <w:szCs w:val="21"/>
          <w:highlight w:val="none"/>
        </w:rPr>
      </w:pPr>
    </w:p>
    <w:p>
      <w:pPr>
        <w:spacing w:before="0"/>
        <w:ind w:left="128" w:right="14" w:firstLine="0"/>
        <w:jc w:val="center"/>
        <w:outlineLvl w:val="9"/>
        <w:rPr>
          <w:rFonts w:hint="eastAsia" w:ascii="宋体" w:hAnsi="宋体" w:eastAsia="宋体" w:cs="宋体"/>
          <w:b/>
          <w:bCs w:val="0"/>
          <w:color w:val="auto"/>
          <w:spacing w:val="0"/>
          <w:w w:val="100"/>
          <w:position w:val="0"/>
          <w:sz w:val="108"/>
          <w:szCs w:val="108"/>
          <w:highlight w:val="none"/>
        </w:rPr>
      </w:pPr>
    </w:p>
    <w:p>
      <w:pPr>
        <w:pStyle w:val="40"/>
        <w:rPr>
          <w:rFonts w:hint="eastAsia"/>
        </w:rPr>
      </w:pPr>
    </w:p>
    <w:p>
      <w:pPr>
        <w:pStyle w:val="14"/>
        <w:rPr>
          <w:rFonts w:hint="eastAsia"/>
        </w:rPr>
      </w:pPr>
    </w:p>
    <w:p>
      <w:pPr>
        <w:pStyle w:val="15"/>
        <w:rPr>
          <w:rFonts w:hint="eastAsia"/>
        </w:rPr>
      </w:pPr>
    </w:p>
    <w:p>
      <w:pPr>
        <w:rPr>
          <w:rFonts w:hint="eastAsia"/>
        </w:rPr>
      </w:pPr>
    </w:p>
    <w:p>
      <w:pPr>
        <w:pStyle w:val="40"/>
        <w:rPr>
          <w:rFonts w:hint="eastAsia"/>
        </w:rPr>
      </w:pPr>
    </w:p>
    <w:p>
      <w:pPr>
        <w:pStyle w:val="14"/>
        <w:rPr>
          <w:rFonts w:hint="eastAsia"/>
        </w:rPr>
      </w:pPr>
    </w:p>
    <w:p>
      <w:pPr>
        <w:pStyle w:val="40"/>
        <w:rPr>
          <w:rFonts w:hint="eastAsia"/>
        </w:rPr>
      </w:pPr>
    </w:p>
    <w:p>
      <w:pPr>
        <w:pStyle w:val="14"/>
        <w:rPr>
          <w:rFonts w:hint="eastAsia"/>
        </w:rPr>
      </w:pPr>
    </w:p>
    <w:p>
      <w:pPr>
        <w:rPr>
          <w:rFonts w:hint="eastAsia"/>
        </w:rPr>
      </w:pPr>
    </w:p>
    <w:p>
      <w:pPr>
        <w:spacing w:before="0"/>
        <w:ind w:left="128" w:right="14" w:firstLine="0"/>
        <w:jc w:val="center"/>
        <w:outlineLvl w:val="9"/>
        <w:rPr>
          <w:rFonts w:hint="eastAsia" w:ascii="宋体" w:hAnsi="宋体" w:eastAsia="宋体" w:cs="宋体"/>
          <w:b/>
          <w:bCs w:val="0"/>
          <w:color w:val="auto"/>
          <w:spacing w:val="0"/>
          <w:w w:val="100"/>
          <w:position w:val="0"/>
          <w:sz w:val="108"/>
          <w:szCs w:val="108"/>
          <w:highlight w:val="none"/>
        </w:rPr>
      </w:pPr>
      <w:r>
        <w:rPr>
          <w:rFonts w:hint="eastAsia" w:ascii="宋体" w:hAnsi="宋体" w:eastAsia="宋体" w:cs="宋体"/>
          <w:b/>
          <w:bCs w:val="0"/>
          <w:color w:val="auto"/>
          <w:spacing w:val="0"/>
          <w:w w:val="100"/>
          <w:position w:val="0"/>
          <w:sz w:val="108"/>
          <w:szCs w:val="108"/>
          <w:highlight w:val="none"/>
        </w:rPr>
        <w:t>竞争性</w:t>
      </w:r>
      <w:r>
        <w:rPr>
          <w:rFonts w:hint="eastAsia" w:ascii="宋体" w:hAnsi="宋体" w:eastAsia="宋体" w:cs="宋体"/>
          <w:b/>
          <w:bCs w:val="0"/>
          <w:color w:val="auto"/>
          <w:spacing w:val="0"/>
          <w:w w:val="100"/>
          <w:position w:val="0"/>
          <w:sz w:val="108"/>
          <w:szCs w:val="108"/>
          <w:highlight w:val="none"/>
          <w:lang w:val="en-US" w:eastAsia="zh-CN"/>
        </w:rPr>
        <w:t>磋商</w:t>
      </w:r>
      <w:r>
        <w:rPr>
          <w:rFonts w:hint="eastAsia" w:ascii="宋体" w:hAnsi="宋体" w:eastAsia="宋体" w:cs="宋体"/>
          <w:b/>
          <w:bCs w:val="0"/>
          <w:color w:val="auto"/>
          <w:spacing w:val="0"/>
          <w:w w:val="100"/>
          <w:position w:val="0"/>
          <w:sz w:val="108"/>
          <w:szCs w:val="108"/>
          <w:highlight w:val="none"/>
        </w:rPr>
        <w:t>文件</w:t>
      </w:r>
    </w:p>
    <w:p>
      <w:pPr>
        <w:spacing w:before="1" w:line="364" w:lineRule="auto"/>
        <w:ind w:right="1127"/>
        <w:jc w:val="both"/>
        <w:outlineLvl w:val="9"/>
        <w:rPr>
          <w:rFonts w:hint="eastAsia" w:ascii="宋体" w:hAnsi="宋体" w:eastAsia="宋体" w:cs="宋体"/>
          <w:color w:val="auto"/>
          <w:spacing w:val="0"/>
          <w:w w:val="100"/>
          <w:position w:val="0"/>
          <w:highlight w:val="none"/>
        </w:rPr>
      </w:pPr>
    </w:p>
    <w:p>
      <w:pPr>
        <w:spacing w:before="1" w:line="364" w:lineRule="auto"/>
        <w:ind w:right="1127"/>
        <w:jc w:val="both"/>
        <w:outlineLvl w:val="9"/>
        <w:rPr>
          <w:rFonts w:hint="eastAsia" w:ascii="宋体" w:hAnsi="宋体" w:eastAsia="宋体" w:cs="宋体"/>
          <w:color w:val="auto"/>
          <w:spacing w:val="0"/>
          <w:w w:val="100"/>
          <w:position w:val="0"/>
          <w:highlight w:val="none"/>
        </w:rPr>
      </w:pPr>
    </w:p>
    <w:p>
      <w:pPr>
        <w:outlineLvl w:val="9"/>
        <w:rPr>
          <w:rFonts w:hint="eastAsia" w:ascii="宋体" w:hAnsi="宋体" w:eastAsia="宋体" w:cs="宋体"/>
          <w:color w:val="auto"/>
          <w:spacing w:val="0"/>
          <w:w w:val="100"/>
          <w:position w:val="0"/>
          <w:highlight w:val="none"/>
        </w:rPr>
      </w:pPr>
    </w:p>
    <w:p>
      <w:pPr>
        <w:pStyle w:val="40"/>
        <w:rPr>
          <w:rFonts w:hint="eastAsia" w:ascii="宋体" w:hAnsi="宋体" w:eastAsia="宋体" w:cs="宋体"/>
          <w:color w:val="auto"/>
          <w:spacing w:val="0"/>
          <w:w w:val="100"/>
          <w:position w:val="0"/>
          <w:highlight w:val="none"/>
        </w:rPr>
      </w:pPr>
    </w:p>
    <w:p>
      <w:pPr>
        <w:pStyle w:val="14"/>
        <w:rPr>
          <w:rFonts w:hint="eastAsia" w:ascii="宋体" w:hAnsi="宋体" w:eastAsia="宋体" w:cs="宋体"/>
          <w:color w:val="auto"/>
          <w:spacing w:val="0"/>
          <w:w w:val="100"/>
          <w:position w:val="0"/>
          <w:highlight w:val="none"/>
        </w:rPr>
      </w:pPr>
    </w:p>
    <w:p>
      <w:pPr>
        <w:pStyle w:val="15"/>
        <w:rPr>
          <w:rFonts w:hint="eastAsia" w:ascii="宋体" w:hAnsi="宋体" w:eastAsia="宋体" w:cs="宋体"/>
          <w:color w:val="auto"/>
          <w:spacing w:val="0"/>
          <w:w w:val="100"/>
          <w:position w:val="0"/>
          <w:highlight w:val="none"/>
        </w:rPr>
      </w:pPr>
    </w:p>
    <w:p>
      <w:pPr>
        <w:rPr>
          <w:rFonts w:hint="eastAsia" w:ascii="宋体" w:hAnsi="宋体" w:eastAsia="宋体" w:cs="宋体"/>
          <w:color w:val="auto"/>
          <w:spacing w:val="0"/>
          <w:w w:val="100"/>
          <w:position w:val="0"/>
          <w:highlight w:val="none"/>
        </w:rPr>
      </w:pPr>
    </w:p>
    <w:p>
      <w:pPr>
        <w:pStyle w:val="40"/>
        <w:rPr>
          <w:rFonts w:hint="eastAsia"/>
        </w:rPr>
      </w:pPr>
    </w:p>
    <w:p>
      <w:pPr>
        <w:keepNext w:val="0"/>
        <w:keepLines w:val="0"/>
        <w:pageBreakBefore w:val="0"/>
        <w:widowControl w:val="0"/>
        <w:kinsoku/>
        <w:wordWrap/>
        <w:overflowPunct/>
        <w:topLinePunct w:val="0"/>
        <w:autoSpaceDE w:val="0"/>
        <w:autoSpaceDN w:val="0"/>
        <w:bidi w:val="0"/>
        <w:adjustRightInd/>
        <w:snapToGrid/>
        <w:spacing w:before="212"/>
        <w:ind w:left="0" w:leftChars="0" w:right="0" w:firstLine="562" w:firstLineChars="200"/>
        <w:jc w:val="left"/>
        <w:textAlignment w:val="auto"/>
        <w:outlineLvl w:val="9"/>
        <w:rPr>
          <w:rFonts w:hint="eastAsia" w:cs="宋体"/>
          <w:b/>
          <w:color w:val="auto"/>
          <w:spacing w:val="0"/>
          <w:w w:val="100"/>
          <w:position w:val="0"/>
          <w:sz w:val="28"/>
          <w:szCs w:val="28"/>
          <w:highlight w:val="none"/>
          <w:lang w:val="en-US" w:eastAsia="zh-CN"/>
        </w:rPr>
      </w:pPr>
      <w:r>
        <w:rPr>
          <w:rFonts w:hint="eastAsia" w:ascii="宋体" w:hAnsi="宋体" w:eastAsia="宋体" w:cs="宋体"/>
          <w:b/>
          <w:color w:val="auto"/>
          <w:spacing w:val="0"/>
          <w:w w:val="100"/>
          <w:position w:val="0"/>
          <w:sz w:val="28"/>
          <w:szCs w:val="28"/>
          <w:highlight w:val="none"/>
        </w:rPr>
        <w:t>项目名称：</w:t>
      </w:r>
      <w:r>
        <w:rPr>
          <w:rFonts w:hint="eastAsia" w:cs="宋体"/>
          <w:b/>
          <w:color w:val="auto"/>
          <w:spacing w:val="0"/>
          <w:w w:val="100"/>
          <w:position w:val="0"/>
          <w:sz w:val="28"/>
          <w:szCs w:val="28"/>
          <w:highlight w:val="none"/>
          <w:lang w:val="en-US" w:eastAsia="zh-CN"/>
        </w:rPr>
        <w:t>昌吉回族自治州产品质量检验所实验室信息管理系统建设项目</w:t>
      </w:r>
    </w:p>
    <w:p>
      <w:pPr>
        <w:pStyle w:val="40"/>
        <w:rPr>
          <w:rFonts w:hint="eastAsia"/>
        </w:rPr>
      </w:pPr>
    </w:p>
    <w:p>
      <w:pPr>
        <w:keepNext w:val="0"/>
        <w:keepLines w:val="0"/>
        <w:pageBreakBefore w:val="0"/>
        <w:widowControl w:val="0"/>
        <w:kinsoku/>
        <w:wordWrap/>
        <w:overflowPunct/>
        <w:topLinePunct w:val="0"/>
        <w:autoSpaceDE w:val="0"/>
        <w:autoSpaceDN w:val="0"/>
        <w:bidi w:val="0"/>
        <w:adjustRightInd/>
        <w:snapToGrid/>
        <w:spacing w:before="212"/>
        <w:ind w:left="0" w:leftChars="0" w:right="0" w:firstLine="562" w:firstLineChars="200"/>
        <w:jc w:val="left"/>
        <w:textAlignment w:val="auto"/>
        <w:outlineLvl w:val="9"/>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项目编号：</w:t>
      </w:r>
      <w:r>
        <w:rPr>
          <w:rFonts w:hint="eastAsia" w:cs="宋体"/>
          <w:b/>
          <w:color w:val="auto"/>
          <w:spacing w:val="0"/>
          <w:w w:val="100"/>
          <w:position w:val="0"/>
          <w:sz w:val="28"/>
          <w:szCs w:val="28"/>
          <w:highlight w:val="none"/>
          <w:lang w:eastAsia="zh-CN"/>
        </w:rPr>
        <w:t>XJTY-ZB-2023-080</w:t>
      </w:r>
    </w:p>
    <w:p>
      <w:pPr>
        <w:pStyle w:val="12"/>
        <w:outlineLvl w:val="9"/>
        <w:rPr>
          <w:rFonts w:hint="eastAsia" w:ascii="宋体" w:hAnsi="宋体" w:eastAsia="宋体" w:cs="宋体"/>
          <w:b/>
          <w:color w:val="auto"/>
          <w:spacing w:val="0"/>
          <w:w w:val="100"/>
          <w:position w:val="0"/>
          <w:sz w:val="28"/>
          <w:szCs w:val="28"/>
          <w:highlight w:val="none"/>
        </w:rPr>
      </w:pPr>
    </w:p>
    <w:p>
      <w:pPr>
        <w:spacing w:before="212" w:line="480" w:lineRule="auto"/>
        <w:ind w:right="0" w:firstLine="562" w:firstLineChars="200"/>
        <w:jc w:val="both"/>
        <w:outlineLvl w:val="9"/>
        <w:rPr>
          <w:rFonts w:hint="eastAsia" w:ascii="宋体" w:hAnsi="宋体" w:eastAsia="宋体" w:cs="宋体"/>
          <w:b/>
          <w:color w:val="auto"/>
          <w:spacing w:val="0"/>
          <w:w w:val="100"/>
          <w:position w:val="0"/>
          <w:sz w:val="28"/>
          <w:szCs w:val="28"/>
          <w:highlight w:val="none"/>
        </w:rPr>
      </w:pPr>
      <w:r>
        <w:rPr>
          <w:rFonts w:hint="eastAsia" w:ascii="宋体" w:hAnsi="宋体" w:eastAsia="宋体" w:cs="宋体"/>
          <w:b/>
          <w:color w:val="auto"/>
          <w:spacing w:val="0"/>
          <w:w w:val="100"/>
          <w:position w:val="0"/>
          <w:sz w:val="28"/>
          <w:szCs w:val="28"/>
          <w:highlight w:val="none"/>
        </w:rPr>
        <w:t>采购</w:t>
      </w:r>
      <w:r>
        <w:rPr>
          <w:rFonts w:hint="eastAsia" w:ascii="宋体" w:hAnsi="宋体" w:eastAsia="宋体" w:cs="宋体"/>
          <w:b/>
          <w:color w:val="auto"/>
          <w:spacing w:val="0"/>
          <w:w w:val="100"/>
          <w:position w:val="0"/>
          <w:sz w:val="28"/>
          <w:szCs w:val="28"/>
          <w:highlight w:val="none"/>
          <w:lang w:val="en-US" w:eastAsia="zh-CN"/>
        </w:rPr>
        <w:t>单位</w:t>
      </w:r>
      <w:r>
        <w:rPr>
          <w:rFonts w:hint="eastAsia" w:ascii="宋体" w:hAnsi="宋体" w:eastAsia="宋体" w:cs="宋体"/>
          <w:b/>
          <w:color w:val="auto"/>
          <w:spacing w:val="0"/>
          <w:w w:val="100"/>
          <w:position w:val="0"/>
          <w:sz w:val="28"/>
          <w:szCs w:val="28"/>
          <w:highlight w:val="none"/>
        </w:rPr>
        <w:t>：</w:t>
      </w:r>
      <w:r>
        <w:rPr>
          <w:rFonts w:hint="eastAsia" w:cs="宋体"/>
          <w:b/>
          <w:color w:val="auto"/>
          <w:spacing w:val="0"/>
          <w:w w:val="100"/>
          <w:position w:val="0"/>
          <w:sz w:val="28"/>
          <w:szCs w:val="28"/>
          <w:highlight w:val="none"/>
          <w:u w:val="single"/>
          <w:lang w:val="zh-CN" w:eastAsia="zh-CN"/>
        </w:rPr>
        <w:t>昌吉回族自治州产品质量检验所</w:t>
      </w:r>
      <w:r>
        <w:rPr>
          <w:rFonts w:hint="eastAsia" w:ascii="宋体" w:hAnsi="宋体" w:eastAsia="宋体" w:cs="宋体"/>
          <w:b/>
          <w:color w:val="auto"/>
          <w:spacing w:val="0"/>
          <w:w w:val="100"/>
          <w:position w:val="0"/>
          <w:sz w:val="28"/>
          <w:szCs w:val="28"/>
          <w:highlight w:val="none"/>
          <w:lang w:val="zh-CN"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val="zh-CN" w:eastAsia="zh-CN"/>
        </w:rPr>
        <w:t>）</w:t>
      </w:r>
    </w:p>
    <w:p>
      <w:pPr>
        <w:spacing w:before="211" w:line="480" w:lineRule="auto"/>
        <w:ind w:right="0" w:firstLine="562" w:firstLineChars="200"/>
        <w:jc w:val="both"/>
        <w:outlineLvl w:val="9"/>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采购代理：</w:t>
      </w:r>
      <w:r>
        <w:rPr>
          <w:rFonts w:hint="eastAsia" w:ascii="宋体" w:hAnsi="宋体" w:eastAsia="宋体" w:cs="宋体"/>
          <w:b/>
          <w:color w:val="auto"/>
          <w:spacing w:val="0"/>
          <w:w w:val="100"/>
          <w:position w:val="0"/>
          <w:sz w:val="28"/>
          <w:szCs w:val="28"/>
          <w:highlight w:val="none"/>
          <w:u w:val="single"/>
          <w:lang w:eastAsia="zh-CN"/>
        </w:rPr>
        <w:t>新疆拓远工程管理服务有限公司</w:t>
      </w:r>
      <w:r>
        <w:rPr>
          <w:rFonts w:hint="eastAsia" w:ascii="宋体" w:hAnsi="宋体" w:eastAsia="宋体" w:cs="宋体"/>
          <w:b/>
          <w:color w:val="auto"/>
          <w:spacing w:val="0"/>
          <w:w w:val="100"/>
          <w:position w:val="0"/>
          <w:sz w:val="28"/>
          <w:szCs w:val="28"/>
          <w:highlight w:val="none"/>
          <w:lang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eastAsia="zh-CN"/>
        </w:rPr>
        <w:t>）</w:t>
      </w:r>
    </w:p>
    <w:p>
      <w:pPr>
        <w:spacing w:before="211" w:line="480" w:lineRule="auto"/>
        <w:ind w:right="0"/>
        <w:jc w:val="center"/>
        <w:outlineLvl w:val="9"/>
        <w:rPr>
          <w:rFonts w:hint="eastAsia" w:ascii="宋体" w:hAnsi="宋体" w:eastAsia="宋体" w:cs="宋体"/>
          <w:color w:val="auto"/>
          <w:spacing w:val="0"/>
          <w:w w:val="100"/>
          <w:position w:val="0"/>
          <w:highlight w:val="none"/>
        </w:rPr>
      </w:pPr>
      <w:r>
        <w:rPr>
          <w:rFonts w:hint="eastAsia" w:ascii="宋体" w:hAnsi="宋体" w:eastAsia="宋体" w:cs="宋体"/>
          <w:b/>
          <w:color w:val="auto"/>
          <w:spacing w:val="0"/>
          <w:w w:val="100"/>
          <w:position w:val="0"/>
          <w:sz w:val="28"/>
          <w:szCs w:val="28"/>
          <w:highlight w:val="none"/>
          <w:lang w:eastAsia="zh-CN"/>
        </w:rPr>
        <w:t>二〇二</w:t>
      </w:r>
      <w:r>
        <w:rPr>
          <w:rFonts w:hint="eastAsia" w:cs="宋体"/>
          <w:b/>
          <w:color w:val="auto"/>
          <w:spacing w:val="0"/>
          <w:w w:val="100"/>
          <w:position w:val="0"/>
          <w:sz w:val="28"/>
          <w:szCs w:val="28"/>
          <w:highlight w:val="none"/>
          <w:lang w:val="en-US" w:eastAsia="zh-CN"/>
        </w:rPr>
        <w:t>三</w:t>
      </w:r>
      <w:r>
        <w:rPr>
          <w:rFonts w:hint="eastAsia" w:ascii="宋体" w:hAnsi="宋体" w:eastAsia="宋体" w:cs="宋体"/>
          <w:b/>
          <w:color w:val="auto"/>
          <w:spacing w:val="0"/>
          <w:w w:val="100"/>
          <w:position w:val="0"/>
          <w:sz w:val="28"/>
          <w:szCs w:val="28"/>
          <w:highlight w:val="none"/>
          <w:lang w:eastAsia="zh-CN"/>
        </w:rPr>
        <w:t>年</w:t>
      </w:r>
      <w:r>
        <w:rPr>
          <w:rFonts w:hint="eastAsia" w:cs="宋体"/>
          <w:b/>
          <w:color w:val="auto"/>
          <w:spacing w:val="0"/>
          <w:w w:val="100"/>
          <w:position w:val="0"/>
          <w:sz w:val="28"/>
          <w:szCs w:val="28"/>
          <w:highlight w:val="none"/>
          <w:lang w:val="en-US" w:eastAsia="zh-CN"/>
        </w:rPr>
        <w:t>八</w:t>
      </w:r>
      <w:r>
        <w:rPr>
          <w:rFonts w:hint="eastAsia" w:ascii="宋体" w:hAnsi="宋体" w:eastAsia="宋体" w:cs="宋体"/>
          <w:b/>
          <w:color w:val="auto"/>
          <w:spacing w:val="0"/>
          <w:w w:val="100"/>
          <w:position w:val="0"/>
          <w:sz w:val="28"/>
          <w:szCs w:val="28"/>
          <w:highlight w:val="none"/>
          <w:lang w:eastAsia="zh-CN"/>
        </w:rPr>
        <w:t>月</w:t>
      </w:r>
      <w:r>
        <w:rPr>
          <w:rFonts w:hint="eastAsia" w:ascii="宋体" w:hAnsi="宋体" w:eastAsia="宋体" w:cs="宋体"/>
          <w:b/>
          <w:color w:val="auto"/>
          <w:spacing w:val="0"/>
          <w:w w:val="100"/>
          <w:position w:val="0"/>
          <w:sz w:val="28"/>
          <w:szCs w:val="28"/>
          <w:highlight w:val="none"/>
          <w:lang w:eastAsia="zh-CN"/>
        </w:rPr>
        <w:br w:type="page"/>
      </w:r>
    </w:p>
    <w:p>
      <w:pPr>
        <w:pStyle w:val="16"/>
        <w:rPr>
          <w:rFonts w:hint="eastAsia"/>
        </w:rPr>
        <w:sectPr>
          <w:footerReference r:id="rId3" w:type="default"/>
          <w:pgSz w:w="11910" w:h="16840"/>
          <w:pgMar w:top="1440" w:right="1080" w:bottom="1440" w:left="1080" w:header="845" w:footer="975" w:gutter="0"/>
          <w:pgBorders>
            <w:top w:val="none" w:sz="0" w:space="0"/>
            <w:left w:val="none" w:sz="0" w:space="0"/>
            <w:bottom w:val="none" w:sz="0" w:space="0"/>
            <w:right w:val="none" w:sz="0" w:space="0"/>
          </w:pgBorders>
          <w:pgNumType w:fmt="numberInDash" w:start="1"/>
          <w:cols w:space="0" w:num="1"/>
          <w:rtlGutter w:val="0"/>
          <w:docGrid w:linePitch="0" w:charSpace="0"/>
        </w:sectPr>
      </w:pPr>
    </w:p>
    <w:sdt>
      <w:sdtPr>
        <w:rPr>
          <w:rFonts w:ascii="宋体" w:hAnsi="宋体" w:eastAsia="宋体" w:cs="宋体"/>
          <w:b/>
          <w:bCs/>
          <w:color w:val="auto"/>
          <w:sz w:val="32"/>
          <w:szCs w:val="32"/>
          <w:highlight w:val="none"/>
          <w:lang w:val="zh-CN" w:eastAsia="zh-CN" w:bidi="zh-CN"/>
        </w:rPr>
        <w:id w:val="147470788"/>
        <w15:color w:val="DBDBDB"/>
        <w:docPartObj>
          <w:docPartGallery w:val="Table of Contents"/>
          <w:docPartUnique/>
        </w:docPartObj>
      </w:sdtPr>
      <w:sdtEndPr>
        <w:rPr>
          <w:rFonts w:ascii="宋体" w:hAnsi="宋体" w:eastAsia="宋体" w:cs="宋体"/>
          <w:b/>
          <w:bCs/>
          <w:color w:val="auto"/>
          <w:sz w:val="32"/>
          <w:szCs w:val="32"/>
          <w:highlight w:val="none"/>
          <w:lang w:val="zh-CN" w:eastAsia="zh-CN" w:bidi="zh-CN"/>
        </w:rPr>
      </w:sdtEndPr>
      <w:sdtContent>
        <w:p>
          <w:pPr>
            <w:spacing w:before="0" w:beforeLines="0" w:after="0" w:afterLines="0" w:line="240" w:lineRule="auto"/>
            <w:ind w:left="0" w:leftChars="0" w:right="0" w:rightChars="0" w:firstLine="0" w:firstLineChars="0"/>
            <w:jc w:val="center"/>
            <w:rPr>
              <w:b/>
              <w:bCs/>
              <w:color w:val="auto"/>
              <w:sz w:val="32"/>
              <w:szCs w:val="32"/>
              <w:highlight w:val="none"/>
            </w:rPr>
          </w:pPr>
          <w:bookmarkStart w:id="0" w:name="_Toc26944"/>
          <w:bookmarkStart w:id="1" w:name="_Toc23577"/>
          <w:bookmarkStart w:id="2" w:name="_Toc15649"/>
          <w:bookmarkStart w:id="3" w:name="_Toc26477"/>
          <w:bookmarkStart w:id="4" w:name="_Toc6040"/>
          <w:bookmarkStart w:id="5" w:name="_Toc16284"/>
          <w:r>
            <w:rPr>
              <w:rFonts w:ascii="宋体" w:hAnsi="宋体" w:eastAsia="宋体"/>
              <w:b/>
              <w:bCs/>
              <w:color w:val="auto"/>
              <w:sz w:val="32"/>
              <w:szCs w:val="32"/>
              <w:highlight w:val="none"/>
            </w:rPr>
            <w:t>目录</w:t>
          </w:r>
        </w:p>
        <w:p>
          <w:pPr>
            <w:pStyle w:val="24"/>
            <w:keepNext w:val="0"/>
            <w:keepLines w:val="0"/>
            <w:pageBreakBefore w:val="0"/>
            <w:widowControl w:val="0"/>
            <w:tabs>
              <w:tab w:val="right" w:leader="dot" w:pos="9750"/>
            </w:tabs>
            <w:kinsoku/>
            <w:wordWrap/>
            <w:overflowPunct/>
            <w:topLinePunct w:val="0"/>
            <w:autoSpaceDE w:val="0"/>
            <w:autoSpaceDN w:val="0"/>
            <w:bidi w:val="0"/>
            <w:adjustRightInd/>
            <w:snapToGrid/>
            <w:spacing w:before="0"/>
            <w:ind w:left="0" w:leftChars="0"/>
            <w:textAlignment w:val="auto"/>
            <w:rPr>
              <w:rFonts w:hint="eastAsia" w:ascii="宋体" w:hAnsi="宋体" w:eastAsia="宋体" w:cs="宋体"/>
              <w:b w:val="0"/>
              <w:bCs w:val="0"/>
              <w:color w:val="auto"/>
              <w:sz w:val="24"/>
              <w:szCs w:val="24"/>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_Toc21599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zh-CN"/>
            </w:rPr>
            <w:t xml:space="preserve">第一部分 </w:t>
          </w:r>
          <w:r>
            <w:rPr>
              <w:rFonts w:hint="eastAsia" w:ascii="宋体" w:hAnsi="宋体" w:eastAsia="宋体" w:cs="宋体"/>
              <w:b w:val="0"/>
              <w:bCs w:val="0"/>
              <w:color w:val="auto"/>
              <w:spacing w:val="0"/>
              <w:w w:val="100"/>
              <w:position w:val="0"/>
              <w:sz w:val="24"/>
              <w:szCs w:val="24"/>
              <w:highlight w:val="none"/>
            </w:rPr>
            <w:t>磋商邀请</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_Toc21599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- 1 -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4"/>
            <w:keepNext w:val="0"/>
            <w:keepLines w:val="0"/>
            <w:pageBreakBefore w:val="0"/>
            <w:widowControl w:val="0"/>
            <w:tabs>
              <w:tab w:val="right" w:leader="dot" w:pos="9750"/>
            </w:tabs>
            <w:kinsoku/>
            <w:wordWrap/>
            <w:overflowPunct/>
            <w:topLinePunct w:val="0"/>
            <w:autoSpaceDE w:val="0"/>
            <w:autoSpaceDN w:val="0"/>
            <w:bidi w:val="0"/>
            <w:adjustRightInd/>
            <w:snapToGrid/>
            <w:spacing w:before="0"/>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_Toc7044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第二部分</w:t>
          </w:r>
          <w:r>
            <w:rPr>
              <w:rFonts w:hint="eastAsia" w:ascii="宋体" w:hAnsi="宋体" w:eastAsia="宋体" w:cs="宋体"/>
              <w:b w:val="0"/>
              <w:bCs w:val="0"/>
              <w:color w:val="auto"/>
              <w:spacing w:val="0"/>
              <w:w w:val="100"/>
              <w:position w:val="0"/>
              <w:sz w:val="24"/>
              <w:szCs w:val="24"/>
              <w:highlight w:val="none"/>
              <w:lang w:val="en-US" w:eastAsia="zh-CN"/>
            </w:rPr>
            <w:t xml:space="preserve"> 采购需求</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_Toc7044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- 4 -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4"/>
            <w:keepNext w:val="0"/>
            <w:keepLines w:val="0"/>
            <w:pageBreakBefore w:val="0"/>
            <w:widowControl w:val="0"/>
            <w:tabs>
              <w:tab w:val="right" w:leader="dot" w:pos="9750"/>
            </w:tabs>
            <w:kinsoku/>
            <w:wordWrap/>
            <w:overflowPunct/>
            <w:topLinePunct w:val="0"/>
            <w:autoSpaceDE w:val="0"/>
            <w:autoSpaceDN w:val="0"/>
            <w:bidi w:val="0"/>
            <w:adjustRightInd/>
            <w:snapToGrid/>
            <w:spacing w:before="0"/>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_Toc23334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zh-CN"/>
            </w:rPr>
            <w:t xml:space="preserve">第三部分 </w:t>
          </w:r>
          <w:r>
            <w:rPr>
              <w:rFonts w:hint="eastAsia" w:ascii="宋体" w:hAnsi="宋体" w:eastAsia="宋体" w:cs="宋体"/>
              <w:b w:val="0"/>
              <w:bCs w:val="0"/>
              <w:color w:val="auto"/>
              <w:spacing w:val="0"/>
              <w:w w:val="100"/>
              <w:position w:val="0"/>
              <w:sz w:val="24"/>
              <w:szCs w:val="24"/>
              <w:highlight w:val="none"/>
            </w:rPr>
            <w:t>供应商须知</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_Toc23334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- 8 -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_Toc9470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供应商须知前附表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_Toc9470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- 8 -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_Toc5490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供应商须知</w:t>
          </w:r>
          <w:r>
            <w:rPr>
              <w:rFonts w:hint="eastAsia" w:ascii="宋体" w:hAnsi="宋体" w:eastAsia="宋体" w:cs="宋体"/>
              <w:b w:val="0"/>
              <w:bCs w:val="0"/>
              <w:color w:val="auto"/>
              <w:spacing w:val="0"/>
              <w:w w:val="100"/>
              <w:position w:val="0"/>
              <w:sz w:val="24"/>
              <w:szCs w:val="24"/>
              <w:highlight w:val="none"/>
              <w:lang w:val="en-US" w:eastAsia="zh-CN"/>
            </w:rPr>
            <w:t>正文</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_Toc5490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- 16 -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_Toc24980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一、总则</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_Toc24980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- 16 -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_Toc20065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二、竞争性磋商文件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_Toc20065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- 20 -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_Toc22350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三、响应文件的编制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_Toc22350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- 21 -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_Toc17849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zh-CN"/>
            </w:rPr>
            <w:t>四</w:t>
          </w:r>
          <w:r>
            <w:rPr>
              <w:rFonts w:hint="eastAsia" w:ascii="宋体" w:hAnsi="宋体" w:eastAsia="宋体" w:cs="宋体"/>
              <w:b w:val="0"/>
              <w:bCs w:val="0"/>
              <w:color w:val="auto"/>
              <w:spacing w:val="0"/>
              <w:w w:val="100"/>
              <w:position w:val="0"/>
              <w:sz w:val="24"/>
              <w:szCs w:val="24"/>
              <w:highlight w:val="none"/>
            </w:rPr>
            <w:t>、评审及磋商</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_Toc17849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- 24 -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_Toc14669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zh-CN"/>
            </w:rPr>
            <w:t>五、成交及合同</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_Toc14669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- 25 -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_Toc21189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en-US"/>
            </w:rPr>
            <w:t>六、验收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_Toc21189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- 28 -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_Toc22453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en-US"/>
            </w:rPr>
            <w:t>七、其他事项</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_Toc22453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- 28 -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_Toc2830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zh-CN"/>
            </w:rPr>
            <w:t>八</w:t>
          </w:r>
          <w:r>
            <w:rPr>
              <w:rFonts w:hint="eastAsia" w:ascii="宋体" w:hAnsi="宋体" w:eastAsia="宋体" w:cs="宋体"/>
              <w:b w:val="0"/>
              <w:bCs w:val="0"/>
              <w:color w:val="auto"/>
              <w:spacing w:val="0"/>
              <w:w w:val="100"/>
              <w:position w:val="0"/>
              <w:sz w:val="24"/>
              <w:szCs w:val="24"/>
              <w:highlight w:val="none"/>
              <w:lang w:val="en-US" w:eastAsia="en-US"/>
            </w:rPr>
            <w:t>、适用法律</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_Toc2830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- 29 -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4"/>
            <w:keepNext w:val="0"/>
            <w:keepLines w:val="0"/>
            <w:pageBreakBefore w:val="0"/>
            <w:widowControl w:val="0"/>
            <w:tabs>
              <w:tab w:val="right" w:leader="dot" w:pos="9750"/>
            </w:tabs>
            <w:kinsoku/>
            <w:wordWrap/>
            <w:overflowPunct/>
            <w:topLinePunct w:val="0"/>
            <w:autoSpaceDE w:val="0"/>
            <w:autoSpaceDN w:val="0"/>
            <w:bidi w:val="0"/>
            <w:adjustRightInd/>
            <w:snapToGrid/>
            <w:spacing w:before="0"/>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_Toc18425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第四部分</w:t>
          </w:r>
          <w:r>
            <w:rPr>
              <w:rFonts w:hint="eastAsia" w:ascii="宋体" w:hAnsi="宋体" w:eastAsia="宋体" w:cs="宋体"/>
              <w:b w:val="0"/>
              <w:bCs w:val="0"/>
              <w:color w:val="auto"/>
              <w:spacing w:val="0"/>
              <w:w w:val="100"/>
              <w:position w:val="0"/>
              <w:sz w:val="24"/>
              <w:szCs w:val="24"/>
              <w:highlight w:val="none"/>
              <w:lang w:val="en-US" w:eastAsia="zh-CN"/>
            </w:rPr>
            <w:t xml:space="preserve"> </w:t>
          </w:r>
          <w:r>
            <w:rPr>
              <w:rFonts w:hint="eastAsia" w:ascii="宋体" w:hAnsi="宋体" w:eastAsia="宋体" w:cs="宋体"/>
              <w:b w:val="0"/>
              <w:bCs w:val="0"/>
              <w:color w:val="auto"/>
              <w:spacing w:val="0"/>
              <w:w w:val="100"/>
              <w:position w:val="0"/>
              <w:sz w:val="24"/>
              <w:szCs w:val="24"/>
              <w:highlight w:val="none"/>
            </w:rPr>
            <w:t>评审程序、评审方法和评审标准</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_Toc18425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- 30 -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_Toc29701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
              <w:sz w:val="24"/>
              <w:szCs w:val="24"/>
              <w:highlight w:val="none"/>
            </w:rPr>
            <w:t>第一节</w:t>
          </w:r>
          <w:r>
            <w:rPr>
              <w:rFonts w:hint="eastAsia" w:ascii="宋体" w:hAnsi="宋体" w:eastAsia="宋体" w:cs="宋体"/>
              <w:b w:val="0"/>
              <w:bCs w:val="0"/>
              <w:color w:val="auto"/>
              <w:spacing w:val="-1"/>
              <w:sz w:val="24"/>
              <w:szCs w:val="24"/>
              <w:highlight w:val="none"/>
              <w:lang w:val="en-US" w:eastAsia="zh-CN"/>
            </w:rPr>
            <w:t xml:space="preserve"> </w:t>
          </w:r>
          <w:r>
            <w:rPr>
              <w:rFonts w:hint="eastAsia" w:ascii="宋体" w:hAnsi="宋体" w:eastAsia="宋体" w:cs="宋体"/>
              <w:b w:val="0"/>
              <w:bCs w:val="0"/>
              <w:color w:val="auto"/>
              <w:spacing w:val="-1"/>
              <w:sz w:val="24"/>
              <w:szCs w:val="24"/>
              <w:highlight w:val="none"/>
            </w:rPr>
            <w:t>评审程序和评审方法</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_Toc29701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- 30 -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_Toc20583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
              <w:sz w:val="24"/>
              <w:szCs w:val="24"/>
              <w:highlight w:val="none"/>
              <w:lang w:val="en-US" w:eastAsia="en-US"/>
            </w:rPr>
            <w:t>第二节</w:t>
          </w:r>
          <w:r>
            <w:rPr>
              <w:rFonts w:hint="eastAsia" w:ascii="宋体" w:hAnsi="宋体" w:eastAsia="宋体" w:cs="宋体"/>
              <w:b w:val="0"/>
              <w:bCs w:val="0"/>
              <w:color w:val="auto"/>
              <w:spacing w:val="-1"/>
              <w:sz w:val="24"/>
              <w:szCs w:val="24"/>
              <w:highlight w:val="none"/>
              <w:lang w:val="en-US" w:eastAsia="zh-CN"/>
            </w:rPr>
            <w:t xml:space="preserve"> </w:t>
          </w:r>
          <w:r>
            <w:rPr>
              <w:rFonts w:hint="eastAsia" w:ascii="宋体" w:hAnsi="宋体" w:eastAsia="宋体" w:cs="宋体"/>
              <w:b w:val="0"/>
              <w:bCs w:val="0"/>
              <w:color w:val="auto"/>
              <w:spacing w:val="-1"/>
              <w:sz w:val="24"/>
              <w:szCs w:val="24"/>
              <w:highlight w:val="none"/>
              <w:lang w:val="en-US" w:eastAsia="en-US"/>
            </w:rPr>
            <w:t>评标报告</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_Toc20583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- 37 -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_Toc16091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
              <w:sz w:val="24"/>
              <w:szCs w:val="24"/>
              <w:highlight w:val="none"/>
              <w:lang w:val="en-US" w:eastAsia="en-US"/>
            </w:rPr>
            <w:t>第三节</w:t>
          </w:r>
          <w:r>
            <w:rPr>
              <w:rFonts w:hint="eastAsia" w:ascii="宋体" w:hAnsi="宋体" w:eastAsia="宋体" w:cs="宋体"/>
              <w:b w:val="0"/>
              <w:bCs w:val="0"/>
              <w:color w:val="auto"/>
              <w:spacing w:val="-1"/>
              <w:sz w:val="24"/>
              <w:szCs w:val="24"/>
              <w:highlight w:val="none"/>
              <w:lang w:val="en-US" w:eastAsia="zh-CN"/>
            </w:rPr>
            <w:t xml:space="preserve"> </w:t>
          </w:r>
          <w:r>
            <w:rPr>
              <w:rFonts w:hint="eastAsia" w:ascii="宋体" w:hAnsi="宋体" w:eastAsia="宋体" w:cs="宋体"/>
              <w:b w:val="0"/>
              <w:bCs w:val="0"/>
              <w:color w:val="auto"/>
              <w:spacing w:val="-1"/>
              <w:sz w:val="24"/>
              <w:szCs w:val="24"/>
              <w:highlight w:val="none"/>
              <w:lang w:val="en-US" w:eastAsia="en-US"/>
            </w:rPr>
            <w:t>评审过程的保密与录像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_Toc16091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- 37 -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_Toc14629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
              <w:sz w:val="24"/>
              <w:szCs w:val="24"/>
              <w:highlight w:val="none"/>
              <w:lang w:val="en-US" w:eastAsia="en-US"/>
            </w:rPr>
            <w:t>第</w:t>
          </w:r>
          <w:r>
            <w:rPr>
              <w:rFonts w:hint="eastAsia" w:ascii="宋体" w:hAnsi="宋体" w:eastAsia="宋体" w:cs="宋体"/>
              <w:b w:val="0"/>
              <w:bCs w:val="0"/>
              <w:color w:val="auto"/>
              <w:spacing w:val="-1"/>
              <w:sz w:val="24"/>
              <w:szCs w:val="24"/>
              <w:highlight w:val="none"/>
              <w:lang w:val="en-US" w:eastAsia="zh-CN"/>
            </w:rPr>
            <w:t>四</w:t>
          </w:r>
          <w:r>
            <w:rPr>
              <w:rFonts w:hint="eastAsia" w:ascii="宋体" w:hAnsi="宋体" w:eastAsia="宋体" w:cs="宋体"/>
              <w:b w:val="0"/>
              <w:bCs w:val="0"/>
              <w:color w:val="auto"/>
              <w:spacing w:val="-1"/>
              <w:sz w:val="24"/>
              <w:szCs w:val="24"/>
              <w:highlight w:val="none"/>
              <w:lang w:val="en-US" w:eastAsia="en-US"/>
            </w:rPr>
            <w:t>节</w:t>
          </w:r>
          <w:r>
            <w:rPr>
              <w:rFonts w:hint="eastAsia" w:ascii="宋体" w:hAnsi="宋体" w:eastAsia="宋体" w:cs="宋体"/>
              <w:b w:val="0"/>
              <w:bCs w:val="0"/>
              <w:color w:val="auto"/>
              <w:spacing w:val="-1"/>
              <w:sz w:val="24"/>
              <w:szCs w:val="24"/>
              <w:highlight w:val="none"/>
              <w:lang w:val="en-US" w:eastAsia="zh-CN"/>
            </w:rPr>
            <w:t xml:space="preserve"> 评标中的落实政府采购政策具体办法</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_Toc14629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- 38 -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4"/>
            <w:keepNext w:val="0"/>
            <w:keepLines w:val="0"/>
            <w:pageBreakBefore w:val="0"/>
            <w:widowControl w:val="0"/>
            <w:tabs>
              <w:tab w:val="right" w:leader="dot" w:pos="9750"/>
            </w:tabs>
            <w:kinsoku/>
            <w:wordWrap/>
            <w:overflowPunct/>
            <w:topLinePunct w:val="0"/>
            <w:autoSpaceDE w:val="0"/>
            <w:autoSpaceDN w:val="0"/>
            <w:bidi w:val="0"/>
            <w:adjustRightInd/>
            <w:snapToGrid/>
            <w:spacing w:before="0"/>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_Toc18443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eastAsia="zh-CN"/>
            </w:rPr>
            <w:t>第五部分</w:t>
          </w:r>
          <w:r>
            <w:rPr>
              <w:rFonts w:hint="eastAsia" w:ascii="宋体" w:hAnsi="宋体" w:eastAsia="宋体" w:cs="宋体"/>
              <w:b w:val="0"/>
              <w:bCs w:val="0"/>
              <w:color w:val="auto"/>
              <w:spacing w:val="0"/>
              <w:w w:val="100"/>
              <w:position w:val="0"/>
              <w:sz w:val="24"/>
              <w:szCs w:val="24"/>
              <w:highlight w:val="none"/>
              <w:lang w:val="en-US" w:eastAsia="zh-CN"/>
            </w:rPr>
            <w:t xml:space="preserve"> </w:t>
          </w:r>
          <w:r>
            <w:rPr>
              <w:rFonts w:hint="eastAsia" w:ascii="宋体" w:hAnsi="宋体" w:eastAsia="宋体" w:cs="宋体"/>
              <w:b w:val="0"/>
              <w:bCs w:val="0"/>
              <w:color w:val="auto"/>
              <w:spacing w:val="0"/>
              <w:w w:val="100"/>
              <w:position w:val="0"/>
              <w:sz w:val="24"/>
              <w:szCs w:val="24"/>
              <w:highlight w:val="none"/>
            </w:rPr>
            <w:t>合同书格式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_Toc18443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- 41 -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4"/>
            <w:keepNext w:val="0"/>
            <w:keepLines w:val="0"/>
            <w:pageBreakBefore w:val="0"/>
            <w:widowControl w:val="0"/>
            <w:tabs>
              <w:tab w:val="right" w:leader="dot" w:pos="9750"/>
            </w:tabs>
            <w:kinsoku/>
            <w:wordWrap/>
            <w:overflowPunct/>
            <w:topLinePunct w:val="0"/>
            <w:autoSpaceDE w:val="0"/>
            <w:autoSpaceDN w:val="0"/>
            <w:bidi w:val="0"/>
            <w:adjustRightInd/>
            <w:snapToGrid/>
            <w:spacing w:before="0"/>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_Toc30202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第六部分</w:t>
          </w:r>
          <w:r>
            <w:rPr>
              <w:rFonts w:hint="eastAsia" w:ascii="宋体" w:hAnsi="宋体" w:eastAsia="宋体" w:cs="宋体"/>
              <w:b w:val="0"/>
              <w:bCs w:val="0"/>
              <w:color w:val="auto"/>
              <w:spacing w:val="0"/>
              <w:w w:val="100"/>
              <w:position w:val="0"/>
              <w:sz w:val="24"/>
              <w:szCs w:val="24"/>
              <w:highlight w:val="none"/>
              <w:lang w:val="en-US"/>
            </w:rPr>
            <w:t xml:space="preserve"> </w:t>
          </w:r>
          <w:r>
            <w:rPr>
              <w:rFonts w:hint="eastAsia" w:ascii="宋体" w:hAnsi="宋体" w:eastAsia="宋体" w:cs="宋体"/>
              <w:b w:val="0"/>
              <w:bCs w:val="0"/>
              <w:color w:val="auto"/>
              <w:spacing w:val="0"/>
              <w:w w:val="100"/>
              <w:position w:val="0"/>
              <w:sz w:val="24"/>
              <w:szCs w:val="24"/>
              <w:highlight w:val="none"/>
            </w:rPr>
            <w:t>响应文件格式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_Toc30202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- 45 -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_Toc8308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smallCaps w:val="0"/>
              <w:color w:val="auto"/>
              <w:spacing w:val="0"/>
              <w:w w:val="100"/>
              <w:position w:val="0"/>
              <w:sz w:val="24"/>
              <w:szCs w:val="24"/>
              <w:highlight w:val="none"/>
            </w:rPr>
            <w:t>封面建议格式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_Toc8308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- 45 -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第</w:t>
          </w:r>
          <w:r>
            <w:rPr>
              <w:rFonts w:hint="eastAsia" w:ascii="宋体" w:hAnsi="宋体" w:eastAsia="宋体" w:cs="宋体"/>
              <w:bCs/>
              <w:smallCaps w:val="0"/>
              <w:color w:val="auto"/>
              <w:spacing w:val="0"/>
              <w:position w:val="0"/>
              <w:sz w:val="24"/>
              <w:szCs w:val="24"/>
              <w:highlight w:val="none"/>
              <w:lang w:val="en-US" w:eastAsia="zh-CN" w:bidi="zh-CN"/>
            </w:rPr>
            <w:t>一</w:t>
          </w:r>
          <w:r>
            <w:rPr>
              <w:rFonts w:hint="eastAsia" w:ascii="宋体" w:hAnsi="宋体" w:eastAsia="宋体" w:cs="宋体"/>
              <w:bCs/>
              <w:smallCaps w:val="0"/>
              <w:color w:val="auto"/>
              <w:spacing w:val="0"/>
              <w:position w:val="0"/>
              <w:sz w:val="24"/>
              <w:szCs w:val="24"/>
              <w:highlight w:val="none"/>
              <w:lang w:val="zh-CN" w:eastAsia="zh-CN" w:bidi="zh-CN"/>
            </w:rPr>
            <w:t>节 资格证明文件格式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1 资格、资信证明文件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_Toc21483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第</w:t>
          </w:r>
          <w:r>
            <w:rPr>
              <w:rFonts w:hint="eastAsia" w:ascii="宋体" w:hAnsi="宋体" w:eastAsia="宋体" w:cs="宋体"/>
              <w:bCs/>
              <w:smallCaps w:val="0"/>
              <w:color w:val="auto"/>
              <w:spacing w:val="0"/>
              <w:position w:val="0"/>
              <w:sz w:val="24"/>
              <w:szCs w:val="24"/>
              <w:highlight w:val="none"/>
              <w:lang w:val="en-US" w:eastAsia="zh-CN" w:bidi="zh-CN"/>
            </w:rPr>
            <w:t>二</w:t>
          </w:r>
          <w:r>
            <w:rPr>
              <w:rFonts w:hint="eastAsia" w:ascii="宋体" w:hAnsi="宋体" w:eastAsia="宋体" w:cs="宋体"/>
              <w:bCs/>
              <w:smallCaps w:val="0"/>
              <w:color w:val="auto"/>
              <w:spacing w:val="0"/>
              <w:position w:val="0"/>
              <w:sz w:val="24"/>
              <w:szCs w:val="24"/>
              <w:highlight w:val="none"/>
              <w:lang w:val="zh-CN" w:eastAsia="zh-CN" w:bidi="zh-CN"/>
            </w:rPr>
            <w:t>节 商务</w:t>
          </w:r>
          <w:r>
            <w:rPr>
              <w:rFonts w:hint="eastAsia" w:ascii="宋体" w:hAnsi="宋体" w:eastAsia="宋体" w:cs="宋体"/>
              <w:bCs/>
              <w:smallCaps w:val="0"/>
              <w:color w:val="auto"/>
              <w:spacing w:val="0"/>
              <w:position w:val="0"/>
              <w:sz w:val="24"/>
              <w:szCs w:val="24"/>
              <w:highlight w:val="none"/>
              <w:lang w:val="en-US" w:eastAsia="zh-CN" w:bidi="zh-CN"/>
            </w:rPr>
            <w:t>技术</w:t>
          </w:r>
          <w:r>
            <w:rPr>
              <w:rFonts w:hint="eastAsia" w:ascii="宋体" w:hAnsi="宋体" w:eastAsia="宋体" w:cs="宋体"/>
              <w:bCs/>
              <w:smallCaps w:val="0"/>
              <w:color w:val="auto"/>
              <w:spacing w:val="0"/>
              <w:position w:val="0"/>
              <w:sz w:val="24"/>
              <w:szCs w:val="24"/>
              <w:highlight w:val="none"/>
              <w:lang w:val="zh-CN" w:eastAsia="zh-CN" w:bidi="zh-CN"/>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1 </w:t>
          </w:r>
          <w:r>
            <w:rPr>
              <w:rFonts w:hint="eastAsia" w:ascii="宋体" w:hAnsi="宋体" w:eastAsia="宋体" w:cs="宋体"/>
              <w:bCs/>
              <w:smallCaps w:val="0"/>
              <w:color w:val="auto"/>
              <w:spacing w:val="0"/>
              <w:position w:val="0"/>
              <w:sz w:val="24"/>
              <w:szCs w:val="24"/>
              <w:highlight w:val="none"/>
              <w:lang w:val="en-US" w:eastAsia="zh-CN" w:bidi="zh-CN"/>
            </w:rPr>
            <w:t>响应</w:t>
          </w:r>
          <w:r>
            <w:rPr>
              <w:rFonts w:hint="eastAsia" w:ascii="宋体" w:hAnsi="宋体" w:eastAsia="宋体" w:cs="宋体"/>
              <w:bCs/>
              <w:smallCaps w:val="0"/>
              <w:color w:val="auto"/>
              <w:spacing w:val="0"/>
              <w:position w:val="0"/>
              <w:sz w:val="24"/>
              <w:szCs w:val="24"/>
              <w:highlight w:val="none"/>
              <w:lang w:val="zh-CN" w:eastAsia="zh-CN" w:bidi="zh-CN"/>
            </w:rPr>
            <w:t>函格式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2 </w:t>
          </w:r>
          <w:r>
            <w:rPr>
              <w:rFonts w:hint="eastAsia" w:ascii="宋体" w:hAnsi="宋体" w:eastAsia="宋体" w:cs="宋体"/>
              <w:bCs/>
              <w:smallCaps w:val="0"/>
              <w:color w:val="auto"/>
              <w:spacing w:val="0"/>
              <w:position w:val="0"/>
              <w:sz w:val="24"/>
              <w:szCs w:val="24"/>
              <w:highlight w:val="none"/>
              <w:lang w:val="zh-CN" w:eastAsia="zh-CN" w:bidi="zh-CN"/>
            </w:rPr>
            <w:t>法定代表人证明书</w:t>
          </w:r>
          <w:r>
            <w:rPr>
              <w:rFonts w:hint="eastAsia" w:ascii="宋体" w:hAnsi="宋体" w:eastAsia="宋体" w:cs="宋体"/>
              <w:bCs/>
              <w:smallCaps w:val="0"/>
              <w:color w:val="auto"/>
              <w:spacing w:val="0"/>
              <w:position w:val="0"/>
              <w:sz w:val="24"/>
              <w:szCs w:val="24"/>
              <w:highlight w:val="none"/>
              <w:lang w:val="en-US" w:eastAsia="zh-CN" w:bidi="zh-CN"/>
            </w:rPr>
            <w:t>和</w:t>
          </w:r>
          <w:r>
            <w:rPr>
              <w:rFonts w:hint="eastAsia" w:ascii="宋体" w:hAnsi="宋体" w:eastAsia="宋体" w:cs="宋体"/>
              <w:bCs/>
              <w:smallCaps w:val="0"/>
              <w:color w:val="auto"/>
              <w:spacing w:val="0"/>
              <w:position w:val="0"/>
              <w:sz w:val="24"/>
              <w:szCs w:val="24"/>
              <w:highlight w:val="none"/>
              <w:lang w:val="zh-CN" w:eastAsia="zh-CN" w:bidi="zh-CN"/>
            </w:rPr>
            <w:t>法定代表人授权书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- 49 -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_Toc15637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3</w:t>
          </w:r>
          <w:r>
            <w:rPr>
              <w:rFonts w:hint="eastAsia" w:ascii="宋体" w:hAnsi="宋体" w:eastAsia="宋体" w:cs="宋体"/>
              <w:bCs/>
              <w:smallCaps w:val="0"/>
              <w:color w:val="auto"/>
              <w:spacing w:val="0"/>
              <w:position w:val="0"/>
              <w:sz w:val="24"/>
              <w:szCs w:val="24"/>
              <w:highlight w:val="none"/>
              <w:lang w:val="zh-CN" w:eastAsia="zh-CN" w:bidi="zh-CN"/>
            </w:rPr>
            <w:t xml:space="preserve"> </w:t>
          </w:r>
          <w:r>
            <w:rPr>
              <w:rFonts w:hint="eastAsia" w:ascii="宋体" w:hAnsi="宋体" w:eastAsia="宋体" w:cs="宋体"/>
              <w:bCs/>
              <w:smallCaps w:val="0"/>
              <w:color w:val="auto"/>
              <w:spacing w:val="0"/>
              <w:position w:val="0"/>
              <w:sz w:val="24"/>
              <w:szCs w:val="24"/>
              <w:highlight w:val="none"/>
              <w:lang w:val="en-US" w:eastAsia="zh-CN" w:bidi="zh-CN"/>
            </w:rPr>
            <w:t>采购需求</w:t>
          </w:r>
          <w:r>
            <w:rPr>
              <w:rFonts w:hint="eastAsia" w:ascii="宋体" w:hAnsi="宋体" w:eastAsia="宋体" w:cs="宋体"/>
              <w:bCs/>
              <w:smallCaps w:val="0"/>
              <w:color w:val="auto"/>
              <w:spacing w:val="0"/>
              <w:position w:val="0"/>
              <w:sz w:val="24"/>
              <w:szCs w:val="24"/>
              <w:highlight w:val="none"/>
              <w:lang w:val="zh-CN" w:eastAsia="zh-CN" w:bidi="zh-CN"/>
            </w:rPr>
            <w:t>偏离表格式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_Toc15637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4</w:t>
          </w:r>
          <w:r>
            <w:rPr>
              <w:rFonts w:hint="eastAsia" w:ascii="宋体" w:hAnsi="宋体" w:eastAsia="宋体" w:cs="宋体"/>
              <w:bCs/>
              <w:smallCaps w:val="0"/>
              <w:color w:val="auto"/>
              <w:spacing w:val="0"/>
              <w:position w:val="0"/>
              <w:sz w:val="24"/>
              <w:szCs w:val="24"/>
              <w:highlight w:val="none"/>
              <w:lang w:val="zh-CN" w:eastAsia="zh-CN" w:bidi="zh-CN"/>
            </w:rPr>
            <w:t xml:space="preserve"> 磋商保证金承诺函格式</w:t>
          </w:r>
          <w:r>
            <w:rPr>
              <w:rFonts w:hint="eastAsia" w:ascii="宋体" w:hAnsi="宋体" w:eastAsia="宋体" w:cs="宋体"/>
              <w:bCs/>
              <w:smallCaps w:val="0"/>
              <w:color w:val="auto"/>
              <w:spacing w:val="0"/>
              <w:position w:val="0"/>
              <w:sz w:val="24"/>
              <w:szCs w:val="24"/>
              <w:highlight w:val="none"/>
              <w:lang w:val="en-US" w:eastAsia="zh-CN" w:bidi="zh-CN"/>
            </w:rPr>
            <w:t>和退还保证金说明函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_Toc12283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_Toc8605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 xml:space="preserve">5 </w:t>
          </w:r>
          <w:r>
            <w:rPr>
              <w:rFonts w:hint="eastAsia" w:ascii="宋体" w:hAnsi="宋体" w:eastAsia="宋体" w:cs="宋体"/>
              <w:bCs/>
              <w:smallCaps w:val="0"/>
              <w:color w:val="auto"/>
              <w:spacing w:val="0"/>
              <w:position w:val="0"/>
              <w:sz w:val="24"/>
              <w:szCs w:val="24"/>
              <w:highlight w:val="none"/>
              <w:lang w:val="zh-CN" w:eastAsia="zh-CN" w:bidi="zh-CN"/>
            </w:rPr>
            <w:t>代理服务费承诺函格式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_Toc8605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6 </w:t>
          </w:r>
          <w:r>
            <w:rPr>
              <w:rFonts w:hint="eastAsia" w:ascii="宋体" w:hAnsi="宋体" w:eastAsia="宋体" w:cs="宋体"/>
              <w:bCs/>
              <w:smallCaps w:val="0"/>
              <w:color w:val="auto"/>
              <w:spacing w:val="0"/>
              <w:position w:val="0"/>
              <w:sz w:val="24"/>
              <w:szCs w:val="24"/>
              <w:highlight w:val="none"/>
              <w:lang w:val="zh-CN" w:eastAsia="zh-CN" w:bidi="zh-CN"/>
            </w:rPr>
            <w:t>供应商基本情况说明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_Toc30508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_Toc6862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7 相关业绩表</w:t>
          </w:r>
          <w:r>
            <w:rPr>
              <w:rFonts w:hint="eastAsia" w:ascii="宋体" w:hAnsi="宋体" w:eastAsia="宋体" w:cs="宋体"/>
              <w:bCs/>
              <w:smallCaps w:val="0"/>
              <w:color w:val="auto"/>
              <w:spacing w:val="0"/>
              <w:position w:val="0"/>
              <w:sz w:val="24"/>
              <w:szCs w:val="24"/>
              <w:highlight w:val="none"/>
              <w:lang w:val="zh-CN" w:eastAsia="zh-CN" w:bidi="zh-CN"/>
            </w:rPr>
            <w:t>情况一览表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_Toc6862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_Toc6119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8 </w:t>
          </w:r>
          <w:r>
            <w:rPr>
              <w:rFonts w:hint="eastAsia" w:ascii="宋体" w:hAnsi="宋体" w:eastAsia="宋体" w:cs="宋体"/>
              <w:bCs/>
              <w:smallCaps w:val="0"/>
              <w:color w:val="auto"/>
              <w:spacing w:val="0"/>
              <w:position w:val="0"/>
              <w:sz w:val="24"/>
              <w:szCs w:val="24"/>
              <w:highlight w:val="none"/>
              <w:lang w:val="zh-CN" w:eastAsia="zh-CN" w:bidi="zh-CN"/>
            </w:rPr>
            <w:t>项目人员配备情况表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_Toc6119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9</w:t>
          </w:r>
          <w:r>
            <w:rPr>
              <w:rFonts w:hint="eastAsia" w:ascii="宋体" w:hAnsi="宋体" w:eastAsia="宋体" w:cs="宋体"/>
              <w:bCs/>
              <w:smallCaps w:val="0"/>
              <w:color w:val="auto"/>
              <w:spacing w:val="0"/>
              <w:position w:val="0"/>
              <w:sz w:val="24"/>
              <w:szCs w:val="24"/>
              <w:highlight w:val="none"/>
              <w:lang w:val="zh-CN" w:eastAsia="zh-CN" w:bidi="zh-CN"/>
            </w:rPr>
            <w:t xml:space="preserve"> 项目整体实施方案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_Toc10705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10</w:t>
          </w:r>
          <w:r>
            <w:rPr>
              <w:rFonts w:hint="eastAsia" w:ascii="宋体" w:hAnsi="宋体" w:eastAsia="宋体" w:cs="宋体"/>
              <w:bCs/>
              <w:smallCaps w:val="0"/>
              <w:color w:val="auto"/>
              <w:spacing w:val="0"/>
              <w:position w:val="0"/>
              <w:sz w:val="24"/>
              <w:szCs w:val="24"/>
              <w:highlight w:val="none"/>
              <w:lang w:val="zh-CN" w:eastAsia="zh-CN" w:bidi="zh-CN"/>
            </w:rPr>
            <w:t xml:space="preserve"> 其他商务技术文件材料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_Toc31713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rPr>
            <w:t>第</w:t>
          </w:r>
          <w:r>
            <w:rPr>
              <w:rFonts w:hint="eastAsia" w:ascii="宋体" w:hAnsi="宋体" w:eastAsia="宋体" w:cs="宋体"/>
              <w:bCs/>
              <w:smallCaps w:val="0"/>
              <w:color w:val="auto"/>
              <w:spacing w:val="0"/>
              <w:position w:val="0"/>
              <w:sz w:val="24"/>
              <w:szCs w:val="24"/>
              <w:highlight w:val="none"/>
              <w:lang w:val="en-US" w:eastAsia="zh-CN"/>
            </w:rPr>
            <w:t>三</w:t>
          </w:r>
          <w:r>
            <w:rPr>
              <w:rFonts w:hint="eastAsia" w:ascii="宋体" w:hAnsi="宋体" w:eastAsia="宋体" w:cs="宋体"/>
              <w:bCs/>
              <w:smallCaps w:val="0"/>
              <w:color w:val="auto"/>
              <w:spacing w:val="0"/>
              <w:position w:val="0"/>
              <w:sz w:val="24"/>
              <w:szCs w:val="24"/>
              <w:highlight w:val="none"/>
            </w:rPr>
            <w:t>节 报价文件格式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_Toc31713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_Toc28215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w:t>
          </w:r>
          <w:r>
            <w:rPr>
              <w:rFonts w:hint="eastAsia" w:ascii="宋体" w:hAnsi="宋体" w:eastAsia="宋体" w:cs="宋体"/>
              <w:bCs/>
              <w:smallCaps w:val="0"/>
              <w:color w:val="auto"/>
              <w:spacing w:val="0"/>
              <w:position w:val="0"/>
              <w:sz w:val="24"/>
              <w:szCs w:val="24"/>
              <w:highlight w:val="none"/>
              <w:lang w:val="zh-CN" w:eastAsia="zh-CN" w:bidi="zh-CN"/>
            </w:rPr>
            <w:t>1</w:t>
          </w:r>
          <w:r>
            <w:rPr>
              <w:rFonts w:hint="eastAsia" w:ascii="宋体" w:hAnsi="宋体" w:eastAsia="宋体" w:cs="宋体"/>
              <w:bCs/>
              <w:smallCaps w:val="0"/>
              <w:color w:val="auto"/>
              <w:spacing w:val="0"/>
              <w:position w:val="0"/>
              <w:sz w:val="24"/>
              <w:szCs w:val="24"/>
              <w:highlight w:val="none"/>
              <w:lang w:val="en-US" w:eastAsia="zh-CN" w:bidi="zh-CN"/>
            </w:rPr>
            <w:t xml:space="preserve"> 响应报价表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_Toc28215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2 </w:t>
          </w:r>
          <w:r>
            <w:rPr>
              <w:rFonts w:hint="eastAsia" w:ascii="宋体" w:hAnsi="宋体" w:eastAsia="宋体" w:cs="宋体"/>
              <w:color w:val="auto"/>
              <w:spacing w:val="0"/>
              <w:w w:val="100"/>
              <w:position w:val="0"/>
              <w:sz w:val="24"/>
              <w:szCs w:val="24"/>
              <w:highlight w:val="none"/>
              <w:lang w:val="en-US" w:eastAsia="zh-CN" w:bidi="zh-CN"/>
            </w:rPr>
            <w:t>分项报价表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_Toc26651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第</w:t>
          </w:r>
          <w:r>
            <w:rPr>
              <w:rFonts w:hint="eastAsia" w:ascii="宋体" w:hAnsi="宋体" w:eastAsia="宋体" w:cs="宋体"/>
              <w:bCs/>
              <w:smallCaps w:val="0"/>
              <w:color w:val="auto"/>
              <w:spacing w:val="0"/>
              <w:position w:val="0"/>
              <w:sz w:val="24"/>
              <w:szCs w:val="24"/>
              <w:highlight w:val="none"/>
              <w:lang w:val="en-US" w:eastAsia="zh-CN" w:bidi="zh-CN"/>
            </w:rPr>
            <w:t>四</w:t>
          </w:r>
          <w:r>
            <w:rPr>
              <w:rFonts w:hint="eastAsia" w:ascii="宋体" w:hAnsi="宋体" w:eastAsia="宋体" w:cs="宋体"/>
              <w:bCs/>
              <w:smallCaps w:val="0"/>
              <w:color w:val="auto"/>
              <w:spacing w:val="0"/>
              <w:position w:val="0"/>
              <w:sz w:val="24"/>
              <w:szCs w:val="24"/>
              <w:highlight w:val="none"/>
              <w:lang w:val="zh-CN" w:eastAsia="zh-CN" w:bidi="zh-CN"/>
            </w:rPr>
            <w:t xml:space="preserve">节 </w:t>
          </w:r>
          <w:r>
            <w:rPr>
              <w:rFonts w:hint="eastAsia" w:ascii="宋体" w:hAnsi="宋体" w:eastAsia="宋体" w:cs="宋体"/>
              <w:bCs/>
              <w:smallCaps w:val="0"/>
              <w:color w:val="auto"/>
              <w:spacing w:val="0"/>
              <w:position w:val="0"/>
              <w:sz w:val="24"/>
              <w:szCs w:val="24"/>
              <w:highlight w:val="none"/>
              <w:lang w:val="en-US" w:eastAsia="zh-CN" w:bidi="zh-CN"/>
            </w:rPr>
            <w:t>政府采购政策的证明文件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_Toc26651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_Toc29841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1 中小企业声明函（服务）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_Toc29841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_Toc26991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2 残疾人福利性单位声明函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- 65 -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_Toc27455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3 监狱企业证明材料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_Toc27455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4 节能、环境标志产品证明材料（符合填写）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rPr>
              <w:color w:val="auto"/>
              <w:highlight w:val="none"/>
            </w:rPr>
          </w:pPr>
          <w:r>
            <w:rPr>
              <w:color w:val="auto"/>
              <w:highlight w:val="none"/>
            </w:rPr>
            <w:fldChar w:fldCharType="end"/>
          </w:r>
        </w:p>
      </w:sdtContent>
    </w:sdt>
    <w:p>
      <w:pPr>
        <w:rPr>
          <w:rFonts w:hint="eastAsia"/>
          <w:lang w:val="en-US" w:eastAsia="zh-CN"/>
        </w:rPr>
      </w:pPr>
      <w:bookmarkStart w:id="6" w:name="_Toc21599"/>
      <w:r>
        <w:rPr>
          <w:rFonts w:hint="eastAsia" w:ascii="宋体" w:hAnsi="宋体" w:eastAsia="宋体" w:cs="宋体"/>
          <w:color w:val="auto"/>
          <w:spacing w:val="0"/>
          <w:w w:val="100"/>
          <w:position w:val="0"/>
          <w:sz w:val="32"/>
          <w:szCs w:val="32"/>
          <w:highlight w:val="none"/>
          <w:lang w:val="en-US" w:eastAsia="zh-CN"/>
        </w:rPr>
        <w:br w:type="page"/>
      </w:r>
    </w:p>
    <w:p>
      <w:pPr>
        <w:pStyle w:val="16"/>
        <w:rPr>
          <w:rFonts w:hint="eastAsia"/>
          <w:lang w:val="en-US" w:eastAsia="zh-CN"/>
        </w:rPr>
        <w:sectPr>
          <w:headerReference r:id="rId4" w:type="default"/>
          <w:footerReference r:id="rId5" w:type="default"/>
          <w:pgSz w:w="11910" w:h="16840"/>
          <w:pgMar w:top="1440" w:right="1080" w:bottom="1440" w:left="1080" w:header="850" w:footer="975" w:gutter="0"/>
          <w:pgBorders>
            <w:top w:val="none" w:sz="0" w:space="0"/>
            <w:left w:val="none" w:sz="0" w:space="0"/>
            <w:bottom w:val="none" w:sz="0" w:space="0"/>
            <w:right w:val="none" w:sz="0" w:space="0"/>
          </w:pgBorders>
          <w:pgNumType w:fmt="numberInDash" w:start="1"/>
          <w:cols w:space="0" w:num="1"/>
          <w:rtlGutter w:val="0"/>
          <w:docGrid w:linePitch="0" w:charSpace="0"/>
        </w:sectPr>
      </w:pPr>
    </w:p>
    <w:p>
      <w:pPr>
        <w:pStyle w:val="3"/>
        <w:numPr>
          <w:ilvl w:val="0"/>
          <w:numId w:val="0"/>
        </w:numPr>
        <w:shd w:val="clear"/>
        <w:spacing w:before="0" w:line="480" w:lineRule="exact"/>
        <w:ind w:right="0" w:rightChars="0"/>
        <w:jc w:val="center"/>
        <w:rPr>
          <w:rFonts w:hint="eastAsia" w:ascii="宋体" w:hAnsi="宋体" w:eastAsia="宋体" w:cs="宋体"/>
          <w:color w:val="auto"/>
          <w:spacing w:val="0"/>
          <w:w w:val="100"/>
          <w:position w:val="0"/>
          <w:sz w:val="32"/>
          <w:szCs w:val="32"/>
          <w:highlight w:val="none"/>
        </w:rPr>
      </w:pPr>
      <w:r>
        <w:rPr>
          <w:rFonts w:hint="eastAsia" w:ascii="宋体" w:hAnsi="宋体" w:eastAsia="宋体" w:cs="宋体"/>
          <w:color w:val="auto"/>
          <w:spacing w:val="0"/>
          <w:w w:val="100"/>
          <w:position w:val="0"/>
          <w:sz w:val="32"/>
          <w:szCs w:val="32"/>
          <w:highlight w:val="none"/>
          <w:lang w:val="en-US" w:eastAsia="zh-CN"/>
        </w:rPr>
        <w:t xml:space="preserve">第一部分 </w:t>
      </w:r>
      <w:r>
        <w:rPr>
          <w:rFonts w:hint="eastAsia" w:ascii="宋体" w:hAnsi="宋体" w:eastAsia="宋体" w:cs="宋体"/>
          <w:color w:val="auto"/>
          <w:spacing w:val="0"/>
          <w:w w:val="100"/>
          <w:position w:val="0"/>
          <w:sz w:val="32"/>
          <w:szCs w:val="32"/>
          <w:highlight w:val="none"/>
        </w:rPr>
        <w:t>磋商邀请</w:t>
      </w:r>
      <w:bookmarkEnd w:id="0"/>
      <w:bookmarkEnd w:id="1"/>
      <w:bookmarkEnd w:id="2"/>
      <w:bookmarkEnd w:id="3"/>
      <w:bookmarkEnd w:id="4"/>
      <w:bookmarkEnd w:id="5"/>
      <w:bookmarkEnd w:id="6"/>
    </w:p>
    <w:p>
      <w:pPr>
        <w:keepNext w:val="0"/>
        <w:keepLines w:val="0"/>
        <w:widowControl/>
        <w:suppressLineNumbers w:val="0"/>
        <w:pBdr>
          <w:bottom w:val="none" w:color="auto" w:sz="0" w:space="0"/>
        </w:pBdr>
        <w:spacing w:line="360" w:lineRule="auto"/>
        <w:ind w:left="0" w:firstLine="0"/>
        <w:jc w:val="center"/>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w w:val="100"/>
          <w:kern w:val="0"/>
          <w:position w:val="0"/>
          <w:sz w:val="28"/>
          <w:szCs w:val="28"/>
          <w:highlight w:val="none"/>
          <w:shd w:val="clear" w:fill="FFFFFF"/>
          <w:vertAlign w:val="baseline"/>
          <w:lang w:val="en-US" w:eastAsia="zh-CN" w:bidi="ar"/>
        </w:rPr>
        <w:t>昌吉回族自治州产品质量检验所实验室信息管理系统建设项目</w:t>
      </w:r>
      <w:r>
        <w:rPr>
          <w:rFonts w:hint="eastAsia" w:ascii="宋体" w:hAnsi="宋体" w:eastAsia="宋体" w:cs="宋体"/>
          <w:b/>
          <w:bCs/>
          <w:i w:val="0"/>
          <w:iCs w:val="0"/>
          <w:caps w:val="0"/>
          <w:color w:val="auto"/>
          <w:spacing w:val="0"/>
          <w:kern w:val="0"/>
          <w:sz w:val="28"/>
          <w:szCs w:val="28"/>
          <w:highlight w:val="none"/>
          <w:lang w:val="en-US" w:eastAsia="zh-CN" w:bidi="ar"/>
        </w:rPr>
        <w:t>竞争性磋商公告</w:t>
      </w:r>
    </w:p>
    <w:p>
      <w:pPr>
        <w:pStyle w:val="29"/>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beforeAutospacing="0" w:afterAutospacing="0" w:line="36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项目概况</w:t>
      </w:r>
    </w:p>
    <w:p>
      <w:pPr>
        <w:pStyle w:val="29"/>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cs="宋体"/>
          <w:i w:val="0"/>
          <w:iCs w:val="0"/>
          <w:caps w:val="0"/>
          <w:color w:val="auto"/>
          <w:spacing w:val="0"/>
          <w:sz w:val="21"/>
          <w:szCs w:val="21"/>
          <w:highlight w:val="none"/>
          <w:lang w:eastAsia="zh-CN"/>
        </w:rPr>
        <w:t>昌吉回族自治州产品质量检验所实验室信息管理系统建设项目</w:t>
      </w:r>
      <w:r>
        <w:rPr>
          <w:rFonts w:hint="eastAsia" w:ascii="宋体" w:hAnsi="宋体" w:eastAsia="宋体" w:cs="宋体"/>
          <w:i w:val="0"/>
          <w:iCs w:val="0"/>
          <w:caps w:val="0"/>
          <w:color w:val="auto"/>
          <w:spacing w:val="0"/>
          <w:sz w:val="21"/>
          <w:szCs w:val="21"/>
          <w:highlight w:val="none"/>
        </w:rPr>
        <w:t>的潜在供应商应在</w:t>
      </w:r>
      <w:r>
        <w:rPr>
          <w:rFonts w:hint="eastAsia" w:ascii="宋体" w:hAnsi="宋体" w:eastAsia="宋体" w:cs="宋体"/>
          <w:i w:val="0"/>
          <w:iCs w:val="0"/>
          <w:caps w:val="0"/>
          <w:color w:val="auto"/>
          <w:spacing w:val="0"/>
          <w:sz w:val="21"/>
          <w:szCs w:val="21"/>
          <w:highlight w:val="none"/>
          <w:lang w:val="en-US" w:eastAsia="zh-CN"/>
        </w:rPr>
        <w:t>新疆政府采购网</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政采云平台</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获取采购文件，并于2023年</w:t>
      </w:r>
      <w:r>
        <w:rPr>
          <w:rFonts w:hint="eastAsia" w:cs="宋体"/>
          <w:i w:val="0"/>
          <w:iCs w:val="0"/>
          <w:caps w:val="0"/>
          <w:color w:val="auto"/>
          <w:spacing w:val="0"/>
          <w:sz w:val="21"/>
          <w:szCs w:val="21"/>
          <w:highlight w:val="none"/>
          <w:lang w:val="en-US" w:eastAsia="zh-CN"/>
        </w:rPr>
        <w:t>08</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25</w:t>
      </w:r>
      <w:r>
        <w:rPr>
          <w:rFonts w:hint="eastAsia" w:ascii="宋体" w:hAnsi="宋体" w:eastAsia="宋体" w:cs="宋体"/>
          <w:i w:val="0"/>
          <w:iCs w:val="0"/>
          <w:caps w:val="0"/>
          <w:color w:val="auto"/>
          <w:spacing w:val="0"/>
          <w:sz w:val="21"/>
          <w:szCs w:val="21"/>
          <w:highlight w:val="none"/>
        </w:rPr>
        <w:t>日 1</w:t>
      </w:r>
      <w:r>
        <w:rPr>
          <w:rFonts w:hint="eastAsia"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w:t>
      </w:r>
      <w:r>
        <w:rPr>
          <w:rFonts w:hint="eastAsia" w:cs="宋体"/>
          <w:i w:val="0"/>
          <w:iCs w:val="0"/>
          <w:caps w:val="0"/>
          <w:color w:val="auto"/>
          <w:spacing w:val="0"/>
          <w:sz w:val="21"/>
          <w:szCs w:val="21"/>
          <w:highlight w:val="none"/>
          <w:lang w:val="en-US" w:eastAsia="zh-CN"/>
        </w:rPr>
        <w:t>3</w:t>
      </w:r>
      <w:r>
        <w:rPr>
          <w:rFonts w:hint="eastAsia" w:ascii="宋体" w:hAnsi="宋体" w:eastAsia="宋体" w:cs="宋体"/>
          <w:i w:val="0"/>
          <w:iCs w:val="0"/>
          <w:caps w:val="0"/>
          <w:color w:val="auto"/>
          <w:spacing w:val="0"/>
          <w:sz w:val="21"/>
          <w:szCs w:val="21"/>
          <w:highlight w:val="none"/>
        </w:rPr>
        <w:t>0（北京时间）</w:t>
      </w:r>
      <w:r>
        <w:rPr>
          <w:rFonts w:hint="eastAsia" w:ascii="宋体" w:hAnsi="宋体" w:eastAsia="宋体" w:cs="宋体"/>
          <w:i w:val="0"/>
          <w:iCs w:val="0"/>
          <w:caps w:val="0"/>
          <w:color w:val="auto"/>
          <w:spacing w:val="0"/>
          <w:sz w:val="21"/>
          <w:szCs w:val="21"/>
          <w:highlight w:val="none"/>
        </w:rPr>
        <w:t>前提交响应文件。</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5"/>
          <w:rFonts w:hint="eastAsia" w:ascii="宋体" w:hAnsi="宋体" w:eastAsia="宋体" w:cs="宋体"/>
          <w:i w:val="0"/>
          <w:iCs w:val="0"/>
          <w:caps w:val="0"/>
          <w:color w:val="auto"/>
          <w:spacing w:val="0"/>
          <w:sz w:val="21"/>
          <w:szCs w:val="21"/>
          <w:highlight w:val="none"/>
        </w:rPr>
        <w:t>一、项目基本情况</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项目编号：</w:t>
      </w:r>
      <w:r>
        <w:rPr>
          <w:rFonts w:hint="eastAsia" w:cs="宋体"/>
          <w:i w:val="0"/>
          <w:iCs w:val="0"/>
          <w:caps w:val="0"/>
          <w:color w:val="auto"/>
          <w:spacing w:val="0"/>
          <w:sz w:val="21"/>
          <w:szCs w:val="21"/>
          <w:highlight w:val="none"/>
          <w:lang w:eastAsia="zh-CN"/>
        </w:rPr>
        <w:t>XJTY-ZB-2023-080</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项目名称：</w:t>
      </w:r>
      <w:r>
        <w:rPr>
          <w:rFonts w:hint="eastAsia" w:cs="宋体"/>
          <w:i w:val="0"/>
          <w:iCs w:val="0"/>
          <w:caps w:val="0"/>
          <w:color w:val="auto"/>
          <w:spacing w:val="0"/>
          <w:sz w:val="21"/>
          <w:szCs w:val="21"/>
          <w:highlight w:val="none"/>
          <w:lang w:eastAsia="zh-CN"/>
        </w:rPr>
        <w:t>昌吉回族自治州产品质量检验所实验室信息管理系统建设项目</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采购方式：竞争性磋商</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预算金额（元）：</w:t>
      </w:r>
      <w:r>
        <w:rPr>
          <w:rFonts w:hint="eastAsia" w:cs="宋体"/>
          <w:i w:val="0"/>
          <w:iCs w:val="0"/>
          <w:caps w:val="0"/>
          <w:color w:val="auto"/>
          <w:spacing w:val="0"/>
          <w:sz w:val="21"/>
          <w:szCs w:val="21"/>
          <w:highlight w:val="none"/>
          <w:lang w:val="en-US" w:eastAsia="zh-CN"/>
        </w:rPr>
        <w:t>500000</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最高限价（元）：</w:t>
      </w:r>
      <w:r>
        <w:rPr>
          <w:rFonts w:hint="eastAsia" w:cs="宋体"/>
          <w:b w:val="0"/>
          <w:bCs w:val="0"/>
          <w:i w:val="0"/>
          <w:iCs w:val="0"/>
          <w:smallCaps w:val="0"/>
          <w:color w:val="auto"/>
          <w:spacing w:val="0"/>
          <w:kern w:val="0"/>
          <w:position w:val="0"/>
          <w:sz w:val="21"/>
          <w:szCs w:val="21"/>
          <w:highlight w:val="none"/>
          <w:u w:val="none"/>
          <w:lang w:val="en-US" w:eastAsia="zh-CN" w:bidi="ar"/>
        </w:rPr>
        <w:t>500000</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采购需求：</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标项一</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标项名称：</w:t>
      </w:r>
      <w:r>
        <w:rPr>
          <w:rFonts w:hint="eastAsia" w:cs="宋体"/>
          <w:i w:val="0"/>
          <w:iCs w:val="0"/>
          <w:caps w:val="0"/>
          <w:color w:val="auto"/>
          <w:spacing w:val="0"/>
          <w:sz w:val="21"/>
          <w:szCs w:val="21"/>
          <w:highlight w:val="none"/>
          <w:lang w:eastAsia="zh-CN"/>
        </w:rPr>
        <w:t>昌吉回族自治州产品质量检验所实验室信息管理系统建设项目</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数量：不限</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cs="宋体"/>
          <w:b w:val="0"/>
          <w:bCs w:val="0"/>
          <w:i w:val="0"/>
          <w:iCs w:val="0"/>
          <w:smallCaps w:val="0"/>
          <w:color w:val="auto"/>
          <w:spacing w:val="0"/>
          <w:kern w:val="0"/>
          <w:position w:val="0"/>
          <w:sz w:val="21"/>
          <w:szCs w:val="21"/>
          <w:highlight w:val="none"/>
          <w:u w:val="none"/>
          <w:lang w:val="en-US" w:eastAsia="zh-CN" w:bidi="ar"/>
        </w:rPr>
      </w:pPr>
      <w:r>
        <w:rPr>
          <w:rFonts w:hint="eastAsia" w:ascii="宋体" w:hAnsi="宋体" w:eastAsia="宋体" w:cs="宋体"/>
          <w:smallCaps w:val="0"/>
          <w:color w:val="auto"/>
          <w:spacing w:val="0"/>
          <w:kern w:val="0"/>
          <w:position w:val="0"/>
          <w:sz w:val="21"/>
          <w:szCs w:val="21"/>
          <w:highlight w:val="none"/>
          <w:lang w:val="zh-CN" w:eastAsia="zh-CN" w:bidi="zh-CN"/>
        </w:rPr>
        <w:t>预算金额（元）:</w:t>
      </w:r>
      <w:r>
        <w:rPr>
          <w:rFonts w:hint="eastAsia" w:cs="宋体"/>
          <w:b w:val="0"/>
          <w:bCs w:val="0"/>
          <w:i w:val="0"/>
          <w:iCs w:val="0"/>
          <w:smallCaps w:val="0"/>
          <w:color w:val="auto"/>
          <w:spacing w:val="0"/>
          <w:kern w:val="0"/>
          <w:position w:val="0"/>
          <w:sz w:val="21"/>
          <w:szCs w:val="21"/>
          <w:highlight w:val="none"/>
          <w:u w:val="none"/>
          <w:lang w:val="en-US" w:eastAsia="zh-CN" w:bidi="ar"/>
        </w:rPr>
        <w:t>500000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简要规格描述或项目基本概况介绍、用途：</w:t>
      </w:r>
      <w:r>
        <w:rPr>
          <w:rFonts w:hint="eastAsia" w:ascii="宋体" w:hAnsi="宋体" w:eastAsia="宋体" w:cs="宋体"/>
          <w:smallCaps w:val="0"/>
          <w:color w:val="auto"/>
          <w:spacing w:val="0"/>
          <w:kern w:val="0"/>
          <w:position w:val="0"/>
          <w:sz w:val="21"/>
          <w:szCs w:val="21"/>
          <w:highlight w:val="none"/>
          <w:lang w:val="en-US" w:eastAsia="zh-CN" w:bidi="zh-CN"/>
        </w:rPr>
        <w:t>质检业务管理系统一套及与其匹配的服务器等相关设施，</w:t>
      </w:r>
      <w:r>
        <w:rPr>
          <w:rFonts w:hint="eastAsia" w:ascii="宋体" w:hAnsi="宋体" w:eastAsia="宋体" w:cs="宋体"/>
          <w:smallCaps w:val="0"/>
          <w:color w:val="auto"/>
          <w:spacing w:val="0"/>
          <w:kern w:val="0"/>
          <w:position w:val="0"/>
          <w:sz w:val="21"/>
          <w:szCs w:val="21"/>
          <w:highlight w:val="none"/>
          <w:lang w:val="zh-CN" w:eastAsia="zh-CN" w:bidi="zh-CN"/>
        </w:rPr>
        <w:t>具体详见</w:t>
      </w:r>
      <w:r>
        <w:rPr>
          <w:rFonts w:hint="eastAsia" w:ascii="宋体" w:hAnsi="宋体" w:eastAsia="宋体" w:cs="宋体"/>
          <w:smallCaps w:val="0"/>
          <w:color w:val="auto"/>
          <w:spacing w:val="0"/>
          <w:kern w:val="0"/>
          <w:position w:val="0"/>
          <w:sz w:val="21"/>
          <w:szCs w:val="21"/>
          <w:highlight w:val="none"/>
          <w:lang w:val="en-US" w:eastAsia="zh-CN" w:bidi="zh-CN"/>
        </w:rPr>
        <w:t>采购文件</w:t>
      </w:r>
      <w:r>
        <w:rPr>
          <w:rFonts w:hint="eastAsia" w:ascii="宋体" w:hAnsi="宋体" w:eastAsia="宋体" w:cs="宋体"/>
          <w:smallCaps w:val="0"/>
          <w:color w:val="auto"/>
          <w:spacing w:val="0"/>
          <w:kern w:val="0"/>
          <w:position w:val="0"/>
          <w:sz w:val="21"/>
          <w:szCs w:val="21"/>
          <w:highlight w:val="none"/>
          <w:lang w:val="zh-CN" w:eastAsia="zh-CN" w:bidi="zh-CN"/>
        </w:rPr>
        <w:t>。</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合同履行期限：</w:t>
      </w:r>
      <w:r>
        <w:rPr>
          <w:rFonts w:hint="eastAsia" w:cs="宋体"/>
          <w:b w:val="0"/>
          <w:bCs w:val="0"/>
          <w:color w:val="auto"/>
          <w:kern w:val="0"/>
          <w:sz w:val="21"/>
          <w:szCs w:val="21"/>
          <w:highlight w:val="none"/>
          <w:lang w:val="en-US" w:bidi="zh-CN"/>
        </w:rPr>
        <w:t>1个月。</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smallCaps w:val="0"/>
          <w:color w:val="auto"/>
          <w:spacing w:val="0"/>
          <w:kern w:val="0"/>
          <w:position w:val="0"/>
          <w:sz w:val="21"/>
          <w:szCs w:val="21"/>
          <w:highlight w:val="none"/>
          <w:lang w:val="zh-CN" w:eastAsia="zh-CN" w:bidi="zh-CN"/>
        </w:rPr>
        <w:t>本项目（否）接受联合体投标。</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5"/>
          <w:rFonts w:hint="eastAsia" w:ascii="宋体" w:hAnsi="宋体" w:eastAsia="宋体" w:cs="宋体"/>
          <w:i w:val="0"/>
          <w:iCs w:val="0"/>
          <w:caps w:val="0"/>
          <w:color w:val="auto"/>
          <w:spacing w:val="0"/>
          <w:sz w:val="21"/>
          <w:szCs w:val="21"/>
          <w:highlight w:val="none"/>
        </w:rPr>
        <w:t>二、申请人的资格要求：</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1.满足《中华人民共和国政府采购法》第二十二条规定；</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rPr>
        <w:t>2.落实政府采购政策需满足的资格要求：本项目专门面向中小微企业</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3.本项目的特定资格要求：</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【标项1】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pP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r>
        <w:rPr>
          <w:rFonts w:hint="eastAsia" w:cs="宋体"/>
          <w:i w:val="0"/>
          <w:iCs w:val="0"/>
          <w:caps w:val="0"/>
          <w:color w:val="auto"/>
          <w:spacing w:val="0"/>
          <w:w w:val="100"/>
          <w:kern w:val="0"/>
          <w:position w:val="0"/>
          <w:sz w:val="21"/>
          <w:szCs w:val="21"/>
          <w:highlight w:val="none"/>
          <w:shd w:val="clear" w:fill="FFFFFF"/>
          <w:vertAlign w:val="baseline"/>
          <w:lang w:val="en-US" w:eastAsia="zh-CN" w:bidi="zh-CN"/>
        </w:rPr>
        <w:t>1</w:t>
      </w: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pP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w:t>
      </w:r>
      <w:r>
        <w:rPr>
          <w:rFonts w:hint="eastAsia" w:cs="宋体"/>
          <w:i w:val="0"/>
          <w:iCs w:val="0"/>
          <w:caps w:val="0"/>
          <w:color w:val="auto"/>
          <w:spacing w:val="0"/>
          <w:w w:val="100"/>
          <w:kern w:val="0"/>
          <w:position w:val="0"/>
          <w:sz w:val="21"/>
          <w:szCs w:val="21"/>
          <w:highlight w:val="none"/>
          <w:shd w:val="clear" w:fill="FFFFFF"/>
          <w:vertAlign w:val="baseline"/>
          <w:lang w:val="en-US" w:eastAsia="zh-CN" w:bidi="zh-CN"/>
        </w:rPr>
        <w:t>2</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5"/>
          <w:rFonts w:hint="eastAsia" w:ascii="宋体" w:hAnsi="宋体" w:eastAsia="宋体" w:cs="宋体"/>
          <w:i w:val="0"/>
          <w:iCs w:val="0"/>
          <w:caps w:val="0"/>
          <w:color w:val="auto"/>
          <w:spacing w:val="0"/>
          <w:sz w:val="21"/>
          <w:szCs w:val="21"/>
          <w:highlight w:val="none"/>
        </w:rPr>
        <w:t>三、获取采购文件</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rPr>
        <w:t>时间：2023年</w:t>
      </w:r>
      <w:r>
        <w:rPr>
          <w:rFonts w:hint="eastAsia" w:cs="宋体"/>
          <w:i w:val="0"/>
          <w:iCs w:val="0"/>
          <w:caps w:val="0"/>
          <w:color w:val="auto"/>
          <w:spacing w:val="0"/>
          <w:sz w:val="21"/>
          <w:szCs w:val="21"/>
          <w:highlight w:val="none"/>
          <w:u w:val="none"/>
          <w:lang w:val="en-US" w:eastAsia="zh-CN"/>
        </w:rPr>
        <w:t>08</w:t>
      </w:r>
      <w:r>
        <w:rPr>
          <w:rFonts w:hint="eastAsia" w:ascii="宋体" w:hAnsi="宋体" w:eastAsia="宋体" w:cs="宋体"/>
          <w:i w:val="0"/>
          <w:iCs w:val="0"/>
          <w:caps w:val="0"/>
          <w:color w:val="auto"/>
          <w:spacing w:val="0"/>
          <w:sz w:val="21"/>
          <w:szCs w:val="21"/>
          <w:highlight w:val="none"/>
          <w:u w:val="none"/>
        </w:rPr>
        <w:t>月</w:t>
      </w:r>
      <w:r>
        <w:rPr>
          <w:rFonts w:hint="eastAsia" w:cs="宋体"/>
          <w:i w:val="0"/>
          <w:iCs w:val="0"/>
          <w:caps w:val="0"/>
          <w:color w:val="auto"/>
          <w:spacing w:val="0"/>
          <w:sz w:val="21"/>
          <w:szCs w:val="21"/>
          <w:highlight w:val="none"/>
          <w:u w:val="none"/>
          <w:lang w:val="en-US" w:eastAsia="zh-CN"/>
        </w:rPr>
        <w:t>15</w:t>
      </w:r>
      <w:r>
        <w:rPr>
          <w:rFonts w:hint="eastAsia" w:ascii="宋体" w:hAnsi="宋体" w:eastAsia="宋体" w:cs="宋体"/>
          <w:i w:val="0"/>
          <w:iCs w:val="0"/>
          <w:caps w:val="0"/>
          <w:color w:val="auto"/>
          <w:spacing w:val="0"/>
          <w:sz w:val="21"/>
          <w:szCs w:val="21"/>
          <w:highlight w:val="none"/>
          <w:u w:val="none"/>
        </w:rPr>
        <w:t>日至2023年</w:t>
      </w:r>
      <w:r>
        <w:rPr>
          <w:rFonts w:hint="eastAsia" w:cs="宋体"/>
          <w:i w:val="0"/>
          <w:iCs w:val="0"/>
          <w:caps w:val="0"/>
          <w:color w:val="auto"/>
          <w:spacing w:val="0"/>
          <w:sz w:val="21"/>
          <w:szCs w:val="21"/>
          <w:highlight w:val="none"/>
          <w:u w:val="none"/>
          <w:lang w:val="en-US" w:eastAsia="zh-CN"/>
        </w:rPr>
        <w:t>08</w:t>
      </w:r>
      <w:r>
        <w:rPr>
          <w:rFonts w:hint="eastAsia" w:ascii="宋体" w:hAnsi="宋体" w:eastAsia="宋体" w:cs="宋体"/>
          <w:i w:val="0"/>
          <w:iCs w:val="0"/>
          <w:caps w:val="0"/>
          <w:color w:val="auto"/>
          <w:spacing w:val="0"/>
          <w:sz w:val="21"/>
          <w:szCs w:val="21"/>
          <w:highlight w:val="none"/>
          <w:u w:val="none"/>
        </w:rPr>
        <w:t>月</w:t>
      </w:r>
      <w:r>
        <w:rPr>
          <w:rFonts w:hint="eastAsia" w:cs="宋体"/>
          <w:i w:val="0"/>
          <w:iCs w:val="0"/>
          <w:caps w:val="0"/>
          <w:color w:val="auto"/>
          <w:spacing w:val="0"/>
          <w:sz w:val="21"/>
          <w:szCs w:val="21"/>
          <w:highlight w:val="none"/>
          <w:u w:val="none"/>
          <w:lang w:val="en-US" w:eastAsia="zh-CN"/>
        </w:rPr>
        <w:t>22</w:t>
      </w:r>
      <w:r>
        <w:rPr>
          <w:rFonts w:hint="eastAsia" w:ascii="宋体" w:hAnsi="宋体" w:eastAsia="宋体" w:cs="宋体"/>
          <w:i w:val="0"/>
          <w:iCs w:val="0"/>
          <w:caps w:val="0"/>
          <w:color w:val="auto"/>
          <w:spacing w:val="0"/>
          <w:sz w:val="21"/>
          <w:szCs w:val="21"/>
          <w:highlight w:val="none"/>
          <w:u w:val="none"/>
        </w:rPr>
        <w:t>日，每天上午10:</w:t>
      </w:r>
      <w:r>
        <w:rPr>
          <w:rFonts w:hint="eastAsia" w:cs="宋体"/>
          <w:i w:val="0"/>
          <w:iCs w:val="0"/>
          <w:caps w:val="0"/>
          <w:color w:val="auto"/>
          <w:spacing w:val="0"/>
          <w:sz w:val="21"/>
          <w:szCs w:val="21"/>
          <w:highlight w:val="none"/>
          <w:u w:val="none"/>
          <w:lang w:val="en-US" w:eastAsia="zh-CN"/>
        </w:rPr>
        <w:t>0</w:t>
      </w:r>
      <w:r>
        <w:rPr>
          <w:rFonts w:hint="eastAsia" w:ascii="宋体" w:hAnsi="宋体" w:eastAsia="宋体" w:cs="宋体"/>
          <w:i w:val="0"/>
          <w:iCs w:val="0"/>
          <w:caps w:val="0"/>
          <w:color w:val="auto"/>
          <w:spacing w:val="0"/>
          <w:sz w:val="21"/>
          <w:szCs w:val="21"/>
          <w:highlight w:val="none"/>
          <w:u w:val="none"/>
        </w:rPr>
        <w:t>0至14:00，下午1</w:t>
      </w:r>
      <w:r>
        <w:rPr>
          <w:rFonts w:hint="eastAsia" w:cs="宋体"/>
          <w:i w:val="0"/>
          <w:iCs w:val="0"/>
          <w:caps w:val="0"/>
          <w:color w:val="auto"/>
          <w:spacing w:val="0"/>
          <w:sz w:val="21"/>
          <w:szCs w:val="21"/>
          <w:highlight w:val="none"/>
          <w:u w:val="none"/>
          <w:lang w:val="en-US" w:eastAsia="zh-CN"/>
        </w:rPr>
        <w:t>6</w:t>
      </w:r>
      <w:r>
        <w:rPr>
          <w:rFonts w:hint="eastAsia" w:ascii="宋体" w:hAnsi="宋体" w:eastAsia="宋体" w:cs="宋体"/>
          <w:i w:val="0"/>
          <w:iCs w:val="0"/>
          <w:caps w:val="0"/>
          <w:color w:val="auto"/>
          <w:spacing w:val="0"/>
          <w:sz w:val="21"/>
          <w:szCs w:val="21"/>
          <w:highlight w:val="none"/>
          <w:u w:val="none"/>
        </w:rPr>
        <w:t>:00至</w:t>
      </w:r>
      <w:r>
        <w:rPr>
          <w:rFonts w:hint="eastAsia" w:cs="宋体"/>
          <w:i w:val="0"/>
          <w:iCs w:val="0"/>
          <w:caps w:val="0"/>
          <w:color w:val="auto"/>
          <w:spacing w:val="0"/>
          <w:sz w:val="21"/>
          <w:szCs w:val="21"/>
          <w:highlight w:val="none"/>
          <w:u w:val="none"/>
          <w:lang w:val="en-US" w:eastAsia="zh-CN"/>
        </w:rPr>
        <w:t>20</w:t>
      </w:r>
      <w:r>
        <w:rPr>
          <w:rFonts w:hint="eastAsia" w:ascii="宋体" w:hAnsi="宋体" w:eastAsia="宋体" w:cs="宋体"/>
          <w:i w:val="0"/>
          <w:iCs w:val="0"/>
          <w:caps w:val="0"/>
          <w:color w:val="auto"/>
          <w:spacing w:val="0"/>
          <w:sz w:val="21"/>
          <w:szCs w:val="21"/>
          <w:highlight w:val="none"/>
          <w:u w:val="none"/>
        </w:rPr>
        <w:t>:00（北京时间，法定节假日除外）</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方式：供应商登录政采云平台https://www.zcygov.cn/在线申请获取采购文件（进入“项目采购”应用，在获取采购文件菜单中选择项目，申请获取采购文件） </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售价（元）：</w:t>
      </w:r>
      <w:r>
        <w:rPr>
          <w:rStyle w:val="39"/>
          <w:rFonts w:hint="eastAsia" w:ascii="宋体" w:hAnsi="宋体" w:eastAsia="宋体" w:cs="宋体"/>
          <w:i w:val="0"/>
          <w:iCs w:val="0"/>
          <w:caps w:val="0"/>
          <w:color w:val="auto"/>
          <w:spacing w:val="0"/>
          <w:sz w:val="21"/>
          <w:szCs w:val="21"/>
          <w:highlight w:val="none"/>
        </w:rPr>
        <w:t>0</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5"/>
          <w:rFonts w:hint="eastAsia" w:ascii="宋体" w:hAnsi="宋体" w:eastAsia="宋体" w:cs="宋体"/>
          <w:i w:val="0"/>
          <w:iCs w:val="0"/>
          <w:caps w:val="0"/>
          <w:color w:val="auto"/>
          <w:spacing w:val="0"/>
          <w:sz w:val="21"/>
          <w:szCs w:val="21"/>
          <w:highlight w:val="none"/>
        </w:rPr>
        <w:t>四、响应文件提交</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截止时间：</w:t>
      </w:r>
      <w:r>
        <w:rPr>
          <w:rFonts w:hint="eastAsia" w:ascii="宋体" w:hAnsi="宋体" w:eastAsia="宋体" w:cs="宋体"/>
          <w:i w:val="0"/>
          <w:iCs w:val="0"/>
          <w:caps w:val="0"/>
          <w:color w:val="auto"/>
          <w:spacing w:val="0"/>
          <w:sz w:val="21"/>
          <w:szCs w:val="21"/>
          <w:highlight w:val="none"/>
        </w:rPr>
        <w:t>2023年</w:t>
      </w:r>
      <w:r>
        <w:rPr>
          <w:rFonts w:hint="eastAsia" w:cs="宋体"/>
          <w:i w:val="0"/>
          <w:iCs w:val="0"/>
          <w:caps w:val="0"/>
          <w:color w:val="auto"/>
          <w:spacing w:val="0"/>
          <w:sz w:val="21"/>
          <w:szCs w:val="21"/>
          <w:highlight w:val="none"/>
          <w:lang w:val="en-US" w:eastAsia="zh-CN"/>
        </w:rPr>
        <w:t>08</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25</w:t>
      </w:r>
      <w:r>
        <w:rPr>
          <w:rFonts w:hint="eastAsia" w:ascii="宋体" w:hAnsi="宋体" w:eastAsia="宋体" w:cs="宋体"/>
          <w:i w:val="0"/>
          <w:iCs w:val="0"/>
          <w:caps w:val="0"/>
          <w:color w:val="auto"/>
          <w:spacing w:val="0"/>
          <w:sz w:val="21"/>
          <w:szCs w:val="21"/>
          <w:highlight w:val="none"/>
        </w:rPr>
        <w:t>日 1</w:t>
      </w:r>
      <w:r>
        <w:rPr>
          <w:rFonts w:hint="eastAsia"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w:t>
      </w:r>
      <w:r>
        <w:rPr>
          <w:rFonts w:hint="eastAsia" w:cs="宋体"/>
          <w:i w:val="0"/>
          <w:iCs w:val="0"/>
          <w:caps w:val="0"/>
          <w:color w:val="auto"/>
          <w:spacing w:val="0"/>
          <w:sz w:val="21"/>
          <w:szCs w:val="21"/>
          <w:highlight w:val="none"/>
          <w:lang w:val="en-US" w:eastAsia="zh-CN"/>
        </w:rPr>
        <w:t>3</w:t>
      </w:r>
      <w:r>
        <w:rPr>
          <w:rFonts w:hint="eastAsia" w:ascii="宋体" w:hAnsi="宋体" w:eastAsia="宋体" w:cs="宋体"/>
          <w:i w:val="0"/>
          <w:iCs w:val="0"/>
          <w:caps w:val="0"/>
          <w:color w:val="auto"/>
          <w:spacing w:val="0"/>
          <w:sz w:val="21"/>
          <w:szCs w:val="21"/>
          <w:highlight w:val="none"/>
        </w:rPr>
        <w:t>0（北京时间）</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5"/>
          <w:rFonts w:hint="eastAsia" w:ascii="宋体" w:hAnsi="宋体" w:eastAsia="宋体" w:cs="宋体"/>
          <w:i w:val="0"/>
          <w:iCs w:val="0"/>
          <w:caps w:val="0"/>
          <w:color w:val="auto"/>
          <w:spacing w:val="0"/>
          <w:sz w:val="21"/>
          <w:szCs w:val="21"/>
          <w:highlight w:val="none"/>
        </w:rPr>
        <w:t>五、响应文件开启</w:t>
      </w:r>
      <w:r>
        <w:rPr>
          <w:rFonts w:hint="eastAsia" w:ascii="宋体" w:hAnsi="宋体" w:eastAsia="宋体" w:cs="宋体"/>
          <w:i w:val="0"/>
          <w:iCs w:val="0"/>
          <w:caps w:val="0"/>
          <w:color w:val="auto"/>
          <w:spacing w:val="0"/>
          <w:sz w:val="21"/>
          <w:szCs w:val="21"/>
          <w:highlight w:val="none"/>
        </w:rPr>
        <w:t> </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开启时间：</w:t>
      </w:r>
      <w:r>
        <w:rPr>
          <w:rFonts w:hint="eastAsia" w:ascii="宋体" w:hAnsi="宋体" w:eastAsia="宋体" w:cs="宋体"/>
          <w:i w:val="0"/>
          <w:iCs w:val="0"/>
          <w:caps w:val="0"/>
          <w:color w:val="auto"/>
          <w:spacing w:val="0"/>
          <w:sz w:val="21"/>
          <w:szCs w:val="21"/>
          <w:highlight w:val="none"/>
        </w:rPr>
        <w:t>2023年</w:t>
      </w:r>
      <w:r>
        <w:rPr>
          <w:rFonts w:hint="eastAsia" w:cs="宋体"/>
          <w:i w:val="0"/>
          <w:iCs w:val="0"/>
          <w:caps w:val="0"/>
          <w:color w:val="auto"/>
          <w:spacing w:val="0"/>
          <w:sz w:val="21"/>
          <w:szCs w:val="21"/>
          <w:highlight w:val="none"/>
          <w:lang w:val="en-US" w:eastAsia="zh-CN"/>
        </w:rPr>
        <w:t>08</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25</w:t>
      </w:r>
      <w:r>
        <w:rPr>
          <w:rFonts w:hint="eastAsia" w:ascii="宋体" w:hAnsi="宋体" w:eastAsia="宋体" w:cs="宋体"/>
          <w:i w:val="0"/>
          <w:iCs w:val="0"/>
          <w:caps w:val="0"/>
          <w:color w:val="auto"/>
          <w:spacing w:val="0"/>
          <w:sz w:val="21"/>
          <w:szCs w:val="21"/>
          <w:highlight w:val="none"/>
        </w:rPr>
        <w:t>日 1</w:t>
      </w:r>
      <w:r>
        <w:rPr>
          <w:rFonts w:hint="eastAsia"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w:t>
      </w:r>
      <w:r>
        <w:rPr>
          <w:rFonts w:hint="eastAsia" w:cs="宋体"/>
          <w:i w:val="0"/>
          <w:iCs w:val="0"/>
          <w:caps w:val="0"/>
          <w:color w:val="auto"/>
          <w:spacing w:val="0"/>
          <w:sz w:val="21"/>
          <w:szCs w:val="21"/>
          <w:highlight w:val="none"/>
          <w:lang w:val="en-US" w:eastAsia="zh-CN"/>
        </w:rPr>
        <w:t>3</w:t>
      </w:r>
      <w:r>
        <w:rPr>
          <w:rFonts w:hint="eastAsia" w:ascii="宋体" w:hAnsi="宋体" w:eastAsia="宋体" w:cs="宋体"/>
          <w:i w:val="0"/>
          <w:iCs w:val="0"/>
          <w:caps w:val="0"/>
          <w:color w:val="auto"/>
          <w:spacing w:val="0"/>
          <w:sz w:val="21"/>
          <w:szCs w:val="21"/>
          <w:highlight w:val="none"/>
        </w:rPr>
        <w:t>0（北京时间）</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5"/>
          <w:rFonts w:hint="eastAsia" w:ascii="宋体" w:hAnsi="宋体" w:eastAsia="宋体" w:cs="宋体"/>
          <w:i w:val="0"/>
          <w:iCs w:val="0"/>
          <w:caps w:val="0"/>
          <w:color w:val="auto"/>
          <w:spacing w:val="0"/>
          <w:sz w:val="21"/>
          <w:szCs w:val="21"/>
          <w:highlight w:val="none"/>
        </w:rPr>
        <w:t>六、公告期限</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自本公告发布之日起</w:t>
      </w:r>
      <w:r>
        <w:rPr>
          <w:rFonts w:hint="eastAsia" w:cs="宋体"/>
          <w:i w:val="0"/>
          <w:iCs w:val="0"/>
          <w:caps w:val="0"/>
          <w:color w:val="auto"/>
          <w:spacing w:val="0"/>
          <w:sz w:val="21"/>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rPr>
        <w:t>个工作日。</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5"/>
          <w:rFonts w:hint="eastAsia" w:ascii="宋体" w:hAnsi="宋体" w:eastAsia="宋体" w:cs="宋体"/>
          <w:i w:val="0"/>
          <w:iCs w:val="0"/>
          <w:caps w:val="0"/>
          <w:color w:val="auto"/>
          <w:spacing w:val="0"/>
          <w:sz w:val="21"/>
          <w:szCs w:val="21"/>
          <w:highlight w:val="none"/>
        </w:rPr>
        <w:t>七、其他补充事宜</w:t>
      </w:r>
      <w:r>
        <w:rPr>
          <w:rFonts w:hint="eastAsia" w:ascii="宋体" w:hAnsi="宋体" w:eastAsia="宋体" w:cs="宋体"/>
          <w:i w:val="0"/>
          <w:iCs w:val="0"/>
          <w:caps w:val="0"/>
          <w:color w:val="auto"/>
          <w:spacing w:val="0"/>
          <w:sz w:val="21"/>
          <w:szCs w:val="21"/>
          <w:highlight w:val="none"/>
        </w:rPr>
        <w:t> </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1、本项目实行网上投标，采用电子</w:t>
      </w:r>
      <w:r>
        <w:rPr>
          <w:rFonts w:hint="eastAsia" w:cs="宋体"/>
          <w:i w:val="0"/>
          <w:iCs w:val="0"/>
          <w:caps w:val="0"/>
          <w:color w:val="auto"/>
          <w:spacing w:val="0"/>
          <w:sz w:val="21"/>
          <w:szCs w:val="21"/>
          <w:highlight w:val="none"/>
          <w:u w:val="none"/>
          <w:lang w:eastAsia="zh-CN"/>
        </w:rPr>
        <w:t>响应文件</w:t>
      </w:r>
      <w:r>
        <w:rPr>
          <w:rFonts w:hint="eastAsia" w:ascii="宋体" w:hAnsi="宋体" w:eastAsia="宋体" w:cs="宋体"/>
          <w:i w:val="0"/>
          <w:iCs w:val="0"/>
          <w:caps w:val="0"/>
          <w:color w:val="auto"/>
          <w:spacing w:val="0"/>
          <w:sz w:val="21"/>
          <w:szCs w:val="21"/>
          <w:highlight w:val="none"/>
          <w:u w:val="none"/>
        </w:rPr>
        <w:t>；</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3、供应商将政采云电子交易客户端下载、安装完成后，可通过账号密码或CA登录客户端进行</w:t>
      </w:r>
      <w:r>
        <w:rPr>
          <w:rFonts w:hint="eastAsia" w:cs="宋体"/>
          <w:i w:val="0"/>
          <w:iCs w:val="0"/>
          <w:caps w:val="0"/>
          <w:color w:val="auto"/>
          <w:spacing w:val="0"/>
          <w:sz w:val="21"/>
          <w:szCs w:val="21"/>
          <w:highlight w:val="none"/>
          <w:u w:val="none"/>
          <w:lang w:eastAsia="zh-CN"/>
        </w:rPr>
        <w:t>响应文件</w:t>
      </w:r>
      <w:r>
        <w:rPr>
          <w:rFonts w:hint="eastAsia" w:ascii="宋体" w:hAnsi="宋体" w:eastAsia="宋体" w:cs="宋体"/>
          <w:i w:val="0"/>
          <w:iCs w:val="0"/>
          <w:caps w:val="0"/>
          <w:color w:val="auto"/>
          <w:spacing w:val="0"/>
          <w:sz w:val="21"/>
          <w:szCs w:val="21"/>
          <w:highlight w:val="none"/>
          <w:u w:val="none"/>
        </w:rPr>
        <w:t>的制作。在使用政采云投标客户端时，建议使用WIN7及以上操作系统。客户端请至新疆政府采购网（http://www.ccgp-xinjiang.gov.cn/）下载专区查看，如有问题可拨打政采云客户服务热线进行咨询。</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4、供应商应当在磋商截止时间前,将生成的“电子加密响应文件”上传递交至“政府采购云平台”,磋商截止时间以后上传递交的响应文件将被“政府采购云平台”拒收。</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5、供应商在磋商前须提前配置好电脑浏览器（建议使用360浏览器或谷歌浏览器）,磋商时请使用制作加密电子响应文件的CA锁进行解密及报价确认。本项目响应文件解密时间定为30分钟内,如因自身原因导致无法正常解密,后果由供应商自行承担。</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6、供应商登录政采云平台，在磋商时间后30分钟内用“项目采购-开标评标”功能进行解密响应文件</w:t>
      </w:r>
      <w:r>
        <w:rPr>
          <w:rFonts w:hint="eastAsia" w:cs="宋体"/>
          <w:i w:val="0"/>
          <w:iCs w:val="0"/>
          <w:caps w:val="0"/>
          <w:color w:val="auto"/>
          <w:spacing w:val="0"/>
          <w:sz w:val="21"/>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rPr>
        <w:t>解密与加密响应文件须使用同一个CA。</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textAlignment w:val="auto"/>
        <w:outlineLvl w:val="9"/>
        <w:rPr>
          <w:rFonts w:hint="eastAsia" w:ascii="黑体" w:hAnsi="黑体" w:eastAsia="黑体" w:cs="黑体"/>
          <w:b/>
          <w:bCs/>
          <w:i w:val="0"/>
          <w:iCs w:val="0"/>
          <w:caps w:val="0"/>
          <w:color w:val="auto"/>
          <w:spacing w:val="0"/>
          <w:sz w:val="18"/>
          <w:szCs w:val="18"/>
          <w:highlight w:val="none"/>
          <w:u w:val="none"/>
          <w:lang w:eastAsia="zh-CN"/>
        </w:rPr>
      </w:pPr>
      <w:r>
        <w:rPr>
          <w:rFonts w:hint="eastAsia" w:ascii="黑体" w:hAnsi="黑体" w:eastAsia="黑体" w:cs="黑体"/>
          <w:b/>
          <w:bCs/>
          <w:i w:val="0"/>
          <w:iCs w:val="0"/>
          <w:caps w:val="0"/>
          <w:color w:val="auto"/>
          <w:spacing w:val="0"/>
          <w:sz w:val="18"/>
          <w:szCs w:val="18"/>
          <w:highlight w:val="none"/>
          <w:u w:val="none"/>
        </w:rPr>
        <w:t>特别提示：</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360" w:firstLineChars="200"/>
        <w:textAlignment w:val="auto"/>
        <w:outlineLvl w:val="9"/>
        <w:rPr>
          <w:rFonts w:hint="eastAsia" w:ascii="黑体" w:hAnsi="黑体" w:eastAsia="黑体" w:cs="黑体"/>
          <w:b w:val="0"/>
          <w:bCs w:val="0"/>
          <w:i w:val="0"/>
          <w:iCs w:val="0"/>
          <w:caps w:val="0"/>
          <w:color w:val="auto"/>
          <w:spacing w:val="0"/>
          <w:sz w:val="18"/>
          <w:szCs w:val="18"/>
          <w:highlight w:val="none"/>
          <w:u w:val="none"/>
          <w:lang w:eastAsia="zh-CN"/>
        </w:rPr>
      </w:pPr>
      <w:r>
        <w:rPr>
          <w:rFonts w:hint="eastAsia" w:ascii="黑体" w:hAnsi="黑体" w:eastAsia="黑体" w:cs="黑体"/>
          <w:b w:val="0"/>
          <w:bCs w:val="0"/>
          <w:i w:val="0"/>
          <w:iCs w:val="0"/>
          <w:caps w:val="0"/>
          <w:color w:val="auto"/>
          <w:spacing w:val="0"/>
          <w:sz w:val="18"/>
          <w:szCs w:val="18"/>
          <w:highlight w:val="none"/>
          <w:u w:val="none"/>
        </w:rPr>
        <w:t>1、采购限额标准以上，200万元以下的货物和服务采购项目、400万元以下的工程采购项目，适宜由中小企业提供的，采购人应当专门面向中小企业采购。</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360" w:firstLineChars="200"/>
        <w:textAlignment w:val="auto"/>
        <w:outlineLvl w:val="9"/>
        <w:rPr>
          <w:rFonts w:hint="eastAsia" w:ascii="黑体" w:hAnsi="黑体" w:eastAsia="黑体" w:cs="黑体"/>
          <w:b w:val="0"/>
          <w:bCs w:val="0"/>
          <w:i w:val="0"/>
          <w:iCs w:val="0"/>
          <w:caps w:val="0"/>
          <w:color w:val="auto"/>
          <w:spacing w:val="0"/>
          <w:sz w:val="18"/>
          <w:szCs w:val="18"/>
          <w:highlight w:val="none"/>
          <w:u w:val="none"/>
          <w:lang w:eastAsia="zh-CN"/>
        </w:rPr>
      </w:pPr>
      <w:r>
        <w:rPr>
          <w:rFonts w:hint="eastAsia" w:ascii="黑体" w:hAnsi="黑体" w:eastAsia="黑体" w:cs="黑体"/>
          <w:b w:val="0"/>
          <w:bCs w:val="0"/>
          <w:i w:val="0"/>
          <w:iCs w:val="0"/>
          <w:caps w:val="0"/>
          <w:color w:val="auto"/>
          <w:spacing w:val="0"/>
          <w:sz w:val="18"/>
          <w:szCs w:val="18"/>
          <w:highlight w:val="none"/>
          <w:u w:val="none"/>
        </w:rPr>
        <w:t>2、超过200万元的货物和服务采购项目、超过400万元的工程采购项目中适宜由中小企业提供的，预留该部分采购项目预算总额的30%以上专门面向中小企业采购，其中预留给小微企业的比例不低于60%。</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360" w:firstLineChars="200"/>
        <w:textAlignment w:val="auto"/>
        <w:outlineLvl w:val="9"/>
        <w:rPr>
          <w:rFonts w:hint="eastAsia" w:ascii="黑体" w:hAnsi="黑体" w:eastAsia="黑体" w:cs="黑体"/>
          <w:b w:val="0"/>
          <w:bCs w:val="0"/>
          <w:i w:val="0"/>
          <w:iCs w:val="0"/>
          <w:caps w:val="0"/>
          <w:color w:val="auto"/>
          <w:spacing w:val="0"/>
          <w:sz w:val="18"/>
          <w:szCs w:val="18"/>
          <w:highlight w:val="none"/>
          <w:u w:val="none"/>
          <w:lang w:eastAsia="zh-CN"/>
        </w:rPr>
      </w:pPr>
      <w:r>
        <w:rPr>
          <w:rFonts w:hint="eastAsia" w:ascii="黑体" w:hAnsi="黑体" w:eastAsia="黑体" w:cs="黑体"/>
          <w:b w:val="0"/>
          <w:bCs w:val="0"/>
          <w:i w:val="0"/>
          <w:iCs w:val="0"/>
          <w:caps w:val="0"/>
          <w:color w:val="auto"/>
          <w:spacing w:val="0"/>
          <w:sz w:val="18"/>
          <w:szCs w:val="18"/>
          <w:highlight w:val="none"/>
          <w:u w:val="none"/>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360" w:firstLineChars="200"/>
        <w:textAlignment w:val="auto"/>
        <w:outlineLvl w:val="9"/>
        <w:rPr>
          <w:rFonts w:hint="eastAsia" w:ascii="黑体" w:hAnsi="黑体" w:eastAsia="黑体" w:cs="黑体"/>
          <w:b/>
          <w:bCs/>
          <w:i w:val="0"/>
          <w:iCs w:val="0"/>
          <w:caps w:val="0"/>
          <w:color w:val="auto"/>
          <w:spacing w:val="0"/>
          <w:sz w:val="18"/>
          <w:szCs w:val="18"/>
          <w:highlight w:val="none"/>
          <w:u w:val="none"/>
        </w:rPr>
      </w:pPr>
      <w:r>
        <w:rPr>
          <w:rFonts w:hint="eastAsia" w:ascii="黑体" w:hAnsi="黑体" w:eastAsia="黑体" w:cs="黑体"/>
          <w:b w:val="0"/>
          <w:bCs w:val="0"/>
          <w:i w:val="0"/>
          <w:iCs w:val="0"/>
          <w:caps w:val="0"/>
          <w:color w:val="auto"/>
          <w:spacing w:val="0"/>
          <w:sz w:val="18"/>
          <w:szCs w:val="18"/>
          <w:highlight w:val="none"/>
          <w:u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29"/>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5"/>
          <w:rFonts w:hint="eastAsia" w:ascii="宋体" w:hAnsi="宋体" w:eastAsia="宋体" w:cs="宋体"/>
          <w:i w:val="0"/>
          <w:iCs w:val="0"/>
          <w:caps w:val="0"/>
          <w:color w:val="auto"/>
          <w:spacing w:val="0"/>
          <w:sz w:val="21"/>
          <w:szCs w:val="21"/>
          <w:highlight w:val="none"/>
        </w:rPr>
        <w:t>八、凡对本次招标提出询问，请按以下方式联系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t>1.采购人信息</w:t>
      </w:r>
    </w:p>
    <w:p>
      <w:pPr>
        <w:spacing w:line="360" w:lineRule="auto"/>
        <w:ind w:firstLine="420" w:firstLineChars="200"/>
        <w:rPr>
          <w:rFonts w:hint="eastAsia" w:cs="宋体"/>
          <w:b w:val="0"/>
          <w:bCs w:val="0"/>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t>名 称：</w:t>
      </w:r>
      <w:r>
        <w:rPr>
          <w:rFonts w:hint="eastAsia" w:cs="宋体"/>
          <w:b w:val="0"/>
          <w:bCs w:val="0"/>
          <w:i w:val="0"/>
          <w:iCs w:val="0"/>
          <w:caps w:val="0"/>
          <w:color w:val="auto"/>
          <w:spacing w:val="0"/>
          <w:w w:val="100"/>
          <w:position w:val="0"/>
          <w:sz w:val="21"/>
          <w:szCs w:val="21"/>
          <w:highlight w:val="none"/>
          <w:shd w:val="clear" w:fill="FFFFFF"/>
          <w:vertAlign w:val="baseline"/>
          <w:lang w:val="en-US" w:eastAsia="zh-CN" w:bidi="zh-CN"/>
        </w:rPr>
        <w:t>昌吉回族自治州产品质量检验所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cs="宋体"/>
          <w:b w:val="0"/>
          <w:bCs w:val="0"/>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t>地 址：</w:t>
      </w:r>
      <w:r>
        <w:rPr>
          <w:rFonts w:hint="eastAsia" w:cs="宋体"/>
          <w:b w:val="0"/>
          <w:bCs w:val="0"/>
          <w:i w:val="0"/>
          <w:iCs w:val="0"/>
          <w:caps w:val="0"/>
          <w:color w:val="auto"/>
          <w:spacing w:val="0"/>
          <w:w w:val="100"/>
          <w:position w:val="0"/>
          <w:sz w:val="21"/>
          <w:szCs w:val="21"/>
          <w:highlight w:val="none"/>
          <w:shd w:val="clear" w:fill="FFFFFF"/>
          <w:vertAlign w:val="baseline"/>
          <w:lang w:val="en-US" w:eastAsia="zh-CN" w:bidi="zh-CN"/>
        </w:rPr>
        <w:t>昌吉市健康西路与西外环交汇处昌吉州产品质量检验所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t>联系方式：</w:t>
      </w:r>
      <w:r>
        <w:rPr>
          <w:rFonts w:hint="eastAsia" w:cs="宋体"/>
          <w:b w:val="0"/>
          <w:bCs w:val="0"/>
          <w:i w:val="0"/>
          <w:iCs w:val="0"/>
          <w:caps w:val="0"/>
          <w:color w:val="auto"/>
          <w:spacing w:val="0"/>
          <w:w w:val="100"/>
          <w:position w:val="0"/>
          <w:sz w:val="21"/>
          <w:szCs w:val="21"/>
          <w:highlight w:val="none"/>
          <w:shd w:val="clear" w:fill="FFFFFF"/>
          <w:vertAlign w:val="baseline"/>
          <w:lang w:val="en-US" w:eastAsia="zh-CN" w:bidi="zh-CN"/>
        </w:rPr>
        <w:t>15292597300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t>2.采购代理机构信息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t>名 称：新疆拓远工程管理服务有限公司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default"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t>地 址：</w:t>
      </w:r>
      <w:r>
        <w:rPr>
          <w:rFonts w:hint="eastAsia" w:cs="宋体"/>
          <w:b w:val="0"/>
          <w:bCs w:val="0"/>
          <w:i w:val="0"/>
          <w:iCs w:val="0"/>
          <w:caps w:val="0"/>
          <w:color w:val="auto"/>
          <w:spacing w:val="0"/>
          <w:w w:val="100"/>
          <w:position w:val="0"/>
          <w:sz w:val="21"/>
          <w:szCs w:val="21"/>
          <w:highlight w:val="none"/>
          <w:shd w:val="clear" w:fill="FFFFFF"/>
          <w:vertAlign w:val="baseline"/>
          <w:lang w:val="en-US" w:eastAsia="zh-CN" w:bidi="zh-CN"/>
        </w:rPr>
        <w:t>昌吉市锦江之星6楼615室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default"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t>联系方式：</w:t>
      </w:r>
      <w:r>
        <w:rPr>
          <w:rFonts w:hint="eastAsia" w:cs="宋体"/>
          <w:b w:val="0"/>
          <w:bCs w:val="0"/>
          <w:i w:val="0"/>
          <w:iCs w:val="0"/>
          <w:caps w:val="0"/>
          <w:color w:val="auto"/>
          <w:spacing w:val="0"/>
          <w:w w:val="100"/>
          <w:position w:val="0"/>
          <w:sz w:val="21"/>
          <w:szCs w:val="21"/>
          <w:highlight w:val="none"/>
          <w:shd w:val="clear" w:fill="FFFFFF"/>
          <w:vertAlign w:val="baseline"/>
          <w:lang w:val="en-US" w:eastAsia="zh-CN" w:bidi="zh-CN"/>
        </w:rPr>
        <w:t>0994-2331855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default"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t>项目联系人：</w:t>
      </w:r>
      <w:r>
        <w:rPr>
          <w:rFonts w:hint="eastAsia" w:cs="宋体"/>
          <w:b w:val="0"/>
          <w:bCs w:val="0"/>
          <w:i w:val="0"/>
          <w:iCs w:val="0"/>
          <w:caps w:val="0"/>
          <w:color w:val="auto"/>
          <w:spacing w:val="0"/>
          <w:w w:val="100"/>
          <w:position w:val="0"/>
          <w:sz w:val="21"/>
          <w:szCs w:val="21"/>
          <w:highlight w:val="none"/>
          <w:shd w:val="clear" w:fill="FFFFFF"/>
          <w:vertAlign w:val="baseline"/>
          <w:lang w:val="en-US" w:eastAsia="zh-CN" w:bidi="zh-CN"/>
        </w:rPr>
        <w:t>马工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default"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val="0"/>
          <w:bCs w:val="0"/>
          <w:i w:val="0"/>
          <w:iCs w:val="0"/>
          <w:caps w:val="0"/>
          <w:color w:val="auto"/>
          <w:spacing w:val="0"/>
          <w:w w:val="100"/>
          <w:position w:val="0"/>
          <w:sz w:val="21"/>
          <w:szCs w:val="21"/>
          <w:highlight w:val="none"/>
          <w:shd w:val="clear" w:fill="FFFFFF"/>
          <w:vertAlign w:val="baseline"/>
          <w:lang w:val="en-US" w:eastAsia="zh-CN" w:bidi="zh-CN"/>
        </w:rPr>
        <w:t>电 话：</w:t>
      </w:r>
      <w:r>
        <w:rPr>
          <w:rFonts w:hint="eastAsia" w:cs="宋体"/>
          <w:b w:val="0"/>
          <w:bCs w:val="0"/>
          <w:i w:val="0"/>
          <w:iCs w:val="0"/>
          <w:caps w:val="0"/>
          <w:color w:val="auto"/>
          <w:spacing w:val="0"/>
          <w:w w:val="100"/>
          <w:position w:val="0"/>
          <w:sz w:val="21"/>
          <w:szCs w:val="21"/>
          <w:highlight w:val="none"/>
          <w:shd w:val="clear" w:fill="FFFFFF"/>
          <w:vertAlign w:val="baseline"/>
          <w:lang w:val="en-US" w:eastAsia="zh-CN" w:bidi="zh-CN"/>
        </w:rPr>
        <w:t>0994-2331855</w:t>
      </w:r>
    </w:p>
    <w:p>
      <w:pPr>
        <w:keepNext w:val="0"/>
        <w:keepLines w:val="0"/>
        <w:pageBreakBefore w:val="0"/>
        <w:kinsoku/>
        <w:wordWrap w:val="0"/>
        <w:overflowPunct/>
        <w:topLinePunct w:val="0"/>
        <w:autoSpaceDE w:val="0"/>
        <w:autoSpaceDN w:val="0"/>
        <w:bidi w:val="0"/>
        <w:adjustRightInd/>
        <w:snapToGrid/>
        <w:spacing w:line="360" w:lineRule="auto"/>
        <w:ind w:left="0" w:right="0" w:firstLine="420" w:firstLineChars="200"/>
        <w:jc w:val="right"/>
        <w:outlineLvl w:val="9"/>
        <w:rPr>
          <w:rFonts w:hint="eastAsia" w:ascii="宋体" w:hAnsi="宋体" w:eastAsia="宋体" w:cs="宋体"/>
          <w:i w:val="0"/>
          <w:caps w:val="0"/>
          <w:color w:val="auto"/>
          <w:spacing w:val="0"/>
          <w:w w:val="100"/>
          <w:position w:val="0"/>
          <w:sz w:val="22"/>
          <w:szCs w:val="22"/>
          <w:highlight w:val="none"/>
          <w:lang w:val="en-US" w:eastAsia="zh-CN"/>
        </w:rPr>
      </w:pPr>
      <w:r>
        <w:rPr>
          <w:rFonts w:hint="eastAsia" w:ascii="宋体" w:hAnsi="宋体" w:eastAsia="宋体" w:cs="宋体"/>
          <w:i w:val="0"/>
          <w:caps w:val="0"/>
          <w:color w:val="auto"/>
          <w:spacing w:val="0"/>
          <w:w w:val="100"/>
          <w:position w:val="0"/>
          <w:sz w:val="21"/>
          <w:szCs w:val="21"/>
          <w:highlight w:val="none"/>
          <w:lang w:val="en-US" w:eastAsia="zh-CN"/>
        </w:rPr>
        <w:t xml:space="preserve">    </w:t>
      </w:r>
    </w:p>
    <w:p>
      <w:pPr>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br w:type="page"/>
      </w:r>
    </w:p>
    <w:p>
      <w:pPr>
        <w:pStyle w:val="3"/>
        <w:shd w:val="clear"/>
        <w:spacing w:before="0" w:line="480" w:lineRule="exact"/>
        <w:ind w:left="0" w:right="0"/>
        <w:rPr>
          <w:rFonts w:hint="eastAsia" w:ascii="宋体" w:hAnsi="宋体" w:eastAsia="宋体" w:cs="宋体"/>
          <w:b w:val="0"/>
          <w:bCs w:val="0"/>
          <w:color w:val="auto"/>
          <w:spacing w:val="0"/>
          <w:w w:val="100"/>
          <w:position w:val="0"/>
          <w:sz w:val="28"/>
          <w:szCs w:val="28"/>
          <w:highlight w:val="none"/>
          <w:lang w:val="en-US" w:eastAsia="zh-CN"/>
        </w:rPr>
      </w:pPr>
      <w:bookmarkStart w:id="7" w:name="_Toc25273"/>
      <w:bookmarkStart w:id="8" w:name="_Toc19253"/>
      <w:bookmarkStart w:id="9" w:name="_Toc7044"/>
      <w:bookmarkStart w:id="10" w:name="_Toc497"/>
      <w:bookmarkStart w:id="11" w:name="_Toc2463"/>
      <w:bookmarkStart w:id="12" w:name="_Toc29461"/>
      <w:bookmarkStart w:id="13" w:name="_Toc32186"/>
      <w:r>
        <w:rPr>
          <w:rFonts w:hint="eastAsia" w:ascii="宋体" w:hAnsi="宋体" w:eastAsia="宋体" w:cs="宋体"/>
          <w:b w:val="0"/>
          <w:bCs w:val="0"/>
          <w:color w:val="auto"/>
          <w:spacing w:val="0"/>
          <w:w w:val="100"/>
          <w:position w:val="0"/>
          <w:sz w:val="32"/>
          <w:szCs w:val="32"/>
          <w:highlight w:val="none"/>
        </w:rPr>
        <w:t>第二部分</w:t>
      </w:r>
      <w:r>
        <w:rPr>
          <w:rFonts w:hint="eastAsia" w:ascii="宋体" w:hAnsi="宋体" w:eastAsia="宋体" w:cs="宋体"/>
          <w:b w:val="0"/>
          <w:bCs w:val="0"/>
          <w:color w:val="auto"/>
          <w:spacing w:val="0"/>
          <w:w w:val="100"/>
          <w:position w:val="0"/>
          <w:sz w:val="32"/>
          <w:szCs w:val="32"/>
          <w:highlight w:val="none"/>
          <w:lang w:val="en-US" w:eastAsia="zh-CN"/>
        </w:rPr>
        <w:t xml:space="preserve"> 采购需求</w:t>
      </w:r>
      <w:bookmarkEnd w:id="7"/>
      <w:bookmarkEnd w:id="8"/>
      <w:bookmarkEnd w:id="9"/>
      <w:bookmarkEnd w:id="10"/>
      <w:bookmarkEnd w:id="11"/>
      <w:bookmarkEnd w:id="12"/>
      <w:bookmarkEnd w:id="13"/>
    </w:p>
    <w:p>
      <w:pPr>
        <w:wordWrap w:val="0"/>
        <w:autoSpaceDE/>
        <w:autoSpaceDN/>
        <w:spacing w:line="360" w:lineRule="auto"/>
        <w:ind w:firstLine="420" w:firstLineChars="200"/>
        <w:jc w:val="both"/>
        <w:rPr>
          <w:rFonts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注：采购需求中标注“★”号条款为实质性条款，必须逐条进行响应，有任何一条负偏离的，将导致无效响应。</w:t>
      </w:r>
    </w:p>
    <w:tbl>
      <w:tblPr>
        <w:tblStyle w:val="32"/>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7"/>
        <w:gridCol w:w="2979"/>
        <w:gridCol w:w="2549"/>
        <w:gridCol w:w="763"/>
        <w:gridCol w:w="1459"/>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897" w:type="dxa"/>
            <w:vAlign w:val="center"/>
          </w:tcPr>
          <w:p>
            <w:pPr>
              <w:widowControl/>
              <w:autoSpaceDE w:val="0"/>
              <w:autoSpaceDN w:val="0"/>
              <w:jc w:val="center"/>
              <w:textAlignment w:val="baseline"/>
              <w:rPr>
                <w:rFonts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0"/>
                <w:sz w:val="21"/>
                <w:szCs w:val="21"/>
                <w:highlight w:val="none"/>
                <w:lang w:val="en-US" w:bidi="zh-CN"/>
              </w:rPr>
              <w:t>标项号</w:t>
            </w:r>
          </w:p>
        </w:tc>
        <w:tc>
          <w:tcPr>
            <w:tcW w:w="2979" w:type="dxa"/>
            <w:vAlign w:val="center"/>
          </w:tcPr>
          <w:p>
            <w:pPr>
              <w:widowControl/>
              <w:autoSpaceDE w:val="0"/>
              <w:autoSpaceDN w:val="0"/>
              <w:jc w:val="center"/>
              <w:textAlignment w:val="baseline"/>
              <w:rPr>
                <w:rFonts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0"/>
                <w:sz w:val="21"/>
                <w:szCs w:val="21"/>
                <w:highlight w:val="none"/>
                <w:lang w:val="en-US" w:bidi="zh-CN"/>
              </w:rPr>
              <w:t>标项名称</w:t>
            </w:r>
          </w:p>
        </w:tc>
        <w:tc>
          <w:tcPr>
            <w:tcW w:w="2549" w:type="dxa"/>
            <w:vAlign w:val="center"/>
          </w:tcPr>
          <w:p>
            <w:pPr>
              <w:wordWrap w:val="0"/>
              <w:autoSpaceDE/>
              <w:autoSpaceDN/>
              <w:jc w:val="center"/>
              <w:rPr>
                <w:rFonts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采购内容</w:t>
            </w:r>
          </w:p>
        </w:tc>
        <w:tc>
          <w:tcPr>
            <w:tcW w:w="763" w:type="dxa"/>
            <w:vAlign w:val="center"/>
          </w:tcPr>
          <w:p>
            <w:pPr>
              <w:wordWrap w:val="0"/>
              <w:autoSpaceDE/>
              <w:autoSpaceDN/>
              <w:jc w:val="center"/>
              <w:rPr>
                <w:rFonts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数量</w:t>
            </w:r>
          </w:p>
        </w:tc>
        <w:tc>
          <w:tcPr>
            <w:tcW w:w="1459" w:type="dxa"/>
            <w:vAlign w:val="center"/>
          </w:tcPr>
          <w:p>
            <w:pPr>
              <w:wordWrap w:val="0"/>
              <w:autoSpaceDE/>
              <w:autoSpaceDN/>
              <w:jc w:val="center"/>
              <w:rPr>
                <w:rFonts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采购预算</w:t>
            </w:r>
          </w:p>
          <w:p>
            <w:pPr>
              <w:wordWrap w:val="0"/>
              <w:autoSpaceDE/>
              <w:autoSpaceDN/>
              <w:jc w:val="center"/>
              <w:rPr>
                <w:rFonts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（人民币/元）</w:t>
            </w:r>
          </w:p>
        </w:tc>
        <w:tc>
          <w:tcPr>
            <w:tcW w:w="1590" w:type="dxa"/>
            <w:vAlign w:val="center"/>
          </w:tcPr>
          <w:p>
            <w:pPr>
              <w:wordWrap w:val="0"/>
              <w:autoSpaceDE/>
              <w:autoSpaceDN/>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897" w:type="dxa"/>
            <w:vAlign w:val="center"/>
          </w:tcPr>
          <w:p>
            <w:pPr>
              <w:wordWrap w:val="0"/>
              <w:autoSpaceDE/>
              <w:autoSpaceDN/>
              <w:jc w:val="center"/>
              <w:rPr>
                <w:rFonts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w:t>
            </w:r>
          </w:p>
        </w:tc>
        <w:tc>
          <w:tcPr>
            <w:tcW w:w="2979" w:type="dxa"/>
            <w:vAlign w:val="center"/>
          </w:tcPr>
          <w:p>
            <w:pPr>
              <w:widowControl/>
              <w:autoSpaceDE/>
              <w:autoSpaceDN/>
              <w:spacing w:line="360" w:lineRule="exact"/>
              <w:jc w:val="center"/>
              <w:rPr>
                <w:rFonts w:ascii="宋体" w:hAnsi="宋体" w:eastAsia="宋体" w:cs="宋体"/>
                <w:b w:val="0"/>
                <w:bCs w:val="0"/>
                <w:color w:val="auto"/>
                <w:kern w:val="2"/>
                <w:sz w:val="21"/>
                <w:szCs w:val="21"/>
                <w:highlight w:val="none"/>
                <w:lang w:val="en-US" w:bidi="ar-SA"/>
              </w:rPr>
            </w:pPr>
            <w:r>
              <w:rPr>
                <w:rFonts w:hint="eastAsia" w:cs="宋体"/>
                <w:b w:val="0"/>
                <w:bCs w:val="0"/>
                <w:i w:val="0"/>
                <w:iCs w:val="0"/>
                <w:caps w:val="0"/>
                <w:color w:val="auto"/>
                <w:spacing w:val="0"/>
                <w:sz w:val="21"/>
                <w:szCs w:val="21"/>
                <w:highlight w:val="none"/>
                <w:lang w:eastAsia="zh-CN"/>
              </w:rPr>
              <w:t>昌吉回族自治州产品质量检验所实验室信息管理系统建设项目</w:t>
            </w:r>
          </w:p>
        </w:tc>
        <w:tc>
          <w:tcPr>
            <w:tcW w:w="2549" w:type="dxa"/>
            <w:vAlign w:val="center"/>
          </w:tcPr>
          <w:p>
            <w:pPr>
              <w:widowControl/>
              <w:autoSpaceDE/>
              <w:autoSpaceDN/>
              <w:spacing w:line="360" w:lineRule="exact"/>
              <w:jc w:val="center"/>
              <w:rPr>
                <w:rFonts w:ascii="宋体" w:hAnsi="宋体" w:eastAsia="宋体" w:cs="宋体"/>
                <w:b w:val="0"/>
                <w:bCs w:val="0"/>
                <w:color w:val="auto"/>
                <w:kern w:val="0"/>
                <w:sz w:val="21"/>
                <w:szCs w:val="21"/>
                <w:highlight w:val="none"/>
                <w:lang w:val="en-US" w:bidi="zh-CN"/>
              </w:rPr>
            </w:pPr>
            <w:r>
              <w:rPr>
                <w:rFonts w:hint="eastAsia" w:cs="宋体"/>
                <w:b w:val="0"/>
                <w:bCs w:val="0"/>
                <w:i w:val="0"/>
                <w:iCs w:val="0"/>
                <w:caps w:val="0"/>
                <w:color w:val="auto"/>
                <w:spacing w:val="0"/>
                <w:sz w:val="21"/>
                <w:szCs w:val="21"/>
                <w:highlight w:val="none"/>
                <w:lang w:val="en-US" w:eastAsia="zh-CN"/>
              </w:rPr>
              <w:t>质检业务管理系统一套及与其匹配的服务器等相关设施。</w:t>
            </w:r>
          </w:p>
        </w:tc>
        <w:tc>
          <w:tcPr>
            <w:tcW w:w="763" w:type="dxa"/>
            <w:vAlign w:val="center"/>
          </w:tcPr>
          <w:p>
            <w:pPr>
              <w:wordWrap w:val="0"/>
              <w:autoSpaceDE/>
              <w:autoSpaceDN/>
              <w:jc w:val="center"/>
              <w:rPr>
                <w:rFonts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不限</w:t>
            </w:r>
          </w:p>
        </w:tc>
        <w:tc>
          <w:tcPr>
            <w:tcW w:w="1459" w:type="dxa"/>
            <w:vAlign w:val="center"/>
          </w:tcPr>
          <w:p>
            <w:pPr>
              <w:widowControl/>
              <w:autoSpaceDE/>
              <w:autoSpaceDN/>
              <w:spacing w:before="75" w:after="75"/>
              <w:ind w:firstLine="420" w:firstLineChars="200"/>
              <w:jc w:val="left"/>
              <w:rPr>
                <w:rFonts w:hint="default" w:ascii="宋体" w:hAnsi="宋体" w:eastAsia="宋体" w:cs="宋体"/>
                <w:b w:val="0"/>
                <w:bCs w:val="0"/>
                <w:color w:val="auto"/>
                <w:kern w:val="2"/>
                <w:sz w:val="21"/>
                <w:szCs w:val="21"/>
                <w:highlight w:val="none"/>
                <w:lang w:val="en-US" w:bidi="ar-SA"/>
              </w:rPr>
            </w:pPr>
            <w:r>
              <w:rPr>
                <w:rFonts w:hint="eastAsia" w:cs="宋体"/>
                <w:b w:val="0"/>
                <w:bCs w:val="0"/>
                <w:color w:val="auto"/>
                <w:kern w:val="0"/>
                <w:sz w:val="21"/>
                <w:szCs w:val="21"/>
                <w:highlight w:val="none"/>
                <w:lang w:val="en-US" w:eastAsia="zh-CN" w:bidi="ar"/>
              </w:rPr>
              <w:t>500000</w:t>
            </w:r>
          </w:p>
        </w:tc>
        <w:tc>
          <w:tcPr>
            <w:tcW w:w="1590" w:type="dxa"/>
            <w:vAlign w:val="center"/>
          </w:tcPr>
          <w:p>
            <w:pPr>
              <w:widowControl/>
              <w:autoSpaceDE/>
              <w:autoSpaceDN/>
              <w:snapToGrid w:val="0"/>
              <w:spacing w:line="360" w:lineRule="exact"/>
              <w:jc w:val="center"/>
              <w:rPr>
                <w:rFonts w:hint="default" w:ascii="宋体" w:hAnsi="宋体" w:eastAsia="宋体" w:cs="宋体"/>
                <w:b w:val="0"/>
                <w:bCs w:val="0"/>
                <w:color w:val="auto"/>
                <w:kern w:val="0"/>
                <w:sz w:val="21"/>
                <w:szCs w:val="21"/>
                <w:highlight w:val="none"/>
                <w:lang w:val="en-US" w:bidi="ar"/>
              </w:rPr>
            </w:pPr>
            <w:r>
              <w:rPr>
                <w:rFonts w:hint="eastAsia" w:cs="宋体"/>
                <w:b w:val="0"/>
                <w:bCs w:val="0"/>
                <w:color w:val="auto"/>
                <w:kern w:val="0"/>
                <w:sz w:val="21"/>
                <w:szCs w:val="21"/>
                <w:highlight w:val="none"/>
                <w:lang w:val="en-US" w:bidi="zh-CN"/>
              </w:rPr>
              <w:t>1个月</w:t>
            </w:r>
          </w:p>
        </w:tc>
      </w:tr>
    </w:tbl>
    <w:p>
      <w:pPr>
        <w:widowControl/>
        <w:autoSpaceDE/>
        <w:autoSpaceDN/>
        <w:spacing w:line="360" w:lineRule="auto"/>
        <w:ind w:firstLine="420" w:firstLineChars="200"/>
        <w:jc w:val="left"/>
        <w:rPr>
          <w:rFonts w:ascii="宋体" w:hAnsi="宋体" w:eastAsia="宋体" w:cs="宋体"/>
          <w:b w:val="0"/>
          <w:bCs w:val="0"/>
          <w:color w:val="auto"/>
          <w:kern w:val="0"/>
          <w:sz w:val="21"/>
          <w:szCs w:val="21"/>
          <w:highlight w:val="none"/>
          <w:shd w:val="clear" w:color="auto" w:fill="FFFFFF"/>
          <w:lang w:val="en-US" w:bidi="ar"/>
        </w:rPr>
      </w:pPr>
      <w:r>
        <w:rPr>
          <w:rFonts w:hint="eastAsia" w:ascii="宋体" w:hAnsi="宋体" w:eastAsia="宋体" w:cs="宋体"/>
          <w:b w:val="0"/>
          <w:bCs w:val="0"/>
          <w:color w:val="auto"/>
          <w:kern w:val="0"/>
          <w:sz w:val="21"/>
          <w:szCs w:val="21"/>
          <w:highlight w:val="none"/>
          <w:shd w:val="clear" w:color="auto" w:fill="FFFFFF"/>
          <w:lang w:val="en-US" w:bidi="ar"/>
        </w:rPr>
        <w:t>备注：</w:t>
      </w:r>
    </w:p>
    <w:p>
      <w:pPr>
        <w:widowControl/>
        <w:autoSpaceDE/>
        <w:autoSpaceDN/>
        <w:spacing w:line="360" w:lineRule="auto"/>
        <w:ind w:firstLine="420" w:firstLineChars="200"/>
        <w:jc w:val="left"/>
        <w:rPr>
          <w:rFonts w:ascii="宋体" w:hAnsi="宋体" w:eastAsia="宋体" w:cs="宋体"/>
          <w:b w:val="0"/>
          <w:bCs w:val="0"/>
          <w:color w:val="auto"/>
          <w:kern w:val="0"/>
          <w:sz w:val="21"/>
          <w:szCs w:val="21"/>
          <w:highlight w:val="none"/>
          <w:shd w:val="clear" w:color="auto" w:fill="FFFFFF"/>
          <w:lang w:val="en-US" w:bidi="ar"/>
        </w:rPr>
      </w:pPr>
      <w:r>
        <w:rPr>
          <w:rFonts w:hint="eastAsia" w:ascii="宋体" w:hAnsi="宋体" w:eastAsia="宋体" w:cs="宋体"/>
          <w:b w:val="0"/>
          <w:bCs w:val="0"/>
          <w:color w:val="auto"/>
          <w:kern w:val="0"/>
          <w:sz w:val="21"/>
          <w:szCs w:val="21"/>
          <w:highlight w:val="none"/>
          <w:shd w:val="clear" w:color="auto" w:fill="FFFFFF"/>
          <w:lang w:val="en-US" w:bidi="ar"/>
        </w:rPr>
        <w:t>1）投标单位须对本项目以标项为单位的采购标的或服务内容进行整体投标，不得缺漏，任何只对标项内其中一部分采购标的或服务内容进行投标的都被视为无效投标。</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（一）项目基本情况</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cs="宋体"/>
          <w:b w:val="0"/>
          <w:bCs w:val="0"/>
          <w:i w:val="0"/>
          <w:iCs w:val="0"/>
          <w:caps w:val="0"/>
          <w:color w:val="auto"/>
          <w:spacing w:val="0"/>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项目编号：</w:t>
      </w:r>
      <w:r>
        <w:rPr>
          <w:rFonts w:hint="eastAsia" w:cs="宋体"/>
          <w:b w:val="0"/>
          <w:bCs w:val="0"/>
          <w:i w:val="0"/>
          <w:iCs w:val="0"/>
          <w:caps w:val="0"/>
          <w:color w:val="auto"/>
          <w:spacing w:val="0"/>
          <w:sz w:val="21"/>
          <w:szCs w:val="21"/>
          <w:highlight w:val="none"/>
          <w:lang w:eastAsia="zh-CN"/>
        </w:rPr>
        <w:t>XJTY-ZB-2023-080</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项目名称：</w:t>
      </w:r>
      <w:r>
        <w:rPr>
          <w:rFonts w:hint="eastAsia" w:cs="宋体"/>
          <w:b w:val="0"/>
          <w:bCs w:val="0"/>
          <w:i w:val="0"/>
          <w:iCs w:val="0"/>
          <w:caps w:val="0"/>
          <w:color w:val="auto"/>
          <w:spacing w:val="0"/>
          <w:sz w:val="21"/>
          <w:szCs w:val="21"/>
          <w:highlight w:val="none"/>
          <w:lang w:eastAsia="zh-CN"/>
        </w:rPr>
        <w:t>昌吉回族自治州产品质量检验所实验室信息管理系统建设项目</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采购方式：竞争性磋商</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预算金额（元）：</w:t>
      </w:r>
      <w:r>
        <w:rPr>
          <w:rFonts w:hint="eastAsia" w:cs="宋体"/>
          <w:b w:val="0"/>
          <w:bCs w:val="0"/>
          <w:smallCaps w:val="0"/>
          <w:color w:val="auto"/>
          <w:spacing w:val="0"/>
          <w:kern w:val="0"/>
          <w:position w:val="0"/>
          <w:sz w:val="21"/>
          <w:szCs w:val="21"/>
          <w:highlight w:val="none"/>
          <w:lang w:val="en-US" w:eastAsia="zh-CN" w:bidi="zh-CN"/>
        </w:rPr>
        <w:t>500000</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采购需求：（包括但不限于标的的名称、数量、简要技术需求或服务要求等）</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1.标的名称、数量及技术需求或服务要求等：详见采购需求；</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2.项目属性：服务</w:t>
      </w:r>
      <w:r>
        <w:rPr>
          <w:rFonts w:hint="eastAsia" w:cs="宋体"/>
          <w:b w:val="0"/>
          <w:bCs w:val="0"/>
          <w:color w:val="auto"/>
          <w:kern w:val="2"/>
          <w:sz w:val="21"/>
          <w:szCs w:val="21"/>
          <w:highlight w:val="none"/>
          <w:lang w:val="en-US" w:eastAsia="zh-CN" w:bidi="ar-SA"/>
        </w:rPr>
        <w:t>类</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3.品目类别：软件运维服务</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4.最高限价：</w:t>
      </w:r>
      <w:r>
        <w:rPr>
          <w:rFonts w:hint="eastAsia" w:cs="宋体"/>
          <w:b w:val="0"/>
          <w:bCs w:val="0"/>
          <w:smallCaps w:val="0"/>
          <w:color w:val="auto"/>
          <w:spacing w:val="0"/>
          <w:kern w:val="0"/>
          <w:position w:val="0"/>
          <w:sz w:val="21"/>
          <w:szCs w:val="21"/>
          <w:highlight w:val="none"/>
          <w:lang w:val="en-US" w:eastAsia="zh-CN" w:bidi="zh-CN"/>
        </w:rPr>
        <w:t>500000</w:t>
      </w:r>
      <w:r>
        <w:rPr>
          <w:rFonts w:hint="eastAsia" w:ascii="宋体" w:hAnsi="宋体" w:eastAsia="宋体" w:cs="宋体"/>
          <w:b w:val="0"/>
          <w:bCs w:val="0"/>
          <w:color w:val="auto"/>
          <w:kern w:val="2"/>
          <w:sz w:val="21"/>
          <w:szCs w:val="21"/>
          <w:highlight w:val="none"/>
          <w:lang w:val="en-US" w:eastAsia="zh-CN" w:bidi="ar-SA"/>
        </w:rPr>
        <w:t>元</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5.落实的政府采购政策</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财政部关于进一步加大政府采购支持中小企业力度的通知》（财库【2022】19号）等。本项目中小企业划分标准所属行业为：</w:t>
      </w:r>
      <w:r>
        <w:rPr>
          <w:rFonts w:ascii="Calibri" w:hAnsi="Calibri" w:eastAsia="宋体" w:cs="Times New Roman"/>
          <w:b w:val="0"/>
          <w:bCs w:val="0"/>
          <w:color w:val="auto"/>
          <w:kern w:val="2"/>
          <w:sz w:val="21"/>
          <w:szCs w:val="24"/>
          <w:highlight w:val="none"/>
          <w:lang w:val="en-US" w:bidi="ar-SA"/>
        </w:rPr>
        <w:t>软件和信息技术服务业</w:t>
      </w:r>
      <w:r>
        <w:rPr>
          <w:rFonts w:hint="eastAsia" w:ascii="宋体" w:hAnsi="宋体" w:eastAsia="宋体" w:cs="宋体"/>
          <w:b w:val="0"/>
          <w:bCs w:val="0"/>
          <w:color w:val="auto"/>
          <w:kern w:val="2"/>
          <w:sz w:val="21"/>
          <w:szCs w:val="21"/>
          <w:highlight w:val="none"/>
          <w:lang w:val="en-US" w:eastAsia="zh-CN" w:bidi="ar-SA"/>
        </w:rPr>
        <w:t>。</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（二）项目概况</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在项目实施过程中，工作时间内不得影响采购人现有系统的正常使用，必须做到无缝升级。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b w:val="0"/>
          <w:bCs w:val="0"/>
          <w:i w:val="0"/>
          <w:iCs w:val="0"/>
          <w:caps w:val="0"/>
          <w:smallCaps w:val="0"/>
          <w:color w:val="auto"/>
          <w:spacing w:val="0"/>
          <w:kern w:val="0"/>
          <w:position w:val="0"/>
          <w:sz w:val="21"/>
          <w:szCs w:val="21"/>
          <w:highlight w:val="none"/>
          <w:shd w:val="clear" w:color="auto" w:fill="FFFFFF"/>
          <w:lang w:val="en-US" w:eastAsia="zh-CN" w:bidi="ar"/>
        </w:rPr>
      </w:pPr>
      <w:r>
        <w:rPr>
          <w:rFonts w:hint="eastAsia" w:ascii="宋体" w:hAnsi="宋体" w:eastAsia="宋体" w:cs="宋体"/>
          <w:b w:val="0"/>
          <w:bCs w:val="0"/>
          <w:i w:val="0"/>
          <w:iCs w:val="0"/>
          <w:caps w:val="0"/>
          <w:smallCaps w:val="0"/>
          <w:color w:val="auto"/>
          <w:spacing w:val="0"/>
          <w:kern w:val="0"/>
          <w:position w:val="0"/>
          <w:sz w:val="21"/>
          <w:szCs w:val="21"/>
          <w:highlight w:val="none"/>
          <w:shd w:val="clear" w:color="auto" w:fill="FFFFFF"/>
          <w:lang w:val="en-US" w:eastAsia="zh-CN" w:bidi="ar"/>
        </w:rPr>
        <w:t>（三）技术商务要求</w:t>
      </w:r>
    </w:p>
    <w:p>
      <w:pPr>
        <w:autoSpaceDE/>
        <w:autoSpaceDN/>
        <w:spacing w:before="0" w:after="0" w:line="240" w:lineRule="auto"/>
        <w:ind w:left="0" w:right="0"/>
        <w:jc w:val="both"/>
        <w:outlineLvl w:val="9"/>
        <w:rPr>
          <w:rFonts w:ascii="Calibri" w:hAnsi="Calibri" w:eastAsia="宋体" w:cs="Times New Roman"/>
          <w:b w:val="0"/>
          <w:bCs w:val="0"/>
          <w:color w:val="auto"/>
          <w:kern w:val="2"/>
          <w:sz w:val="21"/>
          <w:szCs w:val="24"/>
          <w:highlight w:val="none"/>
          <w:lang w:val="en-US" w:bidi="ar-SA"/>
        </w:rPr>
      </w:pPr>
      <w:r>
        <w:rPr>
          <w:rFonts w:ascii="Calibri" w:hAnsi="Calibri" w:eastAsia="宋体" w:cs="Times New Roman"/>
          <w:b w:val="0"/>
          <w:bCs w:val="0"/>
          <w:color w:val="auto"/>
          <w:kern w:val="2"/>
          <w:sz w:val="21"/>
          <w:szCs w:val="24"/>
          <w:highlight w:val="none"/>
          <w:lang w:val="en-US" w:bidi="ar-SA"/>
        </w:rPr>
        <w:t>1.主要商务要求</w:t>
      </w:r>
    </w:p>
    <w:tbl>
      <w:tblPr>
        <w:tblStyle w:val="3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16"/>
        <w:gridCol w:w="80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6"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标的提供的时间</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6"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标的提供的地点</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付款方式</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（1）合同签订后，采购人向中标人支付合同总金额 50%；</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（2）项目完成所有功能开发和功能部署并上线试运行，</w:t>
            </w:r>
            <w:r>
              <w:rPr>
                <w:rFonts w:hint="eastAsia" w:ascii="宋体" w:hAnsi="宋体" w:eastAsia="宋体" w:cs="宋体"/>
                <w:b w:val="0"/>
                <w:bCs w:val="0"/>
                <w:sz w:val="21"/>
                <w:szCs w:val="21"/>
                <w:highlight w:val="none"/>
                <w:lang w:val="en-US" w:bidi="ar-SA"/>
              </w:rPr>
              <w:t>经采购人验收项目合格后，</w:t>
            </w:r>
            <w:r>
              <w:rPr>
                <w:rFonts w:hint="eastAsia" w:ascii="宋体" w:hAnsi="宋体" w:eastAsia="宋体" w:cs="宋体"/>
                <w:b w:val="0"/>
                <w:bCs w:val="0"/>
                <w:color w:val="auto"/>
                <w:kern w:val="2"/>
                <w:sz w:val="21"/>
                <w:szCs w:val="21"/>
                <w:highlight w:val="none"/>
                <w:lang w:val="en-US" w:bidi="ar-SA"/>
              </w:rPr>
              <w:t>采购人向中标人支付合同总金额50%。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验收要求</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供应商应向采购人提出验收申请，填写项目验收申请表，中标人项目经理根据相关规范或与采购人商定的内容、步骤制定项目验收方案，并至少提前10日提交给采购人，双方对验收方案进行确认。验收内容包括对所有交付品的检查、功能验收及性能验收。验收合格后，经双方确认，形成验收报告，由双方项目负责人签字生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7"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履约保证金</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7"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其他</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w:t>
            </w:r>
          </w:p>
        </w:tc>
      </w:tr>
    </w:tbl>
    <w:p>
      <w:pPr>
        <w:autoSpaceDE/>
        <w:autoSpaceDN/>
        <w:spacing w:before="0" w:after="0" w:line="240" w:lineRule="auto"/>
        <w:ind w:left="0" w:right="0"/>
        <w:jc w:val="both"/>
        <w:outlineLvl w:val="9"/>
        <w:rPr>
          <w:rFonts w:ascii="Calibri" w:hAnsi="Calibri" w:eastAsia="宋体" w:cs="Times New Roman"/>
          <w:b w:val="0"/>
          <w:bCs w:val="0"/>
          <w:color w:val="auto"/>
          <w:kern w:val="2"/>
          <w:sz w:val="21"/>
          <w:szCs w:val="24"/>
          <w:highlight w:val="none"/>
          <w:lang w:val="en-US" w:bidi="ar-SA"/>
        </w:rPr>
      </w:pPr>
      <w:r>
        <w:rPr>
          <w:rFonts w:ascii="Calibri" w:hAnsi="Calibri" w:eastAsia="宋体" w:cs="Times New Roman"/>
          <w:b w:val="0"/>
          <w:bCs w:val="0"/>
          <w:color w:val="auto"/>
          <w:kern w:val="2"/>
          <w:sz w:val="21"/>
          <w:szCs w:val="24"/>
          <w:highlight w:val="none"/>
          <w:lang w:val="en-US" w:bidi="ar-SA"/>
        </w:rPr>
        <w:t>其他商务需求</w:t>
      </w:r>
    </w:p>
    <w:tbl>
      <w:tblPr>
        <w:tblStyle w:val="32"/>
        <w:tblW w:w="98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735"/>
        <w:gridCol w:w="1140"/>
        <w:gridCol w:w="72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参数性质</w:t>
            </w:r>
          </w:p>
        </w:tc>
        <w:tc>
          <w:tcPr>
            <w:tcW w:w="73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编号</w:t>
            </w:r>
          </w:p>
        </w:tc>
        <w:tc>
          <w:tcPr>
            <w:tcW w:w="114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内容明细</w:t>
            </w:r>
          </w:p>
        </w:tc>
        <w:tc>
          <w:tcPr>
            <w:tcW w:w="7202"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p>
        </w:tc>
        <w:tc>
          <w:tcPr>
            <w:tcW w:w="73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w:t>
            </w:r>
          </w:p>
        </w:tc>
        <w:tc>
          <w:tcPr>
            <w:tcW w:w="114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（一）总体要求</w:t>
            </w:r>
          </w:p>
        </w:tc>
        <w:tc>
          <w:tcPr>
            <w:tcW w:w="720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w:t>
            </w:r>
            <w:r>
              <w:rPr>
                <w:rFonts w:hint="eastAsia" w:ascii="宋体" w:hAnsi="宋体" w:eastAsia="宋体" w:cs="宋体"/>
                <w:b w:val="0"/>
                <w:bCs w:val="0"/>
                <w:color w:val="auto"/>
                <w:kern w:val="2"/>
                <w:sz w:val="21"/>
                <w:szCs w:val="21"/>
                <w:highlight w:val="none"/>
                <w:lang w:val="en-US" w:eastAsia="zh-CN" w:bidi="ar-SA"/>
              </w:rPr>
              <w:t>供应商</w:t>
            </w:r>
            <w:r>
              <w:rPr>
                <w:rFonts w:hint="eastAsia" w:ascii="宋体" w:hAnsi="宋体" w:eastAsia="宋体" w:cs="宋体"/>
                <w:b w:val="0"/>
                <w:bCs w:val="0"/>
                <w:color w:val="auto"/>
                <w:kern w:val="2"/>
                <w:sz w:val="21"/>
                <w:szCs w:val="21"/>
                <w:highlight w:val="none"/>
                <w:lang w:val="en-US" w:bidi="ar-SA"/>
              </w:rPr>
              <w:t>应对项目内全部内容进行投标，不可以仅对部分内容投标。</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2.</w:t>
            </w:r>
            <w:r>
              <w:rPr>
                <w:rFonts w:hint="eastAsia" w:ascii="宋体" w:hAnsi="宋体" w:eastAsia="宋体" w:cs="宋体"/>
                <w:b w:val="0"/>
                <w:bCs w:val="0"/>
                <w:color w:val="auto"/>
                <w:kern w:val="2"/>
                <w:sz w:val="21"/>
                <w:szCs w:val="21"/>
                <w:highlight w:val="none"/>
                <w:lang w:val="en-US" w:eastAsia="zh-CN" w:bidi="ar-SA"/>
              </w:rPr>
              <w:t>供应商</w:t>
            </w:r>
            <w:r>
              <w:rPr>
                <w:rFonts w:hint="eastAsia" w:ascii="宋体" w:hAnsi="宋体" w:eastAsia="宋体" w:cs="宋体"/>
                <w:b w:val="0"/>
                <w:bCs w:val="0"/>
                <w:color w:val="auto"/>
                <w:kern w:val="2"/>
                <w:sz w:val="21"/>
                <w:szCs w:val="21"/>
                <w:highlight w:val="none"/>
                <w:lang w:val="en-US" w:bidi="ar-SA"/>
              </w:rPr>
              <w:t>须确保配套件的完整性和可靠性。投标总报价包括完成本项目的成本、利润、运费、税金等全部费用。</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3.伴随服务（费用包含在总价内）：全部服务、税费等费用。</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4.</w:t>
            </w:r>
            <w:r>
              <w:rPr>
                <w:rFonts w:hint="eastAsia" w:ascii="宋体" w:hAnsi="宋体" w:eastAsia="宋体" w:cs="宋体"/>
                <w:b w:val="0"/>
                <w:bCs w:val="0"/>
                <w:color w:val="auto"/>
                <w:kern w:val="2"/>
                <w:sz w:val="21"/>
                <w:szCs w:val="21"/>
                <w:highlight w:val="none"/>
                <w:lang w:val="en-US" w:eastAsia="zh-CN" w:bidi="ar-SA"/>
              </w:rPr>
              <w:t>供应商</w:t>
            </w:r>
            <w:r>
              <w:rPr>
                <w:rFonts w:hint="eastAsia" w:ascii="宋体" w:hAnsi="宋体" w:eastAsia="宋体" w:cs="宋体"/>
                <w:b w:val="0"/>
                <w:bCs w:val="0"/>
                <w:color w:val="auto"/>
                <w:kern w:val="2"/>
                <w:sz w:val="21"/>
                <w:szCs w:val="21"/>
                <w:highlight w:val="none"/>
                <w:lang w:val="en-US" w:bidi="ar-SA"/>
              </w:rPr>
              <w:t>负责项目采购人需求书中列出的所有工作内容，以及其他隐含的配套工作。</w:t>
            </w:r>
            <w:r>
              <w:rPr>
                <w:rFonts w:hint="eastAsia" w:ascii="宋体" w:hAnsi="宋体" w:eastAsia="宋体" w:cs="宋体"/>
                <w:b w:val="0"/>
                <w:bCs w:val="0"/>
                <w:color w:val="auto"/>
                <w:kern w:val="2"/>
                <w:sz w:val="21"/>
                <w:szCs w:val="21"/>
                <w:highlight w:val="none"/>
                <w:lang w:val="en-US" w:eastAsia="zh-CN" w:bidi="ar-SA"/>
              </w:rPr>
              <w:t>供应商</w:t>
            </w:r>
            <w:r>
              <w:rPr>
                <w:rFonts w:hint="eastAsia" w:ascii="宋体" w:hAnsi="宋体" w:eastAsia="宋体" w:cs="宋体"/>
                <w:b w:val="0"/>
                <w:bCs w:val="0"/>
                <w:color w:val="auto"/>
                <w:kern w:val="2"/>
                <w:sz w:val="21"/>
                <w:szCs w:val="21"/>
                <w:highlight w:val="none"/>
                <w:lang w:val="en-US" w:bidi="ar-SA"/>
              </w:rPr>
              <w:t>应充分考虑影响报价的各种因素和风险。</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5.对于影响项目正常工作的必要组成部分，无论在技术要求规范中指出与否，</w:t>
            </w:r>
            <w:r>
              <w:rPr>
                <w:rFonts w:hint="eastAsia" w:ascii="宋体" w:hAnsi="宋体" w:eastAsia="宋体" w:cs="宋体"/>
                <w:b w:val="0"/>
                <w:bCs w:val="0"/>
                <w:color w:val="auto"/>
                <w:kern w:val="2"/>
                <w:sz w:val="21"/>
                <w:szCs w:val="21"/>
                <w:highlight w:val="none"/>
                <w:lang w:val="en-US" w:eastAsia="zh-CN" w:bidi="ar-SA"/>
              </w:rPr>
              <w:t>供应商</w:t>
            </w:r>
            <w:r>
              <w:rPr>
                <w:rFonts w:hint="eastAsia" w:ascii="宋体" w:hAnsi="宋体" w:eastAsia="宋体" w:cs="宋体"/>
                <w:b w:val="0"/>
                <w:bCs w:val="0"/>
                <w:color w:val="auto"/>
                <w:kern w:val="2"/>
                <w:sz w:val="21"/>
                <w:szCs w:val="21"/>
                <w:highlight w:val="none"/>
                <w:lang w:val="en-US" w:bidi="ar-SA"/>
              </w:rPr>
              <w:t>都应提供在</w:t>
            </w:r>
            <w:r>
              <w:rPr>
                <w:rFonts w:hint="eastAsia" w:cs="宋体"/>
                <w:b w:val="0"/>
                <w:bCs w:val="0"/>
                <w:color w:val="auto"/>
                <w:kern w:val="2"/>
                <w:sz w:val="21"/>
                <w:szCs w:val="21"/>
                <w:highlight w:val="none"/>
                <w:lang w:val="en-US" w:eastAsia="zh-CN" w:bidi="ar-SA"/>
              </w:rPr>
              <w:t>响应文件</w:t>
            </w:r>
            <w:r>
              <w:rPr>
                <w:rFonts w:hint="eastAsia" w:ascii="宋体" w:hAnsi="宋体" w:eastAsia="宋体" w:cs="宋体"/>
                <w:b w:val="0"/>
                <w:bCs w:val="0"/>
                <w:color w:val="auto"/>
                <w:kern w:val="2"/>
                <w:sz w:val="21"/>
                <w:szCs w:val="21"/>
                <w:highlight w:val="none"/>
                <w:lang w:val="en-US" w:bidi="ar-SA"/>
              </w:rPr>
              <w:t>中明确列出。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p>
        </w:tc>
        <w:tc>
          <w:tcPr>
            <w:tcW w:w="73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2</w:t>
            </w:r>
          </w:p>
        </w:tc>
        <w:tc>
          <w:tcPr>
            <w:tcW w:w="114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保密要求</w:t>
            </w:r>
          </w:p>
        </w:tc>
        <w:tc>
          <w:tcPr>
            <w:tcW w:w="720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w:t>
            </w:r>
            <w:r>
              <w:rPr>
                <w:rFonts w:hint="eastAsia" w:ascii="宋体" w:hAnsi="宋体" w:eastAsia="宋体" w:cs="宋体"/>
                <w:b w:val="0"/>
                <w:bCs w:val="0"/>
                <w:color w:val="auto"/>
                <w:kern w:val="2"/>
                <w:sz w:val="21"/>
                <w:szCs w:val="21"/>
                <w:highlight w:val="none"/>
                <w:lang w:val="en-US" w:eastAsia="zh-CN" w:bidi="ar-SA"/>
              </w:rPr>
              <w:t>供应商</w:t>
            </w:r>
            <w:r>
              <w:rPr>
                <w:rFonts w:hint="eastAsia" w:ascii="宋体" w:hAnsi="宋体" w:eastAsia="宋体" w:cs="宋体"/>
                <w:b w:val="0"/>
                <w:bCs w:val="0"/>
                <w:color w:val="auto"/>
                <w:kern w:val="2"/>
                <w:sz w:val="21"/>
                <w:szCs w:val="21"/>
                <w:highlight w:val="none"/>
                <w:lang w:val="en-US" w:bidi="ar-SA"/>
              </w:rPr>
              <w:t>应自觉遵守国家有关网络和数据安全的各项法律法规，遵守采购人相关的网络和数据安全规章制度。</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2.与本项目有关的资料及数据成果中涉及国家秘密的内容，均要求按照《国家保密法》、《网络安全法》、《数据安全法》及相关法律法规执行。</w:t>
            </w:r>
            <w:r>
              <w:rPr>
                <w:rFonts w:hint="eastAsia" w:ascii="宋体" w:hAnsi="宋体" w:eastAsia="宋体" w:cs="宋体"/>
                <w:b w:val="0"/>
                <w:bCs w:val="0"/>
                <w:color w:val="auto"/>
                <w:kern w:val="2"/>
                <w:sz w:val="21"/>
                <w:szCs w:val="21"/>
                <w:highlight w:val="none"/>
                <w:lang w:val="en-US" w:eastAsia="zh-CN" w:bidi="ar-SA"/>
              </w:rPr>
              <w:t>供应商</w:t>
            </w:r>
            <w:r>
              <w:rPr>
                <w:rFonts w:hint="eastAsia" w:ascii="宋体" w:hAnsi="宋体" w:eastAsia="宋体" w:cs="宋体"/>
                <w:b w:val="0"/>
                <w:bCs w:val="0"/>
                <w:color w:val="auto"/>
                <w:kern w:val="2"/>
                <w:sz w:val="21"/>
                <w:szCs w:val="21"/>
                <w:highlight w:val="none"/>
                <w:lang w:val="en-US" w:bidi="ar-SA"/>
              </w:rPr>
              <w:t>应当遵守相关保密法律、法规，确保采购人及相关单位的网络和数据安全，在合同签订后提交保密承诺书。</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3.采购人平台系统将保存数据等重要信息，这些敏感信息一旦泄露或被恶意修改的后果严重。系统优化过程中</w:t>
            </w:r>
            <w:r>
              <w:rPr>
                <w:rFonts w:hint="eastAsia" w:ascii="宋体" w:hAnsi="宋体" w:eastAsia="宋体" w:cs="宋体"/>
                <w:b w:val="0"/>
                <w:bCs w:val="0"/>
                <w:color w:val="auto"/>
                <w:kern w:val="2"/>
                <w:sz w:val="21"/>
                <w:szCs w:val="21"/>
                <w:highlight w:val="none"/>
                <w:lang w:val="en-US" w:eastAsia="zh-CN" w:bidi="ar-SA"/>
              </w:rPr>
              <w:t>供应商</w:t>
            </w:r>
            <w:r>
              <w:rPr>
                <w:rFonts w:hint="eastAsia" w:ascii="宋体" w:hAnsi="宋体" w:eastAsia="宋体" w:cs="宋体"/>
                <w:b w:val="0"/>
                <w:bCs w:val="0"/>
                <w:color w:val="auto"/>
                <w:kern w:val="2"/>
                <w:sz w:val="21"/>
                <w:szCs w:val="21"/>
                <w:highlight w:val="none"/>
                <w:lang w:val="en-US" w:bidi="ar-SA"/>
              </w:rPr>
              <w:t>必须在流程和制度上保障系统的安全性，与维护人员签订保密协议。</w:t>
            </w:r>
          </w:p>
          <w:p>
            <w:pPr>
              <w:widowControl w:val="0"/>
              <w:spacing w:before="0" w:after="0" w:line="240" w:lineRule="auto"/>
              <w:ind w:left="0" w:leftChars="0" w:right="0" w:firstLine="0" w:firstLineChars="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未经采购人的事先书面批准，供应商不得以任何形式或任何方式将保密信息或其中的任何部分，披露或透露给任何第三方。供应商有义务妥善保管保密信息，不得复制、泄漏或遗失。供应商亦不得依据保密信息，就任何问题，向任何第三方做出任何建议。</w:t>
            </w:r>
          </w:p>
          <w:p>
            <w:pPr>
              <w:widowControl w:val="0"/>
              <w:spacing w:before="0" w:after="0" w:line="240" w:lineRule="auto"/>
              <w:ind w:left="0" w:leftChars="0" w:right="0" w:firstLine="0" w:firstLineChars="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5.采购人提供给供应商的系统用户名和密码，仅用于供应商测评使用，不得擅自用作其他用途或泄露给第三方。</w:t>
            </w:r>
          </w:p>
          <w:p>
            <w:pPr>
              <w:widowControl w:val="0"/>
              <w:spacing w:before="0" w:after="0" w:line="240" w:lineRule="auto"/>
              <w:ind w:left="0" w:leftChars="0" w:right="0" w:firstLine="0" w:firstLineChars="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6.双方因故不能实施本项目，采购人有权收回所有涉密信息，供应商不得私自保管或带走。</w:t>
            </w:r>
          </w:p>
          <w:p>
            <w:pPr>
              <w:widowControl w:val="0"/>
              <w:spacing w:before="0" w:after="0" w:line="240" w:lineRule="auto"/>
              <w:ind w:left="0" w:leftChars="0" w:right="0" w:firstLine="0" w:firstLineChars="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7.供应商承诺仅为项目工作目的使用保密信息，不为任何其他目的使用保密信息。</w:t>
            </w:r>
          </w:p>
          <w:p>
            <w:pPr>
              <w:widowControl w:val="0"/>
              <w:spacing w:before="0" w:after="0" w:line="240" w:lineRule="auto"/>
              <w:ind w:left="0" w:leftChars="0" w:right="0" w:firstLine="0" w:firstLineChars="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8.供应商应当建立严格的保密制度，加强对工作人员的保密管理及保密知识教育；供应商承担与此有关的技术和数据资料的保密责任。</w:t>
            </w:r>
          </w:p>
          <w:p>
            <w:pPr>
              <w:widowControl w:val="0"/>
              <w:spacing w:before="0" w:after="0" w:line="240" w:lineRule="auto"/>
              <w:ind w:left="0" w:leftChars="0" w:right="0" w:firstLine="0" w:firstLineChars="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9.供应商职员违背保密承诺，未按规定使用保密信息或向第三方披露保密信息，或依据保密信息向任何第三方做出任何建议，都被视为供应商违约，承担相应责任。</w:t>
            </w:r>
          </w:p>
          <w:p>
            <w:pPr>
              <w:widowControl w:val="0"/>
              <w:spacing w:before="0" w:after="0" w:line="240" w:lineRule="auto"/>
              <w:ind w:left="0" w:leftChars="0" w:right="0" w:firstLine="0" w:firstLineChars="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10.供应商应对核心测评人员开展背景审查，并对采购人提供审查材料，在核心测评人员离职或变更时，应及时更新相关材料。</w:t>
            </w:r>
          </w:p>
          <w:p>
            <w:pPr>
              <w:widowControl w:val="0"/>
              <w:spacing w:before="0" w:after="0" w:line="240" w:lineRule="auto"/>
              <w:ind w:left="0" w:leftChars="0" w:right="0" w:firstLine="0" w:firstLineChars="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11.供应商应制定网络和数据安全管理制度，并在项目完成后提供相关制度落实情况。</w:t>
            </w:r>
          </w:p>
          <w:p>
            <w:pPr>
              <w:widowControl w:val="0"/>
              <w:spacing w:before="0" w:after="0" w:line="240" w:lineRule="auto"/>
              <w:ind w:left="0" w:leftChars="0" w:right="0" w:firstLine="0" w:firstLineChars="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12.由于供应商原因造成的网络和数据安全事故，供应商直接承担相应法律责任,由此造成财产损失的,视情节严重情况扣除不超过合同总金额的 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56" w:type="dxa"/>
            <w:gridSpan w:val="3"/>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说明</w:t>
            </w:r>
          </w:p>
        </w:tc>
        <w:tc>
          <w:tcPr>
            <w:tcW w:w="720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打“★”号条款为实质性条款，若有任何一条负偏离或不满足则导致投标（响应）无效。</w:t>
            </w:r>
            <w:r>
              <w:rPr>
                <w:rFonts w:hint="eastAsia" w:ascii="宋体" w:hAnsi="宋体" w:eastAsia="宋体" w:cs="宋体"/>
                <w:b w:val="0"/>
                <w:bCs w:val="0"/>
                <w:color w:val="auto"/>
                <w:kern w:val="2"/>
                <w:sz w:val="21"/>
                <w:szCs w:val="21"/>
                <w:highlight w:val="none"/>
                <w:lang w:val="en-US" w:bidi="ar-SA"/>
              </w:rPr>
              <w:br w:type="textWrapping"/>
            </w:r>
            <w:r>
              <w:rPr>
                <w:rFonts w:hint="eastAsia" w:ascii="宋体" w:hAnsi="宋体" w:eastAsia="宋体" w:cs="宋体"/>
                <w:b w:val="0"/>
                <w:bCs w:val="0"/>
                <w:color w:val="auto"/>
                <w:kern w:val="2"/>
                <w:sz w:val="21"/>
                <w:szCs w:val="21"/>
                <w:highlight w:val="none"/>
                <w:lang w:val="en-US" w:bidi="ar-SA"/>
              </w:rPr>
              <w:t>打“▲”号条款为重要参数（如有），若有部分“▲”条款未响应或不满足，将根据评审要求影响其得分，但不作为无效投标（响应）条款。</w:t>
            </w:r>
          </w:p>
        </w:tc>
      </w:tr>
    </w:tbl>
    <w:p>
      <w:pPr>
        <w:autoSpaceDE/>
        <w:autoSpaceDN/>
        <w:spacing w:before="0" w:after="0" w:line="240" w:lineRule="auto"/>
        <w:ind w:left="0" w:right="0"/>
        <w:jc w:val="both"/>
        <w:outlineLvl w:val="9"/>
        <w:rPr>
          <w:rFonts w:ascii="Calibri" w:hAnsi="Calibri" w:eastAsia="宋体" w:cs="Times New Roman"/>
          <w:b w:val="0"/>
          <w:bCs w:val="0"/>
          <w:color w:val="auto"/>
          <w:kern w:val="2"/>
          <w:sz w:val="21"/>
          <w:szCs w:val="24"/>
          <w:highlight w:val="none"/>
          <w:lang w:val="en-US" w:bidi="ar-SA"/>
        </w:rPr>
      </w:pPr>
      <w:r>
        <w:rPr>
          <w:rFonts w:ascii="Calibri" w:hAnsi="Calibri" w:eastAsia="宋体" w:cs="Times New Roman"/>
          <w:b w:val="0"/>
          <w:bCs w:val="0"/>
          <w:color w:val="auto"/>
          <w:kern w:val="2"/>
          <w:sz w:val="21"/>
          <w:szCs w:val="24"/>
          <w:highlight w:val="none"/>
          <w:lang w:val="en-US" w:bidi="ar-SA"/>
        </w:rPr>
        <w:t>2.技术标准与要求</w:t>
      </w:r>
    </w:p>
    <w:tbl>
      <w:tblPr>
        <w:tblStyle w:val="32"/>
        <w:tblW w:w="989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6"/>
        <w:gridCol w:w="810"/>
        <w:gridCol w:w="2201"/>
        <w:gridCol w:w="645"/>
        <w:gridCol w:w="660"/>
        <w:gridCol w:w="1290"/>
        <w:gridCol w:w="1320"/>
        <w:gridCol w:w="1170"/>
        <w:gridCol w:w="11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8" w:hRule="atLeast"/>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序号</w:t>
            </w:r>
          </w:p>
        </w:tc>
        <w:tc>
          <w:tcPr>
            <w:tcW w:w="81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品目名称</w:t>
            </w:r>
          </w:p>
        </w:tc>
        <w:tc>
          <w:tcPr>
            <w:tcW w:w="220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标的名称</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单位</w:t>
            </w:r>
          </w:p>
        </w:tc>
        <w:tc>
          <w:tcPr>
            <w:tcW w:w="66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数量</w:t>
            </w:r>
          </w:p>
        </w:tc>
        <w:tc>
          <w:tcPr>
            <w:tcW w:w="129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分项预算单价（元）</w:t>
            </w:r>
          </w:p>
        </w:tc>
        <w:tc>
          <w:tcPr>
            <w:tcW w:w="132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分项预算总价（元）</w:t>
            </w:r>
          </w:p>
        </w:tc>
        <w:tc>
          <w:tcPr>
            <w:tcW w:w="117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所属行业</w:t>
            </w:r>
          </w:p>
        </w:tc>
        <w:tc>
          <w:tcPr>
            <w:tcW w:w="112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w:t>
            </w:r>
          </w:p>
        </w:tc>
        <w:tc>
          <w:tcPr>
            <w:tcW w:w="81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cs="宋体"/>
                <w:b w:val="0"/>
                <w:bCs w:val="0"/>
                <w:color w:val="auto"/>
                <w:kern w:val="2"/>
                <w:sz w:val="21"/>
                <w:szCs w:val="21"/>
                <w:highlight w:val="none"/>
                <w:lang w:val="en-US" w:eastAsia="zh-CN" w:bidi="ar-SA"/>
              </w:rPr>
              <w:t>软件运维服务</w:t>
            </w:r>
          </w:p>
        </w:tc>
        <w:tc>
          <w:tcPr>
            <w:tcW w:w="220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cs="宋体"/>
                <w:b w:val="0"/>
                <w:bCs w:val="0"/>
                <w:i w:val="0"/>
                <w:iCs w:val="0"/>
                <w:caps w:val="0"/>
                <w:color w:val="auto"/>
                <w:spacing w:val="0"/>
                <w:sz w:val="21"/>
                <w:szCs w:val="21"/>
                <w:highlight w:val="none"/>
                <w:lang w:eastAsia="zh-CN"/>
              </w:rPr>
              <w:t>昌吉回族自治州产品质量检验所实验室信息管理系统建设项目</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smallCaps w:val="0"/>
                <w:color w:val="auto"/>
                <w:spacing w:val="0"/>
                <w:kern w:val="0"/>
                <w:position w:val="0"/>
                <w:sz w:val="21"/>
                <w:szCs w:val="21"/>
                <w:highlight w:val="none"/>
                <w:lang w:val="en-US" w:eastAsia="zh-CN" w:bidi="zh-CN"/>
              </w:rPr>
            </w:pPr>
            <w:r>
              <w:rPr>
                <w:rFonts w:hint="eastAsia" w:ascii="宋体" w:hAnsi="宋体" w:eastAsia="宋体" w:cs="宋体"/>
                <w:b w:val="0"/>
                <w:bCs w:val="0"/>
                <w:smallCaps w:val="0"/>
                <w:color w:val="auto"/>
                <w:spacing w:val="0"/>
                <w:kern w:val="0"/>
                <w:position w:val="0"/>
                <w:sz w:val="21"/>
                <w:szCs w:val="21"/>
                <w:highlight w:val="none"/>
                <w:lang w:val="en-US" w:eastAsia="zh-CN" w:bidi="zh-CN"/>
              </w:rPr>
              <w:t>项</w:t>
            </w:r>
          </w:p>
        </w:tc>
        <w:tc>
          <w:tcPr>
            <w:tcW w:w="66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smallCaps w:val="0"/>
                <w:color w:val="auto"/>
                <w:spacing w:val="0"/>
                <w:kern w:val="0"/>
                <w:position w:val="0"/>
                <w:sz w:val="21"/>
                <w:szCs w:val="21"/>
                <w:highlight w:val="none"/>
                <w:lang w:val="en-US" w:eastAsia="zh-CN" w:bidi="zh-CN"/>
              </w:rPr>
            </w:pPr>
            <w:r>
              <w:rPr>
                <w:rFonts w:hint="eastAsia" w:ascii="宋体" w:hAnsi="宋体" w:eastAsia="宋体" w:cs="宋体"/>
                <w:b w:val="0"/>
                <w:bCs w:val="0"/>
                <w:smallCaps w:val="0"/>
                <w:color w:val="auto"/>
                <w:spacing w:val="0"/>
                <w:kern w:val="0"/>
                <w:position w:val="0"/>
                <w:sz w:val="21"/>
                <w:szCs w:val="21"/>
                <w:highlight w:val="none"/>
                <w:lang w:val="en-US" w:eastAsia="zh-CN" w:bidi="zh-CN"/>
              </w:rPr>
              <w:t>1.00</w:t>
            </w:r>
          </w:p>
        </w:tc>
        <w:tc>
          <w:tcPr>
            <w:tcW w:w="1290" w:type="dxa"/>
            <w:vAlign w:val="center"/>
          </w:tcPr>
          <w:p>
            <w:pPr>
              <w:autoSpaceDE/>
              <w:autoSpaceDN/>
              <w:spacing w:before="0" w:after="0" w:line="240" w:lineRule="auto"/>
              <w:ind w:left="0" w:leftChars="0" w:right="0" w:rightChars="0" w:firstLine="0" w:firstLineChars="0"/>
              <w:jc w:val="center"/>
              <w:outlineLvl w:val="9"/>
              <w:rPr>
                <w:rFonts w:hint="default" w:ascii="宋体" w:hAnsi="宋体" w:eastAsia="宋体" w:cs="宋体"/>
                <w:b w:val="0"/>
                <w:bCs w:val="0"/>
                <w:color w:val="auto"/>
                <w:kern w:val="2"/>
                <w:sz w:val="21"/>
                <w:szCs w:val="21"/>
                <w:highlight w:val="none"/>
                <w:lang w:val="en-US" w:bidi="ar-SA"/>
              </w:rPr>
            </w:pPr>
            <w:r>
              <w:rPr>
                <w:rFonts w:hint="eastAsia" w:cs="宋体"/>
                <w:b w:val="0"/>
                <w:bCs w:val="0"/>
                <w:smallCaps w:val="0"/>
                <w:color w:val="auto"/>
                <w:spacing w:val="0"/>
                <w:kern w:val="0"/>
                <w:position w:val="0"/>
                <w:sz w:val="21"/>
                <w:szCs w:val="21"/>
                <w:highlight w:val="none"/>
                <w:lang w:val="en-US" w:eastAsia="zh-CN" w:bidi="zh-CN"/>
              </w:rPr>
              <w:t>500000</w:t>
            </w:r>
          </w:p>
        </w:tc>
        <w:tc>
          <w:tcPr>
            <w:tcW w:w="132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cs="宋体"/>
                <w:b w:val="0"/>
                <w:bCs w:val="0"/>
                <w:smallCaps w:val="0"/>
                <w:color w:val="auto"/>
                <w:spacing w:val="0"/>
                <w:kern w:val="0"/>
                <w:position w:val="0"/>
                <w:sz w:val="21"/>
                <w:szCs w:val="21"/>
                <w:highlight w:val="none"/>
                <w:lang w:val="en-US" w:eastAsia="zh-CN" w:bidi="zh-CN"/>
              </w:rPr>
              <w:t>500000</w:t>
            </w:r>
          </w:p>
        </w:tc>
        <w:tc>
          <w:tcPr>
            <w:tcW w:w="117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软件和信息技术服务业</w:t>
            </w:r>
          </w:p>
        </w:tc>
        <w:tc>
          <w:tcPr>
            <w:tcW w:w="112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详见附表一</w:t>
            </w:r>
          </w:p>
        </w:tc>
      </w:tr>
    </w:tbl>
    <w:p>
      <w:pPr>
        <w:autoSpaceDE/>
        <w:autoSpaceDN/>
        <w:spacing w:before="0" w:after="0" w:line="240" w:lineRule="auto"/>
        <w:ind w:left="0" w:right="0"/>
        <w:jc w:val="both"/>
        <w:outlineLvl w:val="9"/>
        <w:rPr>
          <w:rFonts w:ascii="Calibri" w:hAnsi="Calibri" w:eastAsia="宋体" w:cs="Times New Roman"/>
          <w:b w:val="0"/>
          <w:bCs w:val="0"/>
          <w:color w:val="auto"/>
          <w:kern w:val="2"/>
          <w:sz w:val="21"/>
          <w:szCs w:val="24"/>
          <w:highlight w:val="none"/>
          <w:lang w:val="en-US" w:bidi="ar-SA"/>
        </w:rPr>
      </w:pPr>
      <w:r>
        <w:rPr>
          <w:rFonts w:ascii="Calibri" w:hAnsi="Calibri" w:eastAsia="宋体" w:cs="Times New Roman"/>
          <w:b w:val="0"/>
          <w:bCs w:val="0"/>
          <w:color w:val="auto"/>
          <w:kern w:val="2"/>
          <w:sz w:val="21"/>
          <w:szCs w:val="24"/>
          <w:highlight w:val="none"/>
          <w:lang w:val="en-US" w:bidi="ar-SA"/>
        </w:rPr>
        <w:t>附表一：</w:t>
      </w:r>
      <w:r>
        <w:rPr>
          <w:rFonts w:hint="eastAsia" w:ascii="Calibri" w:hAnsi="Calibri" w:eastAsia="宋体" w:cs="Times New Roman"/>
          <w:b w:val="0"/>
          <w:bCs w:val="0"/>
          <w:color w:val="auto"/>
          <w:kern w:val="2"/>
          <w:sz w:val="21"/>
          <w:szCs w:val="24"/>
          <w:highlight w:val="none"/>
          <w:lang w:val="en-US" w:bidi="ar-SA"/>
        </w:rPr>
        <w:t>实验室管理系统功能升级项目</w:t>
      </w:r>
    </w:p>
    <w:tbl>
      <w:tblPr>
        <w:tblStyle w:val="32"/>
        <w:tblW w:w="986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6"/>
        <w:gridCol w:w="705"/>
        <w:gridCol w:w="83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参数性质</w:t>
            </w: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序号</w:t>
            </w:r>
          </w:p>
        </w:tc>
        <w:tc>
          <w:tcPr>
            <w:tcW w:w="836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w:t>
            </w:r>
          </w:p>
        </w:tc>
        <w:tc>
          <w:tcPr>
            <w:tcW w:w="8361"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一、软件总体要求</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1.1系统应为国内商业软件的最新版本，符合ISO/IECl7025、RB/T214、RB/T215、FDA21 CFR PARTII等国际标准和准则的要求。系统具有符合ISO/IECl7025国际准则的质量管理各要素的模块。</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1.2 系统兼容性高，应能在多操作系统下运行，至少应该包含Windows操作系统、Android操作系统。</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1.3系统应该采用采用C/S架构，易于部署、升级。支持API二次开发接口，能够实现与其他信息管理软件无缝集成。</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1.4系统具有安全、可靠、可配置、可扩展以及良好的开放性。</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1.5系统应具有容错能力，对由于数据库写入失败的情况应具有恢复的功能。对某些关键字段的输入要具有校验功能，具备抽检记忆功能，对于数据原有数据可进行检索调用。</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1.6系统响应时间快，在线并发用户数不少于500个。</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 xml:space="preserve">1.7用户界面友好，易于学习和掌握。 </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1.8该系统兼容食品等相关检验领域业务。</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1.9 系统对有时限要求的流程提供时限管理，通过监控、核算、提醒等功能进行管理，并可显示超期的原因，查看追踪超期的历史记录。</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1.10提供任务自动提醒的功能，支持通过颜色、动态提醒等方式显示。包括且不仅包括检验时限预警、检验时限超期提醒、仪器检定超期提醒、新标准发布提醒等内容。</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1.11系统可以支持流程各个环节提交任务，提交时填写附加说明；可以退回任务，退回时注明原因；可以跨节点退回和直接返回退回前节点；可以批量操作任务；上一环节可以收回该任务，重新操作。</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1.12 系统能够根据实验检测结果自动生成报告，能生成中文、英文或中英文混合的报告；检测报告可以实现自动签名、签章。</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1.13 系统提供电子化实验室记事本（ELN），电子记事本功能应该支持全中文操作，操作简单方便，易于掌握；并且需与LIMS系统在同一个软件平台上实现，ELN需要是成熟软件的最新版本，不接受完全定制开发的方式满足应用需求的系统。</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1.14 能够实现具有标准输出接口分析仪器的自动采集，采集数据源、Excel、串口等多种格式的仪器输出数据。</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1.15具有丰富的自定义查询、统计功能，能满足各种不同的日常查询、统计需要，并确保数据的准确性。</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1.16系统支持所有功能的审计追踪自定义配置。提供各种工作流程的操作跟踪，利用流程图和操作详细步骤进行展示；查看各种操作日志，日志中包括用户名、操作内容和操作电脑的IP地址等各种信息。</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1.17具备实验室数据自动备份功能，并确保可以进行数据导入还原。</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二、具体功能要求</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（一）检验业务流程管理</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 基本要求</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1.1.1满足各个检验业务类型所要求的程序功能，设定不同的样品报告书和检验流程，并预留接口，以适应其他新检验业务的开展。</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1.1.2系统应具有检验业务流程管理的相关功能，支持可视化、配置化的管理。</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1.1.3系统应具有检验业务代码配置管理的相关功能，如各类编号生成规则的配置。具有各个环节操作的权限、操作方式等配置管理的相关功能，如提交下一环节是单人接收还是多人并发接收。具有人员权限的设置和配置管理功能。</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1.1.4 涉及到样品流程中相关的信息应支持特殊字符输入，如上下标、分子式、公式及其他特殊符号。</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1.1.5对输入系统的样品信息可根据不同类别、不同环节等进行统计、查询、导出excel表等操作。</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1.1.6能够记录并形成相关的系统日志。形成日志记录的相关参数支持由系统管理员进行设定。</w:t>
            </w:r>
            <w:r>
              <w:rPr>
                <w:rFonts w:hint="eastAsia" w:ascii="宋体" w:hAnsi="宋体" w:eastAsia="宋体" w:cs="宋体"/>
                <w:b w:val="0"/>
                <w:bCs w:val="0"/>
                <w:color w:val="auto"/>
                <w:kern w:val="2"/>
                <w:sz w:val="21"/>
                <w:szCs w:val="21"/>
                <w:highlight w:val="none"/>
                <w:lang w:val="en-US" w:bidi="ar-SA"/>
              </w:rPr>
              <w:tab/>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1.1.7各个检验模块具备固定报告模板，且支持用户自定义报告模板格式，满足特殊检验报告编辑功能。</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1.2 样品接收</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1.2.1登记员能根据不同的业务类型、样品类型弹出对应的受理界面；可以通过新建、复制等方式手工进行检品登记；可以导入其他样品检验任务的电子数据；预留对外服务端口，可以接收及审核现场或远程客户的在线样品登记；可以新建单个检品，也可以自主选择复制检品份数。</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1.2.2可以形成样品的唯一标识，以条形码或（二维码）其他有效方式实现，在任何环节都可关联样品的详细信息。</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1.2.3可以对检验任务相关的资料、样品、对照品等进行审查和记录。</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1.2.4可以选择并确定每个品种的检验依据、检验项目、方法类别、原始记录单、检验费、检验周期、分配科室等信息；可以根据样品名称、检验依据等确定检验项目模板，批量生成检验项目等信息；可以批量生成检品的检验周期等信息；可以上传合同评审等附件；可以跟踪仪器设备的运行情况；查看需用标准物质、标准溶液、色谱柱、试药的库存；</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1.2.5样品登记输入信息时，要求快速、方便、准确地采集所有必要的信息，人机交互界面友好。可以对字段内容进行不同方式的校验，可以用到“热点查找”、“限制到列表”、自动计算等技术加快录入速度和提高录入质量。</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1.3.样品分配</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1.3.1可以根据样品名称、业务类型等自动确定检验科室；首次检验的品种由业务受理人员确定检验科室，可以批量分配检验科室，也可根据检验项目来安排检验科室。</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1.3.2可以根据标准要求自动计算出留样量、主检科室样品量、协检科室协检量，也可以进行手工修改；若为历史品种，系统可以自动调出历史值作为默认值。</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1.3.3可以实现各种标识卡和表单等的打印功能，如：条形码标识卡（检验/留样）、受理单、预交费通知单等。</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1.5.检验任务的接收</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1.5.1检验科室管理者可以看到每天分配的检验任务，且任务的信息完整。</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1.5.2可以通过读取样品条形码、手工接收、手工批量接收和确认业务相关科室送来的样品。</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1.5.3 可以核实样品的检测项目和收费等信息。</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1.6.检验任务的分配</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1.6.1检验科室管理者可以浏览所有本科室的在检检验任务、所有检验人员在检任务的数量，以此作为任务分配的依据。</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1.6.2可以按样品分配，也可以按检验项目分配；可以设置多种样品分配流程，如人员比对、复验等。</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1.6.3对已经分配，但还未提交校对人的检验任务，可以重新调整分配。</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1.7.检验过程</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1.7.1可以显示开始检验的样品的基本信息、检验时限、检验依据、检测方法等。</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1.7.2结合试剂试药管理功能，可以查看所需对照品、材料试剂的库存信息，包括材料名称、批号、来源、剩余量、库存位置等；能够领用所需的对照品和材料试剂，并进行记录。</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1.7.3结合仪器管理功能，可以查看所用仪器的信息，并进行预约登记；只能选择正常状态的仪器进行实验；实验之后进行使用登记，信息包括：样品编号、实验温度、湿度、使用人员、使用开始日期、结束日期等。</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1.7.4可以根据预先定义的计算公式，自动计算结果，或输入必要的参数后（如稀释倍数等），再进行自动计算；并能对检验结果进行自动修约。</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1.7.5系统可根据预先设定的参数对异常结果进行自动判定。</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1.7.5 可以自动导入色谱仪器等连有工作站软件的检测数据，也可以自动采集天平等串口仪器的检测数据。</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1.7.6系统应支持批填写功能，根据实际情况定制批填写内容。</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1.7.7可以自动汇总并形成原始记录；也可以把检验的原始记录通过PDF格式链接到系统中。</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1.8.检验结果的复核、审核</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1.8.1复核人、科室管理者依次对提交的检验原始记录和结论进行复核、审核，审核过程中可以查看样品信息、实验过程的所有原始记录，包括：检验相关的标准、送样时的合同、实验过程中使用的标准物质、仪器等信息。</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1.8.2系统可自动分配或指定复核人进行结果复核； 复核人、审核人可进行批量操作；支持按项目显示、按检品显示功能。需要修改或有疑问的检验，可以说明原因并返回检验员进行修改或重测；系统对修改过程可以记录并追溯。</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1.8.3确认无误的检验结果，科室管理者进行电子签名并提交给业务相关科室。系统自动记录复核日期和审核日期。</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1.9.报告书的合成与审核、签发</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1.9.1可以根据样品检验过程及原始记录自动合成PDF格式的检验报告书，并与样品信息进行匹配。</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1.9.21系统管理员可根据不同的检验业务类型定制不同的报告模板,支持电子签章应用。</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1.9.3业务室、所长及授权签字人可依次对提交的报告进行审核。</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1.9.4具备权限的每级审核人员能够查看检验员的实际操作记录，数据分析过程。</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1.9.5签发完成后，提供打印功能。打印时发现书有误，系统支持报告书的退回。</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1.10.报告书领取通知及发放</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1.10.1在报告书领取之前，系统可以打印补充交费通知单（与收检时收费不同时）给客户。</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1.10.2关于收费，支持总费用的合并计算与明细展示。</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1.10.3如果发现已发出的报告书有误，系统支持报告书的更改与补发。</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（四）标准管理</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4.1系统应能建立检验检测标准数据库，对所有检验方法、检验标准进行管理，如录入、查询、修改、勘误、删除、版本管理等操作。</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4.2 实现对标准数据库的授权管理，不同角色的人员配置不同的标准管理权限。</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4.3 提供快速查询功能，使用人员在相应的业务环节即可快速查阅对应的文档。</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4.4 提供互联网在线标准的平台应用或标准自动采集和推送服务，互联网的数据应支持与LIMS系统的对接，支持接口调取服务。</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 xml:space="preserve"> （五）实验室质量管理</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5.1对质量体系文件（质量手册，程序文件，作业指导书，仪器设备使用操作规范，质量记录，工作制度，其它文件，质量表格，技术表格等）进行全过程流程管理，实现文件的添加、修改、审批、发布、留用、销毁等操作。建立文件管理台账，具备数据导入功能；支持对文件的批量操作功能；当文件临近失效或超出有效期时，系统可以自动提醒。</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5.2可以根据IS0／IECl7025准则的要求，自动将质量管理各个要素所涉及的确定信息传递给质量负责人；质控负责人可以根据这些确定信息，进行审计追踪。</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5.3质量负责人可以根据质量体系要求，安排检测室负责人制定质量控制计划、质量监督计划、管理评审计划、内审计划，并对不符合项进行登记，提出纠正、风险管理措施等，并将此信息传达给相应部门。</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5.4对抱怨投诉进行管理，具备咨询、建议、投诉、举报、指南等功能。系统应提供客户管理的功能模块，能对信件信息进行有效管理；</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（六）仪器数据采集</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6.1仪器数据管理与自动采集为了提高实验室仪器自动化水平，实现对实验室仪器数据进行统一管理、维护、归档、存储的目标，要实现B/S架构的网络化仪器数据管理系统。</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6.2 实验室仪器工作站应能与LIMS实现数据双向传输或单向传输，对于非以太网接口的仪器设备，应能通过转换接口或其它方式实现数据交换。</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6.3仪器的数据管理要求能够与实验室信息管理系统无缝集成，既方便仪器数据的统一集中管理，又具有严格的数据安全保障机制。设计时应考虑用最少的操作实现最多的功能，操作简单，功能全面。</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6.4系统可处理多种谱图如气-质联用仪、液-质联用仪、气相、液相、离子色谱仪、红外光谱仪和紫外光谱仪等图谱。天平数据可以通过数据接口实现数据的自动采集。供应商应具有仪器数据采集的成熟经验，以及标准化的仪器接口。</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6.5 LIMS应能对采集的仪器数据实现规范管理。系统应支持对采集的数据文件、图谱文件进行配置，如设备只有数据文件时只采集数据文件，如双文件均有，采集过程中需要判断文件是否都存在才进行采集，如文件本身即为数据文件又为图谱文件，则分配该文件为两种形式。采集的原始文件数据，具备数据审计追踪功能。文件采集过程可追溯，采集结果可视化，采集任务可监控。</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w:t>
            </w:r>
            <w:r>
              <w:rPr>
                <w:rFonts w:hint="eastAsia" w:ascii="宋体" w:hAnsi="宋体" w:eastAsia="宋体" w:cs="宋体"/>
                <w:b/>
                <w:bCs/>
                <w:color w:val="auto"/>
                <w:kern w:val="2"/>
                <w:sz w:val="21"/>
                <w:szCs w:val="21"/>
                <w:highlight w:val="none"/>
                <w:lang w:val="en-US" w:bidi="ar-SA"/>
              </w:rPr>
              <w:t>三、云平台监控功能</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 云平台，实现7*24小时集中监控所有的UPS设备，实现数据可视化和主动运维；</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2、云平台，实时监控精密空调的运行参数，如室内温度、室内湿度、送风温度、送风湿度等参数；当空调发生异常变化，如缩机、风机、补给水、水泵、加热器、加湿器、去湿器、滤网等异常状态检测，会实时报警。</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★3、云平台实时记录并存储精密空调的运行参数，，能够形成历史报表，便于统计，并提供表格下载；同时平台具有数据图表分析功能，方便管理员进行直观查看和管理。</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4、支持精密空调的数据和状态查看；支持安卓APP；支持精密空调的数据和状态查看；云短信的报警功能，有异常状态，主动报警；当监控设备有异常时，主动短信报警；可在云平台，定时发送设备的状态功能（平安短信功能），确保空调正常运行。</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四、硬件要求</w:t>
            </w:r>
          </w:p>
          <w:p>
            <w:pPr>
              <w:autoSpaceDE/>
              <w:autoSpaceDN/>
              <w:spacing w:before="0" w:after="0" w:line="240" w:lineRule="auto"/>
              <w:ind w:left="0" w:leftChars="0" w:right="0" w:rightChars="0" w:firstLine="0" w:firstLineChars="0"/>
              <w:jc w:val="left"/>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bidi="ar-SA"/>
              </w:rPr>
              <w:t xml:space="preserve">1.服务器：16G／1T </w:t>
            </w:r>
            <w:r>
              <w:rPr>
                <w:rFonts w:hint="eastAsia" w:cs="宋体"/>
                <w:b w:val="0"/>
                <w:bCs w:val="0"/>
                <w:color w:val="auto"/>
                <w:kern w:val="2"/>
                <w:sz w:val="21"/>
                <w:szCs w:val="21"/>
                <w:highlight w:val="none"/>
                <w:lang w:val="en-US" w:eastAsia="zh-CN" w:bidi="ar-SA"/>
              </w:rPr>
              <w:t>，1台。</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(备注：服务器不带键盘、鼠标、显示器)</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bidi="ar-SA"/>
              </w:rPr>
              <w:t>2.串口扫描枪</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bidi="ar-SA"/>
              </w:rPr>
              <w:t>支持串口,支持二次开发</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bidi="ar-SA"/>
              </w:rPr>
              <w:t>1台</w:t>
            </w:r>
            <w:r>
              <w:rPr>
                <w:rFonts w:hint="eastAsia" w:cs="宋体"/>
                <w:b w:val="0"/>
                <w:bCs w:val="0"/>
                <w:color w:val="auto"/>
                <w:kern w:val="2"/>
                <w:sz w:val="21"/>
                <w:szCs w:val="21"/>
                <w:highlight w:val="none"/>
                <w:lang w:val="en-US" w:eastAsia="zh-CN" w:bidi="ar-SA"/>
              </w:rPr>
              <w:t>。</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bidi="ar-SA"/>
              </w:rPr>
              <w:t>3.标签打印机</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bidi="ar-SA"/>
              </w:rPr>
              <w:t>1台</w:t>
            </w:r>
            <w:r>
              <w:rPr>
                <w:rFonts w:hint="eastAsia" w:cs="宋体"/>
                <w:b w:val="0"/>
                <w:bCs w:val="0"/>
                <w:color w:val="auto"/>
                <w:kern w:val="2"/>
                <w:sz w:val="21"/>
                <w:szCs w:val="21"/>
                <w:highlight w:val="none"/>
                <w:lang w:val="en-US" w:eastAsia="zh-CN" w:bidi="ar-SA"/>
              </w:rPr>
              <w:t>。</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（用于器具唯一性标识）</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bidi="ar-SA"/>
              </w:rPr>
              <w:t>打印机要求：热转印打印机</w:t>
            </w:r>
            <w:r>
              <w:rPr>
                <w:rFonts w:hint="eastAsia" w:cs="宋体"/>
                <w:b w:val="0"/>
                <w:bCs w:val="0"/>
                <w:color w:val="auto"/>
                <w:kern w:val="2"/>
                <w:sz w:val="21"/>
                <w:szCs w:val="21"/>
                <w:highlight w:val="none"/>
                <w:lang w:val="en-US" w:eastAsia="zh-CN" w:bidi="ar-SA"/>
              </w:rPr>
              <w:t>。</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支持110mm宽度打印</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支持普通卷纸与超大卷纸</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自带：碳带5卷</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自带：50*25不干胶卷纸50卷</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4.针式打印机</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bidi="ar-SA"/>
              </w:rPr>
              <w:t>1台</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带一式三联打印纸两箱</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自动钢印机用于证书自动盖钢印</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基本要求：同时盖钢印不得少于4张</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bidi="ar-SA"/>
              </w:rPr>
              <w:t>笔记本电脑</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bidi="ar-SA"/>
              </w:rPr>
              <w:t>1台</w:t>
            </w:r>
            <w:r>
              <w:rPr>
                <w:rFonts w:hint="eastAsia" w:cs="宋体"/>
                <w:b w:val="0"/>
                <w:bCs w:val="0"/>
                <w:color w:val="auto"/>
                <w:kern w:val="2"/>
                <w:sz w:val="21"/>
                <w:szCs w:val="21"/>
                <w:highlight w:val="none"/>
                <w:lang w:val="en-US" w:eastAsia="zh-CN" w:bidi="ar-SA"/>
              </w:rPr>
              <w:t>。</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bidi="ar-SA"/>
              </w:rPr>
              <w:t>台式</w:t>
            </w:r>
            <w:r>
              <w:rPr>
                <w:rFonts w:hint="eastAsia" w:cs="宋体"/>
                <w:b w:val="0"/>
                <w:bCs w:val="0"/>
                <w:color w:val="auto"/>
                <w:kern w:val="2"/>
                <w:sz w:val="21"/>
                <w:szCs w:val="21"/>
                <w:highlight w:val="none"/>
                <w:lang w:val="en-US" w:eastAsia="zh-CN" w:bidi="ar-SA"/>
              </w:rPr>
              <w:t>电脑：</w:t>
            </w:r>
            <w:r>
              <w:rPr>
                <w:rFonts w:hint="eastAsia" w:ascii="宋体" w:hAnsi="宋体" w:eastAsia="宋体" w:cs="宋体"/>
                <w:b w:val="0"/>
                <w:bCs w:val="0"/>
                <w:color w:val="auto"/>
                <w:kern w:val="2"/>
                <w:sz w:val="21"/>
                <w:szCs w:val="21"/>
                <w:highlight w:val="none"/>
                <w:lang w:val="en-US" w:bidi="ar-SA"/>
              </w:rPr>
              <w:t>1台</w:t>
            </w:r>
            <w:r>
              <w:rPr>
                <w:rFonts w:hint="eastAsia" w:cs="宋体"/>
                <w:b w:val="0"/>
                <w:bCs w:val="0"/>
                <w:color w:val="auto"/>
                <w:kern w:val="2"/>
                <w:sz w:val="21"/>
                <w:szCs w:val="21"/>
                <w:highlight w:val="none"/>
                <w:lang w:val="en-US" w:eastAsia="zh-CN" w:bidi="ar-SA"/>
              </w:rPr>
              <w:t>。</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bidi="ar-SA"/>
              </w:rPr>
              <w:t>数据终端</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bidi="ar-SA"/>
              </w:rPr>
              <w:t>18套</w:t>
            </w:r>
            <w:r>
              <w:rPr>
                <w:rFonts w:hint="eastAsia" w:cs="宋体"/>
                <w:b w:val="0"/>
                <w:bCs w:val="0"/>
                <w:color w:val="auto"/>
                <w:kern w:val="2"/>
                <w:sz w:val="21"/>
                <w:szCs w:val="21"/>
                <w:highlight w:val="none"/>
                <w:lang w:val="en-US" w:eastAsia="zh-CN" w:bidi="ar-SA"/>
              </w:rPr>
              <w:t>。</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bidi="ar-SA"/>
              </w:rPr>
              <w:t>激光打印机</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bidi="ar-SA"/>
              </w:rPr>
              <w:t>1台</w:t>
            </w:r>
            <w:r>
              <w:rPr>
                <w:rFonts w:hint="eastAsia" w:cs="宋体"/>
                <w:b w:val="0"/>
                <w:bCs w:val="0"/>
                <w:color w:val="auto"/>
                <w:kern w:val="2"/>
                <w:sz w:val="21"/>
                <w:szCs w:val="21"/>
                <w:highlight w:val="none"/>
                <w:lang w:val="en-US" w:eastAsia="zh-CN" w:bidi="ar-SA"/>
              </w:rPr>
              <w:t>。</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bidi="ar-SA"/>
              </w:rPr>
              <w:t>加湿桶</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bidi="ar-SA"/>
              </w:rPr>
              <w:t>3只</w:t>
            </w:r>
            <w:r>
              <w:rPr>
                <w:rFonts w:hint="eastAsia" w:cs="宋体"/>
                <w:b w:val="0"/>
                <w:bCs w:val="0"/>
                <w:color w:val="auto"/>
                <w:kern w:val="2"/>
                <w:sz w:val="21"/>
                <w:szCs w:val="21"/>
                <w:highlight w:val="none"/>
                <w:lang w:val="en-US" w:eastAsia="zh-CN" w:bidi="ar-SA"/>
              </w:rPr>
              <w:t>。</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bidi="ar-SA"/>
              </w:rPr>
              <w:t>云网络适配器</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bidi="ar-SA"/>
              </w:rPr>
              <w:t>3套</w:t>
            </w:r>
            <w:r>
              <w:rPr>
                <w:rFonts w:hint="eastAsia" w:cs="宋体"/>
                <w:b w:val="0"/>
                <w:bCs w:val="0"/>
                <w:color w:val="auto"/>
                <w:kern w:val="2"/>
                <w:sz w:val="21"/>
                <w:szCs w:val="21"/>
                <w:highlight w:val="none"/>
                <w:lang w:val="en-US" w:eastAsia="zh-CN" w:bidi="ar-SA"/>
              </w:rPr>
              <w:t>。</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bidi="ar-SA"/>
              </w:rPr>
              <w:t>上水电磁阀</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bidi="ar-SA"/>
              </w:rPr>
              <w:t>2只</w:t>
            </w:r>
            <w:r>
              <w:rPr>
                <w:rFonts w:hint="eastAsia" w:cs="宋体"/>
                <w:b w:val="0"/>
                <w:bCs w:val="0"/>
                <w:color w:val="auto"/>
                <w:kern w:val="2"/>
                <w:sz w:val="21"/>
                <w:szCs w:val="21"/>
                <w:highlight w:val="none"/>
                <w:lang w:val="en-US" w:eastAsia="zh-CN" w:bidi="ar-SA"/>
              </w:rPr>
              <w:t>。</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bidi="ar-SA"/>
              </w:rPr>
              <w:t>制冷剂</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bidi="ar-SA"/>
              </w:rPr>
              <w:t>1桶</w:t>
            </w:r>
            <w:r>
              <w:rPr>
                <w:rFonts w:hint="eastAsia" w:cs="宋体"/>
                <w:b w:val="0"/>
                <w:bCs w:val="0"/>
                <w:color w:val="auto"/>
                <w:kern w:val="2"/>
                <w:sz w:val="21"/>
                <w:szCs w:val="21"/>
                <w:highlight w:val="none"/>
                <w:lang w:val="en-US" w:eastAsia="zh-CN" w:bidi="ar-SA"/>
              </w:rPr>
              <w:t>。</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8361"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二、项目实施</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eastAsia="zh-CN" w:bidi="ar-SA"/>
              </w:rPr>
              <w:t>供应商</w:t>
            </w:r>
            <w:r>
              <w:rPr>
                <w:rFonts w:hint="eastAsia" w:ascii="宋体" w:hAnsi="宋体" w:eastAsia="宋体" w:cs="宋体"/>
                <w:b w:val="0"/>
                <w:bCs w:val="0"/>
                <w:color w:val="auto"/>
                <w:kern w:val="2"/>
                <w:sz w:val="21"/>
                <w:szCs w:val="21"/>
                <w:highlight w:val="none"/>
                <w:lang w:val="en-US" w:bidi="ar-SA"/>
              </w:rPr>
              <w:t>在项目实施过程中，工作时间内不得影响采购人现有系统的正常使用，必须做到无缝升级。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8361"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三、培训要求</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1.供应商需提供在用户现场的使用培训，培训目标为使受训者能够独立、熟练地完成操作，实现依据本项目所规定的目标和功能，如相关人员能够熟练进行相关业务操作。</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2.应根据项目进度分阶段对相关人员进行培训，可根据实际情况确定培训的时间、人数、地点和培训方式 。</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3.除普通用户外， 供应商需提供详细的系统管理员培训，使其能够独立完成系统的应用指导及系统的维护工作。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8361"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四、售后服务要求</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1.供应商应确保本次系统升级建设，不影响原系统功能的正常使用和原系统历史数据的完整性、可靠性；</w:t>
            </w:r>
          </w:p>
          <w:p>
            <w:pPr>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default"/>
                <w:lang w:val="en-US" w:eastAsia="zh-CN"/>
              </w:rPr>
            </w:pPr>
            <w:r>
              <w:rPr>
                <w:rFonts w:hint="eastAsia" w:cs="宋体"/>
                <w:b w:val="0"/>
                <w:bCs w:val="0"/>
                <w:color w:val="auto"/>
                <w:kern w:val="2"/>
                <w:sz w:val="21"/>
                <w:szCs w:val="21"/>
                <w:highlight w:val="none"/>
                <w:lang w:val="en-US" w:eastAsia="zh-CN" w:bidi="ar-SA"/>
              </w:rPr>
              <w:t>2.</w:t>
            </w:r>
            <w:r>
              <w:rPr>
                <w:rFonts w:hint="eastAsia" w:ascii="宋体" w:hAnsi="宋体" w:cs="宋体"/>
                <w:szCs w:val="21"/>
                <w:lang w:val="en-US" w:eastAsia="zh-CN"/>
              </w:rPr>
              <w:t>软件安装验收投入使用后三年内免服务费。</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3.在</w:t>
            </w:r>
            <w:r>
              <w:rPr>
                <w:rFonts w:hint="eastAsia" w:cs="宋体"/>
                <w:b w:val="0"/>
                <w:bCs w:val="0"/>
                <w:color w:val="auto"/>
                <w:kern w:val="2"/>
                <w:sz w:val="21"/>
                <w:szCs w:val="21"/>
                <w:highlight w:val="none"/>
                <w:lang w:val="en-US" w:eastAsia="zh-CN" w:bidi="ar-SA"/>
              </w:rPr>
              <w:t>期限</w:t>
            </w:r>
            <w:r>
              <w:rPr>
                <w:rFonts w:hint="eastAsia" w:ascii="宋体" w:hAnsi="宋体" w:eastAsia="宋体" w:cs="宋体"/>
                <w:b w:val="0"/>
                <w:bCs w:val="0"/>
                <w:color w:val="auto"/>
                <w:kern w:val="2"/>
                <w:sz w:val="21"/>
                <w:szCs w:val="21"/>
                <w:highlight w:val="none"/>
                <w:lang w:val="en-US" w:eastAsia="zh-CN" w:bidi="ar-SA"/>
              </w:rPr>
              <w:t>内，应无条件解决系统本身的缺陷，当在线支持不能解决故障时，供应商须派人到现场解决（到达时间须在24小时以内，8 小时内修复），由此产生的所有费用由供应商承担。</w:t>
            </w:r>
          </w:p>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4.在期</w:t>
            </w:r>
            <w:r>
              <w:rPr>
                <w:rFonts w:hint="eastAsia" w:cs="宋体"/>
                <w:b w:val="0"/>
                <w:bCs w:val="0"/>
                <w:color w:val="auto"/>
                <w:kern w:val="2"/>
                <w:sz w:val="21"/>
                <w:szCs w:val="21"/>
                <w:highlight w:val="none"/>
                <w:lang w:val="en-US" w:eastAsia="zh-CN" w:bidi="ar-SA"/>
              </w:rPr>
              <w:t>限</w:t>
            </w:r>
            <w:r>
              <w:rPr>
                <w:rFonts w:hint="eastAsia" w:ascii="宋体" w:hAnsi="宋体" w:eastAsia="宋体" w:cs="宋体"/>
                <w:b w:val="0"/>
                <w:bCs w:val="0"/>
                <w:color w:val="auto"/>
                <w:kern w:val="2"/>
                <w:sz w:val="21"/>
                <w:szCs w:val="21"/>
                <w:highlight w:val="none"/>
                <w:lang w:val="en-US" w:eastAsia="zh-CN" w:bidi="ar-SA"/>
              </w:rPr>
              <w:t>内，应无条件解决本系统及原系统及关联系统安全漏洞修复。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p>
        </w:tc>
        <w:tc>
          <w:tcPr>
            <w:tcW w:w="8361" w:type="dxa"/>
            <w:vAlign w:val="center"/>
          </w:tcPr>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五、质量要求：</w:t>
            </w:r>
          </w:p>
          <w:p>
            <w:pPr>
              <w:widowControl w:val="0"/>
              <w:spacing w:before="0" w:after="0" w:line="240" w:lineRule="auto"/>
              <w:ind w:left="0" w:leftChars="0" w:right="0" w:firstLine="0" w:firstLineChars="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（1）项目全过程要求受采购人的监督管理，实施过程按 ISO9001 质量管理体系，重点抓质量审计、交付成果的质量检查和软硬件系统测试工作，对本项目各阶段进行严格的质量监督与控制。实施过程中要积极配合监管工作，以保证项目实施的进度和质量。</w:t>
            </w:r>
          </w:p>
          <w:p>
            <w:pPr>
              <w:widowControl w:val="0"/>
              <w:spacing w:before="0" w:after="0" w:line="240" w:lineRule="auto"/>
              <w:ind w:left="0" w:leftChars="0" w:right="0" w:firstLine="0" w:firstLineChars="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（2）投标产品必须是符合国家技术规范和质量标准的合格产品，满足采购人的使用需求，并具有可靠的售后服务体系，质量可靠、使用安全。</w:t>
            </w:r>
          </w:p>
          <w:p>
            <w:pPr>
              <w:widowControl w:val="0"/>
              <w:spacing w:before="0" w:after="0" w:line="240" w:lineRule="auto"/>
              <w:ind w:left="0" w:leftChars="0" w:right="0" w:firstLine="0" w:firstLineChars="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（3）供应商保证其提供的产品中所有预装和为本项目安装的软件均为具有合法版权或使用权的正版软件且无质量瑕疵。</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ar-SA"/>
              </w:rPr>
              <w:t>（4）供应商必须为维修和技术支持所未能解决的问题和故障提供正式的升级方案。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w:t>
            </w:r>
          </w:p>
        </w:tc>
        <w:tc>
          <w:tcPr>
            <w:tcW w:w="8361" w:type="dxa"/>
            <w:vAlign w:val="center"/>
          </w:tcPr>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rPr>
              <w:t>、知识产权要求</w:t>
            </w:r>
            <w:r>
              <w:rPr>
                <w:rFonts w:hint="eastAsia" w:ascii="宋体" w:hAnsi="宋体" w:eastAsia="宋体" w:cs="宋体"/>
                <w:b w:val="0"/>
                <w:bCs w:val="0"/>
                <w:color w:val="auto"/>
                <w:sz w:val="21"/>
                <w:szCs w:val="21"/>
                <w:highlight w:val="none"/>
                <w:lang w:eastAsia="zh-CN"/>
              </w:rPr>
              <w:t>：</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保证准备或提交的全部软件系统和设计文件在中国境内或境外没有且不会侵犯任何其他人的知识产权（包括但不限于版权、商标权、专利权）或专有技术或商业秘密。</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（2）本项目所开发的软件系统其知识产权归招标人所有。</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向招标人提供的软件版权归招标人所有。</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需配合招标人完成知识产权登记，包括但不限于以下工作：协助填写软件著作权相关文档、源代码准备、软件操作手册准备等工作。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1" w:type="dxa"/>
            <w:gridSpan w:val="2"/>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说明</w:t>
            </w:r>
          </w:p>
        </w:tc>
        <w:tc>
          <w:tcPr>
            <w:tcW w:w="8361"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bidi="ar-SA"/>
              </w:rPr>
              <w:t>打“★”号条款为实质性条款，若有任何一条负偏离或不满足则导致投标（响应）无效。</w:t>
            </w:r>
            <w:r>
              <w:rPr>
                <w:rFonts w:hint="eastAsia" w:ascii="宋体" w:hAnsi="宋体" w:eastAsia="宋体" w:cs="宋体"/>
                <w:b w:val="0"/>
                <w:bCs w:val="0"/>
                <w:color w:val="auto"/>
                <w:kern w:val="2"/>
                <w:sz w:val="21"/>
                <w:szCs w:val="21"/>
                <w:highlight w:val="none"/>
                <w:lang w:val="en-US" w:bidi="ar-SA"/>
              </w:rPr>
              <w:br w:type="textWrapping"/>
            </w:r>
            <w:r>
              <w:rPr>
                <w:rFonts w:hint="eastAsia" w:ascii="宋体" w:hAnsi="宋体" w:eastAsia="宋体" w:cs="宋体"/>
                <w:b w:val="0"/>
                <w:bCs w:val="0"/>
                <w:color w:val="auto"/>
                <w:kern w:val="2"/>
                <w:sz w:val="21"/>
                <w:szCs w:val="21"/>
                <w:highlight w:val="none"/>
                <w:lang w:val="en-US" w:bidi="ar-SA"/>
              </w:rPr>
              <w:t>打“▲”号条款为重要参数（如有），若有部分“▲”条款未响应或不满足，将根据评审要求影响其得分，但不作为无效投标（响应）条款。</w:t>
            </w:r>
          </w:p>
        </w:tc>
      </w:tr>
    </w:tbl>
    <w:p>
      <w:pPr>
        <w:keepNext w:val="0"/>
        <w:keepLines w:val="0"/>
        <w:pageBreakBefore w:val="0"/>
        <w:widowControl w:val="0"/>
        <w:kinsoku/>
        <w:wordWrap w:val="0"/>
        <w:overflowPunct/>
        <w:topLinePunct w:val="0"/>
        <w:autoSpaceDE/>
        <w:autoSpaceDN/>
        <w:bidi w:val="0"/>
        <w:adjustRightInd/>
        <w:snapToGrid/>
        <w:spacing w:before="0" w:line="360" w:lineRule="auto"/>
        <w:ind w:left="0" w:right="0" w:firstLine="420" w:firstLineChars="200"/>
        <w:jc w:val="both"/>
        <w:textAlignment w:val="auto"/>
        <w:outlineLvl w:val="9"/>
        <w:rPr>
          <w:rFonts w:hint="eastAsia" w:ascii="宋体" w:hAnsi="宋体" w:eastAsia="宋体" w:cs="宋体"/>
          <w:b w:val="0"/>
          <w:bCs w:val="0"/>
          <w:color w:val="auto"/>
          <w:spacing w:val="0"/>
          <w:w w:val="100"/>
          <w:kern w:val="2"/>
          <w:position w:val="0"/>
          <w:sz w:val="21"/>
          <w:szCs w:val="21"/>
          <w:highlight w:val="none"/>
          <w:lang w:val="en-US" w:eastAsia="zh-CN" w:bidi="ar-SA"/>
        </w:rPr>
      </w:pPr>
      <w:r>
        <w:rPr>
          <w:rFonts w:hint="eastAsia" w:ascii="宋体" w:hAnsi="宋体" w:eastAsia="宋体" w:cs="宋体"/>
          <w:b w:val="0"/>
          <w:bCs w:val="0"/>
          <w:color w:val="auto"/>
          <w:spacing w:val="0"/>
          <w:w w:val="100"/>
          <w:kern w:val="2"/>
          <w:position w:val="0"/>
          <w:sz w:val="21"/>
          <w:szCs w:val="21"/>
          <w:highlight w:val="none"/>
          <w:lang w:val="en-US" w:eastAsia="zh-CN" w:bidi="ar-SA"/>
        </w:rPr>
        <w:br w:type="page"/>
      </w:r>
    </w:p>
    <w:p>
      <w:pPr>
        <w:pStyle w:val="3"/>
        <w:numPr>
          <w:ilvl w:val="0"/>
          <w:numId w:val="0"/>
        </w:numPr>
        <w:shd w:val="clear"/>
        <w:spacing w:before="0" w:line="480" w:lineRule="exact"/>
        <w:ind w:right="0" w:rightChars="0"/>
        <w:jc w:val="center"/>
        <w:rPr>
          <w:rFonts w:hint="eastAsia" w:ascii="宋体" w:hAnsi="宋体" w:eastAsia="宋体" w:cs="宋体"/>
          <w:color w:val="auto"/>
          <w:spacing w:val="0"/>
          <w:w w:val="100"/>
          <w:position w:val="0"/>
          <w:sz w:val="32"/>
          <w:szCs w:val="32"/>
          <w:highlight w:val="none"/>
        </w:rPr>
      </w:pPr>
      <w:bookmarkStart w:id="14" w:name="_Toc13270"/>
      <w:bookmarkStart w:id="15" w:name="_Toc17773"/>
      <w:bookmarkStart w:id="16" w:name="_Toc4444"/>
      <w:bookmarkStart w:id="17" w:name="_Toc23334"/>
      <w:bookmarkStart w:id="18" w:name="_Toc5421"/>
      <w:bookmarkStart w:id="19" w:name="_Toc6473"/>
      <w:bookmarkStart w:id="20" w:name="_Toc28223"/>
      <w:r>
        <w:rPr>
          <w:rFonts w:hint="eastAsia" w:ascii="宋体" w:hAnsi="宋体" w:eastAsia="宋体" w:cs="宋体"/>
          <w:color w:val="auto"/>
          <w:spacing w:val="0"/>
          <w:w w:val="100"/>
          <w:position w:val="0"/>
          <w:sz w:val="32"/>
          <w:szCs w:val="32"/>
          <w:highlight w:val="none"/>
          <w:lang w:val="en-US" w:eastAsia="zh-CN"/>
        </w:rPr>
        <w:t>第</w:t>
      </w:r>
      <w:r>
        <w:rPr>
          <w:rFonts w:hint="eastAsia" w:cs="宋体"/>
          <w:color w:val="auto"/>
          <w:spacing w:val="0"/>
          <w:w w:val="100"/>
          <w:position w:val="0"/>
          <w:sz w:val="32"/>
          <w:szCs w:val="32"/>
          <w:highlight w:val="none"/>
          <w:lang w:val="en-US" w:eastAsia="zh-CN"/>
        </w:rPr>
        <w:t>二</w:t>
      </w:r>
      <w:r>
        <w:rPr>
          <w:rFonts w:hint="eastAsia" w:ascii="宋体" w:hAnsi="宋体" w:eastAsia="宋体" w:cs="宋体"/>
          <w:color w:val="auto"/>
          <w:spacing w:val="0"/>
          <w:w w:val="100"/>
          <w:position w:val="0"/>
          <w:sz w:val="32"/>
          <w:szCs w:val="32"/>
          <w:highlight w:val="none"/>
          <w:lang w:val="en-US" w:eastAsia="zh-CN"/>
        </w:rPr>
        <w:t xml:space="preserve">部分 </w:t>
      </w:r>
      <w:r>
        <w:rPr>
          <w:rFonts w:hint="eastAsia" w:ascii="宋体" w:hAnsi="宋体" w:eastAsia="宋体" w:cs="宋体"/>
          <w:color w:val="auto"/>
          <w:spacing w:val="0"/>
          <w:w w:val="100"/>
          <w:position w:val="0"/>
          <w:sz w:val="32"/>
          <w:szCs w:val="32"/>
          <w:highlight w:val="none"/>
        </w:rPr>
        <w:t>供应商须知</w:t>
      </w:r>
      <w:bookmarkEnd w:id="14"/>
      <w:bookmarkEnd w:id="15"/>
      <w:bookmarkEnd w:id="16"/>
      <w:bookmarkEnd w:id="17"/>
      <w:bookmarkEnd w:id="18"/>
      <w:bookmarkEnd w:id="19"/>
      <w:bookmarkEnd w:id="20"/>
    </w:p>
    <w:p>
      <w:pPr>
        <w:shd w:val="clear"/>
        <w:tabs>
          <w:tab w:val="left" w:pos="1065"/>
          <w:tab w:val="center" w:pos="4411"/>
        </w:tabs>
        <w:jc w:val="center"/>
        <w:outlineLvl w:val="1"/>
        <w:rPr>
          <w:rFonts w:hint="eastAsia" w:ascii="宋体" w:hAnsi="宋体" w:eastAsia="宋体" w:cs="宋体"/>
          <w:b/>
          <w:color w:val="auto"/>
          <w:spacing w:val="0"/>
          <w:w w:val="100"/>
          <w:position w:val="0"/>
          <w:sz w:val="28"/>
          <w:szCs w:val="28"/>
          <w:highlight w:val="none"/>
        </w:rPr>
      </w:pPr>
      <w:bookmarkStart w:id="21" w:name="_Toc9470"/>
      <w:bookmarkStart w:id="22" w:name="_Toc23162"/>
      <w:r>
        <w:rPr>
          <w:rFonts w:hint="eastAsia" w:ascii="宋体" w:hAnsi="宋体" w:eastAsia="宋体" w:cs="宋体"/>
          <w:b/>
          <w:color w:val="auto"/>
          <w:spacing w:val="0"/>
          <w:w w:val="100"/>
          <w:position w:val="0"/>
          <w:sz w:val="28"/>
          <w:szCs w:val="28"/>
          <w:highlight w:val="none"/>
        </w:rPr>
        <w:t>供应商须知前附表</w:t>
      </w:r>
      <w:bookmarkEnd w:id="21"/>
      <w:bookmarkEnd w:id="22"/>
    </w:p>
    <w:p>
      <w:pPr>
        <w:pStyle w:val="13"/>
        <w:shd w:val="clear"/>
        <w:rPr>
          <w:rFonts w:hint="eastAsia" w:ascii="宋体" w:hAnsi="宋体" w:eastAsia="宋体" w:cs="宋体"/>
          <w:color w:val="auto"/>
          <w:spacing w:val="0"/>
          <w:w w:val="100"/>
          <w:position w:val="0"/>
          <w:sz w:val="18"/>
          <w:szCs w:val="18"/>
          <w:highlight w:val="none"/>
        </w:rPr>
      </w:pPr>
    </w:p>
    <w:tbl>
      <w:tblPr>
        <w:tblStyle w:val="32"/>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81"/>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序号</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条款名称</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项目名称及编号</w:t>
            </w:r>
          </w:p>
        </w:tc>
        <w:tc>
          <w:tcPr>
            <w:tcW w:w="7261" w:type="dxa"/>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Cs/>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项目名称：</w:t>
            </w:r>
            <w:r>
              <w:rPr>
                <w:rFonts w:hint="eastAsia" w:cs="宋体"/>
                <w:bCs/>
                <w:color w:val="auto"/>
                <w:spacing w:val="0"/>
                <w:w w:val="100"/>
                <w:position w:val="0"/>
                <w:sz w:val="21"/>
                <w:szCs w:val="21"/>
                <w:highlight w:val="none"/>
                <w:lang w:eastAsia="zh-CN"/>
              </w:rPr>
              <w:t>昌吉回族自治州产品质量检验所实验室信息管理系统建设项目</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项目编号：</w:t>
            </w:r>
            <w:r>
              <w:rPr>
                <w:rFonts w:hint="eastAsia" w:cs="宋体"/>
                <w:color w:val="auto"/>
                <w:spacing w:val="0"/>
                <w:w w:val="100"/>
                <w:position w:val="0"/>
                <w:sz w:val="21"/>
                <w:szCs w:val="21"/>
                <w:highlight w:val="none"/>
                <w:lang w:eastAsia="zh-CN"/>
              </w:rPr>
              <w:t>XJTY-ZB-2023-080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rPr>
            </w:pPr>
            <w:r>
              <w:rPr>
                <w:rFonts w:hint="eastAsia" w:ascii="宋体" w:hAnsi="宋体" w:eastAsia="宋体" w:cs="宋体"/>
                <w:color w:val="auto"/>
                <w:spacing w:val="0"/>
                <w:w w:val="100"/>
                <w:position w:val="0"/>
                <w:sz w:val="21"/>
                <w:szCs w:val="21"/>
                <w:highlight w:val="none"/>
                <w:lang w:val="en-US"/>
              </w:rPr>
              <w:t>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采购人</w:t>
            </w:r>
          </w:p>
        </w:tc>
        <w:tc>
          <w:tcPr>
            <w:tcW w:w="7261" w:type="dxa"/>
          </w:tcPr>
          <w:p>
            <w:pPr>
              <w:pStyle w:val="40"/>
              <w:ind w:left="0" w:leftChars="0" w:firstLine="0" w:firstLineChars="0"/>
              <w:rPr>
                <w:rFonts w:hint="eastAsia"/>
                <w:lang w:eastAsia="zh-CN"/>
              </w:rPr>
            </w:pPr>
            <w:r>
              <w:rPr>
                <w:rFonts w:hint="eastAsia"/>
                <w:lang w:eastAsia="zh-CN"/>
              </w:rPr>
              <w:t>名 称：昌吉回族自治州产品质量检验所</w:t>
            </w:r>
          </w:p>
          <w:p>
            <w:pPr>
              <w:pStyle w:val="40"/>
              <w:ind w:left="0" w:leftChars="0" w:firstLine="0" w:firstLineChars="0"/>
              <w:rPr>
                <w:rFonts w:hint="eastAsia"/>
                <w:lang w:eastAsia="zh-CN"/>
              </w:rPr>
            </w:pPr>
            <w:r>
              <w:rPr>
                <w:rFonts w:hint="eastAsia"/>
                <w:lang w:eastAsia="zh-CN"/>
              </w:rPr>
              <w:t>地 址：昌吉市健康西路与西外环交汇处昌吉州产品质量检验所</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rPr>
            </w:pPr>
            <w:r>
              <w:rPr>
                <w:rFonts w:hint="eastAsia"/>
              </w:rPr>
              <w:t>联系人：张琰琦</w:t>
            </w:r>
          </w:p>
          <w:p>
            <w:pPr>
              <w:pStyle w:val="40"/>
              <w:ind w:left="0" w:leftChars="0" w:firstLine="0" w:firstLineChars="0"/>
              <w:rPr>
                <w:rFonts w:hint="eastAsia"/>
                <w:lang w:eastAsia="zh-CN"/>
              </w:rPr>
            </w:pPr>
            <w:r>
              <w:rPr>
                <w:rFonts w:hint="eastAsia"/>
                <w:lang w:eastAsia="zh-CN"/>
              </w:rPr>
              <w:t>联系方式：15292597300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rPr>
            </w:pPr>
            <w:r>
              <w:rPr>
                <w:rFonts w:hint="eastAsia" w:ascii="宋体" w:hAnsi="宋体" w:eastAsia="宋体" w:cs="宋体"/>
                <w:color w:val="auto"/>
                <w:spacing w:val="0"/>
                <w:w w:val="100"/>
                <w:position w:val="0"/>
                <w:sz w:val="21"/>
                <w:szCs w:val="21"/>
                <w:highlight w:val="none"/>
                <w:lang w:val="en-US"/>
              </w:rPr>
              <w:t>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采购代理机构</w:t>
            </w:r>
          </w:p>
        </w:tc>
        <w:tc>
          <w:tcPr>
            <w:tcW w:w="7261" w:type="dxa"/>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名称：</w:t>
            </w:r>
            <w:r>
              <w:rPr>
                <w:rFonts w:hint="eastAsia" w:ascii="宋体" w:hAnsi="宋体" w:eastAsia="宋体" w:cs="宋体"/>
                <w:color w:val="auto"/>
                <w:spacing w:val="0"/>
                <w:w w:val="100"/>
                <w:position w:val="0"/>
                <w:sz w:val="21"/>
                <w:szCs w:val="21"/>
                <w:highlight w:val="none"/>
                <w:lang w:eastAsia="zh-CN"/>
              </w:rPr>
              <w:t>新疆拓远工程管理服务有限公司</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地址：</w:t>
            </w:r>
            <w:r>
              <w:rPr>
                <w:rFonts w:hint="eastAsia" w:cs="宋体"/>
                <w:color w:val="auto"/>
                <w:spacing w:val="0"/>
                <w:w w:val="100"/>
                <w:position w:val="0"/>
                <w:sz w:val="21"/>
                <w:szCs w:val="21"/>
                <w:highlight w:val="none"/>
                <w:lang w:val="en-US" w:eastAsia="zh-CN"/>
              </w:rPr>
              <w:t>昌吉市南公园西路锦江之星6楼615室</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联系人：</w:t>
            </w:r>
            <w:r>
              <w:rPr>
                <w:rFonts w:hint="eastAsia" w:cs="宋体"/>
                <w:color w:val="auto"/>
                <w:spacing w:val="0"/>
                <w:w w:val="100"/>
                <w:position w:val="0"/>
                <w:sz w:val="21"/>
                <w:szCs w:val="21"/>
                <w:highlight w:val="none"/>
                <w:lang w:val="en-US" w:eastAsia="zh-CN"/>
              </w:rPr>
              <w:t>马</w:t>
            </w:r>
            <w:r>
              <w:rPr>
                <w:rFonts w:hint="eastAsia" w:ascii="宋体" w:hAnsi="宋体" w:eastAsia="宋体" w:cs="宋体"/>
                <w:color w:val="auto"/>
                <w:spacing w:val="0"/>
                <w:w w:val="100"/>
                <w:position w:val="0"/>
                <w:sz w:val="21"/>
                <w:szCs w:val="21"/>
                <w:highlight w:val="none"/>
              </w:rPr>
              <w:t>工</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电话：</w:t>
            </w:r>
            <w:r>
              <w:rPr>
                <w:rFonts w:hint="eastAsia" w:cs="宋体"/>
                <w:color w:val="auto"/>
                <w:spacing w:val="0"/>
                <w:w w:val="100"/>
                <w:position w:val="0"/>
                <w:sz w:val="21"/>
                <w:szCs w:val="21"/>
                <w:highlight w:val="none"/>
                <w:lang w:val="en-US" w:eastAsia="zh-CN"/>
              </w:rPr>
              <w:t>0994-2331855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资金来源及比例</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援疆项目资金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资金落实情况</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val="en-US" w:eastAsia="zh-CN"/>
              </w:rPr>
              <w:t>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供应商资格</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2.落实政府采购政策需满足的资格要求：本项目专门面向中小微企业</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3.本项目的特定资格要求：</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【标项1】</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采购项目的属性</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服务</w:t>
            </w:r>
            <w:r>
              <w:rPr>
                <w:rFonts w:hint="eastAsia" w:cs="宋体"/>
                <w:color w:val="auto"/>
                <w:spacing w:val="0"/>
                <w:w w:val="100"/>
                <w:kern w:val="0"/>
                <w:position w:val="0"/>
                <w:sz w:val="21"/>
                <w:szCs w:val="21"/>
                <w:highlight w:val="none"/>
                <w:lang w:val="en-US" w:eastAsia="zh-CN" w:bidi="ar"/>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bidi="ar"/>
              </w:rPr>
              <w:t>是否允许采购进口产品</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对联合体投标的具体要求</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接受</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不接受</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对联合体各方的要求：无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10</w:t>
            </w:r>
          </w:p>
        </w:tc>
        <w:tc>
          <w:tcPr>
            <w:tcW w:w="1781" w:type="dxa"/>
            <w:vAlign w:val="center"/>
          </w:tcPr>
          <w:p>
            <w:pPr>
              <w:keepNext w:val="0"/>
              <w:keepLines w:val="0"/>
              <w:widowControl/>
              <w:suppressLineNumbers w:val="0"/>
              <w:spacing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磋商前答疑会</w:t>
            </w:r>
            <w:r>
              <w:rPr>
                <w:rFonts w:hint="eastAsia" w:ascii="宋体" w:hAnsi="宋体" w:eastAsia="宋体" w:cs="宋体"/>
                <w:color w:val="auto"/>
                <w:kern w:val="0"/>
                <w:sz w:val="21"/>
                <w:szCs w:val="21"/>
                <w:highlight w:val="none"/>
                <w:lang w:val="en-US" w:bidi="ar-SA"/>
              </w:rPr>
              <w:t>或</w:t>
            </w:r>
            <w:r>
              <w:rPr>
                <w:rFonts w:hint="eastAsia" w:ascii="宋体" w:hAnsi="宋体" w:eastAsia="宋体" w:cs="宋体"/>
                <w:color w:val="auto"/>
                <w:kern w:val="0"/>
                <w:sz w:val="21"/>
                <w:szCs w:val="21"/>
                <w:highlight w:val="none"/>
                <w:lang w:val="en-US" w:eastAsia="zh-CN" w:bidi="ar"/>
              </w:rPr>
              <w:t>现场考察</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1.磋商前答疑会：</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☑不召开 </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□召开，召开时间：/年/月/日/点/分 </w:t>
            </w:r>
          </w:p>
          <w:p>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召开地点：/。</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2.现场考察：</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☑不组织</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□组织，考察时间：/年/月/日/点/分 </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考察地点：/。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资格、资信证明部分构成</w:t>
            </w:r>
          </w:p>
        </w:tc>
        <w:tc>
          <w:tcPr>
            <w:tcW w:w="7261" w:type="dxa"/>
            <w:vAlign w:val="center"/>
          </w:tcPr>
          <w:p>
            <w:pPr>
              <w:keepNext w:val="0"/>
              <w:keepLines w:val="0"/>
              <w:widowControl/>
              <w:suppressLineNumbers w:val="0"/>
              <w:spacing w:line="240" w:lineRule="auto"/>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b/>
                <w:smallCaps w:val="0"/>
                <w:color w:val="auto"/>
                <w:spacing w:val="0"/>
                <w:w w:val="100"/>
                <w:kern w:val="0"/>
                <w:position w:val="0"/>
                <w:sz w:val="21"/>
                <w:szCs w:val="21"/>
                <w:highlight w:val="none"/>
                <w:lang w:val="en-US" w:eastAsia="zh-CN" w:bidi="ar"/>
              </w:rPr>
              <w:t>基本资格、资信证明文件：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（1）法人或者其他组织的有效营业执照等证明文件，</w:t>
            </w:r>
            <w:r>
              <w:rPr>
                <w:rFonts w:hint="eastAsia" w:ascii="宋体" w:hAnsi="宋体" w:eastAsia="宋体" w:cs="宋体"/>
                <w:b/>
                <w:bCs/>
                <w:smallCaps w:val="0"/>
                <w:color w:val="auto"/>
                <w:spacing w:val="0"/>
                <w:w w:val="100"/>
                <w:kern w:val="0"/>
                <w:position w:val="0"/>
                <w:sz w:val="21"/>
                <w:szCs w:val="21"/>
                <w:highlight w:val="none"/>
                <w:lang w:val="en-US" w:eastAsia="zh-CN" w:bidi="ar"/>
              </w:rPr>
              <w:t>其中：</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供应商是企业（包括合伙企业）的，应提供其在工商部门注册的有效“营业执照”复印件；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供应商是事业单位的，应提供其有效的“事业单位法人证书”复印件；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供应商是非企业专业服务机构的，应提供其有效的“执业许可证”复印件；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供应商是民办非企业单位的，应提供其有效的登记证书复印件；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供应商是个体工商户的，应提供其有效的“营业执照”复印件；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供应商是自然人的，应提供其有效的自然人身份证明复印件；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（2）财务状况报告：</w:t>
            </w:r>
          </w:p>
          <w:p>
            <w:pPr>
              <w:keepNext w:val="0"/>
              <w:keepLines w:val="0"/>
              <w:widowControl/>
              <w:numPr>
                <w:ilvl w:val="0"/>
                <w:numId w:val="0"/>
              </w:numPr>
              <w:suppressLineNumbers w:val="0"/>
              <w:autoSpaceDE/>
              <w:autoSpaceDN/>
              <w:spacing w:before="0" w:after="0" w:line="240" w:lineRule="auto"/>
              <w:ind w:left="0" w:leftChars="0" w:right="0" w:rightChars="0" w:firstLine="420" w:firstLineChars="20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近一年由会计师事务所出具财务审计报告或提供由开标日前三个月内供应商开户银行出具的资信证明；新成立公司提供银行出具的有效期内的资信证明；其他组织和自然人，没有经审计的财务报告，提供银行出具的资信证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（3）依法缴纳税收的相关材料：</w:t>
            </w:r>
          </w:p>
          <w:p>
            <w:pPr>
              <w:keepNext w:val="0"/>
              <w:keepLines w:val="0"/>
              <w:widowControl/>
              <w:numPr>
                <w:ilvl w:val="0"/>
                <w:numId w:val="0"/>
              </w:numPr>
              <w:suppressLineNumbers w:val="0"/>
              <w:autoSpaceDE/>
              <w:autoSpaceDN/>
              <w:spacing w:before="0" w:after="0" w:line="240" w:lineRule="auto"/>
              <w:ind w:left="0" w:right="0" w:rightChars="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开标日前6个月内任意一月缴纳税收的凭证复印件；</w:t>
            </w:r>
          </w:p>
          <w:p>
            <w:pPr>
              <w:keepNext w:val="0"/>
              <w:keepLines w:val="0"/>
              <w:widowControl/>
              <w:suppressLineNumbers w:val="0"/>
              <w:autoSpaceDE/>
              <w:autoSpaceDN/>
              <w:spacing w:before="0" w:after="0" w:line="240" w:lineRule="auto"/>
              <w:ind w:left="0" w:right="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缴纳凭证复印件须清晰可辨，并能显示出税种种类，单位代扣代缴的个人所得税不能作为单位纳税的凭证；</w:t>
            </w:r>
          </w:p>
          <w:p>
            <w:pPr>
              <w:keepNext w:val="0"/>
              <w:keepLines w:val="0"/>
              <w:widowControl/>
              <w:suppressLineNumbers w:val="0"/>
              <w:autoSpaceDE/>
              <w:autoSpaceDN/>
              <w:spacing w:before="0" w:after="0" w:line="240" w:lineRule="auto"/>
              <w:ind w:left="0" w:right="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依法免税的供应商，应提供相应文件证明其依法免税；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（4）依法缴纳社会保障资金的相关材料：</w:t>
            </w:r>
          </w:p>
          <w:p>
            <w:pPr>
              <w:keepNext w:val="0"/>
              <w:keepLines w:val="0"/>
              <w:widowControl/>
              <w:numPr>
                <w:ilvl w:val="0"/>
                <w:numId w:val="0"/>
              </w:numPr>
              <w:suppressLineNumbers w:val="0"/>
              <w:autoSpaceDE/>
              <w:autoSpaceDN/>
              <w:spacing w:before="0" w:after="0" w:line="240" w:lineRule="auto"/>
              <w:ind w:left="0" w:leftChars="0" w:right="0" w:firstLine="420" w:firstLineChars="2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开标日前6个月内（至少提供1个月）缴纳社会保险的凭据（专用收据或社会保险缴纳清单）；供应商为其他组织或自然人的，也需要按此项规定提供缴纳税收的凭据和缴纳社会保险的凭据；</w:t>
            </w:r>
          </w:p>
          <w:p>
            <w:pPr>
              <w:keepNext w:val="0"/>
              <w:keepLines w:val="0"/>
              <w:widowControl/>
              <w:numPr>
                <w:ilvl w:val="0"/>
                <w:numId w:val="0"/>
              </w:numPr>
              <w:suppressLineNumbers w:val="0"/>
              <w:autoSpaceDE/>
              <w:autoSpaceDN/>
              <w:spacing w:before="0" w:after="0" w:line="240" w:lineRule="auto"/>
              <w:ind w:left="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（5）具备履行合同所必需的设备和专业技术能力的说明函</w:t>
            </w:r>
            <w:r>
              <w:rPr>
                <w:rFonts w:hint="eastAsia" w:ascii="宋体" w:hAnsi="宋体" w:eastAsia="宋体" w:cs="宋体"/>
                <w:smallCaps w:val="0"/>
                <w:color w:val="auto"/>
                <w:spacing w:val="0"/>
                <w:w w:val="100"/>
                <w:kern w:val="0"/>
                <w:position w:val="0"/>
                <w:sz w:val="21"/>
                <w:szCs w:val="21"/>
                <w:highlight w:val="none"/>
                <w:lang w:val="en-US" w:eastAsia="zh-CN" w:bidi="ar"/>
              </w:rPr>
              <w:t>（供应商自行出具，格式自拟，加盖公章）</w:t>
            </w:r>
          </w:p>
          <w:p>
            <w:pPr>
              <w:numPr>
                <w:ilvl w:val="0"/>
                <w:numId w:val="0"/>
              </w:numPr>
              <w:shd w:val="clear" w:color="auto" w:fill="auto"/>
              <w:autoSpaceDE/>
              <w:autoSpaceDN/>
              <w:spacing w:before="0" w:after="0" w:line="240" w:lineRule="auto"/>
              <w:ind w:left="0" w:right="0"/>
              <w:jc w:val="both"/>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（6）信用查询</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after="0" w:line="240" w:lineRule="auto"/>
              <w:ind w:left="0" w:leftChars="0" w:right="0" w:firstLine="420" w:firstLineChars="20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i w:val="0"/>
                <w:iCs w:val="0"/>
                <w:caps w:val="0"/>
                <w:smallCaps w:val="0"/>
                <w:color w:val="auto"/>
                <w:spacing w:val="0"/>
                <w:kern w:val="0"/>
                <w:position w:val="0"/>
                <w:sz w:val="21"/>
                <w:szCs w:val="21"/>
                <w:highlight w:val="none"/>
                <w:shd w:val="clear" w:fill="FFFFFF"/>
                <w:vertAlign w:val="baseline"/>
                <w:lang w:val="en-US" w:eastAsia="zh-CN" w:bidi="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（7）须提供供应商参加政府采购活动前3年内在经营活动中没有重大违法记录的书面声明</w:t>
            </w:r>
            <w:r>
              <w:rPr>
                <w:rFonts w:hint="eastAsia" w:ascii="宋体" w:hAnsi="宋体" w:eastAsia="宋体" w:cs="宋体"/>
                <w:smallCaps w:val="0"/>
                <w:color w:val="auto"/>
                <w:spacing w:val="0"/>
                <w:w w:val="100"/>
                <w:kern w:val="0"/>
                <w:position w:val="0"/>
                <w:sz w:val="21"/>
                <w:szCs w:val="21"/>
                <w:highlight w:val="none"/>
                <w:lang w:val="en-US" w:eastAsia="zh-CN" w:bidi="ar"/>
              </w:rPr>
              <w:t>；</w:t>
            </w:r>
          </w:p>
          <w:p>
            <w:pPr>
              <w:keepNext w:val="0"/>
              <w:keepLines w:val="0"/>
              <w:widowControl/>
              <w:numPr>
                <w:ilvl w:val="0"/>
                <w:numId w:val="0"/>
              </w:numPr>
              <w:suppressLineNumbers w:val="0"/>
              <w:spacing w:line="240" w:lineRule="auto"/>
              <w:ind w:leftChars="0" w:right="0" w:rightChars="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b/>
                <w:smallCaps w:val="0"/>
                <w:color w:val="auto"/>
                <w:spacing w:val="0"/>
                <w:w w:val="100"/>
                <w:kern w:val="0"/>
                <w:position w:val="0"/>
                <w:sz w:val="21"/>
                <w:szCs w:val="21"/>
                <w:highlight w:val="none"/>
                <w:lang w:val="en-US" w:eastAsia="zh-CN" w:bidi="ar"/>
              </w:rPr>
              <w:t>（8）针对供应商限制行为的声明</w:t>
            </w:r>
            <w:r>
              <w:rPr>
                <w:rFonts w:hint="eastAsia" w:ascii="宋体" w:hAnsi="宋体" w:eastAsia="宋体" w:cs="宋体"/>
                <w:smallCaps w:val="0"/>
                <w:color w:val="auto"/>
                <w:spacing w:val="0"/>
                <w:w w:val="100"/>
                <w:kern w:val="0"/>
                <w:position w:val="0"/>
                <w:sz w:val="21"/>
                <w:szCs w:val="21"/>
                <w:highlight w:val="none"/>
                <w:lang w:val="en-US" w:eastAsia="zh-CN" w:bidi="ar"/>
              </w:rPr>
              <w:t>；</w:t>
            </w:r>
          </w:p>
          <w:p>
            <w:pPr>
              <w:keepNext w:val="0"/>
              <w:keepLines w:val="0"/>
              <w:widowControl/>
              <w:suppressLineNumbers w:val="0"/>
              <w:spacing w:line="240" w:lineRule="auto"/>
              <w:jc w:val="left"/>
              <w:rPr>
                <w:rFonts w:hint="eastAsia" w:ascii="宋体" w:hAnsi="宋体" w:eastAsia="宋体" w:cs="宋体"/>
                <w:smallCaps w:val="0"/>
                <w:color w:val="auto"/>
                <w:spacing w:val="0"/>
                <w:w w:val="100"/>
                <w:position w:val="0"/>
                <w:sz w:val="21"/>
                <w:szCs w:val="21"/>
                <w:highlight w:val="none"/>
                <w:vertAlign w:val="baseline"/>
                <w:lang w:val="zh-CN" w:eastAsia="zh-CN" w:bidi="zh-CN"/>
              </w:rPr>
            </w:pPr>
            <w:r>
              <w:rPr>
                <w:rFonts w:hint="eastAsia" w:ascii="宋体" w:hAnsi="宋体" w:eastAsia="宋体" w:cs="宋体"/>
                <w:b/>
                <w:smallCaps w:val="0"/>
                <w:color w:val="auto"/>
                <w:spacing w:val="0"/>
                <w:w w:val="100"/>
                <w:kern w:val="0"/>
                <w:position w:val="0"/>
                <w:sz w:val="21"/>
                <w:szCs w:val="21"/>
                <w:highlight w:val="none"/>
                <w:lang w:val="en-US" w:eastAsia="zh-CN" w:bidi="ar"/>
              </w:rPr>
              <w:t>本表内所有内容未注明提供原件的，均可提供复印件。除以上内容外，其他响应材料均应编入响应文件。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商务技术部分构成</w:t>
            </w:r>
          </w:p>
        </w:tc>
        <w:tc>
          <w:tcPr>
            <w:tcW w:w="7261" w:type="dxa"/>
            <w:vAlign w:val="center"/>
          </w:tcPr>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*1.响应函（格式见第六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附件 1）；</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.法定代表人证明书和法定代表人授权书（格式见第六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 或 法定代表人身份证明复印件；</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采购</w:t>
            </w:r>
            <w:r>
              <w:rPr>
                <w:rFonts w:hint="eastAsia" w:ascii="宋体" w:hAnsi="宋体" w:eastAsia="宋体" w:cs="宋体"/>
                <w:smallCaps w:val="0"/>
                <w:color w:val="auto"/>
                <w:spacing w:val="0"/>
                <w:position w:val="0"/>
                <w:sz w:val="21"/>
                <w:szCs w:val="21"/>
                <w:highlight w:val="none"/>
                <w:lang w:val="en-US" w:bidi="ar"/>
              </w:rPr>
              <w:t>需求偏离表（格式见第六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磋商保证金</w:t>
            </w:r>
            <w:r>
              <w:rPr>
                <w:rFonts w:hint="eastAsia" w:ascii="宋体" w:hAnsi="宋体" w:eastAsia="宋体" w:cs="宋体"/>
                <w:smallCaps w:val="0"/>
                <w:color w:val="auto"/>
                <w:spacing w:val="0"/>
                <w:position w:val="0"/>
                <w:sz w:val="21"/>
                <w:szCs w:val="21"/>
                <w:highlight w:val="none"/>
                <w:lang w:val="en-US" w:bidi="ar"/>
              </w:rPr>
              <w:t>承诺函（格式见第六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.代理服务费承诺函（格式见第六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b w:val="0"/>
                <w:bCs/>
                <w:color w:val="auto"/>
                <w:spacing w:val="0"/>
                <w:w w:val="100"/>
                <w:kern w:val="0"/>
                <w:position w:val="0"/>
                <w:sz w:val="21"/>
                <w:szCs w:val="21"/>
                <w:highlight w:val="none"/>
                <w:lang w:val="zh-CN" w:eastAsia="zh-CN" w:bidi="zh-CN"/>
              </w:rPr>
              <w:t>供应商</w:t>
            </w:r>
            <w:r>
              <w:rPr>
                <w:rFonts w:hint="eastAsia" w:ascii="宋体" w:hAnsi="宋体" w:eastAsia="宋体" w:cs="宋体"/>
                <w:b w:val="0"/>
                <w:bCs/>
                <w:color w:val="auto"/>
                <w:spacing w:val="0"/>
                <w:w w:val="100"/>
                <w:kern w:val="0"/>
                <w:position w:val="0"/>
                <w:sz w:val="21"/>
                <w:szCs w:val="21"/>
                <w:highlight w:val="none"/>
                <w:lang w:val="zh-CN" w:bidi="zh-CN"/>
              </w:rPr>
              <w:t>基本情况说明</w:t>
            </w:r>
            <w:r>
              <w:rPr>
                <w:rFonts w:hint="eastAsia" w:ascii="宋体" w:hAnsi="宋体" w:eastAsia="宋体" w:cs="宋体"/>
                <w:smallCaps w:val="0"/>
                <w:color w:val="auto"/>
                <w:spacing w:val="0"/>
                <w:position w:val="0"/>
                <w:sz w:val="21"/>
                <w:szCs w:val="21"/>
                <w:highlight w:val="none"/>
                <w:lang w:val="en-US" w:bidi="ar"/>
              </w:rPr>
              <w:t>（格式见第六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相关业绩表</w:t>
            </w:r>
            <w:r>
              <w:rPr>
                <w:rFonts w:hint="eastAsia" w:ascii="宋体" w:hAnsi="宋体" w:eastAsia="宋体" w:cs="宋体"/>
                <w:smallCaps w:val="0"/>
                <w:color w:val="auto"/>
                <w:spacing w:val="0"/>
                <w:position w:val="0"/>
                <w:sz w:val="21"/>
                <w:szCs w:val="21"/>
                <w:highlight w:val="none"/>
                <w:lang w:val="en-US" w:bidi="ar"/>
              </w:rPr>
              <w:t>（建议格式见第六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.项目人员配备情况表（建议格式见第六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bidi="ar"/>
              </w:rPr>
              <w:t>9</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项目整体实施</w:t>
            </w:r>
            <w:r>
              <w:rPr>
                <w:rFonts w:hint="eastAsia" w:ascii="宋体" w:hAnsi="宋体" w:eastAsia="宋体" w:cs="宋体"/>
                <w:smallCaps w:val="0"/>
                <w:color w:val="auto"/>
                <w:spacing w:val="0"/>
                <w:position w:val="0"/>
                <w:sz w:val="21"/>
                <w:szCs w:val="21"/>
                <w:highlight w:val="none"/>
                <w:lang w:val="en-US" w:bidi="ar"/>
              </w:rPr>
              <w:t>方案（按照</w:t>
            </w:r>
            <w:r>
              <w:rPr>
                <w:rFonts w:hint="eastAsia" w:ascii="宋体" w:hAnsi="宋体" w:eastAsia="宋体" w:cs="宋体"/>
                <w:smallCaps w:val="0"/>
                <w:color w:val="auto"/>
                <w:spacing w:val="0"/>
                <w:position w:val="0"/>
                <w:sz w:val="21"/>
                <w:szCs w:val="21"/>
                <w:highlight w:val="none"/>
                <w:lang w:val="en-US" w:eastAsia="zh-CN" w:bidi="ar"/>
              </w:rPr>
              <w:t>采购需求</w:t>
            </w:r>
            <w:r>
              <w:rPr>
                <w:rFonts w:hint="eastAsia" w:ascii="宋体" w:hAnsi="宋体" w:eastAsia="宋体" w:cs="宋体"/>
                <w:smallCaps w:val="0"/>
                <w:color w:val="auto"/>
                <w:spacing w:val="0"/>
                <w:position w:val="0"/>
                <w:sz w:val="21"/>
                <w:szCs w:val="21"/>
                <w:highlight w:val="none"/>
                <w:lang w:val="en-US" w:bidi="ar"/>
              </w:rPr>
              <w:t>的相关要求编写）；</w:t>
            </w:r>
          </w:p>
          <w:p>
            <w:pPr>
              <w:keepNext w:val="0"/>
              <w:keepLines w:val="0"/>
              <w:widowControl/>
              <w:suppressLineNumbers w:val="0"/>
              <w:spacing w:line="240" w:lineRule="auto"/>
              <w:jc w:val="left"/>
              <w:rPr>
                <w:rFonts w:hint="eastAsia" w:ascii="宋体" w:hAnsi="宋体" w:eastAsia="宋体" w:cs="宋体"/>
                <w:b/>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bidi="ar"/>
              </w:rPr>
              <w:t>10</w:t>
            </w:r>
            <w:r>
              <w:rPr>
                <w:rFonts w:hint="eastAsia" w:ascii="宋体" w:hAnsi="宋体" w:eastAsia="宋体" w:cs="宋体"/>
                <w:smallCaps w:val="0"/>
                <w:color w:val="auto"/>
                <w:spacing w:val="0"/>
                <w:position w:val="0"/>
                <w:sz w:val="21"/>
                <w:szCs w:val="21"/>
                <w:highlight w:val="none"/>
                <w:lang w:val="en-US" w:bidi="ar"/>
              </w:rPr>
              <w:t>.评标标准中提及的相关评审证明材料以及</w:t>
            </w:r>
            <w:r>
              <w:rPr>
                <w:rFonts w:hint="eastAsia" w:ascii="宋体" w:hAnsi="宋体" w:eastAsia="宋体" w:cs="宋体"/>
                <w:smallCaps w:val="0"/>
                <w:color w:val="auto"/>
                <w:spacing w:val="0"/>
                <w:position w:val="0"/>
                <w:sz w:val="21"/>
                <w:szCs w:val="21"/>
                <w:highlight w:val="none"/>
                <w:lang w:val="en-US" w:eastAsia="zh-CN" w:bidi="ar"/>
              </w:rPr>
              <w:t>供应商</w:t>
            </w:r>
            <w:r>
              <w:rPr>
                <w:rFonts w:hint="eastAsia" w:ascii="宋体" w:hAnsi="宋体" w:eastAsia="宋体" w:cs="宋体"/>
                <w:smallCaps w:val="0"/>
                <w:color w:val="auto"/>
                <w:spacing w:val="0"/>
                <w:position w:val="0"/>
                <w:sz w:val="21"/>
                <w:szCs w:val="21"/>
                <w:highlight w:val="none"/>
                <w:lang w:val="en-US" w:bidi="ar"/>
              </w:rPr>
              <w:t>认为需要提供的其他材料。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bidi="ar"/>
              </w:rPr>
              <w:t>报价部分构成</w:t>
            </w:r>
          </w:p>
        </w:tc>
        <w:tc>
          <w:tcPr>
            <w:tcW w:w="7261" w:type="dxa"/>
            <w:vAlign w:val="center"/>
          </w:tcPr>
          <w:p>
            <w:pPr>
              <w:widowControl/>
              <w:spacing w:before="0" w:after="0" w:line="24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响应报价表</w:t>
            </w:r>
            <w:r>
              <w:rPr>
                <w:rFonts w:hint="eastAsia" w:ascii="宋体" w:hAnsi="宋体" w:eastAsia="宋体" w:cs="宋体"/>
                <w:color w:val="auto"/>
                <w:sz w:val="21"/>
                <w:szCs w:val="21"/>
                <w:highlight w:val="none"/>
                <w:lang w:val="en-US"/>
              </w:rPr>
              <w:t>（格式见第六</w:t>
            </w:r>
            <w:r>
              <w:rPr>
                <w:rFonts w:hint="eastAsia" w:ascii="宋体" w:hAnsi="宋体" w:eastAsia="宋体" w:cs="宋体"/>
                <w:color w:val="auto"/>
                <w:sz w:val="21"/>
                <w:szCs w:val="21"/>
                <w:highlight w:val="none"/>
                <w:lang w:val="en-US" w:eastAsia="zh-CN"/>
              </w:rPr>
              <w:t>部分 报价文件格式</w:t>
            </w:r>
            <w:r>
              <w:rPr>
                <w:rFonts w:hint="eastAsia" w:ascii="宋体" w:hAnsi="宋体" w:eastAsia="宋体" w:cs="宋体"/>
                <w:color w:val="auto"/>
                <w:sz w:val="21"/>
                <w:szCs w:val="21"/>
                <w:highlight w:val="none"/>
                <w:lang w:val="en-US"/>
              </w:rPr>
              <w:t xml:space="preserve">附件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w:t>
            </w:r>
          </w:p>
          <w:p>
            <w:pPr>
              <w:keepNext w:val="0"/>
              <w:keepLines w:val="0"/>
              <w:widowControl/>
              <w:suppressLineNumbers w:val="0"/>
              <w:spacing w:line="240"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.分项报价表（格式见第六</w:t>
            </w:r>
            <w:r>
              <w:rPr>
                <w:rFonts w:hint="eastAsia" w:ascii="宋体" w:hAnsi="宋体" w:eastAsia="宋体" w:cs="宋体"/>
                <w:color w:val="auto"/>
                <w:sz w:val="21"/>
                <w:szCs w:val="21"/>
                <w:highlight w:val="none"/>
                <w:lang w:val="en-US" w:eastAsia="zh-CN"/>
              </w:rPr>
              <w:t>部分 报价文件格式</w:t>
            </w:r>
            <w:r>
              <w:rPr>
                <w:rFonts w:hint="eastAsia" w:ascii="宋体" w:hAnsi="宋体" w:eastAsia="宋体" w:cs="宋体"/>
                <w:color w:val="auto"/>
                <w:sz w:val="21"/>
                <w:szCs w:val="21"/>
                <w:highlight w:val="none"/>
                <w:lang w:val="en-US"/>
              </w:rPr>
              <w:t xml:space="preserve">附件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w:t>
            </w:r>
          </w:p>
          <w:p>
            <w:p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pacing w:val="-4"/>
                <w:sz w:val="21"/>
                <w:szCs w:val="21"/>
                <w:highlight w:val="none"/>
              </w:rPr>
              <w:t>中小企业声明函</w:t>
            </w:r>
            <w:r>
              <w:rPr>
                <w:rFonts w:hint="eastAsia" w:ascii="宋体" w:hAnsi="宋体" w:eastAsia="宋体" w:cs="宋体"/>
                <w:color w:val="auto"/>
                <w:sz w:val="21"/>
                <w:szCs w:val="21"/>
                <w:highlight w:val="none"/>
                <w:lang w:val="en-US"/>
              </w:rPr>
              <w:t>（格式见第六</w:t>
            </w:r>
            <w:r>
              <w:rPr>
                <w:rFonts w:hint="eastAsia" w:ascii="宋体" w:hAnsi="宋体" w:eastAsia="宋体" w:cs="宋体"/>
                <w:color w:val="auto"/>
                <w:sz w:val="21"/>
                <w:szCs w:val="21"/>
                <w:highlight w:val="none"/>
                <w:lang w:val="en-US" w:eastAsia="zh-CN"/>
              </w:rPr>
              <w:t>部分 政府采购政策的证明文件格式</w:t>
            </w:r>
            <w:r>
              <w:rPr>
                <w:rFonts w:hint="eastAsia" w:ascii="宋体" w:hAnsi="宋体" w:eastAsia="宋体" w:cs="宋体"/>
                <w:color w:val="auto"/>
                <w:sz w:val="21"/>
                <w:szCs w:val="21"/>
                <w:highlight w:val="none"/>
                <w:lang w:val="en-US"/>
              </w:rPr>
              <w:t xml:space="preserve">附件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smallCaps w:val="0"/>
                <w:color w:val="auto"/>
                <w:spacing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响应文件内容其他要求或注意事项</w:t>
            </w:r>
          </w:p>
        </w:tc>
        <w:tc>
          <w:tcPr>
            <w:tcW w:w="7261" w:type="dxa"/>
            <w:vAlign w:val="center"/>
          </w:tcPr>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1、服务主要指标和性能的详细说明，应提供详细服务方案材料。服务方案不限于以下内容：</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（1）采购标的需实现的功能或者目标，以及为落实政府采购需满足的要求； </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（2）采购标的需执行的国家标准、行业标准、地方标准或其他标准规范；</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（3）采购标的需满足的质量、安全、技术规格、物理特性等要求；</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（4）采购项目需明确交付或实施的时间地点；</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（5）采购标的需满足的服务标准、期限、效率等要求；</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（6）采购标的的验收标准。 </w:t>
            </w:r>
          </w:p>
          <w:p>
            <w:pPr>
              <w:keepNext w:val="0"/>
              <w:keepLines w:val="0"/>
              <w:widowControl/>
              <w:suppressLineNumbers w:val="0"/>
              <w:spacing w:line="240" w:lineRule="auto"/>
              <w:jc w:val="left"/>
              <w:rPr>
                <w:rFonts w:hint="eastAsia" w:ascii="宋体" w:hAnsi="宋体" w:eastAsia="宋体" w:cs="宋体"/>
                <w:smallCaps w:val="0"/>
                <w:color w:val="auto"/>
                <w:spacing w:val="0"/>
                <w:position w:val="0"/>
                <w:sz w:val="21"/>
                <w:szCs w:val="21"/>
                <w:highlight w:val="none"/>
                <w:lang w:val="en-US" w:bidi="ar"/>
              </w:rPr>
            </w:pPr>
            <w:r>
              <w:rPr>
                <w:rFonts w:hint="eastAsia" w:ascii="宋体" w:hAnsi="宋体" w:eastAsia="宋体" w:cs="宋体"/>
                <w:smallCaps w:val="0"/>
                <w:color w:val="auto"/>
                <w:spacing w:val="0"/>
                <w:w w:val="100"/>
                <w:position w:val="0"/>
                <w:sz w:val="21"/>
                <w:szCs w:val="21"/>
                <w:highlight w:val="none"/>
                <w:vertAlign w:val="baseline"/>
                <w:lang w:val="en-US" w:eastAsia="zh-CN"/>
              </w:rPr>
              <w:t>2.对照采购文件技术要求，说明所提供货物和服务已对采购人的技术要求逐项做出了明确响应，并申明与技术要求条文的偏差和例外。在填写技术服务需求偏离表时，对于可以用量化形式表示的条款，供应商应量化明确应答；对于非量化的条款供应商应以功能或性能描述应答，指出所提供的货物和服务是否满足，供应商应提供明确的说明文件及证明文件在响应文件中的页码索引，未提供索引或索引错误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kern w:val="0"/>
                <w:position w:val="0"/>
                <w:sz w:val="21"/>
                <w:szCs w:val="21"/>
                <w:highlight w:val="none"/>
                <w:lang w:val="zh-CN" w:eastAsia="zh-CN" w:bidi="zh-CN"/>
              </w:rPr>
              <w:t>合同履行期限</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cs="宋体"/>
                <w:color w:val="auto"/>
                <w:spacing w:val="0"/>
                <w:w w:val="100"/>
                <w:kern w:val="2"/>
                <w:position w:val="0"/>
                <w:sz w:val="21"/>
                <w:szCs w:val="21"/>
                <w:highlight w:val="none"/>
                <w:lang w:val="en-US" w:eastAsia="zh-CN" w:bidi="ar-SA"/>
              </w:rPr>
              <w:t>1个月</w:t>
            </w:r>
            <w:r>
              <w:rPr>
                <w:rFonts w:hint="eastAsia" w:ascii="宋体" w:hAnsi="宋体" w:eastAsia="宋体" w:cs="宋体"/>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p>
        </w:tc>
        <w:tc>
          <w:tcPr>
            <w:tcW w:w="7261" w:type="dxa"/>
            <w:vAlign w:val="center"/>
          </w:tcPr>
          <w:p>
            <w:pPr>
              <w:keepNext w:val="0"/>
              <w:keepLines w:val="0"/>
              <w:widowControl/>
              <w:suppressLineNumbers w:val="0"/>
              <w:spacing w:line="240" w:lineRule="auto"/>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自首次响应文件提交截止之日起</w:t>
            </w:r>
            <w:r>
              <w:rPr>
                <w:rFonts w:hint="eastAsia"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lang w:val="en-US" w:eastAsia="zh-CN"/>
              </w:rPr>
              <w:t>0</w:t>
            </w:r>
            <w:r>
              <w:rPr>
                <w:rFonts w:hint="eastAsia" w:ascii="宋体" w:hAnsi="宋体" w:eastAsia="宋体" w:cs="宋体"/>
                <w:color w:val="auto"/>
                <w:spacing w:val="0"/>
                <w:w w:val="100"/>
                <w:position w:val="0"/>
                <w:sz w:val="21"/>
                <w:szCs w:val="21"/>
                <w:highlight w:val="none"/>
              </w:rPr>
              <w:t>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position w:val="0"/>
                <w:sz w:val="21"/>
                <w:szCs w:val="21"/>
                <w:highlight w:val="none"/>
              </w:rPr>
              <w:t>磋商费用</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rPr>
              <w:t>不论磋商结果如何，供应商均应自行承担所有与磋商有关的全部费用。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position w:val="0"/>
                <w:sz w:val="21"/>
                <w:szCs w:val="21"/>
                <w:highlight w:val="none"/>
                <w:lang w:eastAsia="zh-CN"/>
              </w:rPr>
              <w:t>响应报价</w:t>
            </w:r>
            <w:r>
              <w:rPr>
                <w:rFonts w:hint="eastAsia" w:ascii="宋体" w:hAnsi="宋体" w:eastAsia="宋体" w:cs="宋体"/>
                <w:color w:val="auto"/>
                <w:spacing w:val="0"/>
                <w:w w:val="100"/>
                <w:position w:val="0"/>
                <w:sz w:val="21"/>
                <w:szCs w:val="21"/>
                <w:highlight w:val="none"/>
              </w:rPr>
              <w:t>及最高限价</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1、供应商必须就“第二部分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lang w:eastAsia="zh-CN"/>
              </w:rPr>
              <w:t>采购需求</w:t>
            </w:r>
            <w:r>
              <w:rPr>
                <w:rFonts w:hint="eastAsia" w:ascii="宋体" w:hAnsi="宋体" w:eastAsia="宋体" w:cs="宋体"/>
                <w:color w:val="auto"/>
                <w:spacing w:val="0"/>
                <w:w w:val="100"/>
                <w:position w:val="0"/>
                <w:sz w:val="21"/>
                <w:szCs w:val="21"/>
                <w:highlight w:val="none"/>
              </w:rPr>
              <w:t>”中公布的采购内容作完整唯一报价。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报价方式：</w:t>
            </w:r>
            <w:r>
              <w:rPr>
                <w:rFonts w:hint="eastAsia" w:ascii="宋体" w:hAnsi="宋体" w:eastAsia="宋体" w:cs="宋体"/>
                <w:smallCaps w:val="0"/>
                <w:color w:val="auto"/>
                <w:spacing w:val="0"/>
                <w:w w:val="100"/>
                <w:position w:val="0"/>
                <w:sz w:val="21"/>
                <w:szCs w:val="21"/>
                <w:highlight w:val="none"/>
                <w:vertAlign w:val="baseline"/>
                <w:lang w:val="en-US" w:eastAsia="zh-CN"/>
              </w:rPr>
              <w:t>项目完税价</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cs="宋体"/>
                <w:smallCaps w:val="0"/>
                <w:color w:val="auto"/>
                <w:spacing w:val="0"/>
                <w:w w:val="100"/>
                <w:position w:val="0"/>
                <w:sz w:val="21"/>
                <w:szCs w:val="21"/>
                <w:highlight w:val="none"/>
                <w:vertAlign w:val="baseline"/>
                <w:lang w:val="en-US" w:eastAsia="zh-CN"/>
              </w:rPr>
              <w:t>2.</w:t>
            </w:r>
            <w:r>
              <w:rPr>
                <w:rFonts w:hint="eastAsia" w:ascii="宋体" w:hAnsi="宋体" w:eastAsia="宋体" w:cs="宋体"/>
                <w:smallCaps w:val="0"/>
                <w:color w:val="auto"/>
                <w:spacing w:val="0"/>
                <w:w w:val="100"/>
                <w:position w:val="0"/>
                <w:sz w:val="21"/>
                <w:szCs w:val="21"/>
                <w:highlight w:val="none"/>
                <w:vertAlign w:val="baseline"/>
                <w:lang w:val="en-US" w:eastAsia="zh-CN"/>
              </w:rPr>
              <w:t>采购人就本合同约定内容将不再支付</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报价以外的费用。因投标发生的费用缺漏项将是</w:t>
            </w:r>
            <w:r>
              <w:rPr>
                <w:rFonts w:hint="eastAsia" w:cs="宋体"/>
                <w:smallCaps w:val="0"/>
                <w:color w:val="auto"/>
                <w:spacing w:val="0"/>
                <w:w w:val="100"/>
                <w:position w:val="0"/>
                <w:sz w:val="21"/>
                <w:szCs w:val="21"/>
                <w:highlight w:val="none"/>
                <w:vertAlign w:val="baseline"/>
                <w:lang w:val="en-US" w:eastAsia="zh-CN"/>
              </w:rPr>
              <w:t>供应商</w:t>
            </w:r>
            <w:r>
              <w:rPr>
                <w:rFonts w:hint="eastAsia" w:ascii="宋体" w:hAnsi="宋体" w:eastAsia="宋体" w:cs="宋体"/>
                <w:smallCaps w:val="0"/>
                <w:color w:val="auto"/>
                <w:spacing w:val="0"/>
                <w:w w:val="100"/>
                <w:position w:val="0"/>
                <w:sz w:val="21"/>
                <w:szCs w:val="21"/>
                <w:highlight w:val="none"/>
                <w:vertAlign w:val="baseline"/>
                <w:lang w:val="en-US" w:eastAsia="zh-CN"/>
              </w:rPr>
              <w:t>的风险，</w:t>
            </w:r>
            <w:r>
              <w:rPr>
                <w:rFonts w:hint="eastAsia" w:cs="宋体"/>
                <w:smallCaps w:val="0"/>
                <w:color w:val="auto"/>
                <w:spacing w:val="0"/>
                <w:w w:val="100"/>
                <w:position w:val="0"/>
                <w:sz w:val="21"/>
                <w:szCs w:val="21"/>
                <w:highlight w:val="none"/>
                <w:vertAlign w:val="baseline"/>
                <w:lang w:val="en-US" w:eastAsia="zh-CN"/>
              </w:rPr>
              <w:t>供应商</w:t>
            </w:r>
            <w:r>
              <w:rPr>
                <w:rFonts w:hint="eastAsia" w:ascii="宋体" w:hAnsi="宋体" w:eastAsia="宋体" w:cs="宋体"/>
                <w:smallCaps w:val="0"/>
                <w:color w:val="auto"/>
                <w:spacing w:val="0"/>
                <w:w w:val="100"/>
                <w:position w:val="0"/>
                <w:sz w:val="21"/>
                <w:szCs w:val="21"/>
                <w:highlight w:val="none"/>
                <w:vertAlign w:val="baseline"/>
                <w:lang w:val="en-US" w:eastAsia="zh-CN"/>
              </w:rPr>
              <w:t>将无条件给予补充完备，且</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价不变，否则其</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将被否决。</w:t>
            </w:r>
            <w:r>
              <w:rPr>
                <w:rFonts w:hint="eastAsia" w:ascii="宋体" w:hAnsi="宋体" w:eastAsia="宋体" w:cs="宋体"/>
                <w:b/>
                <w:bCs/>
                <w:color w:val="auto"/>
                <w:spacing w:val="0"/>
                <w:w w:val="100"/>
                <w:position w:val="0"/>
                <w:sz w:val="21"/>
                <w:szCs w:val="21"/>
                <w:highlight w:val="none"/>
              </w:rPr>
              <w:t>（采购需求另有约定的，从其约定。）</w:t>
            </w:r>
          </w:p>
          <w:p>
            <w:pPr>
              <w:keepNext w:val="0"/>
              <w:keepLines w:val="0"/>
              <w:pageBreakBefore w:val="0"/>
              <w:shd w:val="clear"/>
              <w:kinsoku/>
              <w:wordWrap/>
              <w:overflowPunct/>
              <w:topLinePunct w:val="0"/>
              <w:autoSpaceDE w:val="0"/>
              <w:autoSpaceDN w:val="0"/>
              <w:bidi w:val="0"/>
              <w:spacing w:line="240" w:lineRule="auto"/>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b/>
                <w:color w:val="auto"/>
                <w:spacing w:val="0"/>
                <w:w w:val="100"/>
                <w:position w:val="0"/>
                <w:sz w:val="21"/>
                <w:szCs w:val="21"/>
                <w:highlight w:val="none"/>
                <w:lang w:val="en-US" w:eastAsia="zh-CN"/>
              </w:rPr>
              <w:t>3</w:t>
            </w:r>
            <w:r>
              <w:rPr>
                <w:rFonts w:hint="eastAsia" w:ascii="宋体" w:hAnsi="宋体" w:eastAsia="宋体" w:cs="宋体"/>
                <w:b/>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lang w:val="en-US" w:eastAsia="zh-CN"/>
              </w:rPr>
              <w:t>本包</w:t>
            </w:r>
            <w:r>
              <w:rPr>
                <w:rFonts w:hint="eastAsia" w:ascii="宋体" w:hAnsi="宋体" w:eastAsia="宋体" w:cs="宋体"/>
                <w:b/>
                <w:color w:val="auto"/>
                <w:spacing w:val="0"/>
                <w:w w:val="100"/>
                <w:position w:val="0"/>
                <w:sz w:val="21"/>
                <w:szCs w:val="21"/>
                <w:highlight w:val="none"/>
              </w:rPr>
              <w:t>最高限价</w:t>
            </w:r>
            <w:r>
              <w:rPr>
                <w:rFonts w:hint="eastAsia" w:ascii="宋体" w:hAnsi="宋体" w:eastAsia="宋体" w:cs="宋体"/>
                <w:b/>
                <w:bCs w:val="0"/>
                <w:color w:val="auto"/>
                <w:spacing w:val="0"/>
                <w:w w:val="100"/>
                <w:position w:val="0"/>
                <w:sz w:val="21"/>
                <w:szCs w:val="21"/>
                <w:highlight w:val="none"/>
              </w:rPr>
              <w:t>：</w:t>
            </w:r>
            <w:r>
              <w:rPr>
                <w:rFonts w:hint="eastAsia" w:cs="宋体"/>
                <w:b/>
                <w:bCs w:val="0"/>
                <w:i w:val="0"/>
                <w:iCs w:val="0"/>
                <w:smallCaps w:val="0"/>
                <w:color w:val="auto"/>
                <w:spacing w:val="0"/>
                <w:kern w:val="0"/>
                <w:position w:val="0"/>
                <w:sz w:val="21"/>
                <w:szCs w:val="21"/>
                <w:highlight w:val="none"/>
                <w:u w:val="none"/>
                <w:lang w:val="en-US" w:eastAsia="zh-CN" w:bidi="ar"/>
              </w:rPr>
              <w:t>50</w:t>
            </w:r>
            <w:r>
              <w:rPr>
                <w:rFonts w:hint="eastAsia" w:ascii="宋体" w:hAnsi="宋体" w:eastAsia="宋体" w:cs="宋体"/>
                <w:b/>
                <w:bCs w:val="0"/>
                <w:i w:val="0"/>
                <w:iCs w:val="0"/>
                <w:smallCaps w:val="0"/>
                <w:color w:val="auto"/>
                <w:spacing w:val="0"/>
                <w:kern w:val="0"/>
                <w:position w:val="0"/>
                <w:sz w:val="21"/>
                <w:szCs w:val="21"/>
                <w:highlight w:val="none"/>
                <w:u w:val="none"/>
                <w:lang w:val="en-US" w:eastAsia="zh-CN" w:bidi="ar"/>
              </w:rPr>
              <w:t>0000</w:t>
            </w:r>
            <w:r>
              <w:rPr>
                <w:rFonts w:hint="eastAsia" w:cs="宋体"/>
                <w:b/>
                <w:bCs w:val="0"/>
                <w:i w:val="0"/>
                <w:iCs w:val="0"/>
                <w:smallCaps w:val="0"/>
                <w:color w:val="auto"/>
                <w:spacing w:val="0"/>
                <w:kern w:val="0"/>
                <w:position w:val="0"/>
                <w:sz w:val="21"/>
                <w:szCs w:val="21"/>
                <w:highlight w:val="none"/>
                <w:u w:val="none"/>
                <w:lang w:val="en-US" w:eastAsia="zh-CN" w:bidi="ar"/>
              </w:rPr>
              <w:t>元</w:t>
            </w:r>
            <w:r>
              <w:rPr>
                <w:rFonts w:hint="eastAsia" w:ascii="宋体" w:hAnsi="宋体" w:eastAsia="宋体" w:cs="宋体"/>
                <w:b/>
                <w:bCs w:val="0"/>
                <w:color w:val="auto"/>
                <w:spacing w:val="0"/>
                <w:w w:val="100"/>
                <w:position w:val="0"/>
                <w:sz w:val="21"/>
                <w:szCs w:val="21"/>
                <w:highlight w:val="none"/>
              </w:rPr>
              <w:t>，供应商报价高于最高限价的，其响应文件将被否决。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磋商保证金</w:t>
            </w:r>
          </w:p>
        </w:tc>
        <w:tc>
          <w:tcPr>
            <w:tcW w:w="7261" w:type="dxa"/>
          </w:tcPr>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磋商保证金金额：</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人民币 </w:t>
            </w:r>
            <w:r>
              <w:rPr>
                <w:rFonts w:hint="eastAsia" w:cs="宋体"/>
                <w:smallCaps w:val="0"/>
                <w:color w:val="auto"/>
                <w:spacing w:val="0"/>
                <w:w w:val="100"/>
                <w:kern w:val="0"/>
                <w:position w:val="0"/>
                <w:sz w:val="21"/>
                <w:szCs w:val="21"/>
                <w:highlight w:val="none"/>
                <w:lang w:val="en-US" w:eastAsia="zh-CN" w:bidi="ar"/>
              </w:rPr>
              <w:t>10000</w:t>
            </w:r>
            <w:r>
              <w:rPr>
                <w:rFonts w:hint="eastAsia" w:ascii="宋体" w:hAnsi="宋体" w:eastAsia="宋体" w:cs="宋体"/>
                <w:smallCaps w:val="0"/>
                <w:color w:val="auto"/>
                <w:spacing w:val="0"/>
                <w:w w:val="100"/>
                <w:kern w:val="0"/>
                <w:position w:val="0"/>
                <w:sz w:val="21"/>
                <w:szCs w:val="21"/>
                <w:highlight w:val="none"/>
                <w:lang w:val="en-US" w:eastAsia="zh-CN" w:bidi="ar"/>
              </w:rPr>
              <w:t>元（</w:t>
            </w:r>
            <w:r>
              <w:rPr>
                <w:rFonts w:hint="eastAsia" w:cs="宋体"/>
                <w:smallCaps w:val="0"/>
                <w:color w:val="auto"/>
                <w:spacing w:val="0"/>
                <w:w w:val="100"/>
                <w:kern w:val="0"/>
                <w:position w:val="0"/>
                <w:sz w:val="21"/>
                <w:szCs w:val="21"/>
                <w:highlight w:val="none"/>
                <w:lang w:val="en-US" w:eastAsia="zh-CN" w:bidi="ar"/>
              </w:rPr>
              <w:t>大写：壹万</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磋商保证金形式：</w:t>
            </w:r>
            <w:r>
              <w:rPr>
                <w:rFonts w:hint="eastAsia" w:ascii="Times New Roman"/>
                <w:color w:val="auto"/>
                <w:sz w:val="21"/>
                <w:szCs w:val="21"/>
                <w:highlight w:val="none"/>
                <w:lang w:val="en-US" w:bidi="ar"/>
              </w:rPr>
              <w:t>网上银行支付、电汇、新疆政府采购电子保函等非现金形式</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default"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提交截止时间：供应商应在提交响应文件截止时间前按磋商文件规定的金额、形式等，按标项将磋商保证金交到保证金收款账户（采用电汇或网上银行支付的，须在提交首次响应文件截止时间前到账，必须注明项目名称。</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磋商保证金银行账号：</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开户名称：新疆拓远工程管理服务有限公司</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账号：806001012010140321789</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开户银行：昌吉农村商业银行营业部</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行号：402885000016</w:t>
            </w:r>
          </w:p>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（汇款时，请输入开户银行全称，以避免出现汇款不成功）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20</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3"/>
                <w:sz w:val="21"/>
                <w:szCs w:val="21"/>
                <w:highlight w:val="none"/>
              </w:rPr>
              <w:t>响应文件电子版要求</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1.响应文件电子版要求：按照本采购文件“第</w:t>
            </w:r>
            <w:r>
              <w:rPr>
                <w:rFonts w:hint="eastAsia" w:ascii="宋体" w:hAnsi="宋体" w:eastAsia="宋体" w:cs="宋体"/>
                <w:color w:val="auto"/>
                <w:spacing w:val="0"/>
                <w:w w:val="100"/>
                <w:position w:val="0"/>
                <w:sz w:val="21"/>
                <w:szCs w:val="21"/>
                <w:highlight w:val="none"/>
                <w:lang w:val="en-US" w:eastAsia="zh-CN"/>
              </w:rPr>
              <w:t>六部分</w:t>
            </w:r>
            <w:r>
              <w:rPr>
                <w:rFonts w:hint="eastAsia" w:ascii="宋体" w:hAnsi="宋体" w:eastAsia="宋体" w:cs="宋体"/>
                <w:color w:val="auto"/>
                <w:spacing w:val="0"/>
                <w:w w:val="100"/>
                <w:position w:val="0"/>
                <w:sz w:val="21"/>
                <w:szCs w:val="21"/>
                <w:highlight w:val="none"/>
                <w:lang w:val="en-US" w:eastAsia="en-US"/>
              </w:rPr>
              <w:t xml:space="preserve"> 响应文件格式”编写（未附格式的，由供应商自行拟定），不可涂改并在规定加盖公章处加盖电子公章，否则响应文件按无效响应处理。</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en-US"/>
              </w:rPr>
              <w:t>2.响应文件电子版密封方式：电子响应文件通过平台有效 CA 加密后在“政采云”平台投送。（</w:t>
            </w:r>
            <w:r>
              <w:rPr>
                <w:rFonts w:hint="eastAsia" w:ascii="宋体" w:hAnsi="宋体" w:eastAsia="宋体" w:cs="宋体"/>
                <w:color w:val="auto"/>
                <w:spacing w:val="0"/>
                <w:w w:val="100"/>
                <w:position w:val="0"/>
                <w:sz w:val="21"/>
                <w:szCs w:val="21"/>
                <w:highlight w:val="none"/>
                <w:lang w:val="en-US" w:eastAsia="zh-CN"/>
              </w:rPr>
              <w:t>具体</w:t>
            </w:r>
            <w:r>
              <w:rPr>
                <w:rFonts w:hint="eastAsia" w:ascii="宋体" w:hAnsi="宋体" w:eastAsia="宋体" w:cs="宋体"/>
                <w:color w:val="auto"/>
                <w:spacing w:val="0"/>
                <w:w w:val="100"/>
                <w:position w:val="0"/>
                <w:sz w:val="21"/>
                <w:szCs w:val="21"/>
                <w:highlight w:val="none"/>
                <w:lang w:val="en-US" w:eastAsia="en-US"/>
              </w:rPr>
              <w:t>操作方式</w:t>
            </w:r>
            <w:r>
              <w:rPr>
                <w:rFonts w:hint="eastAsia" w:ascii="宋体" w:hAnsi="宋体" w:eastAsia="宋体" w:cs="宋体"/>
                <w:color w:val="auto"/>
                <w:spacing w:val="0"/>
                <w:w w:val="100"/>
                <w:position w:val="0"/>
                <w:sz w:val="21"/>
                <w:szCs w:val="21"/>
                <w:highlight w:val="none"/>
                <w:lang w:val="en-US" w:eastAsia="zh-CN"/>
              </w:rPr>
              <w:t>咨询政采云平台客服</w:t>
            </w:r>
            <w:r>
              <w:rPr>
                <w:rFonts w:hint="eastAsia" w:ascii="宋体" w:hAnsi="宋体" w:eastAsia="宋体" w:cs="宋体"/>
                <w:color w:val="auto"/>
                <w:spacing w:val="0"/>
                <w:w w:val="100"/>
                <w:position w:val="0"/>
                <w:sz w:val="21"/>
                <w:szCs w:val="21"/>
                <w:highlight w:val="none"/>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首次响应文件提交起止时间</w:t>
            </w:r>
          </w:p>
        </w:tc>
        <w:tc>
          <w:tcPr>
            <w:tcW w:w="7261" w:type="dxa"/>
            <w:vAlign w:val="center"/>
          </w:tcPr>
          <w:p>
            <w:pPr>
              <w:pStyle w:val="81"/>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详见磋商</w:t>
            </w:r>
            <w:r>
              <w:rPr>
                <w:rFonts w:hint="eastAsia" w:ascii="宋体" w:hAnsi="宋体" w:eastAsia="宋体" w:cs="宋体"/>
                <w:color w:val="auto"/>
                <w:spacing w:val="-4"/>
                <w:sz w:val="21"/>
                <w:szCs w:val="21"/>
                <w:highlight w:val="none"/>
                <w:lang w:val="en-US" w:eastAsia="zh-CN"/>
              </w:rPr>
              <w:t>邀请</w:t>
            </w:r>
            <w:r>
              <w:rPr>
                <w:rFonts w:hint="eastAsia" w:ascii="宋体" w:hAnsi="宋体" w:eastAsia="宋体" w:cs="宋体"/>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首次响应文件提交地点</w:t>
            </w:r>
          </w:p>
        </w:tc>
        <w:tc>
          <w:tcPr>
            <w:tcW w:w="7261" w:type="dxa"/>
            <w:vAlign w:val="center"/>
          </w:tcPr>
          <w:p>
            <w:pPr>
              <w:pStyle w:val="81"/>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详见磋商</w:t>
            </w:r>
            <w:r>
              <w:rPr>
                <w:rFonts w:hint="eastAsia" w:ascii="宋体" w:hAnsi="宋体" w:eastAsia="宋体" w:cs="宋体"/>
                <w:color w:val="auto"/>
                <w:spacing w:val="-4"/>
                <w:sz w:val="21"/>
                <w:szCs w:val="21"/>
                <w:highlight w:val="none"/>
                <w:lang w:val="en-US" w:eastAsia="zh-CN"/>
              </w:rPr>
              <w:t>邀请</w:t>
            </w:r>
            <w:r>
              <w:rPr>
                <w:rFonts w:hint="eastAsia" w:ascii="宋体" w:hAnsi="宋体" w:eastAsia="宋体" w:cs="宋体"/>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r>
              <w:rPr>
                <w:rFonts w:hint="eastAsia" w:cs="宋体"/>
                <w:color w:val="auto"/>
                <w:spacing w:val="0"/>
                <w:w w:val="100"/>
                <w:position w:val="0"/>
                <w:sz w:val="21"/>
                <w:szCs w:val="21"/>
                <w:highlight w:val="none"/>
                <w:lang w:val="en-US" w:eastAsia="zh-CN"/>
              </w:rPr>
              <w:t>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首次响应文件的退回</w:t>
            </w:r>
          </w:p>
        </w:tc>
        <w:tc>
          <w:tcPr>
            <w:tcW w:w="7261" w:type="dxa"/>
            <w:vAlign w:val="center"/>
          </w:tcPr>
          <w:p>
            <w:pPr>
              <w:pStyle w:val="81"/>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r>
              <w:rPr>
                <w:rFonts w:hint="eastAsia" w:cs="宋体"/>
                <w:color w:val="auto"/>
                <w:spacing w:val="0"/>
                <w:w w:val="100"/>
                <w:position w:val="0"/>
                <w:sz w:val="21"/>
                <w:szCs w:val="21"/>
                <w:highlight w:val="none"/>
                <w:lang w:val="en-US" w:eastAsia="zh-CN"/>
              </w:rPr>
              <w:t>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磋商小组的组成</w:t>
            </w:r>
          </w:p>
        </w:tc>
        <w:tc>
          <w:tcPr>
            <w:tcW w:w="7261" w:type="dxa"/>
          </w:tcPr>
          <w:p>
            <w:pPr>
              <w:pStyle w:val="52"/>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磋商小组</w:t>
            </w:r>
            <w:r>
              <w:rPr>
                <w:rFonts w:hint="eastAsia" w:ascii="宋体" w:hAnsi="宋体" w:eastAsia="宋体" w:cs="宋体"/>
                <w:color w:val="auto"/>
                <w:spacing w:val="0"/>
                <w:w w:val="100"/>
                <w:position w:val="0"/>
                <w:sz w:val="21"/>
                <w:szCs w:val="21"/>
                <w:highlight w:val="none"/>
                <w:lang w:val="en-US" w:eastAsia="zh-CN"/>
              </w:rPr>
              <w:t>组成人数</w:t>
            </w:r>
            <w:r>
              <w:rPr>
                <w:rFonts w:hint="eastAsia" w:ascii="宋体" w:hAnsi="宋体" w:eastAsia="宋体" w:cs="宋体"/>
                <w:color w:val="auto"/>
                <w:spacing w:val="0"/>
                <w:w w:val="100"/>
                <w:position w:val="0"/>
                <w:sz w:val="21"/>
                <w:szCs w:val="21"/>
                <w:highlight w:val="none"/>
              </w:rPr>
              <w:t>：磋商小组由采购人代表和评审专家共3人以上单数组成，其中评审专家人数不得少于磋商小组成员总数的2/3。</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磋商小组</w:t>
            </w:r>
            <w:r>
              <w:rPr>
                <w:rFonts w:hint="eastAsia" w:ascii="宋体" w:hAnsi="宋体" w:eastAsia="宋体" w:cs="宋体"/>
                <w:color w:val="auto"/>
                <w:spacing w:val="0"/>
                <w:w w:val="100"/>
                <w:position w:val="0"/>
                <w:sz w:val="21"/>
                <w:szCs w:val="21"/>
                <w:highlight w:val="none"/>
                <w:lang w:val="en-US" w:eastAsia="zh-CN"/>
              </w:rPr>
              <w:t>专家</w:t>
            </w:r>
            <w:r>
              <w:rPr>
                <w:rFonts w:hint="eastAsia" w:ascii="宋体" w:hAnsi="宋体" w:eastAsia="宋体" w:cs="宋体"/>
                <w:color w:val="auto"/>
                <w:spacing w:val="0"/>
                <w:w w:val="100"/>
                <w:position w:val="0"/>
                <w:sz w:val="21"/>
                <w:szCs w:val="21"/>
                <w:highlight w:val="none"/>
              </w:rPr>
              <w:t>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r>
              <w:rPr>
                <w:rFonts w:hint="eastAsia" w:cs="宋体"/>
                <w:color w:val="auto"/>
                <w:spacing w:val="0"/>
                <w:w w:val="100"/>
                <w:position w:val="0"/>
                <w:sz w:val="21"/>
                <w:szCs w:val="21"/>
                <w:highlight w:val="none"/>
                <w:lang w:val="en-US" w:eastAsia="zh-CN"/>
              </w:rPr>
              <w:t>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磋商时间、地点、人员</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1、磋商时间：详见第一部分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rPr>
              <w:t>磋商邀请。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2、磋商地点：详见第一部分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rPr>
              <w:t>磋商邀请。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3、磋商参加人员：参加磋商的法定代表人(负责人)或委托代理人必须持有效证件[法定代表人(负责人)凭身份证或委托代理人凭授权委托书原件和身份证]按时到达指定地点等候磋商。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r>
              <w:rPr>
                <w:rFonts w:hint="eastAsia" w:cs="宋体"/>
                <w:color w:val="auto"/>
                <w:spacing w:val="0"/>
                <w:w w:val="100"/>
                <w:position w:val="0"/>
                <w:sz w:val="21"/>
                <w:szCs w:val="21"/>
                <w:highlight w:val="none"/>
                <w:lang w:val="en-US" w:eastAsia="zh-CN"/>
              </w:rPr>
              <w:t>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磋商的顺序</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kern w:val="0"/>
                <w:sz w:val="21"/>
                <w:szCs w:val="21"/>
                <w:highlight w:val="none"/>
                <w:lang w:val="en-US" w:eastAsia="zh-CN" w:bidi="ar"/>
              </w:rPr>
              <w:t>按照提交首次响应文件的顺序，通知磋商时，若某供应商不在通知现场时，该供应商排序到最后磋商，按照签到的顺序由其下一位供应商先参与磋商。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r>
              <w:rPr>
                <w:rFonts w:hint="eastAsia" w:cs="宋体"/>
                <w:color w:val="auto"/>
                <w:spacing w:val="0"/>
                <w:w w:val="100"/>
                <w:position w:val="0"/>
                <w:sz w:val="21"/>
                <w:szCs w:val="21"/>
                <w:highlight w:val="none"/>
                <w:lang w:val="en-US" w:eastAsia="zh-CN"/>
              </w:rPr>
              <w:t>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评审办法</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综合评分法，具体评审内容及标准详见第四部分</w:t>
            </w:r>
            <w:r>
              <w:rPr>
                <w:rFonts w:hint="eastAsia" w:ascii="宋体" w:hAnsi="宋体" w:eastAsia="宋体" w:cs="宋体"/>
                <w:color w:val="auto"/>
                <w:spacing w:val="0"/>
                <w:w w:val="100"/>
                <w:position w:val="0"/>
                <w:sz w:val="21"/>
                <w:szCs w:val="21"/>
                <w:highlight w:val="none"/>
                <w:lang w:val="en-US"/>
              </w:rPr>
              <w:t xml:space="preserve"> 评审方法和评审标准</w:t>
            </w:r>
            <w:r>
              <w:rPr>
                <w:rFonts w:hint="eastAsia" w:ascii="宋体" w:hAnsi="宋体" w:eastAsia="宋体" w:cs="宋体"/>
                <w:color w:val="auto"/>
                <w:spacing w:val="0"/>
                <w:w w:val="100"/>
                <w:positio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r>
              <w:rPr>
                <w:rFonts w:hint="eastAsia" w:cs="宋体"/>
                <w:color w:val="auto"/>
                <w:spacing w:val="0"/>
                <w:w w:val="100"/>
                <w:position w:val="0"/>
                <w:sz w:val="21"/>
                <w:szCs w:val="21"/>
                <w:highlight w:val="none"/>
                <w:lang w:val="en-US" w:eastAsia="zh-CN"/>
              </w:rPr>
              <w:t>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成交公告</w:t>
            </w:r>
          </w:p>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及成交通知书</w:t>
            </w:r>
          </w:p>
        </w:tc>
        <w:tc>
          <w:tcPr>
            <w:tcW w:w="7261" w:type="dxa"/>
          </w:tcPr>
          <w:p>
            <w:pPr>
              <w:keepNext w:val="0"/>
              <w:keepLines w:val="0"/>
              <w:pageBreakBefore w:val="0"/>
              <w:shd w:val="clear"/>
              <w:tabs>
                <w:tab w:val="left" w:pos="455"/>
              </w:tabs>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采购代理机构于磋商结束后2个工作日内将评审报告送交采购人，采购人应当自收到评审报告5个工作日内在评审报告推荐的成交候选人中按顺序确定成交人，采购代理机构在成交人确定之日起2个工作日内发出成交通知书，并在指定媒体上公告成交信息。</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2、在发布成交公告的同时，采购代理机构向成交人发出成交通知书。成交人自接到通知之日起2个工作日内，办理成交通知书领取手续。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履约保证金</w:t>
            </w:r>
          </w:p>
        </w:tc>
        <w:tc>
          <w:tcPr>
            <w:tcW w:w="7261" w:type="dxa"/>
            <w:vAlign w:val="center"/>
          </w:tcPr>
          <w:p>
            <w:pPr>
              <w:adjustRightInd w:val="0"/>
              <w:spacing w:line="240" w:lineRule="auto"/>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履约保证金的金额：/%。</w:t>
            </w:r>
          </w:p>
          <w:p>
            <w:pPr>
              <w:adjustRightInd w:val="0"/>
              <w:spacing w:line="240" w:lineRule="auto"/>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履约保证金的形式：转账或银行保函</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履约保证金的缴纳方式：在收到中标通知书后，</w:t>
            </w:r>
            <w:r>
              <w:rPr>
                <w:rFonts w:hint="eastAsia" w:cs="宋体"/>
                <w:color w:val="auto"/>
                <w:sz w:val="21"/>
                <w:szCs w:val="21"/>
                <w:highlight w:val="none"/>
                <w:lang w:eastAsia="zh-CN"/>
              </w:rPr>
              <w:t>成交人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rPr>
              <w:t>个工作日内向招标人提交履约保证金，否则视为自动放弃中标资格。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0</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签订合同时间</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成交通知书发出后</w:t>
            </w:r>
            <w:r>
              <w:rPr>
                <w:rFonts w:hint="eastAsia" w:ascii="宋体" w:hAnsi="宋体" w:eastAsia="宋体" w:cs="宋体"/>
                <w:color w:val="auto"/>
                <w:spacing w:val="0"/>
                <w:w w:val="100"/>
                <w:position w:val="0"/>
                <w:sz w:val="21"/>
                <w:szCs w:val="21"/>
                <w:highlight w:val="none"/>
                <w:lang w:val="en-US"/>
              </w:rPr>
              <w:t>30</w:t>
            </w:r>
            <w:r>
              <w:rPr>
                <w:rFonts w:hint="eastAsia" w:ascii="宋体" w:hAnsi="宋体" w:eastAsia="宋体" w:cs="宋体"/>
                <w:color w:val="auto"/>
                <w:spacing w:val="0"/>
                <w:w w:val="100"/>
                <w:position w:val="0"/>
                <w:sz w:val="21"/>
                <w:szCs w:val="21"/>
                <w:highlight w:val="none"/>
              </w:rPr>
              <w:t>日内成交人须与采购人完成合同签订。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分包</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本项目是否允许分包：</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不允许</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□允许，具体要求：/。 </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（1）可以分包履行的具体内容：/； </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（2）允许分包的金额或者比例：/； </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采购代理服务费金额、交纳方式和时限</w:t>
            </w:r>
          </w:p>
        </w:tc>
        <w:tc>
          <w:tcPr>
            <w:tcW w:w="7261" w:type="dxa"/>
            <w:vAlign w:val="center"/>
          </w:tcPr>
          <w:p>
            <w:pPr>
              <w:pStyle w:val="47"/>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采购代理服务费的标准与收取：成交供应商支付。</w:t>
            </w:r>
          </w:p>
          <w:p>
            <w:pPr>
              <w:pStyle w:val="47"/>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依据《中华人民共和国国家发展和改革委员会令》（第31号），执行《政府采购代理机构管理暂行办法》（财库[2018]2号）的规定。</w:t>
            </w:r>
            <w:r>
              <w:rPr>
                <w:rFonts w:hint="eastAsia" w:ascii="宋体" w:hAnsi="宋体" w:eastAsia="宋体" w:cs="宋体"/>
                <w:color w:val="auto"/>
                <w:spacing w:val="0"/>
                <w:w w:val="100"/>
                <w:position w:val="0"/>
                <w:sz w:val="21"/>
                <w:szCs w:val="21"/>
                <w:highlight w:val="none"/>
                <w:lang w:val="en-US" w:eastAsia="zh-CN"/>
              </w:rPr>
              <w:t>本项目采购代理服务收费</w:t>
            </w:r>
            <w:r>
              <w:rPr>
                <w:rFonts w:hint="eastAsia" w:ascii="宋体" w:hAnsi="宋体" w:eastAsia="宋体" w:cs="宋体"/>
                <w:color w:val="auto"/>
                <w:spacing w:val="0"/>
                <w:w w:val="100"/>
                <w:position w:val="0"/>
                <w:sz w:val="21"/>
                <w:szCs w:val="21"/>
                <w:highlight w:val="none"/>
              </w:rPr>
              <w:t>参照《依据国家发展计划委员会文件关于印发《招标代理服务费管理暂行办法》的通知》（计价格〔2002〕1980号）中招标代理服务收费标准收取。由成交供应商在领取成交通知书时一次性向采购代理机构支付。</w:t>
            </w:r>
          </w:p>
          <w:p>
            <w:pPr>
              <w:pStyle w:val="47"/>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注：采购代理服务收费按差额定率累进法计算，不足</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000元按</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b/>
                <w:color w:val="auto"/>
                <w:spacing w:val="0"/>
                <w:w w:val="100"/>
                <w:position w:val="0"/>
                <w:sz w:val="21"/>
                <w:szCs w:val="21"/>
                <w:highlight w:val="none"/>
              </w:rPr>
              <w:t>本项目所属行业</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Cs/>
                <w:color w:val="auto"/>
                <w:spacing w:val="0"/>
                <w:w w:val="100"/>
                <w:position w:val="0"/>
                <w:sz w:val="21"/>
                <w:szCs w:val="21"/>
                <w:highlight w:val="none"/>
                <w:lang w:val="en-US"/>
              </w:rPr>
            </w:pPr>
            <w:r>
              <w:rPr>
                <w:rFonts w:hint="eastAsia" w:ascii="宋体" w:hAnsi="宋体" w:eastAsia="宋体" w:cs="宋体"/>
                <w:bCs/>
                <w:color w:val="auto"/>
                <w:spacing w:val="0"/>
                <w:w w:val="100"/>
                <w:position w:val="0"/>
                <w:sz w:val="21"/>
                <w:szCs w:val="21"/>
                <w:highlight w:val="none"/>
                <w:shd w:val="clear" w:color="auto" w:fill="auto"/>
                <w:lang w:val="en-US" w:eastAsia="zh-CN"/>
              </w:rPr>
              <w:t>依据《关于印发中小企业划型标准规定的通知》（工信部联企业〔2011〕300 号），本项目采购标的所属行业为：</w:t>
            </w:r>
            <w:r>
              <w:rPr>
                <w:rFonts w:hint="eastAsia" w:ascii="宋体" w:hAnsi="宋体" w:eastAsia="宋体" w:cs="宋体"/>
                <w:b/>
                <w:bCs w:val="0"/>
                <w:color w:val="auto"/>
                <w:spacing w:val="0"/>
                <w:w w:val="100"/>
                <w:position w:val="0"/>
                <w:sz w:val="21"/>
                <w:szCs w:val="21"/>
                <w:highlight w:val="none"/>
                <w:shd w:val="clear" w:color="auto" w:fill="auto"/>
                <w:lang w:val="en-US"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支持中小</w:t>
            </w:r>
            <w:r>
              <w:rPr>
                <w:rFonts w:hint="eastAsia" w:ascii="宋体" w:hAnsi="宋体" w:eastAsia="宋体" w:cs="宋体"/>
                <w:color w:val="auto"/>
                <w:spacing w:val="0"/>
                <w:w w:val="100"/>
                <w:position w:val="0"/>
                <w:sz w:val="21"/>
                <w:szCs w:val="21"/>
                <w:highlight w:val="none"/>
                <w:lang w:val="en-US" w:eastAsia="zh-CN"/>
              </w:rPr>
              <w:t>微型</w:t>
            </w:r>
            <w:r>
              <w:rPr>
                <w:rFonts w:hint="eastAsia" w:ascii="宋体" w:hAnsi="宋体" w:eastAsia="宋体" w:cs="宋体"/>
                <w:color w:val="auto"/>
                <w:spacing w:val="0"/>
                <w:w w:val="100"/>
                <w:position w:val="0"/>
                <w:sz w:val="21"/>
                <w:szCs w:val="21"/>
                <w:highlight w:val="none"/>
              </w:rPr>
              <w:t>企业发展</w:t>
            </w:r>
          </w:p>
        </w:tc>
        <w:tc>
          <w:tcPr>
            <w:tcW w:w="7261" w:type="dxa"/>
            <w:vAlign w:val="center"/>
          </w:tcPr>
          <w:p>
            <w:pPr>
              <w:keepNext w:val="0"/>
              <w:keepLines w:val="0"/>
              <w:pageBreakBefore w:val="0"/>
              <w:widowControl w:val="0"/>
              <w:shd w:val="clear" w:color="auto" w:fill="auto"/>
              <w:kinsoku/>
              <w:overflowPunct/>
              <w:topLinePunct w:val="0"/>
              <w:autoSpaceDE w:val="0"/>
              <w:autoSpaceDN w:val="0"/>
              <w:bidi w:val="0"/>
              <w:adjustRightInd w:val="0"/>
              <w:spacing w:before="0" w:after="0"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1.是否为专门面向中小企业采购：</w:t>
            </w:r>
            <w:r>
              <w:rPr>
                <w:rFonts w:hint="eastAsia" w:cs="宋体"/>
                <w:color w:val="auto"/>
                <w:kern w:val="2"/>
                <w:sz w:val="21"/>
                <w:szCs w:val="21"/>
                <w:highlight w:val="none"/>
                <w:lang w:val="en-US" w:eastAsia="zh-CN" w:bidi="ar-SA"/>
              </w:rPr>
              <w:t>是</w:t>
            </w:r>
          </w:p>
          <w:p>
            <w:pPr>
              <w:keepNext w:val="0"/>
              <w:keepLines w:val="0"/>
              <w:pageBreakBefore w:val="0"/>
              <w:widowControl w:val="0"/>
              <w:shd w:val="clear" w:color="auto" w:fill="auto"/>
              <w:kinsoku/>
              <w:overflowPunct/>
              <w:topLinePunct w:val="0"/>
              <w:autoSpaceDE w:val="0"/>
              <w:autoSpaceDN w:val="0"/>
              <w:bidi w:val="0"/>
              <w:adjustRightInd w:val="0"/>
              <w:spacing w:before="0" w:after="0" w:line="240" w:lineRule="auto"/>
              <w:ind w:left="0" w:right="0" w:firstLine="0" w:firstLineChars="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2.是否为本项目面向中小企业采购预留份额：</w:t>
            </w:r>
            <w:r>
              <w:rPr>
                <w:rFonts w:hint="eastAsia" w:cs="宋体"/>
                <w:color w:val="auto"/>
                <w:kern w:val="2"/>
                <w:sz w:val="21"/>
                <w:szCs w:val="21"/>
                <w:highlight w:val="none"/>
                <w:lang w:val="en-US" w:eastAsia="zh-CN" w:bidi="ar-SA"/>
              </w:rPr>
              <w:t>是，项目整体预留给中小微企业。</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
                <w:color w:val="auto"/>
                <w:spacing w:val="0"/>
                <w:w w:val="100"/>
                <w:position w:val="0"/>
                <w:sz w:val="21"/>
                <w:szCs w:val="21"/>
                <w:highlight w:val="none"/>
              </w:rPr>
            </w:pPr>
            <w:r>
              <w:rPr>
                <w:rFonts w:hint="eastAsia" w:ascii="宋体" w:hAnsi="宋体" w:eastAsia="宋体" w:cs="宋体"/>
                <w:color w:val="auto"/>
                <w:kern w:val="2"/>
                <w:sz w:val="21"/>
                <w:szCs w:val="21"/>
                <w:highlight w:val="none"/>
                <w:lang w:val="en-US" w:eastAsia="zh-CN" w:bidi="ar-SA"/>
              </w:rPr>
              <w:t>3.符合要求的小型和微型企业扣除比例：</w:t>
            </w:r>
            <w:r>
              <w:rPr>
                <w:rFonts w:hint="eastAsia" w:ascii="宋体" w:hAnsi="宋体" w:eastAsia="宋体" w:cs="宋体"/>
                <w:b/>
                <w:bCs/>
                <w:color w:val="auto"/>
                <w:kern w:val="2"/>
                <w:sz w:val="21"/>
                <w:szCs w:val="21"/>
                <w:highlight w:val="none"/>
                <w:lang w:val="en-US" w:eastAsia="zh-CN" w:bidi="ar-SA"/>
              </w:rPr>
              <w:t>本项目专门面向中小微企业采购不再进行价格扣除。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政府采购促进残疾人就业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政府采购支持监狱企业发展</w:t>
            </w:r>
          </w:p>
        </w:tc>
        <w:tc>
          <w:tcPr>
            <w:tcW w:w="7261" w:type="dxa"/>
            <w:vAlign w:val="center"/>
          </w:tcPr>
          <w:p>
            <w:pPr>
              <w:numPr>
                <w:ilvl w:val="0"/>
                <w:numId w:val="0"/>
              </w:numPr>
              <w:autoSpaceDE w:val="0"/>
              <w:autoSpaceDN w:val="0"/>
              <w:spacing w:before="0" w:after="0" w:line="240" w:lineRule="auto"/>
              <w:ind w:left="0" w:right="0" w:right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ascii="宋体" w:hAnsi="宋体" w:eastAsia="宋体" w:cs="宋体"/>
                <w:b/>
                <w:bCs/>
                <w:color w:val="auto"/>
                <w:kern w:val="2"/>
                <w:sz w:val="21"/>
                <w:szCs w:val="21"/>
                <w:highlight w:val="none"/>
                <w:lang w:val="en-US" w:eastAsia="zh-CN" w:bidi="ar-SA"/>
              </w:rPr>
              <w:t>本项目专门面向中小微企业采购不再进行价格扣除。</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zh-CN"/>
              </w:rPr>
              <w:t>2.</w:t>
            </w:r>
            <w:r>
              <w:rPr>
                <w:rFonts w:hint="eastAsia" w:ascii="宋体" w:hAnsi="宋体" w:eastAsia="宋体" w:cs="宋体"/>
                <w:color w:val="auto"/>
                <w:kern w:val="0"/>
                <w:sz w:val="21"/>
                <w:szCs w:val="21"/>
                <w:highlight w:val="none"/>
                <w:lang w:val="en-US" w:eastAsia="zh-CN" w:bidi="ar"/>
              </w:rPr>
              <w:t>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b/>
                <w:bCs/>
                <w:color w:val="auto"/>
                <w:kern w:val="2"/>
                <w:sz w:val="21"/>
                <w:szCs w:val="21"/>
                <w:highlight w:val="none"/>
                <w:lang w:val="en-US" w:eastAsia="zh-CN" w:bidi="ar-SA"/>
              </w:rPr>
              <w:t>本项目专门面向中小微企业采购不再进行价格扣除。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兼投不兼中说明</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default" w:ascii="宋体" w:hAnsi="宋体" w:eastAsia="宋体" w:cs="宋体"/>
                <w:color w:val="auto"/>
                <w:kern w:val="2"/>
                <w:sz w:val="21"/>
                <w:szCs w:val="21"/>
                <w:highlight w:val="none"/>
                <w:lang w:val="en-US" w:eastAsia="zh-CN" w:bidi="ar-SA"/>
              </w:rPr>
            </w:pPr>
            <w:r>
              <w:rPr>
                <w:rFonts w:hint="eastAsia" w:cs="宋体"/>
                <w:smallCaps w:val="0"/>
                <w:color w:val="auto"/>
                <w:spacing w:val="0"/>
                <w:position w:val="0"/>
                <w:sz w:val="21"/>
                <w:szCs w:val="21"/>
                <w:highlight w:val="none"/>
                <w:lang w:val="en-US" w:eastAsia="zh-CN" w:bidi="ar"/>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接收质疑方式及联系方式</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（1）质疑函及必要的证明材料应通过以下方式之一递交至采购代理机构：</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1）当面送达原件；</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2）信函邮寄、快递原件，采用此方式时，采购代理机构不受理逾期送达的质疑，供应商自行承担邮件误投、逾期或丢失的风险和责任；</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3）电子邮件将原件的扫描版发送至下列指定电子邮箱，采用此方式提出质疑的，供应商应在电子邮件发出后立即电话告知采购代理机构； </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（2）采购代理机构接收质疑函的联系方式如下： </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联系人：</w:t>
            </w:r>
            <w:r>
              <w:rPr>
                <w:rFonts w:hint="eastAsia" w:cs="宋体"/>
                <w:color w:val="auto"/>
                <w:spacing w:val="0"/>
                <w:w w:val="100"/>
                <w:kern w:val="0"/>
                <w:position w:val="0"/>
                <w:sz w:val="21"/>
                <w:szCs w:val="21"/>
                <w:highlight w:val="none"/>
                <w:lang w:val="en-US" w:eastAsia="zh-CN" w:bidi="ar"/>
              </w:rPr>
              <w:t>马</w:t>
            </w:r>
            <w:r>
              <w:rPr>
                <w:rFonts w:hint="eastAsia" w:ascii="宋体" w:hAnsi="宋体" w:eastAsia="宋体" w:cs="宋体"/>
                <w:color w:val="auto"/>
                <w:spacing w:val="0"/>
                <w:w w:val="100"/>
                <w:kern w:val="0"/>
                <w:position w:val="0"/>
                <w:sz w:val="21"/>
                <w:szCs w:val="21"/>
                <w:highlight w:val="none"/>
                <w:lang w:val="en-US" w:eastAsia="zh-CN" w:bidi="ar"/>
              </w:rPr>
              <w:t>工</w:t>
            </w:r>
          </w:p>
          <w:p>
            <w:pPr>
              <w:keepNext w:val="0"/>
              <w:keepLines w:val="0"/>
              <w:widowControl/>
              <w:suppressLineNumbers w:val="0"/>
              <w:spacing w:line="240" w:lineRule="auto"/>
              <w:jc w:val="left"/>
              <w:rPr>
                <w:rFonts w:hint="default"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电话：</w:t>
            </w:r>
            <w:r>
              <w:rPr>
                <w:rFonts w:hint="eastAsia" w:cs="宋体"/>
                <w:color w:val="auto"/>
                <w:spacing w:val="0"/>
                <w:w w:val="100"/>
                <w:kern w:val="0"/>
                <w:position w:val="0"/>
                <w:sz w:val="21"/>
                <w:szCs w:val="21"/>
                <w:highlight w:val="none"/>
                <w:lang w:val="en-US" w:eastAsia="zh-CN" w:bidi="ar"/>
              </w:rPr>
              <w:t>0994-2331855</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
              </w:rPr>
              <w:t>邮箱：</w:t>
            </w:r>
            <w:r>
              <w:rPr>
                <w:rFonts w:hint="eastAsia" w:cs="宋体"/>
                <w:color w:val="auto"/>
                <w:spacing w:val="0"/>
                <w:w w:val="100"/>
                <w:kern w:val="0"/>
                <w:position w:val="0"/>
                <w:sz w:val="21"/>
                <w:szCs w:val="21"/>
                <w:highlight w:val="none"/>
                <w:lang w:val="en-US" w:eastAsia="zh-CN" w:bidi="ar"/>
              </w:rPr>
              <w:t>1105437921</w:t>
            </w:r>
            <w:r>
              <w:rPr>
                <w:rFonts w:hint="eastAsia" w:ascii="宋体" w:hAnsi="宋体" w:eastAsia="宋体" w:cs="宋体"/>
                <w:color w:val="auto"/>
                <w:spacing w:val="0"/>
                <w:w w:val="100"/>
                <w:kern w:val="0"/>
                <w:position w:val="0"/>
                <w:sz w:val="21"/>
                <w:szCs w:val="21"/>
                <w:highlight w:val="none"/>
                <w:lang w:val="en-US" w:eastAsia="zh-CN" w:bidi="ar"/>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纸质归档</w:t>
            </w:r>
          </w:p>
        </w:tc>
        <w:tc>
          <w:tcPr>
            <w:tcW w:w="7261" w:type="dxa"/>
            <w:vAlign w:val="center"/>
          </w:tcPr>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default"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成交供应商在领取成交通知书时须向代理机构提供纸质版响应文件正本1份，副本</w:t>
            </w:r>
            <w:r>
              <w:rPr>
                <w:rFonts w:hint="eastAsia" w:cs="宋体"/>
                <w:smallCaps w:val="0"/>
                <w:color w:val="auto"/>
                <w:spacing w:val="0"/>
                <w:kern w:val="2"/>
                <w:position w:val="0"/>
                <w:sz w:val="21"/>
                <w:szCs w:val="21"/>
                <w:highlight w:val="none"/>
                <w:lang w:val="en-US" w:eastAsia="zh-CN" w:bidi="ar-SA"/>
              </w:rPr>
              <w:t>2</w:t>
            </w:r>
            <w:r>
              <w:rPr>
                <w:rFonts w:hint="eastAsia" w:ascii="宋体" w:hAnsi="宋体" w:eastAsia="宋体" w:cs="宋体"/>
                <w:smallCaps w:val="0"/>
                <w:color w:val="auto"/>
                <w:spacing w:val="0"/>
                <w:kern w:val="2"/>
                <w:position w:val="0"/>
                <w:sz w:val="21"/>
                <w:szCs w:val="21"/>
                <w:highlight w:val="none"/>
                <w:lang w:val="en-US" w:eastAsia="zh-CN" w:bidi="ar-SA"/>
              </w:rPr>
              <w:t>份（归档资料备用），并标明正本副本字样，副本可为正本复印件。</w:t>
            </w:r>
            <w:r>
              <w:rPr>
                <w:rFonts w:hint="eastAsia" w:cs="宋体"/>
                <w:smallCaps w:val="0"/>
                <w:color w:val="auto"/>
                <w:spacing w:val="0"/>
                <w:kern w:val="2"/>
                <w:position w:val="0"/>
                <w:sz w:val="21"/>
                <w:szCs w:val="21"/>
                <w:highlight w:val="none"/>
                <w:lang w:val="en-US" w:eastAsia="zh-CN" w:bidi="ar-SA"/>
              </w:rPr>
              <w:t>电子版投标文件3份。</w:t>
            </w:r>
          </w:p>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注：纸质版响应文件必须与不见面开标系统上传的电子版固化响应文件相同，正本纸质响应文件需有单位鲜章（可彩色打印）。</w:t>
            </w:r>
          </w:p>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提交方式：现场提交或邮寄</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kern w:val="2"/>
                <w:position w:val="0"/>
                <w:sz w:val="21"/>
                <w:szCs w:val="21"/>
                <w:highlight w:val="none"/>
                <w:lang w:val="en-US" w:eastAsia="zh-CN" w:bidi="ar-SA"/>
              </w:rPr>
              <w:t>提交份数：正本一份，副本</w:t>
            </w:r>
            <w:r>
              <w:rPr>
                <w:rFonts w:hint="eastAsia" w:cs="宋体"/>
                <w:smallCaps w:val="0"/>
                <w:color w:val="auto"/>
                <w:spacing w:val="0"/>
                <w:kern w:val="2"/>
                <w:position w:val="0"/>
                <w:sz w:val="21"/>
                <w:szCs w:val="21"/>
                <w:highlight w:val="none"/>
                <w:lang w:val="en-US" w:eastAsia="zh-CN" w:bidi="ar-SA"/>
              </w:rPr>
              <w:t>二</w:t>
            </w:r>
            <w:r>
              <w:rPr>
                <w:rFonts w:hint="eastAsia" w:ascii="宋体" w:hAnsi="宋体" w:eastAsia="宋体" w:cs="宋体"/>
                <w:smallCaps w:val="0"/>
                <w:color w:val="auto"/>
                <w:spacing w:val="0"/>
                <w:kern w:val="2"/>
                <w:position w:val="0"/>
                <w:sz w:val="21"/>
                <w:szCs w:val="21"/>
                <w:highlight w:val="none"/>
                <w:lang w:val="en-US" w:eastAsia="zh-CN" w:bidi="ar-SA"/>
              </w:rPr>
              <w:t>份（归档资料备用）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39</w:t>
            </w:r>
          </w:p>
        </w:tc>
        <w:tc>
          <w:tcPr>
            <w:tcW w:w="1781"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color w:val="auto"/>
                <w:sz w:val="21"/>
                <w:szCs w:val="21"/>
                <w:highlight w:val="none"/>
                <w:lang w:eastAsia="zh-CN"/>
              </w:rPr>
              <w:t>重要说明</w:t>
            </w:r>
          </w:p>
        </w:tc>
        <w:tc>
          <w:tcPr>
            <w:tcW w:w="7261" w:type="dxa"/>
            <w:vAlign w:val="center"/>
          </w:tcPr>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2.本项目实行网上投标，采用加密电子</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(供应商须使用CA加密设备通过政采云电子投标客户端制作</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4.供应商将政采云电子交易客户端下载、安装完成后，可通过账号密码或CA登录客户端进行</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制作。在使用政采云投标客户端时，建议使用WIN7+64位及以上操作系统。客户端请至新疆政府采购网下载专区查看，如有问题可拨打政采云客户服务热线95763进行咨询。</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5.供应商在开标时须使用制作加密电子</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2"/>
                <w:sz w:val="21"/>
                <w:szCs w:val="21"/>
                <w:highlight w:val="none"/>
                <w:lang w:val="en-US" w:bidi="ar-SA"/>
              </w:rPr>
              <w:t>7.为了保证开评标顺利进行，政采云线上开标功能完全实现，供应商开标所使用的电脑设备须具有视频及语音功能。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p>
        </w:tc>
        <w:tc>
          <w:tcPr>
            <w:tcW w:w="1781"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b/>
                <w:color w:val="auto"/>
                <w:sz w:val="21"/>
                <w:szCs w:val="21"/>
                <w:highlight w:val="none"/>
                <w:lang w:eastAsia="zh-CN"/>
              </w:rPr>
            </w:pPr>
          </w:p>
        </w:tc>
        <w:tc>
          <w:tcPr>
            <w:tcW w:w="7261"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b/>
                <w:color w:val="auto"/>
                <w:kern w:val="2"/>
                <w:sz w:val="21"/>
                <w:szCs w:val="21"/>
                <w:highlight w:val="none"/>
                <w:lang w:val="en-US" w:bidi="ar-SA"/>
              </w:rPr>
            </w:pPr>
            <w:r>
              <w:rPr>
                <w:rFonts w:hint="eastAsia" w:ascii="宋体" w:hAnsi="宋体" w:eastAsia="宋体" w:cs="宋体"/>
                <w:b/>
                <w:color w:val="auto"/>
                <w:kern w:val="2"/>
                <w:sz w:val="21"/>
                <w:szCs w:val="21"/>
                <w:highlight w:val="none"/>
                <w:lang w:val="en-US" w:bidi="ar-SA"/>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（1）电子招投标：本项目以数据电文形式，依托“政府采购云平台”进行招投标活动。</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（2）投标准备：注册账号--点击“商家入驻”，进行政府采购供应商资料填写；申领CA数字证书---申领流程详见“</w:t>
            </w:r>
            <w:r>
              <w:rPr>
                <w:rFonts w:hint="eastAsia" w:ascii="宋体" w:hAnsi="宋体" w:eastAsia="宋体" w:cs="宋体"/>
                <w:color w:val="auto"/>
                <w:kern w:val="2"/>
                <w:sz w:val="21"/>
                <w:szCs w:val="21"/>
                <w:highlight w:val="none"/>
                <w:lang w:val="en-US" w:eastAsia="zh-CN" w:bidi="ar-SA"/>
              </w:rPr>
              <w:t>新疆</w:t>
            </w:r>
            <w:r>
              <w:rPr>
                <w:rFonts w:hint="eastAsia" w:ascii="宋体" w:hAnsi="宋体" w:eastAsia="宋体" w:cs="宋体"/>
                <w:color w:val="auto"/>
                <w:kern w:val="2"/>
                <w:sz w:val="21"/>
                <w:szCs w:val="21"/>
                <w:highlight w:val="none"/>
                <w:lang w:val="en-US" w:bidi="ar-SA"/>
              </w:rPr>
              <w:t>政府采购网-下载专区-电子交易客户端-CA驱动和申领流程”；安装“政采云电子交易客户端”----前往“</w:t>
            </w:r>
            <w:r>
              <w:rPr>
                <w:rFonts w:hint="eastAsia" w:ascii="宋体" w:hAnsi="宋体" w:eastAsia="宋体" w:cs="宋体"/>
                <w:color w:val="auto"/>
                <w:kern w:val="2"/>
                <w:sz w:val="21"/>
                <w:szCs w:val="21"/>
                <w:highlight w:val="none"/>
                <w:lang w:val="en-US" w:eastAsia="zh-CN" w:bidi="ar-SA"/>
              </w:rPr>
              <w:t>新疆</w:t>
            </w:r>
            <w:r>
              <w:rPr>
                <w:rFonts w:hint="eastAsia" w:ascii="宋体" w:hAnsi="宋体" w:eastAsia="宋体" w:cs="宋体"/>
                <w:color w:val="auto"/>
                <w:kern w:val="2"/>
                <w:sz w:val="21"/>
                <w:szCs w:val="21"/>
                <w:highlight w:val="none"/>
                <w:lang w:val="en-US" w:bidi="ar-SA"/>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（3）采购文件的获取：使用账号登录或者短信验证码或者使用CA登录政采云平台；进入“项目采购”应用，在获取采购文件菜单中选择项目，获取采购文件。</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的制作：在“政采云电子交易客户端”中完成“填写基本信息”、“导入</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的传输递交：供应商在投标截止时间前将加密的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上传至政府采购云平台。</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的解密：供应商按照平台提示和采购文件的规定在半小时内完成在线解密。通过“政府采购云平台”上传递交的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无法按时解密，投标供应商提供了备份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的，以备份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为依据，否则视为</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撤回。通过“政府采购云平台”上传递交的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已按时解密的，备份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自动失效。供应商仅提供备份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，没有在电子交易平台传输递交</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（7）具体操作指南：详见政采云平台“服务中心-帮助文档-项目采购-操作流程-电子招投标-政府采购项目电子交易管理操作指南-供应商”。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（8）供应商在进行上述操作时，如遇技术问题可登录政采云，点击右侧咨询小采，获取采小蜜智能服务管家帮助，或拨打政采云服务热线</w:t>
            </w:r>
            <w:r>
              <w:rPr>
                <w:rFonts w:hint="eastAsia" w:cs="宋体"/>
                <w:color w:val="auto"/>
                <w:kern w:val="2"/>
                <w:sz w:val="21"/>
                <w:szCs w:val="21"/>
                <w:highlight w:val="none"/>
                <w:lang w:val="en-US" w:eastAsia="zh-CN" w:bidi="ar-SA"/>
              </w:rPr>
              <w:t>（95763）</w:t>
            </w:r>
            <w:r>
              <w:rPr>
                <w:rFonts w:hint="eastAsia" w:ascii="宋体" w:hAnsi="宋体" w:eastAsia="宋体" w:cs="宋体"/>
                <w:color w:val="auto"/>
                <w:kern w:val="2"/>
                <w:sz w:val="21"/>
                <w:szCs w:val="21"/>
                <w:highlight w:val="none"/>
                <w:lang w:val="en-US" w:bidi="ar-SA"/>
              </w:rPr>
              <w:t>获取热线服务帮助。</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kern w:val="2"/>
                <w:sz w:val="21"/>
                <w:szCs w:val="21"/>
                <w:highlight w:val="none"/>
                <w:lang w:val="en-US" w:eastAsia="zh-CN" w:bidi="ar-SA"/>
              </w:rPr>
              <w:t>中国</w:t>
            </w:r>
            <w:r>
              <w:rPr>
                <w:rFonts w:hint="eastAsia" w:ascii="宋体" w:hAnsi="宋体" w:eastAsia="宋体" w:cs="宋体"/>
                <w:color w:val="auto"/>
                <w:kern w:val="2"/>
                <w:sz w:val="21"/>
                <w:szCs w:val="21"/>
                <w:highlight w:val="none"/>
                <w:lang w:val="en-US" w:bidi="ar-SA"/>
              </w:rPr>
              <w:t>政府采购网下载专区下载。未按规定获取采购文件或逾期提出的不予受理、答复。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w:t>
            </w:r>
            <w:r>
              <w:rPr>
                <w:rFonts w:hint="eastAsia" w:cs="宋体"/>
                <w:color w:val="auto"/>
                <w:spacing w:val="0"/>
                <w:w w:val="100"/>
                <w:position w:val="0"/>
                <w:sz w:val="21"/>
                <w:szCs w:val="21"/>
                <w:highlight w:val="none"/>
                <w:lang w:val="en-US" w:eastAsia="zh-CN"/>
              </w:rPr>
              <w:t>0</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低于成本价不正当竞争预防措施</w:t>
            </w:r>
          </w:p>
        </w:tc>
        <w:tc>
          <w:tcPr>
            <w:tcW w:w="7261"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在评标过程中，评标委员会认为</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的报价明显低于其他通过符合性审查</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Cs/>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w:t>
            </w:r>
            <w:r>
              <w:rPr>
                <w:rFonts w:hint="eastAsia" w:cs="宋体"/>
                <w:color w:val="auto"/>
                <w:spacing w:val="0"/>
                <w:w w:val="100"/>
                <w:position w:val="0"/>
                <w:sz w:val="21"/>
                <w:szCs w:val="21"/>
                <w:highlight w:val="none"/>
                <w:lang w:val="en-US" w:eastAsia="zh-CN"/>
              </w:rPr>
              <w:t>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解释权</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b/>
                <w:bCs/>
                <w:color w:val="auto"/>
                <w:spacing w:val="0"/>
                <w:w w:val="100"/>
                <w:kern w:val="0"/>
                <w:position w:val="0"/>
                <w:sz w:val="21"/>
                <w:szCs w:val="21"/>
                <w:highlight w:val="none"/>
                <w:lang w:val="en-US" w:eastAsia="en-US" w:bidi="ar"/>
              </w:rPr>
              <w:t>解释权：</w:t>
            </w:r>
            <w:r>
              <w:rPr>
                <w:rFonts w:hint="eastAsia" w:ascii="宋体" w:hAnsi="宋体" w:eastAsia="宋体" w:cs="宋体"/>
                <w:color w:val="auto"/>
                <w:spacing w:val="0"/>
                <w:w w:val="100"/>
                <w:kern w:val="0"/>
                <w:position w:val="0"/>
                <w:sz w:val="21"/>
                <w:szCs w:val="21"/>
                <w:highlight w:val="none"/>
                <w:lang w:val="en-US" w:eastAsia="en-US" w:bidi="ar"/>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bCs/>
                <w:color w:val="auto"/>
                <w:spacing w:val="0"/>
                <w:w w:val="100"/>
                <w:kern w:val="0"/>
                <w:position w:val="0"/>
                <w:sz w:val="21"/>
                <w:szCs w:val="21"/>
                <w:highlight w:val="none"/>
                <w:lang w:val="en-US" w:eastAsia="en-US" w:bidi="ar"/>
              </w:rPr>
              <w:t>由采购人或者采购代理机构负责解释。</w:t>
            </w:r>
          </w:p>
          <w:p>
            <w:pPr>
              <w:keepNext w:val="0"/>
              <w:keepLines w:val="0"/>
              <w:widowControl/>
              <w:suppressLineNumbers w:val="0"/>
              <w:spacing w:line="240" w:lineRule="auto"/>
              <w:jc w:val="left"/>
              <w:rPr>
                <w:rFonts w:hint="eastAsia" w:ascii="宋体" w:hAnsi="宋体" w:eastAsia="宋体" w:cs="宋体"/>
                <w:b/>
                <w:bCs/>
                <w:color w:val="auto"/>
                <w:spacing w:val="0"/>
                <w:w w:val="100"/>
                <w:kern w:val="0"/>
                <w:position w:val="0"/>
                <w:sz w:val="21"/>
                <w:szCs w:val="21"/>
                <w:highlight w:val="none"/>
                <w:lang w:val="en-US" w:eastAsia="en-US" w:bidi="ar"/>
              </w:rPr>
            </w:pPr>
            <w:r>
              <w:rPr>
                <w:rFonts w:hint="eastAsia" w:ascii="宋体" w:hAnsi="宋体" w:eastAsia="宋体" w:cs="宋体"/>
                <w:b/>
                <w:bCs/>
                <w:color w:val="auto"/>
                <w:spacing w:val="0"/>
                <w:w w:val="100"/>
                <w:kern w:val="0"/>
                <w:position w:val="0"/>
                <w:sz w:val="21"/>
                <w:szCs w:val="21"/>
                <w:highlight w:val="none"/>
                <w:lang w:val="en-US" w:eastAsia="en-US" w:bidi="ar"/>
              </w:rPr>
              <w:t>法律责任：</w:t>
            </w:r>
          </w:p>
          <w:p>
            <w:pPr>
              <w:keepNext w:val="0"/>
              <w:keepLines w:val="0"/>
              <w:widowControl/>
              <w:suppressLineNumbers w:val="0"/>
              <w:spacing w:line="240" w:lineRule="auto"/>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en-US" w:bidi="ar"/>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09"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42</w:t>
            </w:r>
          </w:p>
        </w:tc>
        <w:tc>
          <w:tcPr>
            <w:tcW w:w="1781"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其他</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项目执行过程中，所运用到的规范性文件均以国家或自治区颁布的最新文件为准。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09"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p>
        </w:tc>
        <w:tc>
          <w:tcPr>
            <w:tcW w:w="1781"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3.本磋商文件中描述供应商的“签字”是指供应商的法定代表人或者委托代理人亲自在文件规定签署处亲笔写上个人的名字的行为，私章、签字章、印鉴、影印等其他形式均不能代替亲笔签字。</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4.自然人竞标的，磋商文件规定盖公章处由自然人摁手指指印。</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en-US" w:bidi="ar"/>
              </w:rPr>
              <w:t>5.本磋商文件所称的“以上”“以下”“以内”“届满”，包括本数；所称的“不满 ”“超过”“以外”，不包括本数。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9"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rPr>
            </w:pPr>
          </w:p>
        </w:tc>
        <w:tc>
          <w:tcPr>
            <w:tcW w:w="1781"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本表是对“供应商须知”的具体补充和修改，如有矛盾，应以本表内容为准。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490" w:type="dxa"/>
            <w:gridSpan w:val="2"/>
            <w:vAlign w:val="center"/>
          </w:tcPr>
          <w:p>
            <w:pPr>
              <w:keepNext w:val="0"/>
              <w:keepLines w:val="0"/>
              <w:pageBreakBefore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b/>
                <w:bCs w:val="0"/>
                <w:color w:val="auto"/>
                <w:sz w:val="21"/>
                <w:szCs w:val="21"/>
                <w:highlight w:val="none"/>
              </w:rPr>
              <w:t>备注</w:t>
            </w:r>
          </w:p>
        </w:tc>
        <w:tc>
          <w:tcPr>
            <w:tcW w:w="7261" w:type="dxa"/>
            <w:vAlign w:val="top"/>
          </w:tcPr>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使用相同IP地址的，一经发现，</w:t>
            </w:r>
            <w:r>
              <w:rPr>
                <w:rFonts w:hint="eastAsia" w:ascii="宋体" w:hAnsi="宋体" w:eastAsia="宋体" w:cs="宋体"/>
                <w:b/>
                <w:bCs w:val="0"/>
                <w:color w:val="auto"/>
                <w:sz w:val="21"/>
                <w:szCs w:val="21"/>
                <w:highlight w:val="none"/>
                <w:lang w:eastAsia="zh-CN"/>
              </w:rPr>
              <w:t>相关</w:t>
            </w:r>
            <w:r>
              <w:rPr>
                <w:rFonts w:hint="eastAsia" w:ascii="宋体" w:hAnsi="宋体" w:eastAsia="宋体" w:cs="宋体"/>
                <w:b/>
                <w:bCs w:val="0"/>
                <w:color w:val="auto"/>
                <w:sz w:val="21"/>
                <w:szCs w:val="21"/>
                <w:highlight w:val="none"/>
              </w:rPr>
              <w:t>部门将进一步核实，查实后按串通投标处理</w:t>
            </w:r>
            <w:r>
              <w:rPr>
                <w:rFonts w:hint="eastAsia" w:ascii="宋体" w:hAnsi="宋体" w:eastAsia="宋体" w:cs="宋体"/>
                <w:b/>
                <w:bCs w:val="0"/>
                <w:color w:val="auto"/>
                <w:sz w:val="21"/>
                <w:szCs w:val="21"/>
                <w:highlight w:val="none"/>
                <w:lang w:eastAsia="zh-CN"/>
              </w:rPr>
              <w:t>。</w:t>
            </w:r>
          </w:p>
        </w:tc>
      </w:tr>
    </w:tbl>
    <w:p>
      <w:pPr>
        <w:rPr>
          <w:rFonts w:hint="eastAsia" w:ascii="宋体" w:hAnsi="宋体" w:eastAsia="宋体" w:cs="宋体"/>
          <w:b/>
          <w:bCs/>
          <w:color w:val="auto"/>
          <w:spacing w:val="0"/>
          <w:w w:val="100"/>
          <w:position w:val="0"/>
          <w:sz w:val="22"/>
          <w:szCs w:val="22"/>
          <w:highlight w:val="none"/>
        </w:rPr>
      </w:pPr>
      <w:bookmarkStart w:id="23" w:name="一、_报价费用说明"/>
      <w:bookmarkEnd w:id="23"/>
      <w:r>
        <w:rPr>
          <w:rFonts w:hint="eastAsia" w:ascii="宋体" w:hAnsi="宋体" w:eastAsia="宋体" w:cs="宋体"/>
          <w:b/>
          <w:bCs/>
          <w:color w:val="auto"/>
          <w:spacing w:val="0"/>
          <w:w w:val="100"/>
          <w:position w:val="0"/>
          <w:sz w:val="22"/>
          <w:szCs w:val="22"/>
          <w:highlight w:val="none"/>
        </w:rPr>
        <w:br w:type="page"/>
      </w:r>
    </w:p>
    <w:p>
      <w:pPr>
        <w:shd w:val="clear"/>
        <w:spacing w:line="480" w:lineRule="exact"/>
        <w:ind w:left="0" w:leftChars="0" w:right="0" w:rightChars="0" w:firstLine="0" w:firstLineChars="0"/>
        <w:jc w:val="center"/>
        <w:outlineLvl w:val="1"/>
        <w:rPr>
          <w:rFonts w:hint="eastAsia" w:ascii="宋体" w:hAnsi="宋体" w:eastAsia="宋体" w:cs="宋体"/>
          <w:b/>
          <w:bCs/>
          <w:color w:val="auto"/>
          <w:spacing w:val="0"/>
          <w:w w:val="100"/>
          <w:position w:val="0"/>
          <w:sz w:val="22"/>
          <w:szCs w:val="22"/>
          <w:highlight w:val="none"/>
          <w:lang w:eastAsia="zh-CN"/>
        </w:rPr>
      </w:pPr>
      <w:bookmarkStart w:id="24" w:name="_Toc5490"/>
      <w:bookmarkStart w:id="25" w:name="_Toc32216"/>
      <w:r>
        <w:rPr>
          <w:rFonts w:hint="eastAsia" w:ascii="宋体" w:hAnsi="宋体" w:eastAsia="宋体" w:cs="宋体"/>
          <w:b/>
          <w:color w:val="auto"/>
          <w:spacing w:val="0"/>
          <w:w w:val="100"/>
          <w:position w:val="0"/>
          <w:sz w:val="28"/>
          <w:szCs w:val="28"/>
          <w:highlight w:val="none"/>
        </w:rPr>
        <w:t>供应商须知</w:t>
      </w:r>
      <w:r>
        <w:rPr>
          <w:rFonts w:hint="eastAsia" w:ascii="宋体" w:hAnsi="宋体" w:eastAsia="宋体" w:cs="宋体"/>
          <w:b/>
          <w:color w:val="auto"/>
          <w:spacing w:val="0"/>
          <w:w w:val="100"/>
          <w:position w:val="0"/>
          <w:sz w:val="28"/>
          <w:szCs w:val="28"/>
          <w:highlight w:val="none"/>
          <w:lang w:val="en-US" w:eastAsia="zh-CN"/>
        </w:rPr>
        <w:t>正文</w:t>
      </w:r>
      <w:bookmarkEnd w:id="24"/>
      <w:bookmarkEnd w:id="25"/>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rPr>
      </w:pPr>
      <w:bookmarkStart w:id="26" w:name="_Toc24980"/>
      <w:bookmarkStart w:id="27" w:name="_Toc14157"/>
      <w:r>
        <w:rPr>
          <w:rFonts w:hint="eastAsia" w:ascii="宋体" w:hAnsi="宋体" w:eastAsia="宋体" w:cs="宋体"/>
          <w:b/>
          <w:bCs/>
          <w:color w:val="auto"/>
          <w:spacing w:val="0"/>
          <w:w w:val="100"/>
          <w:position w:val="0"/>
          <w:sz w:val="24"/>
          <w:szCs w:val="24"/>
          <w:highlight w:val="none"/>
        </w:rPr>
        <w:t>一、总则</w:t>
      </w:r>
      <w:bookmarkEnd w:id="26"/>
      <w:bookmarkEnd w:id="27"/>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1.适用范围</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1.2本竞争性磋商文件（以下简称磋商文件）适用于本项目的所有采购程序和环节（法律、法规另有规定的，从其规定）。</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2.定义</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2.1“采购人”是指依法进行政府采购的国家机关、事业单位、团体组织。</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2.2“采购代理机构”是指政府采购集中采购机构和集中采购机构以外的采购代理机构。</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2.3“供应商”是指向采购人提供货物、工程或者服务的法人、其他组织或者自然人。</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2.4“服务”是指除货物和工程以外的其他政府采购对象。</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2.5“竞标”是指供应商按照本项目竞争性磋商公告或者邀请函规定的方式获取磋商文件、提交响应文件并希望获得标的的行为。</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2.6“响应文件”是指：供应商根据本磋商文件要求，编制包含资格证明、报价商务技术等所有内容的文件。</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2.7“实质性要求”是指磋商文件中已经指明不满足则响应文件按无效响应处理的条款，或者不能负偏离的条款，或者采购需求中带“</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en-US"/>
        </w:rPr>
        <w:t>”的条款。</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2.8“正偏离”，是指响应文件对磋商文件“采购需求”中有关条款作出的响应优于条款要求并有利于采购人的情形。</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2.9“负偏离”，是指响应文件对磋商文件“采购需求”中有关条款作出的响应不满足条款要求，导致采购人要求不能得到满足的情形。</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2.10“允许负偏离的条款”是指采购需求中的不属于“实质性要求”的条款。</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2.11“书面形式”是指合同书、信件和数据电文（包括电报、电传、传真、电子数据交换和电子邮件）等可以有形地表现所载内容的形式。</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2.12“首次报价”是指供应商提交的首次响应文件中的报价。</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2.13“评审报价”是指供应商提交的最后报价并经修正（如有）和政策功能价格扣除（如有）后的价格。</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w:t>
      </w:r>
      <w:r>
        <w:rPr>
          <w:rFonts w:hint="eastAsia" w:ascii="宋体" w:hAnsi="宋体" w:eastAsia="宋体" w:cs="宋体"/>
          <w:b/>
          <w:bCs/>
          <w:color w:val="auto"/>
          <w:spacing w:val="0"/>
          <w:w w:val="100"/>
          <w:position w:val="0"/>
          <w:sz w:val="21"/>
          <w:szCs w:val="21"/>
          <w:highlight w:val="none"/>
          <w:lang w:val="en-US" w:eastAsia="en-US"/>
        </w:rPr>
        <w:t>资金来源、项目属性、科研仪器设备采购</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.1资金来源为财政性资金和/或本项目采购中无法与财政性资金分割的非财政性资金。</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.2项目属性见《供应商须知前附表》。</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.3是否属于科研仪器设备采购见《供应商须知前附表》。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4.现场考察、磋商前答疑会</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4.1若《供应商须知前附表》中规定了组织现场考察、召开磋商前答疑会，则供应商应按要求在规定的时间和地点参加。</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4.2由于未参加现场考察或磋商前答疑会而导致对项目实际情况不了解，影响响应文件编制、报价准确性、综合因素响应不全面等问题的，由供应商自行承担不利评审后果。</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5.进口产品</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5.2本项目是否接受进口产品见《供应商须知前附表》。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6.政府采购政策(包括但不限于下列具体政策要求)</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中小企业、监狱企业及残疾人福利性单位</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.1中小企业定义：</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1.1.2</w:t>
      </w:r>
      <w:r>
        <w:rPr>
          <w:rFonts w:hint="eastAsia" w:ascii="宋体" w:hAnsi="宋体" w:eastAsia="宋体" w:cs="宋体"/>
          <w:color w:val="auto"/>
          <w:spacing w:val="0"/>
          <w:w w:val="100"/>
          <w:position w:val="0"/>
          <w:sz w:val="21"/>
          <w:szCs w:val="21"/>
          <w:highlight w:val="none"/>
        </w:rPr>
        <w:t>供应商提供的货物、工程或者服务符合下列情形的，享受中小企业扶持政策：</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(1)在货物采购项目中，货物由中小企业制造，即货物由中小企业生产且使用该中小企业商号或者注册商标；</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(2)在工程采购项目中，工程由中小企业承建，即工程施工单位为中小企业；</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(3)在服务采购项目中，服务由中小企业承接，即提供服务的人员为中小企业依照《中华人民共和国劳动</w:t>
      </w:r>
      <w:r>
        <w:rPr>
          <w:rFonts w:hint="eastAsia" w:ascii="宋体" w:hAnsi="宋体" w:eastAsia="宋体" w:cs="宋体"/>
          <w:color w:val="auto"/>
          <w:spacing w:val="0"/>
          <w:w w:val="100"/>
          <w:position w:val="0"/>
          <w:sz w:val="21"/>
          <w:szCs w:val="21"/>
          <w:highlight w:val="none"/>
          <w:lang w:eastAsia="zh-CN"/>
        </w:rPr>
        <w:t>民法典</w:t>
      </w:r>
      <w:r>
        <w:rPr>
          <w:rFonts w:hint="eastAsia" w:ascii="宋体" w:hAnsi="宋体" w:eastAsia="宋体" w:cs="宋体"/>
          <w:color w:val="auto"/>
          <w:spacing w:val="0"/>
          <w:w w:val="100"/>
          <w:position w:val="0"/>
          <w:sz w:val="21"/>
          <w:szCs w:val="21"/>
          <w:highlight w:val="none"/>
        </w:rPr>
        <w:t>》订立劳动合同的从业人员。</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1.3在货物采购项目中，供应商提供的货物既有中小企业制造货物，也有大型企业制造货物的，不享受中小企业扶持政策。</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1.4以联合体形式参加政府采购活动，联合体各方均为中小企业的，联合体视同中小企业。其中，联合体各方均为小微企业的，联合体视同小微企业。</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1.2</w:t>
      </w:r>
      <w:r>
        <w:rPr>
          <w:rFonts w:hint="eastAsia" w:ascii="宋体" w:hAnsi="宋体" w:eastAsia="宋体" w:cs="宋体"/>
          <w:color w:val="auto"/>
          <w:spacing w:val="0"/>
          <w:w w:val="100"/>
          <w:position w:val="0"/>
          <w:sz w:val="21"/>
          <w:szCs w:val="21"/>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rPr>
        <w:t>残疾人福利单位定义：享受政府采购支持政策的残疾人福利性单位应当同时满足以下条件：</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.1安置的残疾人占本单位在职职工人数的比例不低于25%(含25%)，并且安置的残疾人人数不少于10人(含10人)；</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依法与安置的每位残疾人签订了一年以上(含一年)的劳动合同或服务协议；</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为安置的每位残疾人按月足额缴纳了基本养老保险、基本医疗保险、失业保险、工伤保险和生育保险等社会保险费；</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通过银行等金融机构向安置的每位残疾人，按月支付了不低于单位所在区县适用的经省级人民政府批准的月最低工资标准的工资；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rPr>
        <w:t>提供本单位制造的货物、承担的工程或者服务(以下简称产品)，或者提供其他残疾人福利性单位制造的货物(不包括使用非残疾人福利性单位注册商标的货物)；</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.4本项目是否专门面向中小企业预留采购份额见《采购邀请》。</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.5采购标的对应的中小企业划分标准所属行业见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.6小微企业价格评审优惠的政策调整：见《评审方法和评审标准》。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政府采购节能产品、环境标志产品</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.3如本项目采购产品属于实施政府强制采购品目清单范围的节能产品，则供应商所报产品必须获得国家确定的认证机构出具的、处于有效期之内的节能产品认证证书，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b/>
          <w:bCs/>
          <w:color w:val="auto"/>
          <w:spacing w:val="0"/>
          <w:w w:val="100"/>
          <w:position w:val="0"/>
          <w:sz w:val="21"/>
          <w:szCs w:val="21"/>
          <w:highlight w:val="none"/>
        </w:rPr>
        <w:t>否则响应无效；</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.4非政府强制采购的节能产品或环境标志产品，依据品目清单和认证证书实施政府优先采购。</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7.响应费用</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供应商应自行承担所有与准备和参加磋商有关的费用，无论磋商的结果如何，采购人或采购代理机构在任何情况下均无承担这些费用的义务和责任。</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8.联合体竞标</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.1本项目是否接受联合体竞标，详见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.2如接受联合体竞标，联合体竞标要求详见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.3根据《政府采购促进中小企业发展管理办法》（财库[2020]46号）第九条及</w:t>
      </w:r>
      <w:r>
        <w:rPr>
          <w:rFonts w:hint="eastAsia" w:ascii="宋体" w:hAnsi="宋体" w:eastAsia="宋体" w:cs="宋体"/>
          <w:color w:val="auto"/>
          <w:spacing w:val="0"/>
          <w:w w:val="100"/>
          <w:position w:val="0"/>
          <w:sz w:val="21"/>
          <w:szCs w:val="21"/>
          <w:highlight w:val="none"/>
          <w:lang w:val="en-US" w:eastAsia="zh-CN"/>
        </w:rPr>
        <w:t>相关</w:t>
      </w:r>
      <w:r>
        <w:rPr>
          <w:rFonts w:hint="eastAsia" w:ascii="宋体" w:hAnsi="宋体" w:eastAsia="宋体" w:cs="宋体"/>
          <w:color w:val="auto"/>
          <w:spacing w:val="0"/>
          <w:w w:val="100"/>
          <w:position w:val="0"/>
          <w:sz w:val="21"/>
          <w:szCs w:val="21"/>
          <w:highlight w:val="none"/>
        </w:rPr>
        <w:t>规定，接受大中型企业与小微企业组成联合体的采购项目，对于联合协议约定小微企业的合同份额占到合同总金额</w:t>
      </w:r>
      <w:r>
        <w:rPr>
          <w:rFonts w:hint="eastAsia" w:cs="宋体"/>
          <w:color w:val="auto"/>
          <w:spacing w:val="0"/>
          <w:w w:val="100"/>
          <w:position w:val="0"/>
          <w:sz w:val="21"/>
          <w:szCs w:val="21"/>
          <w:highlight w:val="none"/>
          <w:lang w:val="en-US" w:eastAsia="zh-CN"/>
        </w:rPr>
        <w:t>30</w:t>
      </w:r>
      <w:r>
        <w:rPr>
          <w:rFonts w:hint="eastAsia" w:ascii="宋体" w:hAnsi="宋体" w:eastAsia="宋体" w:cs="宋体"/>
          <w:color w:val="auto"/>
          <w:spacing w:val="0"/>
          <w:w w:val="100"/>
          <w:position w:val="0"/>
          <w:sz w:val="21"/>
          <w:szCs w:val="21"/>
          <w:highlight w:val="none"/>
        </w:rPr>
        <w:t>%以上的，采购人、采购代理机构应当对联合体的报价给予4%-6%（工程项目为1%—2%）的扣除，用扣除后的价格参加评审。组成联合体的小微企业与联合体内其他</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企业、分包企业之间存在直接控股、管理关系的，不享受价格扣除优惠政策。</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9.转包与分包</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rPr>
        <w:t>.1本项目是否允许分包详见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，本项目不允许违法分包。</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rPr>
        <w:t>.2根据《政府采购促进中小企业发展管理办法》（财库[2020]46号）第九条及</w:t>
      </w:r>
      <w:r>
        <w:rPr>
          <w:rFonts w:hint="eastAsia" w:ascii="宋体" w:hAnsi="宋体" w:eastAsia="宋体" w:cs="宋体"/>
          <w:color w:val="auto"/>
          <w:spacing w:val="0"/>
          <w:w w:val="100"/>
          <w:position w:val="0"/>
          <w:sz w:val="21"/>
          <w:szCs w:val="21"/>
          <w:highlight w:val="none"/>
          <w:lang w:val="en-US" w:eastAsia="zh-CN"/>
        </w:rPr>
        <w:t>相关</w:t>
      </w:r>
      <w:r>
        <w:rPr>
          <w:rFonts w:hint="eastAsia" w:ascii="宋体" w:hAnsi="宋体" w:eastAsia="宋体" w:cs="宋体"/>
          <w:color w:val="auto"/>
          <w:spacing w:val="0"/>
          <w:w w:val="100"/>
          <w:position w:val="0"/>
          <w:sz w:val="21"/>
          <w:szCs w:val="21"/>
          <w:highlight w:val="none"/>
        </w:rPr>
        <w:t>规定，允许大中型企业向一家或者多家小微企业分包的采购项目，对于分包意向协议约定小微企业的合同份额占到合同总金额</w:t>
      </w:r>
      <w:r>
        <w:rPr>
          <w:rFonts w:hint="eastAsia" w:cs="宋体"/>
          <w:color w:val="auto"/>
          <w:spacing w:val="0"/>
          <w:w w:val="100"/>
          <w:position w:val="0"/>
          <w:sz w:val="21"/>
          <w:szCs w:val="21"/>
          <w:highlight w:val="none"/>
          <w:lang w:val="en-US" w:eastAsia="zh-CN"/>
        </w:rPr>
        <w:t>30</w:t>
      </w:r>
      <w:r>
        <w:rPr>
          <w:rFonts w:hint="eastAsia" w:ascii="宋体" w:hAnsi="宋体" w:eastAsia="宋体" w:cs="宋体"/>
          <w:color w:val="auto"/>
          <w:spacing w:val="0"/>
          <w:w w:val="100"/>
          <w:position w:val="0"/>
          <w:sz w:val="21"/>
          <w:szCs w:val="21"/>
          <w:highlight w:val="none"/>
        </w:rPr>
        <w:t>%以上的，采购人、采购代理机构应当对大中型企业的报价给予4%-6%的扣除，用扣除后的价格参加评审。接受分包的小微企业与分包企业之间存在直接控股、管理关系的，不享受价格扣除优惠政策。</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10.特别说明</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10.1</w:t>
      </w:r>
      <w:r>
        <w:rPr>
          <w:rFonts w:hint="eastAsia" w:ascii="宋体" w:hAnsi="宋体" w:eastAsia="宋体" w:cs="宋体"/>
          <w:color w:val="auto"/>
          <w:spacing w:val="0"/>
          <w:w w:val="100"/>
          <w:position w:val="0"/>
          <w:sz w:val="21"/>
          <w:szCs w:val="21"/>
          <w:highlight w:val="none"/>
        </w:rPr>
        <w:t>供应商应仔细阅读磋商文件的所有内容，按照磋商文件的要求提交响应文件，并对所提供的全部资料的真实性承担法律责任。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10.2</w:t>
      </w:r>
      <w:r>
        <w:rPr>
          <w:rFonts w:hint="eastAsia" w:ascii="宋体" w:hAnsi="宋体" w:eastAsia="宋体" w:cs="宋体"/>
          <w:color w:val="auto"/>
          <w:spacing w:val="0"/>
          <w:w w:val="100"/>
          <w:position w:val="0"/>
          <w:sz w:val="21"/>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10.3</w:t>
      </w:r>
      <w:r>
        <w:rPr>
          <w:rFonts w:hint="eastAsia" w:ascii="宋体" w:hAnsi="宋体" w:eastAsia="宋体" w:cs="宋体"/>
          <w:color w:val="auto"/>
          <w:spacing w:val="0"/>
          <w:w w:val="100"/>
          <w:position w:val="0"/>
          <w:sz w:val="21"/>
          <w:szCs w:val="21"/>
          <w:highlight w:val="none"/>
        </w:rPr>
        <w:t>在政府采购活动中，采购人员及相关人员与供应商有下列利害关系之一的，应当回避：</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（1）参加采购活动前3年内与供应商存在劳动关系；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（2）参加采购活动前3年内担任供应商的董事、监事；</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（3）参加采购活动前3年内是供应商的控股股东或者实际控制人；</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（4）与供应商的法定代表人或者负责人有夫妻、直系血亲、三代以内旁系血亲或者近姻亲关系；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（5）与供应商有其他可能影响政府采购活动公平、公正进行的关系。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10.4</w:t>
      </w:r>
      <w:r>
        <w:rPr>
          <w:rFonts w:hint="eastAsia" w:ascii="宋体" w:hAnsi="宋体" w:eastAsia="宋体" w:cs="宋体"/>
          <w:color w:val="auto"/>
          <w:spacing w:val="0"/>
          <w:w w:val="100"/>
          <w:position w:val="0"/>
          <w:sz w:val="21"/>
          <w:szCs w:val="21"/>
          <w:highlight w:val="none"/>
        </w:rPr>
        <w:t>有下列情形之一的视为供应商相互串通竞标，响应文件将被视为无效：</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（1）不同供应商的响应文件由同一单位或者个人编制；或者不同供应商报名的IP地址一致的；或者编制响应文件硬件设备CPU编号、硬盘编号、网卡地址一致的情况。</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（2）不同供应商委托同一单位或者个人办理竞标事宜；</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（3）不同的供应商的响应文件载明的项目管理员为同一个人；</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（4）不同供应商的响应文件异常一致或者报价呈规律性差异；</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（5）不同供应商的响应文件相互混装；</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（6）不同供应商的磋商保证金从同一单位或者个人账户转出。</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10.5</w:t>
      </w:r>
      <w:r>
        <w:rPr>
          <w:rFonts w:hint="eastAsia" w:ascii="宋体" w:hAnsi="宋体" w:eastAsia="宋体" w:cs="宋体"/>
          <w:color w:val="auto"/>
          <w:spacing w:val="0"/>
          <w:w w:val="100"/>
          <w:position w:val="0"/>
          <w:sz w:val="21"/>
          <w:szCs w:val="21"/>
          <w:highlight w:val="none"/>
        </w:rPr>
        <w:t>供应商有下列情形之一的，属于恶意串通行为，将报同级监督管理部门：</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（1）供应商直接或者间接从采购人或者采购代理机构处获得其他供应商的相关信息并修改</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其响应文件；</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（2）供应商按照采购人或者采购代理机构的授意撤换、修改响应文件；</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（3）供应商之间协商报价、技术方案等响应文件或者响应文件的实质性内容；</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（4）属于同一集团、协会、商会等组织成员的供应商按照该组织要求协同参加政府采购活动；</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（5）供应商之间事先约定一致抬高或者压低报价，或者在政府采购活动中事先约定轮流以</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高价位或者低价位成交，或者事先约定由某一特定供应商成交，然后再参加竞标；</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（6）供应商之间商定部分供应商放弃参加政府采购活动或者放弃成交；</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（7）供应商与采购人或者采购代理机构之间、供应商相互之间，为谋求特定供应商成交或者排斥其他供应商的其他串通行为。</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rPr>
      </w:pPr>
      <w:bookmarkStart w:id="28" w:name="_Toc20065"/>
      <w:bookmarkStart w:id="29" w:name="_Toc9205"/>
      <w:r>
        <w:rPr>
          <w:rFonts w:hint="eastAsia" w:ascii="宋体" w:hAnsi="宋体" w:eastAsia="宋体" w:cs="宋体"/>
          <w:b/>
          <w:bCs/>
          <w:color w:val="auto"/>
          <w:spacing w:val="0"/>
          <w:w w:val="100"/>
          <w:position w:val="0"/>
          <w:sz w:val="24"/>
          <w:szCs w:val="24"/>
          <w:highlight w:val="none"/>
        </w:rPr>
        <w:t>二、竞争性磋商文件</w:t>
      </w:r>
      <w:bookmarkEnd w:id="28"/>
      <w:bookmarkEnd w:id="29"/>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11.竞争性磋商文件构成</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11</w:t>
      </w:r>
      <w:r>
        <w:rPr>
          <w:rFonts w:hint="eastAsia" w:ascii="宋体" w:hAnsi="宋体" w:eastAsia="宋体" w:cs="宋体"/>
          <w:color w:val="auto"/>
          <w:spacing w:val="0"/>
          <w:w w:val="100"/>
          <w:position w:val="0"/>
          <w:sz w:val="21"/>
          <w:szCs w:val="21"/>
          <w:highlight w:val="none"/>
        </w:rPr>
        <w:t>.1竞争性磋商文件包括以下部分：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第一部分 磋商</w:t>
      </w:r>
      <w:r>
        <w:rPr>
          <w:rFonts w:hint="eastAsia" w:ascii="宋体" w:hAnsi="宋体" w:eastAsia="宋体" w:cs="宋体"/>
          <w:color w:val="auto"/>
          <w:spacing w:val="0"/>
          <w:w w:val="100"/>
          <w:position w:val="0"/>
          <w:sz w:val="21"/>
          <w:szCs w:val="21"/>
          <w:highlight w:val="none"/>
        </w:rPr>
        <w:t>邀请</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第二部分 </w:t>
      </w:r>
      <w:r>
        <w:rPr>
          <w:rFonts w:hint="eastAsia" w:ascii="宋体" w:hAnsi="宋体" w:eastAsia="宋体" w:cs="宋体"/>
          <w:color w:val="auto"/>
          <w:spacing w:val="0"/>
          <w:w w:val="100"/>
          <w:position w:val="0"/>
          <w:sz w:val="21"/>
          <w:szCs w:val="21"/>
          <w:highlight w:val="none"/>
        </w:rPr>
        <w:t>采购需求</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第三部分 </w:t>
      </w:r>
      <w:r>
        <w:rPr>
          <w:rFonts w:hint="eastAsia" w:ascii="宋体" w:hAnsi="宋体" w:eastAsia="宋体" w:cs="宋体"/>
          <w:color w:val="auto"/>
          <w:spacing w:val="0"/>
          <w:w w:val="100"/>
          <w:position w:val="0"/>
          <w:sz w:val="21"/>
          <w:szCs w:val="21"/>
          <w:highlight w:val="none"/>
        </w:rPr>
        <w:t>供应商须知</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第四部分 评审程序、评审方法和评审标准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第五部分 合同书格式</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第六部分 </w:t>
      </w:r>
      <w:r>
        <w:rPr>
          <w:rFonts w:hint="eastAsia" w:ascii="宋体" w:hAnsi="宋体" w:eastAsia="宋体" w:cs="宋体"/>
          <w:color w:val="auto"/>
          <w:spacing w:val="0"/>
          <w:w w:val="100"/>
          <w:position w:val="0"/>
          <w:sz w:val="21"/>
          <w:szCs w:val="21"/>
          <w:highlight w:val="none"/>
        </w:rPr>
        <w:t>响应文件格式</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11.2供应商应认真阅读竞争性磋商文件的全部内容。供应商应按照竞争性磋商文件要求提交响应文件并保证所提供的全部资料的真实性，并对竞争性磋商文件做出实质性响应，否则响应无效。</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12.</w:t>
      </w:r>
      <w:r>
        <w:rPr>
          <w:rFonts w:hint="eastAsia" w:ascii="宋体" w:hAnsi="宋体" w:eastAsia="宋体" w:cs="宋体"/>
          <w:b/>
          <w:bCs/>
          <w:color w:val="auto"/>
          <w:spacing w:val="0"/>
          <w:w w:val="100"/>
          <w:position w:val="0"/>
          <w:sz w:val="21"/>
          <w:szCs w:val="21"/>
          <w:highlight w:val="none"/>
          <w:lang w:val="en-US" w:eastAsia="en-US"/>
        </w:rPr>
        <w:t>供应商的询问</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供应商应认真阅读磋商文件的采购需求，如供应商对磋商文件有疑问的，如要求采购人作出澄清或者修改的，供应商尽应在提交首次响应文件截止之日前，以书面形式向采购人、采购代理机构提出。</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13</w:t>
      </w:r>
      <w:r>
        <w:rPr>
          <w:rFonts w:hint="eastAsia" w:ascii="宋体" w:hAnsi="宋体" w:eastAsia="宋体" w:cs="宋体"/>
          <w:b/>
          <w:bCs/>
          <w:color w:val="auto"/>
          <w:spacing w:val="0"/>
          <w:w w:val="100"/>
          <w:position w:val="0"/>
          <w:sz w:val="21"/>
          <w:szCs w:val="21"/>
          <w:highlight w:val="none"/>
          <w:lang w:val="en-US" w:eastAsia="en-US"/>
        </w:rPr>
        <w:t>.磋商文件的澄清和修改</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.1已获取磋商文件的潜在供应商，若有问题需要澄清，应于应标截止时间前，以书面形式向采购代理机构提出，采购代理机构与采购人研究后，对认为有必要回答的问题，按照本章</w:t>
      </w:r>
      <w:r>
        <w:rPr>
          <w:rFonts w:hint="eastAsia" w:ascii="宋体" w:hAnsi="宋体" w:eastAsia="宋体" w:cs="宋体"/>
          <w:color w:val="auto"/>
          <w:spacing w:val="0"/>
          <w:w w:val="100"/>
          <w:position w:val="0"/>
          <w:sz w:val="21"/>
          <w:szCs w:val="21"/>
          <w:highlight w:val="none"/>
          <w:lang w:val="en-US" w:eastAsia="zh-CN"/>
        </w:rPr>
        <w:t>先关</w:t>
      </w:r>
      <w:r>
        <w:rPr>
          <w:rFonts w:hint="eastAsia" w:ascii="宋体" w:hAnsi="宋体" w:eastAsia="宋体" w:cs="宋体"/>
          <w:color w:val="auto"/>
          <w:spacing w:val="0"/>
          <w:w w:val="100"/>
          <w:position w:val="0"/>
          <w:sz w:val="21"/>
          <w:szCs w:val="21"/>
          <w:highlight w:val="none"/>
          <w:lang w:val="en-US" w:eastAsia="en-US"/>
        </w:rPr>
        <w:t>的内容处理。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.4采购信息更正公告的内容应当包括采购人和采购代理机构名称、地址、联系方式，原公告的采购项目名称及首次公告日期，更正事项、内容及日期，采购项目联系人和电话。</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.5采购人和采购代理机构可以视采购具体情况，变更提交首次响应文件截止时间和竞谈时间，将变更时间将在规定的政府采购信息发布媒体上发布更正公告。</w:t>
      </w:r>
    </w:p>
    <w:p>
      <w:pPr>
        <w:keepNext w:val="0"/>
        <w:keepLines w:val="0"/>
        <w:pageBreakBefore w:val="0"/>
        <w:shd w:val="clear"/>
        <w:wordWrap/>
        <w:overflowPunct/>
        <w:topLinePunct w:val="0"/>
        <w:autoSpaceDE w:val="0"/>
        <w:autoSpaceDN w:val="0"/>
        <w:bidi w:val="0"/>
        <w:spacing w:line="360" w:lineRule="auto"/>
        <w:ind w:left="0" w:right="0" w:firstLine="422"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w:t>
      </w:r>
      <w:r>
        <w:rPr>
          <w:rFonts w:hint="eastAsia" w:ascii="宋体" w:hAnsi="宋体" w:eastAsia="宋体" w:cs="宋体"/>
          <w:b/>
          <w:bCs/>
          <w:color w:val="auto"/>
          <w:spacing w:val="0"/>
          <w:w w:val="100"/>
          <w:position w:val="0"/>
          <w:sz w:val="21"/>
          <w:szCs w:val="21"/>
          <w:highlight w:val="none"/>
          <w:lang w:val="en-US" w:eastAsia="en-US"/>
        </w:rPr>
        <w:t>响应文件未按磋商文件的澄清、修改的内容编制，又不符合实质性要求的，其响应文件作无效处理。</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rPr>
      </w:pPr>
      <w:bookmarkStart w:id="30" w:name="_Toc22350"/>
      <w:bookmarkStart w:id="31" w:name="_Toc18386"/>
      <w:r>
        <w:rPr>
          <w:rFonts w:hint="eastAsia" w:ascii="宋体" w:hAnsi="宋体" w:eastAsia="宋体" w:cs="宋体"/>
          <w:b/>
          <w:bCs/>
          <w:color w:val="auto"/>
          <w:spacing w:val="0"/>
          <w:w w:val="100"/>
          <w:position w:val="0"/>
          <w:sz w:val="24"/>
          <w:szCs w:val="24"/>
          <w:highlight w:val="none"/>
        </w:rPr>
        <w:t>三、响应文件的编制</w:t>
      </w:r>
      <w:bookmarkEnd w:id="30"/>
      <w:bookmarkEnd w:id="31"/>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14</w:t>
      </w:r>
      <w:r>
        <w:rPr>
          <w:rFonts w:hint="eastAsia" w:ascii="宋体" w:hAnsi="宋体" w:eastAsia="宋体" w:cs="宋体"/>
          <w:b/>
          <w:bCs/>
          <w:color w:val="auto"/>
          <w:spacing w:val="0"/>
          <w:w w:val="100"/>
          <w:position w:val="0"/>
          <w:sz w:val="21"/>
          <w:szCs w:val="21"/>
          <w:highlight w:val="none"/>
          <w:lang w:val="en-US" w:eastAsia="en-US"/>
        </w:rPr>
        <w:t>.响应文件的编制原则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供应商必须按照磋商文件的要求编制响应文件，并对其提交的响应文件的真实性、合法性承担法律责任。响应文件必须对磋商文件作出实质性响应。</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15</w:t>
      </w:r>
      <w:r>
        <w:rPr>
          <w:rFonts w:hint="eastAsia" w:ascii="宋体" w:hAnsi="宋体" w:eastAsia="宋体" w:cs="宋体"/>
          <w:b/>
          <w:bCs/>
          <w:color w:val="auto"/>
          <w:spacing w:val="0"/>
          <w:w w:val="100"/>
          <w:position w:val="0"/>
          <w:sz w:val="21"/>
          <w:szCs w:val="21"/>
          <w:highlight w:val="none"/>
          <w:lang w:val="en-US" w:eastAsia="en-US"/>
        </w:rPr>
        <w:t>.响应文件的组成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.1响应文件由资格证明文件、报价文件、商务和技术文件三部分组成。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5</w:t>
      </w:r>
      <w:r>
        <w:rPr>
          <w:rFonts w:hint="eastAsia" w:ascii="宋体" w:hAnsi="宋体" w:eastAsia="宋体" w:cs="宋体"/>
          <w:snapToGrid w:val="0"/>
          <w:color w:val="auto"/>
          <w:spacing w:val="0"/>
          <w:kern w:val="0"/>
          <w:position w:val="0"/>
          <w:sz w:val="21"/>
          <w:szCs w:val="21"/>
          <w:highlight w:val="none"/>
          <w:lang w:val="en-US" w:eastAsia="en-US" w:bidi="ar-SA"/>
        </w:rPr>
        <w:t>.1.1资格证明文件：详见须知前附表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.1.2商务技术文件：详见须知前附表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.1.3报价文件：详见须知前附表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.2响应文件电子版：详见须知前附表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磋商文件已有明确规定的，使用磋商文件规定的计量单位；磋商文件没有规定的，应采用中华人民共和国法定计量单位，货币种类为人民币，否则视同未响应。</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.竞标的风险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供应商没有按照磋商文件要求提供全部资料，或者供应商没有对磋商文件在各方面作出实质性响应可能导致其响应无效，是供应商应当考虑的风险。</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8</w:t>
      </w:r>
      <w:r>
        <w:rPr>
          <w:rFonts w:hint="eastAsia" w:ascii="宋体" w:hAnsi="宋体" w:eastAsia="宋体" w:cs="宋体"/>
          <w:b/>
          <w:bCs/>
          <w:color w:val="auto"/>
          <w:spacing w:val="0"/>
          <w:w w:val="100"/>
          <w:position w:val="0"/>
          <w:sz w:val="21"/>
          <w:szCs w:val="21"/>
          <w:highlight w:val="none"/>
          <w:lang w:val="en-US" w:eastAsia="en-US"/>
        </w:rPr>
        <w:t>.响应报价要求和构成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.1响应报价应按“第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ascii="宋体" w:hAnsi="宋体" w:eastAsia="宋体" w:cs="宋体"/>
          <w:snapToGrid w:val="0"/>
          <w:color w:val="auto"/>
          <w:spacing w:val="0"/>
          <w:kern w:val="0"/>
          <w:position w:val="0"/>
          <w:sz w:val="21"/>
          <w:szCs w:val="21"/>
          <w:highlight w:val="none"/>
          <w:lang w:val="en-US" w:eastAsia="en-US" w:bidi="ar-SA"/>
        </w:rPr>
        <w:t>响应文件格式”中“响应报价表”格式填写。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.2响应报价的价格构成见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.3响应报价要求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.3.1供应商的响应报价应符合以下要求，否则响应文件按无效响应处理：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（1）供应商必须就“采购需求”中所竞标的每个分标的全部内容分别作完整唯一总价报价，不得存在漏项报价；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（2）供应商必须就所竞标的分标的单项内容作唯一报价。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.3.2响应报价（包含首次报价、最后报价）超过所竞标分标规定的采购预算金额或者最高限价的，其响应文件将作无效处理。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.3.3响应报价（包含首次报价、最后报价）超过分项采购预算金额或者最高限价的，其响应文件将作无效处理。</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.竞标有效期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.1竞标有效期是指为保证采购人有足够的时间在提交响应文件后完成评审、确定成交供应商、合同签订等工作而要求供应商提交的响应文件在一定时间内保持有效的期限。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.2竞标有效期应由供应商按</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规定的期限作出响应。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.3供应商的响应文件在竞标有效期内均保持有效。</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20.</w:t>
      </w:r>
      <w:r>
        <w:rPr>
          <w:rFonts w:hint="eastAsia" w:ascii="宋体" w:hAnsi="宋体" w:eastAsia="宋体" w:cs="宋体"/>
          <w:b/>
          <w:bCs/>
          <w:color w:val="auto"/>
          <w:spacing w:val="0"/>
          <w:w w:val="100"/>
          <w:position w:val="0"/>
          <w:sz w:val="21"/>
          <w:szCs w:val="21"/>
          <w:highlight w:val="none"/>
          <w:lang w:val="en-US" w:eastAsia="en-US"/>
        </w:rPr>
        <w:t>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.1所有响应均以人民币报价。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.2供应商的报价应包括为完成本项目所发生的一切费用和税费，采购人将不再支付报价以外的任何费用。供应商的报价应包括但不限于下列内容，</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中有特殊规定的，从其规定。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0.2.2按照竞争性磋商文件要求完成本项目的全部相关工程或服务费用。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0.3采购人不得向供应商索要或者接受其给予的赠品、回扣或者与采购无关的其他商品、服务。</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0.4供应商不能提供任何有选择性或可调整的最后报价(竞争性磋商文件另有规定的除外)，否则其</w:t>
      </w:r>
      <w:r>
        <w:rPr>
          <w:rFonts w:hint="eastAsia" w:ascii="宋体" w:hAnsi="宋体" w:eastAsia="宋体" w:cs="宋体"/>
          <w:b/>
          <w:bCs/>
          <w:color w:val="auto"/>
          <w:spacing w:val="0"/>
          <w:w w:val="100"/>
          <w:position w:val="0"/>
          <w:sz w:val="21"/>
          <w:szCs w:val="21"/>
          <w:highlight w:val="none"/>
        </w:rPr>
        <w:t>响应无效</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w:t>
      </w: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w:t>
      </w:r>
      <w:r>
        <w:rPr>
          <w:rFonts w:hint="eastAsia" w:ascii="宋体" w:hAnsi="宋体" w:eastAsia="宋体" w:cs="宋体"/>
          <w:b/>
          <w:bCs/>
          <w:color w:val="auto"/>
          <w:spacing w:val="0"/>
          <w:w w:val="100"/>
          <w:position w:val="0"/>
          <w:sz w:val="21"/>
          <w:szCs w:val="21"/>
          <w:highlight w:val="none"/>
          <w:lang w:val="en-US" w:eastAsia="en-US"/>
        </w:rPr>
        <w:t>磋商保证金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1.1供应商应按</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中规定的金额及要求交纳磋商保证金，并作为其响应文件的一部分。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1.2交纳磋商保证金可采用的形式：政府采购法律法规接受的支票、汇票、本票、网上银行支付或者金融机构、担保机构出具的保函等非现金形式。</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w:t>
      </w:r>
      <w:r>
        <w:rPr>
          <w:rFonts w:hint="eastAsia" w:ascii="宋体" w:hAnsi="宋体" w:eastAsia="宋体" w:cs="宋体"/>
          <w:b/>
          <w:bCs/>
          <w:color w:val="auto"/>
          <w:spacing w:val="0"/>
          <w:w w:val="100"/>
          <w:position w:val="0"/>
          <w:sz w:val="21"/>
          <w:szCs w:val="21"/>
          <w:highlight w:val="none"/>
        </w:rPr>
        <w:t>其响应无效</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1.4磋商保证金(保函)有效期同响应有效期。</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1.5供应商为联合体的，可以由联合体中的一方或者多方共同交纳磋商保证金，其交纳的保证金对联合体各方均具有约束力。</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1.6采购人、采购代理机构将及时退还供应商的保证金，采用银行保函、担保机构担保函等形式递交的保证金，经供应商同意后采购人、采购代理机构可以不再退还，但因供应商自身原因导致无法及时退还的除外：</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1.6.1已提交响应文件的供应商，在提交最后报价之前，可以根据磋商情况退出磋商。采购人、采购代理机构将退还退出磋商的供应商的磋商保证金；</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1.6.2成交供应商的磋商保证金，在采购合同签订后5个工作日内退还成交供应商；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1.6.3未成交供应商的磋商保证金，在成交通知书发出后5个工作日内退还。</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1.7有下列情形之一的，采购人或采购代理机构不予退还磋商保证金：</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1.7.1供应商在提交响应文件截止时间后撤回响应文件的；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1.7.2供应商在响应文件中提供虚假材料的；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1.7.3除因不可抗力或磋商文件认可的情形以外，成交供应商不与采购人签订合同的；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1.7.4供应商与采购人、其他供应商或者采购代理机构恶意串通的；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1.7.5</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规定的其他情形。</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22</w:t>
      </w:r>
      <w:r>
        <w:rPr>
          <w:rFonts w:hint="eastAsia" w:ascii="宋体" w:hAnsi="宋体" w:eastAsia="宋体" w:cs="宋体"/>
          <w:b/>
          <w:bCs/>
          <w:color w:val="auto"/>
          <w:spacing w:val="0"/>
          <w:w w:val="100"/>
          <w:position w:val="0"/>
          <w:sz w:val="21"/>
          <w:szCs w:val="21"/>
          <w:highlight w:val="none"/>
          <w:lang w:val="en-US" w:eastAsia="en-US"/>
        </w:rPr>
        <w:t>.响应文件编制的要求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.1各供应商在编制响应文件时请按照磋商文件“第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ascii="宋体" w:hAnsi="宋体" w:eastAsia="宋体" w:cs="宋体"/>
          <w:snapToGrid w:val="0"/>
          <w:color w:val="auto"/>
          <w:spacing w:val="0"/>
          <w:kern w:val="0"/>
          <w:position w:val="0"/>
          <w:sz w:val="21"/>
          <w:szCs w:val="21"/>
          <w:highlight w:val="none"/>
          <w:lang w:val="en-US" w:eastAsia="en-US" w:bidi="ar-SA"/>
        </w:rPr>
        <w:t>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.2响应文件应按资格证明、报价分别编制，商务技术文件合并编制，本磋商只接受电子版响应文件，要求见本章“响应文件电子版要求”。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.3响应文件须由供应商在“第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ascii="宋体" w:hAnsi="宋体" w:eastAsia="宋体" w:cs="宋体"/>
          <w:snapToGrid w:val="0"/>
          <w:color w:val="auto"/>
          <w:spacing w:val="0"/>
          <w:kern w:val="0"/>
          <w:position w:val="0"/>
          <w:sz w:val="21"/>
          <w:szCs w:val="21"/>
          <w:highlight w:val="none"/>
          <w:lang w:val="en-US" w:eastAsia="en-US" w:bidi="ar-SA"/>
        </w:rPr>
        <w:t>响应文件格式”规定位置进行签署、盖章，否则其响应文件按无效响应处理。骑缝盖公章不视为在规定位置盖章。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.4响应文件中标注的供应商名称应与营业执照（事业单位法人证书、执业许可证、自然人身份证）及电子公章一致，</w:t>
      </w:r>
      <w:r>
        <w:rPr>
          <w:rFonts w:hint="eastAsia" w:ascii="宋体" w:hAnsi="宋体" w:eastAsia="宋体" w:cs="宋体"/>
          <w:b/>
          <w:bCs/>
          <w:snapToGrid w:val="0"/>
          <w:color w:val="auto"/>
          <w:spacing w:val="0"/>
          <w:kern w:val="0"/>
          <w:position w:val="0"/>
          <w:sz w:val="21"/>
          <w:szCs w:val="21"/>
          <w:highlight w:val="none"/>
          <w:lang w:val="en-US" w:eastAsia="en-US" w:bidi="ar-SA"/>
        </w:rPr>
        <w:t>否则其响应文件按无效响应处理。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.5响应文件应避免涂改、行间插字或者删除，否则其响应文件按无效响应处理。</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23</w:t>
      </w:r>
      <w:r>
        <w:rPr>
          <w:rFonts w:hint="eastAsia" w:ascii="宋体" w:hAnsi="宋体" w:eastAsia="宋体" w:cs="宋体"/>
          <w:b/>
          <w:bCs/>
          <w:color w:val="auto"/>
          <w:spacing w:val="0"/>
          <w:w w:val="100"/>
          <w:position w:val="0"/>
          <w:sz w:val="21"/>
          <w:szCs w:val="21"/>
          <w:highlight w:val="none"/>
          <w:lang w:val="en-US" w:eastAsia="en-US"/>
        </w:rPr>
        <w:t>.响应文件的密封和标记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.1供应商进行电子交易应安装客户端软件—“政采云电子交易客户端”，并按照磋商文件和电子交易平台的要求编制并加密响应文件。供应商未按规定加密的响应文件，电子交易平台将拒收并提示。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.2使用“政采云电子交易客户端”需要提前申领CA数字证书，申领流程</w:t>
      </w:r>
      <w:r>
        <w:rPr>
          <w:rFonts w:hint="eastAsia" w:ascii="宋体" w:hAnsi="宋体" w:eastAsia="宋体" w:cs="宋体"/>
          <w:snapToGrid w:val="0"/>
          <w:color w:val="auto"/>
          <w:spacing w:val="0"/>
          <w:kern w:val="0"/>
          <w:position w:val="0"/>
          <w:sz w:val="21"/>
          <w:szCs w:val="21"/>
          <w:highlight w:val="none"/>
          <w:lang w:val="en-US" w:eastAsia="zh-CN" w:bidi="ar-SA"/>
        </w:rPr>
        <w:t>咨询政采云平台客服</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1"/>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.3为确保网上操作合法、有效和安全，供应商应当在响应文件提交截止时间前完成在“政府采购云平台”的身份认证，确保在电子交易过程中能够对相关数据电文进行加密和使用电子签名。</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4</w:t>
      </w:r>
      <w:r>
        <w:rPr>
          <w:rFonts w:hint="eastAsia" w:ascii="宋体" w:hAnsi="宋体" w:eastAsia="宋体" w:cs="宋体"/>
          <w:b/>
          <w:bCs/>
          <w:color w:val="auto"/>
          <w:spacing w:val="0"/>
          <w:w w:val="100"/>
          <w:position w:val="0"/>
          <w:sz w:val="21"/>
          <w:szCs w:val="21"/>
          <w:highlight w:val="none"/>
          <w:lang w:val="en-US" w:eastAsia="en-US"/>
        </w:rPr>
        <w:t>.响应文件的提交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.1供应商必须在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规定的时间和地点提交响应文件。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.2在响应文件提交截止时间以后，不能补充、修改响应文件。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.3在提交“最后报价”后，供应商不能退出谈判。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.4电子交易平台收到响应文件，将妥善保存并即时向供应商发出确认回执通知。在响应文件提交截止时间前，除供应商补充、修改或者撤回响应文件外，任何单位和个人不得解密或提取响应文件。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.5采购机构不可视情况延长提交响应文件的截止时间。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.6备份响应文件。详见在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en-US"/>
        </w:rPr>
        <w:t>.首次响应文件的补充、修改与撤回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.首次响应文件的退回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在首次响应文件提交截止时间止提交响应文件的供应商不足3家时电子响应文件由代理机构在“政采云”平台操作退回，除此之外采购人和采购代理机构对已提交的电子响应文件概不退回。</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.截止时间后的撤回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供应商在首次响应文件提交截止时间后可向采购人、采购代理机构书面申请撤回电子响应文件</w:t>
      </w:r>
      <w:r>
        <w:rPr>
          <w:rFonts w:hint="eastAsia" w:ascii="宋体" w:hAnsi="宋体" w:eastAsia="宋体" w:cs="宋体"/>
          <w:snapToGrid w:val="0"/>
          <w:color w:val="auto"/>
          <w:spacing w:val="0"/>
          <w:kern w:val="0"/>
          <w:position w:val="0"/>
          <w:sz w:val="21"/>
          <w:szCs w:val="21"/>
          <w:highlight w:val="none"/>
          <w:lang w:val="en-US" w:eastAsia="zh-CN" w:bidi="ar-SA"/>
        </w:rPr>
        <w:t>，经</w:t>
      </w:r>
      <w:r>
        <w:rPr>
          <w:rFonts w:hint="eastAsia" w:ascii="宋体" w:hAnsi="宋体" w:eastAsia="宋体" w:cs="宋体"/>
          <w:snapToGrid w:val="0"/>
          <w:color w:val="auto"/>
          <w:spacing w:val="0"/>
          <w:kern w:val="0"/>
          <w:position w:val="0"/>
          <w:sz w:val="21"/>
          <w:szCs w:val="21"/>
          <w:highlight w:val="none"/>
          <w:lang w:val="en-US" w:eastAsia="en-US" w:bidi="ar-SA"/>
        </w:rPr>
        <w:t>采购人、采购代理机构</w:t>
      </w:r>
      <w:r>
        <w:rPr>
          <w:rFonts w:hint="eastAsia" w:ascii="宋体" w:hAnsi="宋体" w:eastAsia="宋体" w:cs="宋体"/>
          <w:snapToGrid w:val="0"/>
          <w:color w:val="auto"/>
          <w:spacing w:val="0"/>
          <w:kern w:val="0"/>
          <w:position w:val="0"/>
          <w:sz w:val="21"/>
          <w:szCs w:val="21"/>
          <w:highlight w:val="none"/>
          <w:lang w:val="en-US" w:eastAsia="zh-CN" w:bidi="ar-SA"/>
        </w:rPr>
        <w:t>同意后才能撤回，否则将没收供应商磋商保证金</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rPr>
      </w:pPr>
      <w:bookmarkStart w:id="32" w:name="_Toc16360"/>
      <w:bookmarkStart w:id="33" w:name="_Toc17849"/>
      <w:r>
        <w:rPr>
          <w:rFonts w:hint="eastAsia" w:ascii="宋体" w:hAnsi="宋体" w:eastAsia="宋体" w:cs="宋体"/>
          <w:b/>
          <w:bCs/>
          <w:color w:val="auto"/>
          <w:spacing w:val="0"/>
          <w:w w:val="100"/>
          <w:position w:val="0"/>
          <w:sz w:val="24"/>
          <w:szCs w:val="24"/>
          <w:highlight w:val="none"/>
          <w:lang w:val="en-US" w:eastAsia="zh-CN"/>
        </w:rPr>
        <w:t>四</w:t>
      </w:r>
      <w:r>
        <w:rPr>
          <w:rFonts w:hint="eastAsia" w:ascii="宋体" w:hAnsi="宋体" w:eastAsia="宋体" w:cs="宋体"/>
          <w:b/>
          <w:bCs/>
          <w:color w:val="auto"/>
          <w:spacing w:val="0"/>
          <w:w w:val="100"/>
          <w:position w:val="0"/>
          <w:sz w:val="24"/>
          <w:szCs w:val="24"/>
          <w:highlight w:val="none"/>
        </w:rPr>
        <w:t>、评审及磋商</w:t>
      </w:r>
      <w:bookmarkEnd w:id="32"/>
      <w:bookmarkEnd w:id="33"/>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8</w:t>
      </w:r>
      <w:r>
        <w:rPr>
          <w:rFonts w:hint="eastAsia" w:ascii="宋体" w:hAnsi="宋体" w:eastAsia="宋体" w:cs="宋体"/>
          <w:b/>
          <w:bCs/>
          <w:color w:val="auto"/>
          <w:spacing w:val="0"/>
          <w:w w:val="100"/>
          <w:position w:val="0"/>
          <w:sz w:val="21"/>
          <w:szCs w:val="21"/>
          <w:highlight w:val="none"/>
          <w:lang w:val="en-US" w:eastAsia="en-US"/>
        </w:rPr>
        <w:t>.磋商小组成立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.首次响应文件的开启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.1首次响应文件由磋商小组或者采购代理机构在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规定的时间开启。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b/>
          <w:bCs/>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.2响应文件解密采购代理机构将在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通过电子交易平台组织响应文件开启采购机构依托电子交易平台发起开始解密指令，供应商的法定代表人或其委托代理人须携带加密时所用的CA锁按平台提示和采购文件的规定登录到“政采云”平台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bCs/>
          <w:snapToGrid w:val="0"/>
          <w:color w:val="auto"/>
          <w:spacing w:val="0"/>
          <w:kern w:val="0"/>
          <w:position w:val="0"/>
          <w:sz w:val="21"/>
          <w:szCs w:val="21"/>
          <w:highlight w:val="none"/>
          <w:lang w:val="en-US" w:eastAsia="en-US" w:bidi="ar-SA"/>
        </w:rPr>
        <w:t>视为响应文件无效。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color w:val="auto"/>
          <w:highlight w:val="none"/>
        </w:rPr>
        <w:t>异常处理：如供应商在开标时因遗失CA或其他原因导致解密不成功时，如供应商已按规定递交了“备份</w:t>
      </w:r>
      <w:r>
        <w:rPr>
          <w:rFonts w:hint="eastAsia" w:cs="宋体"/>
          <w:color w:val="auto"/>
          <w:highlight w:val="none"/>
          <w:lang w:eastAsia="zh-CN"/>
        </w:rPr>
        <w:t>响应文件</w:t>
      </w:r>
      <w:r>
        <w:rPr>
          <w:rFonts w:hint="eastAsia" w:ascii="宋体" w:hAnsi="宋体" w:eastAsia="宋体" w:cs="宋体"/>
          <w:color w:val="auto"/>
          <w:highlight w:val="none"/>
        </w:rPr>
        <w:t>”的，采购代理机构通过【异常处理】端口对备份</w:t>
      </w:r>
      <w:r>
        <w:rPr>
          <w:rFonts w:hint="eastAsia" w:cs="宋体"/>
          <w:color w:val="auto"/>
          <w:highlight w:val="none"/>
          <w:lang w:eastAsia="zh-CN"/>
        </w:rPr>
        <w:t>响应文件</w:t>
      </w:r>
      <w:r>
        <w:rPr>
          <w:rFonts w:hint="eastAsia" w:ascii="宋体" w:hAnsi="宋体" w:eastAsia="宋体" w:cs="宋体"/>
          <w:color w:val="auto"/>
          <w:highlight w:val="none"/>
        </w:rPr>
        <w:t>上传、解密。</w:t>
      </w:r>
      <w:r>
        <w:rPr>
          <w:rFonts w:hint="eastAsia" w:cs="宋体"/>
          <w:color w:val="auto"/>
          <w:highlight w:val="none"/>
          <w:lang w:eastAsia="zh-CN"/>
        </w:rPr>
        <w:t>供应商</w:t>
      </w:r>
      <w:r>
        <w:rPr>
          <w:rFonts w:hint="eastAsia" w:ascii="宋体" w:hAnsi="宋体" w:eastAsia="宋体" w:cs="宋体"/>
          <w:color w:val="auto"/>
          <w:highlight w:val="none"/>
        </w:rPr>
        <w:t>提供了备份</w:t>
      </w:r>
      <w:r>
        <w:rPr>
          <w:rFonts w:hint="eastAsia" w:cs="宋体"/>
          <w:color w:val="auto"/>
          <w:highlight w:val="none"/>
          <w:lang w:eastAsia="zh-CN"/>
        </w:rPr>
        <w:t>响应文件</w:t>
      </w:r>
      <w:r>
        <w:rPr>
          <w:rFonts w:hint="eastAsia" w:ascii="宋体" w:hAnsi="宋体" w:eastAsia="宋体" w:cs="宋体"/>
          <w:color w:val="auto"/>
          <w:highlight w:val="none"/>
        </w:rPr>
        <w:t>的，以备份</w:t>
      </w:r>
      <w:r>
        <w:rPr>
          <w:rFonts w:hint="eastAsia" w:cs="宋体"/>
          <w:color w:val="auto"/>
          <w:highlight w:val="none"/>
          <w:lang w:eastAsia="zh-CN"/>
        </w:rPr>
        <w:t>响应文件</w:t>
      </w:r>
      <w:r>
        <w:rPr>
          <w:rFonts w:hint="eastAsia" w:ascii="宋体" w:hAnsi="宋体" w:eastAsia="宋体" w:cs="宋体"/>
          <w:color w:val="auto"/>
          <w:highlight w:val="none"/>
        </w:rPr>
        <w:t>作为依据，否则视为</w:t>
      </w:r>
      <w:r>
        <w:rPr>
          <w:rFonts w:hint="eastAsia" w:cs="宋体"/>
          <w:color w:val="auto"/>
          <w:highlight w:val="none"/>
          <w:lang w:eastAsia="zh-CN"/>
        </w:rPr>
        <w:t>响应文件</w:t>
      </w:r>
      <w:r>
        <w:rPr>
          <w:rFonts w:hint="eastAsia" w:ascii="宋体" w:hAnsi="宋体" w:eastAsia="宋体" w:cs="宋体"/>
          <w:color w:val="auto"/>
          <w:highlight w:val="none"/>
        </w:rPr>
        <w:t>撤回。</w:t>
      </w:r>
      <w:r>
        <w:rPr>
          <w:rFonts w:hint="eastAsia" w:cs="宋体"/>
          <w:color w:val="auto"/>
          <w:highlight w:val="none"/>
          <w:lang w:eastAsia="zh-CN"/>
        </w:rPr>
        <w:t>响应文件</w:t>
      </w:r>
      <w:r>
        <w:rPr>
          <w:rFonts w:hint="eastAsia" w:ascii="宋体" w:hAnsi="宋体" w:eastAsia="宋体" w:cs="宋体"/>
          <w:color w:val="auto"/>
          <w:highlight w:val="none"/>
        </w:rPr>
        <w:t>已按时解密的，备份</w:t>
      </w:r>
      <w:r>
        <w:rPr>
          <w:rFonts w:hint="eastAsia" w:cs="宋体"/>
          <w:color w:val="auto"/>
          <w:highlight w:val="none"/>
          <w:lang w:eastAsia="zh-CN"/>
        </w:rPr>
        <w:t>响应文件</w:t>
      </w:r>
      <w:r>
        <w:rPr>
          <w:rFonts w:hint="eastAsia" w:ascii="宋体" w:hAnsi="宋体" w:eastAsia="宋体" w:cs="宋体"/>
          <w:color w:val="auto"/>
          <w:highlight w:val="none"/>
        </w:rPr>
        <w:t>自动失效。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snapToGrid w:val="0"/>
          <w:color w:val="000000"/>
          <w:spacing w:val="0"/>
          <w:kern w:val="0"/>
          <w:position w:val="0"/>
          <w:sz w:val="21"/>
          <w:szCs w:val="21"/>
          <w:lang w:val="en-US" w:eastAsia="en-US" w:bidi="ar-SA"/>
        </w:rPr>
        <w:t>如供应商成功解密响应文件，但未在“政采云”电子开标大厅参加谈判的，视同认可谈判过程和结果，由此产生的后果由供应商自行负责。参与谈判的供应商不足3家的，不得谈判。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snapToGrid w:val="0"/>
          <w:color w:val="000000"/>
          <w:spacing w:val="0"/>
          <w:kern w:val="0"/>
          <w:position w:val="0"/>
          <w:sz w:val="21"/>
          <w:szCs w:val="21"/>
          <w:lang w:val="en-US" w:eastAsia="en-US" w:bidi="ar-SA"/>
        </w:rPr>
        <w:t>签署电子《政府采购活动现场确认声明书》。商务技术文件开启后30分钟内，供应商将经授权代表签署的《政府采购活动现场确认声明书》（格式见采购文件</w:t>
      </w:r>
      <w:r>
        <w:rPr>
          <w:rFonts w:hint="eastAsia" w:ascii="宋体" w:hAnsi="宋体" w:eastAsia="宋体" w:cs="宋体"/>
          <w:snapToGrid w:val="0"/>
          <w:color w:val="000000"/>
          <w:spacing w:val="0"/>
          <w:kern w:val="0"/>
          <w:position w:val="0"/>
          <w:sz w:val="21"/>
          <w:szCs w:val="21"/>
          <w:lang w:val="en-US" w:eastAsia="zh-CN" w:bidi="ar-SA"/>
        </w:rPr>
        <w:t>最后一页</w:t>
      </w:r>
      <w:r>
        <w:rPr>
          <w:rFonts w:hint="eastAsia" w:ascii="宋体" w:hAnsi="宋体" w:eastAsia="宋体" w:cs="宋体"/>
          <w:snapToGrid w:val="0"/>
          <w:color w:val="000000"/>
          <w:spacing w:val="0"/>
          <w:kern w:val="0"/>
          <w:position w:val="0"/>
          <w:sz w:val="21"/>
          <w:szCs w:val="21"/>
          <w:lang w:val="en-US" w:eastAsia="en-US" w:bidi="ar-SA"/>
        </w:rPr>
        <w:t>）扫描件发至代理机构经办人邮箱（邮箱地址：</w:t>
      </w:r>
      <w:r>
        <w:rPr>
          <w:rFonts w:hint="eastAsia" w:ascii="宋体" w:hAnsi="宋体" w:eastAsia="宋体" w:cs="宋体"/>
          <w:snapToGrid w:val="0"/>
          <w:color w:val="000000"/>
          <w:spacing w:val="0"/>
          <w:kern w:val="0"/>
          <w:position w:val="0"/>
          <w:sz w:val="21"/>
          <w:szCs w:val="21"/>
          <w:lang w:val="en-US" w:eastAsia="en-US" w:bidi="ar-SA"/>
        </w:rPr>
        <w:fldChar w:fldCharType="begin"/>
      </w:r>
      <w:r>
        <w:rPr>
          <w:rFonts w:hint="eastAsia" w:ascii="宋体" w:hAnsi="宋体" w:eastAsia="宋体" w:cs="宋体"/>
          <w:snapToGrid w:val="0"/>
          <w:color w:val="000000"/>
          <w:spacing w:val="0"/>
          <w:kern w:val="0"/>
          <w:position w:val="0"/>
          <w:sz w:val="21"/>
          <w:szCs w:val="21"/>
          <w:lang w:val="en-US" w:eastAsia="en-US" w:bidi="ar-SA"/>
        </w:rPr>
        <w:instrText xml:space="preserve"> HYPERLINK "mailto:1767495113@qq.com）" </w:instrText>
      </w:r>
      <w:r>
        <w:rPr>
          <w:rFonts w:hint="eastAsia" w:ascii="宋体" w:hAnsi="宋体" w:eastAsia="宋体" w:cs="宋体"/>
          <w:snapToGrid w:val="0"/>
          <w:color w:val="000000"/>
          <w:spacing w:val="0"/>
          <w:kern w:val="0"/>
          <w:position w:val="0"/>
          <w:sz w:val="21"/>
          <w:szCs w:val="21"/>
          <w:lang w:val="en-US" w:eastAsia="en-US" w:bidi="ar-SA"/>
        </w:rPr>
        <w:fldChar w:fldCharType="separate"/>
      </w:r>
      <w:r>
        <w:rPr>
          <w:rStyle w:val="38"/>
          <w:rFonts w:hint="eastAsia" w:cs="宋体"/>
          <w:snapToGrid w:val="0"/>
          <w:color w:val="000000"/>
          <w:spacing w:val="0"/>
          <w:kern w:val="0"/>
          <w:position w:val="0"/>
          <w:sz w:val="21"/>
          <w:szCs w:val="21"/>
          <w:lang w:val="en-US" w:eastAsia="zh-CN" w:bidi="ar-SA"/>
        </w:rPr>
        <w:t>1105437921</w:t>
      </w:r>
      <w:r>
        <w:rPr>
          <w:rStyle w:val="38"/>
          <w:rFonts w:hint="eastAsia" w:ascii="宋体" w:hAnsi="宋体" w:eastAsia="宋体" w:cs="宋体"/>
          <w:snapToGrid w:val="0"/>
          <w:color w:val="000000"/>
          <w:spacing w:val="0"/>
          <w:kern w:val="0"/>
          <w:position w:val="0"/>
          <w:sz w:val="21"/>
          <w:szCs w:val="21"/>
          <w:lang w:val="en-US" w:eastAsia="en-US" w:bidi="ar-SA"/>
        </w:rPr>
        <w:t>@qq.com）</w:t>
      </w:r>
      <w:r>
        <w:rPr>
          <w:rFonts w:hint="eastAsia" w:ascii="宋体" w:hAnsi="宋体" w:eastAsia="宋体" w:cs="宋体"/>
          <w:snapToGrid w:val="0"/>
          <w:color w:val="000000"/>
          <w:spacing w:val="0"/>
          <w:kern w:val="0"/>
          <w:position w:val="0"/>
          <w:sz w:val="21"/>
          <w:szCs w:val="21"/>
          <w:lang w:val="en-US" w:eastAsia="en-US" w:bidi="ar-SA"/>
        </w:rPr>
        <w:fldChar w:fldCharType="end"/>
      </w:r>
    </w:p>
    <w:p>
      <w:pPr>
        <w:pStyle w:val="16"/>
        <w:rPr>
          <w:rFonts w:hint="eastAsia"/>
          <w:lang w:val="en-US" w:eastAsia="en-US"/>
        </w:rPr>
      </w:pPr>
      <w:r>
        <w:rPr>
          <w:rFonts w:hint="eastAsia" w:ascii="宋体" w:hAnsi="宋体" w:eastAsia="宋体" w:cs="宋体"/>
          <w:smallCaps w:val="0"/>
          <w:color w:val="auto"/>
          <w:spacing w:val="0"/>
          <w:w w:val="100"/>
          <w:position w:val="0"/>
          <w:sz w:val="21"/>
          <w:szCs w:val="21"/>
          <w:highlight w:val="none"/>
          <w:lang w:val="en-US" w:eastAsia="zh-CN"/>
        </w:rPr>
        <w:t>说明：不填写或未按规定发出邮件的，视同默认不存在确认声明书中的相关违规情形。</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30</w:t>
      </w:r>
      <w:r>
        <w:rPr>
          <w:rFonts w:hint="eastAsia" w:ascii="宋体" w:hAnsi="宋体" w:eastAsia="宋体" w:cs="宋体"/>
          <w:b/>
          <w:bCs/>
          <w:color w:val="auto"/>
          <w:spacing w:val="0"/>
          <w:w w:val="100"/>
          <w:position w:val="0"/>
          <w:sz w:val="21"/>
          <w:szCs w:val="21"/>
          <w:highlight w:val="none"/>
          <w:lang w:val="en-US" w:eastAsia="en-US"/>
        </w:rPr>
        <w:t>.评审程序、评审方法和评审标准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.1磋商小组按照“第四</w:t>
      </w:r>
      <w:r>
        <w:rPr>
          <w:rFonts w:hint="eastAsia" w:ascii="宋体" w:hAnsi="宋体" w:eastAsia="宋体" w:cs="宋体"/>
          <w:snapToGrid w:val="0"/>
          <w:color w:val="auto"/>
          <w:spacing w:val="0"/>
          <w:kern w:val="0"/>
          <w:position w:val="0"/>
          <w:sz w:val="21"/>
          <w:szCs w:val="21"/>
          <w:highlight w:val="none"/>
          <w:lang w:val="en-US" w:eastAsia="zh-CN" w:bidi="ar-SA"/>
        </w:rPr>
        <w:t xml:space="preserve">部分 </w:t>
      </w:r>
      <w:r>
        <w:rPr>
          <w:rFonts w:hint="eastAsia" w:ascii="宋体" w:hAnsi="宋体" w:eastAsia="宋体" w:cs="宋体"/>
          <w:snapToGrid w:val="0"/>
          <w:color w:val="auto"/>
          <w:spacing w:val="0"/>
          <w:kern w:val="0"/>
          <w:position w:val="0"/>
          <w:sz w:val="21"/>
          <w:szCs w:val="21"/>
          <w:highlight w:val="none"/>
          <w:lang w:val="en-US" w:eastAsia="en-US" w:bidi="ar-SA"/>
        </w:rPr>
        <w:t>评审程序、评审方法和评审标准”规定的方法、评审因素、标准和程序对响应文件进行评审。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.2磋商文件内容违反国家有关强制性规定的，磋商小组应当停止评审并向采购人或者采购代理机构说明情况，并在评审报告中书面体现。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.3采购需求负偏离要求及磋商顺序详见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.4电子交易活动的中止。采购过程中出现以下情形，导致电子交易平台无法正常运行，或者无法保证电子交易的公平、公正和安全时，采购机构可中止电子交易活动：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（1）电子交易平台发生故障而无法登录访问的；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（2）电子交易平台应用或数据库出现错误，不能进行正常操作的；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（3）电子交易平台发现严重安全漏洞，有潜在泄密危险的；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（4）病毒发作导致不能进行正常操作的；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（5）其他无法保证电子交易的公平、公正和安全的情况。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lang w:val="en-US" w:eastAsia="zh-CN"/>
        </w:rPr>
      </w:pPr>
      <w:bookmarkStart w:id="34" w:name="_Toc2322"/>
      <w:bookmarkStart w:id="35" w:name="_Toc14669"/>
      <w:r>
        <w:rPr>
          <w:rFonts w:hint="eastAsia" w:ascii="宋体" w:hAnsi="宋体" w:eastAsia="宋体" w:cs="宋体"/>
          <w:b/>
          <w:bCs/>
          <w:color w:val="auto"/>
          <w:spacing w:val="0"/>
          <w:w w:val="100"/>
          <w:position w:val="0"/>
          <w:sz w:val="24"/>
          <w:szCs w:val="24"/>
          <w:highlight w:val="none"/>
          <w:lang w:val="en-US" w:eastAsia="zh-CN"/>
        </w:rPr>
        <w:t>五、成交及合同</w:t>
      </w:r>
      <w:bookmarkEnd w:id="34"/>
      <w:bookmarkEnd w:id="35"/>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31.</w:t>
      </w:r>
      <w:r>
        <w:rPr>
          <w:rFonts w:hint="eastAsia" w:ascii="宋体" w:hAnsi="宋体" w:eastAsia="宋体" w:cs="宋体"/>
          <w:b/>
          <w:bCs/>
          <w:color w:val="auto"/>
          <w:spacing w:val="0"/>
          <w:w w:val="100"/>
          <w:position w:val="0"/>
          <w:sz w:val="21"/>
          <w:szCs w:val="21"/>
          <w:highlight w:val="none"/>
          <w:lang w:val="en-US" w:eastAsia="en-US"/>
        </w:rPr>
        <w:t>确定成交供应商及结果公告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.1采购人将在收到评审报告后，从评审报告提出的成交候选供应商中，按照排序由高到低的原则确定成交供应商。采购人是否授权磋商小组直接确定成交供应商，见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.2成交通知及成交结果公告。成交供应商确定后2个工作日内，在省级以上财政部门指定的媒体上公告成交结果，同时向成交供应商发出成交通知书，成交通知书规定签订合同的时间不得超过</w:t>
      </w: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32.</w:t>
      </w:r>
      <w:r>
        <w:rPr>
          <w:rFonts w:hint="eastAsia" w:ascii="宋体" w:hAnsi="宋体" w:eastAsia="宋体" w:cs="宋体"/>
          <w:b/>
          <w:bCs/>
          <w:color w:val="auto"/>
          <w:spacing w:val="0"/>
          <w:w w:val="100"/>
          <w:position w:val="0"/>
          <w:sz w:val="21"/>
          <w:szCs w:val="21"/>
          <w:highlight w:val="none"/>
          <w:lang w:val="en-US" w:eastAsia="en-US"/>
        </w:rPr>
        <w:t>终止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2.1在采购中，出现下列情形之一的，采购人或采购代理机构将终止竞争性磋商采购活动，发布项目终止公告并说明原因，重新开展采购活动：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2.1.1因情况变化，不再符合规定的竞争性磋商采购方式适用情形的；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2.1.2出现影响采购公正的违法、违规行为的；</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33</w:t>
      </w:r>
      <w:r>
        <w:rPr>
          <w:rFonts w:hint="eastAsia" w:ascii="宋体" w:hAnsi="宋体" w:eastAsia="宋体" w:cs="宋体"/>
          <w:b/>
          <w:bCs/>
          <w:color w:val="auto"/>
          <w:spacing w:val="0"/>
          <w:w w:val="100"/>
          <w:position w:val="0"/>
          <w:sz w:val="21"/>
          <w:szCs w:val="21"/>
          <w:highlight w:val="none"/>
          <w:lang w:val="en-US" w:eastAsia="en-US"/>
        </w:rPr>
        <w:t>.履约保证金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34</w:t>
      </w:r>
      <w:r>
        <w:rPr>
          <w:rFonts w:hint="eastAsia" w:ascii="宋体" w:hAnsi="宋体" w:eastAsia="宋体" w:cs="宋体"/>
          <w:b/>
          <w:bCs/>
          <w:color w:val="auto"/>
          <w:spacing w:val="0"/>
          <w:w w:val="100"/>
          <w:position w:val="0"/>
          <w:sz w:val="21"/>
          <w:szCs w:val="21"/>
          <w:highlight w:val="none"/>
          <w:lang w:val="en-US" w:eastAsia="en-US"/>
        </w:rPr>
        <w:t>.签订合同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.4如签订合同并生效后，供应商无故拒绝或延期，除按照合同条款处理外，列入不良行为记录，并给予通报。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.5采购合同由采购人与成交供应商根据磋商文件、响应文件等内容通过政府采购电子交易平台在线签订，自动备案，在线签订须携带的材料见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en-US"/>
        </w:rPr>
        <w:t>.政府采购合同公告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采购人或者受托采购代理机构应当自政府采购合同签订之日起2个工作日内，将政府采购合同在</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媒体上发布</w:t>
      </w:r>
      <w:r>
        <w:rPr>
          <w:rFonts w:hint="eastAsia" w:ascii="宋体" w:hAnsi="宋体" w:eastAsia="宋体" w:cs="宋体"/>
          <w:snapToGrid w:val="0"/>
          <w:color w:val="auto"/>
          <w:spacing w:val="0"/>
          <w:kern w:val="0"/>
          <w:position w:val="0"/>
          <w:sz w:val="21"/>
          <w:szCs w:val="21"/>
          <w:highlight w:val="none"/>
          <w:lang w:val="en-US" w:eastAsia="zh-CN" w:bidi="ar-SA"/>
        </w:rPr>
        <w:t>合同</w:t>
      </w:r>
      <w:r>
        <w:rPr>
          <w:rFonts w:hint="eastAsia" w:ascii="宋体" w:hAnsi="宋体" w:eastAsia="宋体" w:cs="宋体"/>
          <w:snapToGrid w:val="0"/>
          <w:color w:val="auto"/>
          <w:spacing w:val="0"/>
          <w:kern w:val="0"/>
          <w:position w:val="0"/>
          <w:sz w:val="21"/>
          <w:szCs w:val="21"/>
          <w:highlight w:val="none"/>
          <w:lang w:val="en-US" w:eastAsia="en-US" w:bidi="ar-SA"/>
        </w:rPr>
        <w:t>公告，但政府采购合同中涉及国家秘密、商业秘密的内容除外。</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.询问、质疑和投诉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.1供应商对政府采购活动事项有疑问的，可以向采购人、采购代理机构提出询问，采购人或者采购代理机构应当在3个工作日内对供应商依法提出的询问作出答复。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。具体质疑起算时间及处理方式如下：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（3）供应商认为成交结果使自己的权益受到损害的，应当在成交结果公告期限届满之日起7个工作日内提出质疑，由采购人受理并负责答复。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.3供应商提出的询问或者质疑超出采购人对采购代理机构委托授权范围的，采购代理机构应当告知供应商向采购人提出。政府采购评审专家应当配合采购人或者采购代理机构答复供应商的询问和质疑。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.4供应商提出质疑应当提交质疑函和必要的证明材料，针对同一采购程序环节的质疑必须在法定质疑期内一次性提出。质疑函应当包括下列内容（质疑函格式后附）：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（1）供应商的姓名或者名称、地址、邮编、联系人及联系电话；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（2）质疑项目的名称、编号；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（4）事实依据；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（5）必要的法律依据；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（6）提出质疑的日期。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供应商为自然人的，应当由本人签字；供应商为法人或者其他组织的，应当由法定代表人主要负责人，或者其委托代理人签字或者盖章，并加盖公章。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.5采购人、采购代理机构认为供应商质疑不成立，或者成立但未对成交结果构成影响的，继续开展采购活动；认为供应商质疑成立且影响或者可能影响成交结果的，按照下列情况处理：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（一）对采购文件提出的质疑，依法通过澄清或者修改可以继续开展采购活动的，澄清或者修改采购文件后继续开展采购活动；否则应当修改采购文件后重新开展采购活动。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（二）对采购过程或者成交结果提出的质疑，合格供应商符合法定数量时，可以从合格的成交候选人中另行确定成交供应商的，应当依法另行确定成交供应商；否则应当重新开展采购活动。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质疑答复导致成交结果改变的，采购人或者采购代理机构应当将有关情况书面报告本级财政部门。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lang w:val="en-US" w:eastAsia="en-US"/>
        </w:rPr>
      </w:pPr>
      <w:bookmarkStart w:id="36" w:name="_Toc17411"/>
      <w:bookmarkStart w:id="37" w:name="_Toc21189"/>
      <w:r>
        <w:rPr>
          <w:rFonts w:hint="eastAsia" w:ascii="宋体" w:hAnsi="宋体" w:eastAsia="宋体" w:cs="宋体"/>
          <w:b/>
          <w:bCs/>
          <w:color w:val="auto"/>
          <w:spacing w:val="0"/>
          <w:w w:val="100"/>
          <w:position w:val="0"/>
          <w:sz w:val="24"/>
          <w:szCs w:val="24"/>
          <w:highlight w:val="none"/>
          <w:lang w:val="en-US" w:eastAsia="en-US"/>
        </w:rPr>
        <w:t>六、验收</w:t>
      </w:r>
      <w:bookmarkEnd w:id="36"/>
      <w:bookmarkEnd w:id="37"/>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.验收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.2采购人可以邀请参加本项目的其他供应商或者第三方机构参与验收。参与验收的供应商或者第三方机构的意见作为验收书的参考资料一并存档。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lang w:val="en-US" w:eastAsia="en-US"/>
        </w:rPr>
      </w:pPr>
      <w:bookmarkStart w:id="38" w:name="_Toc4050"/>
      <w:bookmarkStart w:id="39" w:name="_Toc22453"/>
      <w:r>
        <w:rPr>
          <w:rFonts w:hint="eastAsia" w:ascii="宋体" w:hAnsi="宋体" w:eastAsia="宋体" w:cs="宋体"/>
          <w:b/>
          <w:bCs/>
          <w:color w:val="auto"/>
          <w:spacing w:val="0"/>
          <w:w w:val="100"/>
          <w:position w:val="0"/>
          <w:sz w:val="24"/>
          <w:szCs w:val="24"/>
          <w:highlight w:val="none"/>
          <w:lang w:val="en-US" w:eastAsia="en-US"/>
        </w:rPr>
        <w:t>七、其他事项</w:t>
      </w:r>
      <w:bookmarkEnd w:id="38"/>
      <w:bookmarkEnd w:id="39"/>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38.</w:t>
      </w:r>
      <w:r>
        <w:rPr>
          <w:rFonts w:hint="eastAsia" w:ascii="宋体" w:hAnsi="宋体" w:eastAsia="宋体" w:cs="宋体"/>
          <w:b/>
          <w:bCs/>
          <w:color w:val="auto"/>
          <w:spacing w:val="0"/>
          <w:w w:val="100"/>
          <w:position w:val="0"/>
          <w:sz w:val="21"/>
          <w:szCs w:val="21"/>
          <w:highlight w:val="none"/>
          <w:lang w:val="en-US" w:eastAsia="en-US"/>
        </w:rPr>
        <w:t>采购代理服务费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收费对象、收费标准及缴纳时间见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。由成交供应商支付的，成交供应商须一次性向采购代理机构缴纳代理费，报价应包含代理费用。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.需要补充的其他内容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.1本磋商文件解释规则详见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.2其他事项详见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以联合体形式参加政府采购活动，联合体各方均为中小企业的，联合体视同中小企业。其中，联合体各方均为小微企业的，联合体视同小微企业。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依据本文件规定享受扶持政策获得政府采购合同的，小微企业不得将合同分包给大中型企业，中型企业不得将合同分包给大型企业。</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lang w:val="en-US" w:eastAsia="en-US"/>
        </w:rPr>
      </w:pPr>
      <w:bookmarkStart w:id="40" w:name="_Toc14000"/>
      <w:bookmarkStart w:id="41" w:name="_Toc2830"/>
      <w:r>
        <w:rPr>
          <w:rFonts w:hint="eastAsia" w:ascii="宋体" w:hAnsi="宋体" w:eastAsia="宋体" w:cs="宋体"/>
          <w:b/>
          <w:bCs/>
          <w:color w:val="auto"/>
          <w:spacing w:val="0"/>
          <w:w w:val="100"/>
          <w:position w:val="0"/>
          <w:sz w:val="24"/>
          <w:szCs w:val="24"/>
          <w:highlight w:val="none"/>
          <w:lang w:val="en-US" w:eastAsia="zh-CN"/>
        </w:rPr>
        <w:t>八</w:t>
      </w:r>
      <w:r>
        <w:rPr>
          <w:rFonts w:hint="eastAsia" w:ascii="宋体" w:hAnsi="宋体" w:eastAsia="宋体" w:cs="宋体"/>
          <w:b/>
          <w:bCs/>
          <w:color w:val="auto"/>
          <w:spacing w:val="0"/>
          <w:w w:val="100"/>
          <w:position w:val="0"/>
          <w:sz w:val="24"/>
          <w:szCs w:val="24"/>
          <w:highlight w:val="none"/>
          <w:lang w:val="en-US" w:eastAsia="en-US"/>
        </w:rPr>
        <w:t>、适用法律</w:t>
      </w:r>
      <w:bookmarkEnd w:id="40"/>
      <w:bookmarkEnd w:id="4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rPr>
          <w:rFonts w:hint="eastAsia" w:ascii="宋体" w:hAnsi="宋体" w:eastAsia="宋体" w:cs="宋体"/>
          <w:color w:val="auto"/>
          <w:spacing w:val="0"/>
          <w:w w:val="100"/>
          <w:position w:val="0"/>
          <w:sz w:val="22"/>
          <w:szCs w:val="22"/>
          <w:highlight w:val="none"/>
        </w:rPr>
      </w:pPr>
      <w:r>
        <w:rPr>
          <w:rFonts w:hint="eastAsia" w:ascii="宋体" w:hAnsi="宋体" w:eastAsia="宋体" w:cs="宋体"/>
          <w:snapToGrid w:val="0"/>
          <w:color w:val="auto"/>
          <w:spacing w:val="0"/>
          <w:kern w:val="0"/>
          <w:position w:val="0"/>
          <w:sz w:val="21"/>
          <w:szCs w:val="21"/>
          <w:highlight w:val="none"/>
          <w:lang w:val="en-US" w:eastAsia="en-US" w:bidi="ar-SA"/>
        </w:rPr>
        <w:t>适用《中华人民共和国政府采购法》及其实施条例，《政府采购竞争性磋商采购方式管理暂行办法》等相关法律、法规、规章、政策。</w:t>
      </w:r>
    </w:p>
    <w:p>
      <w:pPr>
        <w:shd w:val="clear"/>
        <w:spacing w:line="480" w:lineRule="exact"/>
        <w:ind w:firstLine="440" w:firstLineChars="20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pPr>
        <w:pStyle w:val="3"/>
        <w:shd w:val="clear"/>
        <w:spacing w:before="0" w:line="480" w:lineRule="exact"/>
        <w:ind w:left="0" w:right="0"/>
        <w:rPr>
          <w:rFonts w:hint="eastAsia" w:ascii="宋体" w:hAnsi="宋体" w:eastAsia="宋体" w:cs="宋体"/>
          <w:color w:val="auto"/>
          <w:spacing w:val="0"/>
          <w:w w:val="100"/>
          <w:position w:val="0"/>
          <w:sz w:val="32"/>
          <w:szCs w:val="32"/>
          <w:highlight w:val="none"/>
        </w:rPr>
      </w:pPr>
      <w:bookmarkStart w:id="42" w:name="_Toc7774"/>
      <w:bookmarkStart w:id="43" w:name="_Toc28849"/>
      <w:bookmarkStart w:id="44" w:name="_Toc8125"/>
      <w:bookmarkStart w:id="45" w:name="_Toc28271"/>
      <w:bookmarkStart w:id="46" w:name="_Toc14307"/>
      <w:bookmarkStart w:id="47" w:name="_Toc25259"/>
      <w:bookmarkStart w:id="48" w:name="_Toc18425"/>
      <w:r>
        <w:rPr>
          <w:rFonts w:hint="eastAsia" w:ascii="宋体" w:hAnsi="宋体" w:eastAsia="宋体" w:cs="宋体"/>
          <w:color w:val="auto"/>
          <w:spacing w:val="0"/>
          <w:w w:val="100"/>
          <w:position w:val="0"/>
          <w:sz w:val="32"/>
          <w:szCs w:val="32"/>
          <w:highlight w:val="none"/>
        </w:rPr>
        <w:t>第四部分</w:t>
      </w:r>
      <w:bookmarkEnd w:id="42"/>
      <w:bookmarkEnd w:id="43"/>
      <w:bookmarkEnd w:id="44"/>
      <w:bookmarkEnd w:id="45"/>
      <w:bookmarkEnd w:id="46"/>
      <w:r>
        <w:rPr>
          <w:rFonts w:hint="eastAsia"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评审程序、评审方法和评审标准</w:t>
      </w:r>
      <w:bookmarkEnd w:id="47"/>
      <w:bookmarkEnd w:id="48"/>
    </w:p>
    <w:p>
      <w:pPr>
        <w:widowControl/>
        <w:kinsoku w:val="0"/>
        <w:adjustRightInd w:val="0"/>
        <w:snapToGrid w:val="0"/>
        <w:spacing w:before="78" w:line="218" w:lineRule="auto"/>
        <w:ind w:left="0" w:leftChars="0" w:right="0" w:rightChars="0" w:firstLine="0" w:firstLineChars="0"/>
        <w:jc w:val="center"/>
        <w:textAlignment w:val="baseline"/>
        <w:outlineLvl w:val="1"/>
        <w:rPr>
          <w:rFonts w:ascii="黑体" w:hAnsi="黑体" w:eastAsia="黑体" w:cs="黑体"/>
          <w:b/>
          <w:bCs/>
          <w:snapToGrid w:val="0"/>
          <w:color w:val="auto"/>
          <w:spacing w:val="-3"/>
          <w:kern w:val="0"/>
          <w:sz w:val="28"/>
          <w:szCs w:val="28"/>
          <w:highlight w:val="none"/>
          <w:lang w:val="en-US" w:eastAsia="en-US" w:bidi="ar-SA"/>
          <w14:textOutline w14:w="5080" w14:cap="flat" w14:cmpd="sng">
            <w14:solidFill>
              <w14:srgbClr w14:val="000000"/>
            </w14:solidFill>
            <w14:prstDash w14:val="solid"/>
            <w14:miter w14:val="0"/>
          </w14:textOutline>
        </w:rPr>
      </w:pPr>
      <w:bookmarkStart w:id="49" w:name="一、_评审方法"/>
      <w:bookmarkEnd w:id="49"/>
      <w:bookmarkStart w:id="50" w:name="_Toc32428"/>
      <w:bookmarkStart w:id="51" w:name="_Toc29701"/>
      <w:r>
        <w:rPr>
          <w:rFonts w:ascii="宋体" w:hAnsi="宋体" w:eastAsia="宋体" w:cs="宋体"/>
          <w:b/>
          <w:bCs/>
          <w:color w:val="auto"/>
          <w:spacing w:val="-1"/>
          <w:sz w:val="28"/>
          <w:szCs w:val="28"/>
          <w:highlight w:val="none"/>
        </w:rPr>
        <w:t>第一节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rPr>
        <w:t>评审程序和评审方法</w:t>
      </w:r>
      <w:bookmarkEnd w:id="50"/>
      <w:bookmarkEnd w:id="51"/>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1.确认磋商文件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由磋商小组确认磋商文件。</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2.资格审查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2.1响应文件开启后，磋商小组依法对供应商的资格证明文件进行审查。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注：采购人代表或者采购代理机构在资格审查结束前，对供应商进行信用查询。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（1）查询渠道：“政采云”平台“信用中国”网站(www.creditchina.gov.cn)、中国政府采购网(www.ccgp.gov.cn)链接入口。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（2）信用查询截止时点：资格审查结束前。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查询记录和证据留存方式：在查询网站中直接打印查询记录，截图另存为电子文档作为评审资料保存。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2.2资格审查标准为本磋商文件中载明</w:t>
      </w:r>
      <w:r>
        <w:rPr>
          <w:rFonts w:hint="eastAsia" w:ascii="宋体" w:hAnsi="宋体" w:eastAsia="宋体" w:cs="宋体"/>
          <w:snapToGrid w:val="0"/>
          <w:color w:val="auto"/>
          <w:spacing w:val="0"/>
          <w:kern w:val="0"/>
          <w:position w:val="0"/>
          <w:sz w:val="21"/>
          <w:szCs w:val="21"/>
          <w:highlight w:val="none"/>
          <w:lang w:val="en-US" w:eastAsia="zh-CN" w:bidi="ar-SA"/>
        </w:rPr>
        <w:t>的《资格性检查要求》</w:t>
      </w:r>
      <w:r>
        <w:rPr>
          <w:rFonts w:hint="eastAsia" w:ascii="宋体" w:hAnsi="宋体" w:eastAsia="宋体" w:cs="宋体"/>
          <w:snapToGrid w:val="0"/>
          <w:color w:val="auto"/>
          <w:spacing w:val="0"/>
          <w:kern w:val="0"/>
          <w:position w:val="0"/>
          <w:sz w:val="21"/>
          <w:szCs w:val="21"/>
          <w:highlight w:val="none"/>
          <w:lang w:val="en-US" w:eastAsia="en-US" w:bidi="ar-SA"/>
        </w:rPr>
        <w:t>。资格审查采用合格制，凡符合磋商文件规定的供应商资格要求的响应文件均通过资格审查。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通过资格审查的合格供应商不足3家的，不得进入符合性审查环节，采购人或者采购代理机构应当重新开展采购活动。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2.4《资格性检查要求》见下表：</w:t>
      </w:r>
    </w:p>
    <w:p>
      <w:pPr>
        <w:shd w:val="clear"/>
        <w:spacing w:line="240" w:lineRule="auto"/>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t>资格性检查要求</w:t>
      </w:r>
    </w:p>
    <w:tbl>
      <w:tblPr>
        <w:tblStyle w:val="32"/>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序号</w:t>
            </w:r>
          </w:p>
        </w:tc>
        <w:tc>
          <w:tcPr>
            <w:tcW w:w="2415" w:type="dxa"/>
            <w:gridSpan w:val="2"/>
            <w:vAlign w:val="center"/>
          </w:tcPr>
          <w:p>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检查因素</w:t>
            </w:r>
          </w:p>
        </w:tc>
        <w:tc>
          <w:tcPr>
            <w:tcW w:w="6969" w:type="dxa"/>
            <w:vAlign w:val="center"/>
          </w:tcPr>
          <w:p>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p>
        </w:tc>
        <w:tc>
          <w:tcPr>
            <w:tcW w:w="600" w:type="dxa"/>
            <w:vMerge w:val="restart"/>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符合《中华人民共和国政府采购法》第二十二条规定</w:t>
            </w: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（1）具有独立承担民事责任的能力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bidi="ar-SA"/>
              </w:rPr>
              <w:t>供应商是企业（包括合伙企业）的，应提供其在工商部门注册的有效“营业执照”；供应商是事业单位的，应提供其有效的“事业单位法人证书”；供应商是非企业专业服务机构的，应提供其有效的“执业许可证”；供应商是民办非企业单位的，应提供其有效的登记证书；供应商是个体工商户的，应提供其有效的“营业执照”；供应商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zh-CN"/>
              </w:rPr>
              <w:t>（2）</w:t>
            </w:r>
            <w:r>
              <w:rPr>
                <w:rFonts w:hint="eastAsia" w:ascii="宋体" w:hAnsi="宋体" w:eastAsia="宋体" w:cs="宋体"/>
                <w:color w:val="auto"/>
                <w:spacing w:val="0"/>
                <w:w w:val="100"/>
                <w:position w:val="0"/>
                <w:sz w:val="21"/>
                <w:szCs w:val="21"/>
                <w:highlight w:val="none"/>
              </w:rPr>
              <w:t>具有良好的商业信誉和健全的财务会计制度</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提供由会计师事务所出具的上一年度财务审计报告或提供由开标日前三个月内供应商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（3）具有履行合同所必需的设备和专业技术能力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具备履行合同所必需的设备和专业技术能力的说明函</w:t>
            </w:r>
            <w:r>
              <w:rPr>
                <w:rFonts w:hint="eastAsia" w:cs="宋体"/>
                <w:color w:val="auto"/>
                <w:spacing w:val="0"/>
                <w:w w:val="100"/>
                <w:kern w:val="2"/>
                <w:position w:val="0"/>
                <w:sz w:val="21"/>
                <w:szCs w:val="21"/>
                <w:highlight w:val="none"/>
                <w:lang w:val="en-US" w:eastAsia="zh-CN" w:bidi="ar-SA"/>
              </w:rPr>
              <w:t>；</w:t>
            </w:r>
            <w:r>
              <w:rPr>
                <w:rFonts w:hint="eastAsia" w:ascii="宋体" w:hAnsi="宋体" w:eastAsia="宋体" w:cs="宋体"/>
                <w:color w:val="auto"/>
                <w:spacing w:val="0"/>
                <w:w w:val="100"/>
                <w:kern w:val="2"/>
                <w:position w:val="0"/>
                <w:sz w:val="21"/>
                <w:szCs w:val="21"/>
                <w:highlight w:val="none"/>
                <w:lang w:val="en-US" w:eastAsia="zh-CN" w:bidi="ar-SA"/>
              </w:rPr>
              <w:t>（供应商自行出具，格式自拟，加盖公章）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（4）有依法缴纳税收和社会保障资金的良好记录</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1）依法缴纳税收的相关材料：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开标日前6个月内任意一月缴纳税收的凭证复印件；</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缴纳凭证复印件须清晰可辨，并能显示出税种种类，单位代扣代缴的个人所得税不能作为单位纳税的凭证；</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依法免税的供应商，应提供相应文件证明其依法免税；</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2）依法缴纳社会保障资金的相关材料：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开标日前6个月内（至少提供1个月）缴纳社会保险的凭据（专用收据或社会保险缴纳清单）；供应商为其他组织或自然人的，也需要按此项规定提供缴纳税收的凭据和缴纳社会保险的凭据</w:t>
            </w:r>
            <w:r>
              <w:rPr>
                <w:rFonts w:hint="eastAsia" w:cs="宋体"/>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rPr>
              <w:t>（5）参加政府采购活动近3年内，在经营活动中没有重大违法记录</w:t>
            </w:r>
          </w:p>
        </w:tc>
        <w:tc>
          <w:tcPr>
            <w:tcW w:w="6969" w:type="dxa"/>
            <w:vAlign w:val="center"/>
          </w:tcPr>
          <w:p>
            <w:pPr>
              <w:widowControl w:val="0"/>
              <w:autoSpaceDE w:val="0"/>
              <w:autoSpaceDN w:val="0"/>
              <w:spacing w:before="0" w:after="0" w:line="240" w:lineRule="auto"/>
              <w:ind w:left="0" w:leftChars="0" w:right="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供应商须提供供应商参加政府采购活动前3年内在经营活动中没有重大违法记录的书面声明</w:t>
            </w:r>
            <w:r>
              <w:rPr>
                <w:rFonts w:hint="eastAsia" w:cs="宋体"/>
                <w:color w:val="auto"/>
                <w:spacing w:val="0"/>
                <w:w w:val="100"/>
                <w:kern w:val="2"/>
                <w:position w:val="0"/>
                <w:sz w:val="21"/>
                <w:szCs w:val="21"/>
                <w:highlight w:val="none"/>
                <w:lang w:val="en-US" w:eastAsia="zh-CN" w:bidi="ar-SA"/>
              </w:rPr>
              <w:t>。</w:t>
            </w:r>
            <w:r>
              <w:rPr>
                <w:rFonts w:hint="eastAsia" w:ascii="宋体" w:hAnsi="宋体" w:eastAsia="宋体" w:cs="宋体"/>
                <w:color w:val="auto"/>
                <w:spacing w:val="0"/>
                <w:w w:val="100"/>
                <w:kern w:val="2"/>
                <w:position w:val="0"/>
                <w:sz w:val="21"/>
                <w:szCs w:val="21"/>
                <w:highlight w:val="none"/>
                <w:lang w:val="en-US" w:eastAsia="zh-CN" w:bidi="ar-SA"/>
              </w:rPr>
              <w:t>（供应商自行出具，格式自拟，加盖公章）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信用查询</w:t>
            </w:r>
          </w:p>
        </w:tc>
        <w:tc>
          <w:tcPr>
            <w:tcW w:w="6969" w:type="dxa"/>
            <w:vAlign w:val="center"/>
          </w:tcPr>
          <w:p>
            <w:pPr>
              <w:widowControl w:val="0"/>
              <w:autoSpaceDE w:val="0"/>
              <w:autoSpaceDN w:val="0"/>
              <w:spacing w:before="0" w:after="0" w:line="240" w:lineRule="auto"/>
              <w:ind w:left="0" w:leftChars="0" w:right="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r>
              <w:rPr>
                <w:rFonts w:hint="eastAsia" w:cs="宋体"/>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限制行为</w:t>
            </w:r>
          </w:p>
        </w:tc>
        <w:tc>
          <w:tcPr>
            <w:tcW w:w="6969" w:type="dxa"/>
            <w:vAlign w:val="center"/>
          </w:tcPr>
          <w:p>
            <w:pPr>
              <w:widowControl w:val="0"/>
              <w:autoSpaceDE w:val="0"/>
              <w:autoSpaceDN w:val="0"/>
              <w:spacing w:before="0" w:after="0" w:line="240" w:lineRule="auto"/>
              <w:ind w:left="0" w:leftChars="0" w:right="0" w:firstLine="0" w:firstLineChars="0"/>
              <w:jc w:val="left"/>
              <w:outlineLvl w:val="9"/>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zh-CN"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cs="宋体"/>
                <w:color w:val="auto"/>
                <w:spacing w:val="0"/>
                <w:w w:val="100"/>
                <w:kern w:val="2"/>
                <w:position w:val="0"/>
                <w:sz w:val="21"/>
                <w:szCs w:val="21"/>
                <w:highlight w:val="none"/>
                <w:lang w:val="zh-CN" w:eastAsia="zh-CN" w:bidi="ar-SA"/>
              </w:rPr>
              <w:t>。</w:t>
            </w:r>
            <w:r>
              <w:rPr>
                <w:rFonts w:hint="eastAsia" w:ascii="宋体" w:hAnsi="宋体" w:eastAsia="宋体" w:cs="宋体"/>
                <w:smallCaps w:val="0"/>
                <w:color w:val="auto"/>
                <w:spacing w:val="0"/>
                <w:w w:val="100"/>
                <w:kern w:val="2"/>
                <w:position w:val="0"/>
                <w:sz w:val="21"/>
                <w:szCs w:val="21"/>
                <w:highlight w:val="none"/>
                <w:lang w:val="en-US" w:eastAsia="zh-CN" w:bidi="ar-SA"/>
              </w:rPr>
              <w:t>（</w:t>
            </w:r>
            <w:r>
              <w:rPr>
                <w:rFonts w:hint="eastAsia" w:ascii="宋体" w:hAnsi="宋体" w:eastAsia="宋体" w:cs="宋体"/>
                <w:smallCaps w:val="0"/>
                <w:color w:val="auto"/>
                <w:spacing w:val="0"/>
                <w:w w:val="100"/>
                <w:position w:val="0"/>
                <w:sz w:val="21"/>
                <w:szCs w:val="21"/>
                <w:highlight w:val="none"/>
                <w:lang w:val="en-US" w:eastAsia="zh-CN"/>
              </w:rPr>
              <w:t>限制行为</w:t>
            </w:r>
            <w:r>
              <w:rPr>
                <w:rFonts w:hint="eastAsia" w:ascii="宋体" w:hAnsi="宋体" w:eastAsia="宋体" w:cs="宋体"/>
                <w:smallCaps w:val="0"/>
                <w:color w:val="auto"/>
                <w:spacing w:val="0"/>
                <w:w w:val="100"/>
                <w:kern w:val="2"/>
                <w:position w:val="0"/>
                <w:sz w:val="21"/>
                <w:szCs w:val="21"/>
                <w:highlight w:val="none"/>
                <w:lang w:val="en-US" w:eastAsia="zh-CN" w:bidi="ar-SA"/>
              </w:rPr>
              <w:t>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outlineLvl w:val="9"/>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政府采购政策资格要求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zh-CN" w:eastAsia="zh-CN" w:bidi="ar-SA"/>
              </w:rPr>
            </w:pPr>
            <w:r>
              <w:rPr>
                <w:rFonts w:hint="eastAsia" w:ascii="宋体" w:hAnsi="宋体" w:eastAsia="宋体" w:cs="宋体"/>
                <w:smallCaps w:val="0"/>
                <w:color w:val="auto"/>
                <w:spacing w:val="0"/>
                <w:kern w:val="2"/>
                <w:position w:val="0"/>
                <w:sz w:val="21"/>
                <w:szCs w:val="21"/>
                <w:highlight w:val="none"/>
                <w:lang w:val="en-US" w:eastAsia="zh-CN" w:bidi="zh-CN"/>
              </w:rPr>
              <w:t>本项目专门面向中小微企业采购</w:t>
            </w:r>
            <w:r>
              <w:rPr>
                <w:rFonts w:hint="eastAsia" w:ascii="宋体" w:hAnsi="宋体" w:eastAsia="宋体" w:cs="宋体"/>
                <w:smallCaps w:val="0"/>
                <w:color w:val="auto"/>
                <w:spacing w:val="0"/>
                <w:kern w:val="0"/>
                <w:position w:val="0"/>
                <w:sz w:val="21"/>
                <w:szCs w:val="21"/>
                <w:highlight w:val="none"/>
                <w:lang w:val="zh-CN" w:eastAsia="zh-CN" w:bidi="zh-CN"/>
              </w:rPr>
              <w:t>，非</w:t>
            </w:r>
            <w:r>
              <w:rPr>
                <w:rFonts w:hint="eastAsia" w:ascii="宋体" w:hAnsi="宋体" w:eastAsia="宋体" w:cs="宋体"/>
                <w:smallCaps w:val="0"/>
                <w:color w:val="auto"/>
                <w:spacing w:val="0"/>
                <w:kern w:val="0"/>
                <w:position w:val="0"/>
                <w:sz w:val="21"/>
                <w:szCs w:val="21"/>
                <w:highlight w:val="none"/>
                <w:lang w:val="en-US" w:eastAsia="zh-CN" w:bidi="zh-CN"/>
              </w:rPr>
              <w:t>中型、</w:t>
            </w:r>
            <w:r>
              <w:rPr>
                <w:rFonts w:hint="eastAsia" w:ascii="宋体" w:hAnsi="宋体" w:eastAsia="宋体" w:cs="宋体"/>
                <w:smallCaps w:val="0"/>
                <w:color w:val="auto"/>
                <w:spacing w:val="0"/>
                <w:kern w:val="0"/>
                <w:position w:val="0"/>
                <w:sz w:val="21"/>
                <w:szCs w:val="21"/>
                <w:highlight w:val="none"/>
                <w:lang w:val="zh-CN" w:eastAsia="zh-CN" w:bidi="zh-CN"/>
              </w:rPr>
              <w:t>小型、微型企业的将被拒绝。</w:t>
            </w:r>
            <w:r>
              <w:rPr>
                <w:rFonts w:hint="eastAsia" w:ascii="宋体" w:hAnsi="宋体" w:eastAsia="宋体" w:cs="宋体"/>
                <w:color w:val="auto"/>
                <w:spacing w:val="0"/>
                <w:position w:val="0"/>
                <w:sz w:val="21"/>
                <w:szCs w:val="21"/>
                <w:highlight w:val="none"/>
              </w:rPr>
              <w:t>全部服务的承接方须为符合采购标的对应行业（</w:t>
            </w:r>
            <w:r>
              <w:rPr>
                <w:rFonts w:ascii="Calibri" w:hAnsi="Calibri" w:eastAsia="宋体" w:cs="Times New Roman"/>
                <w:b/>
                <w:bCs/>
                <w:color w:val="auto"/>
                <w:kern w:val="2"/>
                <w:sz w:val="21"/>
                <w:szCs w:val="24"/>
                <w:highlight w:val="none"/>
                <w:lang w:val="en-US" w:bidi="ar-SA"/>
              </w:rPr>
              <w:t>软件和信息技术服务业</w:t>
            </w:r>
            <w:r>
              <w:rPr>
                <w:rFonts w:hint="eastAsia" w:ascii="宋体" w:hAnsi="宋体" w:eastAsia="宋体" w:cs="宋体"/>
                <w:color w:val="auto"/>
                <w:spacing w:val="0"/>
                <w:position w:val="0"/>
                <w:sz w:val="21"/>
                <w:szCs w:val="21"/>
                <w:highlight w:val="none"/>
              </w:rPr>
              <w:t>）划分标准的中小微企业（监狱企业、残疾人福利单位视同小型、微型企业）</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smallCaps w:val="0"/>
                <w:color w:val="auto"/>
                <w:spacing w:val="0"/>
                <w:kern w:val="2"/>
                <w:position w:val="0"/>
                <w:sz w:val="21"/>
                <w:szCs w:val="21"/>
                <w:highlight w:val="none"/>
                <w:lang w:val="en-US" w:eastAsia="zh-CN" w:bidi="ar-SA"/>
              </w:rPr>
              <w:t>提供《中小企业声明函》（详见附件）或其他视为小型、微型企业证明材料。</w:t>
            </w:r>
            <w:r>
              <w:rPr>
                <w:rFonts w:hint="eastAsia" w:ascii="宋体" w:hAnsi="宋体" w:eastAsia="宋体" w:cs="宋体"/>
                <w:color w:val="auto"/>
                <w:spacing w:val="0"/>
                <w:position w:val="0"/>
                <w:sz w:val="21"/>
                <w:szCs w:val="21"/>
                <w:highlight w:val="none"/>
              </w:rPr>
              <w:t>《中小企业声明函》中相关企业所属行业应当与采购标的所属行业相一致。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5</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其他要求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default" w:ascii="宋体" w:hAnsi="宋体" w:eastAsia="宋体" w:cs="宋体"/>
                <w:color w:val="auto"/>
                <w:spacing w:val="0"/>
                <w:w w:val="100"/>
                <w:position w:val="0"/>
                <w:sz w:val="21"/>
                <w:szCs w:val="21"/>
                <w:highlight w:val="none"/>
                <w:lang w:val="en-US" w:eastAsia="zh-CN" w:bidi="ar-SA"/>
              </w:rPr>
            </w:pPr>
            <w:r>
              <w:rPr>
                <w:rFonts w:hint="eastAsia" w:cs="宋体"/>
                <w:color w:val="auto"/>
                <w:spacing w:val="0"/>
                <w:w w:val="100"/>
                <w:position w:val="0"/>
                <w:sz w:val="21"/>
                <w:szCs w:val="21"/>
                <w:highlight w:val="none"/>
                <w:lang w:val="en-US" w:eastAsia="zh-CN" w:bidi="ar-SA"/>
              </w:rPr>
              <w:t>/</w:t>
            </w:r>
          </w:p>
        </w:tc>
      </w:tr>
    </w:tbl>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3.符合性审查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3.1由磋商小组对通过资格审查的合格供应商的响应文件的响应报价、商务、技术等实质性要求进行符合性审查，符合性审查标准为本磋商文件中载明</w:t>
      </w:r>
      <w:r>
        <w:rPr>
          <w:rFonts w:hint="eastAsia" w:ascii="宋体" w:hAnsi="宋体" w:eastAsia="宋体" w:cs="宋体"/>
          <w:snapToGrid w:val="0"/>
          <w:color w:val="auto"/>
          <w:spacing w:val="0"/>
          <w:kern w:val="0"/>
          <w:position w:val="0"/>
          <w:sz w:val="21"/>
          <w:szCs w:val="21"/>
          <w:highlight w:val="none"/>
          <w:lang w:val="en-US" w:eastAsia="zh-CN" w:bidi="ar-SA"/>
        </w:rPr>
        <w:t>的《符合性审查要求》，</w:t>
      </w:r>
      <w:r>
        <w:rPr>
          <w:rFonts w:hint="eastAsia" w:ascii="宋体" w:hAnsi="宋体" w:eastAsia="宋体" w:cs="宋体"/>
          <w:snapToGrid w:val="0"/>
          <w:color w:val="auto"/>
          <w:spacing w:val="0"/>
          <w:kern w:val="0"/>
          <w:position w:val="0"/>
          <w:sz w:val="21"/>
          <w:szCs w:val="21"/>
          <w:highlight w:val="none"/>
          <w:lang w:val="en-US" w:eastAsia="en-US" w:bidi="ar-SA"/>
        </w:rPr>
        <w:t>以确定其是否满足磋商文件的实质性要求。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3.4首次响应文件报价出现前后不一致的，按照下列规定修正：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（1）响应文件中报价表内容与响应文件中相应内容不一致的，以报价表为准；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（2）大写金额和小写金额不一致的，以大写金额为准；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（3）单价金额小数点或者百分比有明显错位的，以报价表的总价为准，并修改单价；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同时出现两种以上不一致的，按照以上（1）-（4）规定的顺序逐条进行修正。修正后的报价经供应商确认后产生约束力，供应商不确认的，其响应文件按无效响应处理。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5</w:t>
      </w:r>
      <w:r>
        <w:rPr>
          <w:rFonts w:hint="eastAsia" w:ascii="宋体" w:hAnsi="宋体" w:eastAsia="宋体" w:cs="宋体"/>
          <w:snapToGrid w:val="0"/>
          <w:color w:val="auto"/>
          <w:spacing w:val="0"/>
          <w:kern w:val="0"/>
          <w:position w:val="0"/>
          <w:sz w:val="21"/>
          <w:szCs w:val="21"/>
          <w:highlight w:val="none"/>
          <w:lang w:val="en-US" w:eastAsia="en-US" w:bidi="ar-SA"/>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3.7《符合性审查要求》见下表：</w:t>
      </w:r>
    </w:p>
    <w:p>
      <w:pPr>
        <w:shd w:val="clear"/>
        <w:spacing w:line="240" w:lineRule="auto"/>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t>符合性审查要求</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6"/>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color w:val="auto"/>
                <w:spacing w:val="0"/>
                <w:w w:val="100"/>
                <w:kern w:val="0"/>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bidi="ar-SA"/>
              </w:rPr>
              <w:t>序号</w:t>
            </w:r>
          </w:p>
        </w:tc>
        <w:tc>
          <w:tcPr>
            <w:tcW w:w="976"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color w:val="auto"/>
                <w:spacing w:val="0"/>
                <w:w w:val="100"/>
                <w:kern w:val="0"/>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bidi="ar-SA"/>
              </w:rPr>
              <w:t>审查因素</w:t>
            </w:r>
          </w:p>
        </w:tc>
        <w:tc>
          <w:tcPr>
            <w:tcW w:w="3619"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color w:val="auto"/>
                <w:spacing w:val="0"/>
                <w:w w:val="100"/>
                <w:kern w:val="0"/>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授权委托书</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按</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0"/>
                <w:position w:val="0"/>
                <w:sz w:val="21"/>
                <w:szCs w:val="21"/>
                <w:highlight w:val="none"/>
                <w:lang w:val="en-US" w:bidi="ar-SA"/>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w:t>
            </w:r>
            <w:r>
              <w:rPr>
                <w:rFonts w:hint="eastAsia" w:ascii="宋体" w:hAnsi="宋体" w:eastAsia="宋体" w:cs="宋体"/>
                <w:color w:val="auto"/>
                <w:spacing w:val="0"/>
                <w:w w:val="100"/>
                <w:kern w:val="0"/>
                <w:position w:val="0"/>
                <w:sz w:val="21"/>
                <w:szCs w:val="21"/>
                <w:highlight w:val="none"/>
                <w:lang w:val="en-US" w:bidi="ar-SA"/>
              </w:rPr>
              <w:t>完整性</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2"/>
                <w:position w:val="0"/>
                <w:sz w:val="21"/>
                <w:szCs w:val="21"/>
                <w:highlight w:val="none"/>
                <w:lang w:val="en-US" w:bidi="ar-SA"/>
              </w:rPr>
              <w:t>未将一个采购</w:t>
            </w:r>
            <w:r>
              <w:rPr>
                <w:rFonts w:hint="eastAsia" w:cs="宋体"/>
                <w:color w:val="auto"/>
                <w:spacing w:val="0"/>
                <w:w w:val="100"/>
                <w:kern w:val="2"/>
                <w:position w:val="0"/>
                <w:sz w:val="21"/>
                <w:szCs w:val="21"/>
                <w:highlight w:val="none"/>
                <w:lang w:val="en-US" w:eastAsia="zh-CN" w:bidi="ar-SA"/>
              </w:rPr>
              <w:t>标项</w:t>
            </w:r>
            <w:r>
              <w:rPr>
                <w:rFonts w:hint="eastAsia" w:ascii="宋体" w:hAnsi="宋体" w:eastAsia="宋体" w:cs="宋体"/>
                <w:color w:val="auto"/>
                <w:spacing w:val="0"/>
                <w:w w:val="100"/>
                <w:kern w:val="2"/>
                <w:position w:val="0"/>
                <w:sz w:val="21"/>
                <w:szCs w:val="21"/>
                <w:highlight w:val="none"/>
                <w:lang w:val="en-US" w:bidi="ar-SA"/>
              </w:rPr>
              <w:t>中的内容拆开</w:t>
            </w:r>
            <w:r>
              <w:rPr>
                <w:rFonts w:hint="eastAsia" w:ascii="宋体" w:hAnsi="宋体" w:eastAsia="宋体" w:cs="宋体"/>
                <w:color w:val="auto"/>
                <w:spacing w:val="0"/>
                <w:w w:val="100"/>
                <w:kern w:val="2"/>
                <w:position w:val="0"/>
                <w:sz w:val="21"/>
                <w:szCs w:val="21"/>
                <w:highlight w:val="none"/>
                <w:lang w:val="en-US" w:eastAsia="zh-CN" w:bidi="ar-SA"/>
              </w:rPr>
              <w:t>响应</w:t>
            </w:r>
            <w:r>
              <w:rPr>
                <w:rFonts w:hint="eastAsia" w:ascii="宋体" w:hAnsi="宋体" w:eastAsia="宋体" w:cs="宋体"/>
                <w:color w:val="auto"/>
                <w:spacing w:val="0"/>
                <w:w w:val="100"/>
                <w:kern w:val="2"/>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cs="宋体"/>
                <w:color w:val="auto"/>
                <w:spacing w:val="0"/>
                <w:w w:val="100"/>
                <w:kern w:val="2"/>
                <w:position w:val="0"/>
                <w:sz w:val="21"/>
                <w:szCs w:val="21"/>
                <w:highlight w:val="none"/>
                <w:lang w:val="en-US" w:eastAsia="zh-CN" w:bidi="zh-CN"/>
              </w:rPr>
              <w:t>响应报价</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cs="宋体"/>
                <w:color w:val="auto"/>
                <w:spacing w:val="0"/>
                <w:w w:val="100"/>
                <w:kern w:val="2"/>
                <w:position w:val="0"/>
                <w:sz w:val="21"/>
                <w:szCs w:val="21"/>
                <w:highlight w:val="none"/>
                <w:lang w:val="en-US" w:eastAsia="zh-CN" w:bidi="zh-CN"/>
              </w:rPr>
              <w:t>响应报价</w:t>
            </w:r>
            <w:r>
              <w:rPr>
                <w:rFonts w:hint="eastAsia" w:ascii="宋体" w:hAnsi="宋体" w:eastAsia="宋体" w:cs="宋体"/>
                <w:color w:val="auto"/>
                <w:spacing w:val="0"/>
                <w:w w:val="100"/>
                <w:kern w:val="0"/>
                <w:position w:val="0"/>
                <w:sz w:val="21"/>
                <w:szCs w:val="21"/>
                <w:highlight w:val="none"/>
                <w:lang w:val="en-US" w:eastAsia="zh-CN" w:bidi="ar-SA"/>
              </w:rPr>
              <w:t>(包括首次报价、最后报价以及经确认的修正报价)未超过项目最高限价；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4</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报价唯一性</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ascii="宋体" w:hAnsi="宋体" w:eastAsia="宋体" w:cs="宋体"/>
                <w:color w:val="auto"/>
                <w:spacing w:val="8"/>
                <w:sz w:val="21"/>
                <w:szCs w:val="21"/>
                <w:highlight w:val="none"/>
              </w:rPr>
              <w:t>响应文件</w:t>
            </w:r>
            <w:r>
              <w:rPr>
                <w:rFonts w:ascii="宋体" w:hAnsi="宋体" w:eastAsia="宋体" w:cs="宋体"/>
                <w:color w:val="auto"/>
                <w:spacing w:val="5"/>
                <w:sz w:val="21"/>
                <w:szCs w:val="21"/>
                <w:highlight w:val="none"/>
              </w:rPr>
              <w:t>未</w:t>
            </w:r>
            <w:r>
              <w:rPr>
                <w:rFonts w:ascii="宋体" w:hAnsi="宋体" w:eastAsia="宋体" w:cs="宋体"/>
                <w:color w:val="auto"/>
                <w:spacing w:val="4"/>
                <w:sz w:val="21"/>
                <w:szCs w:val="21"/>
                <w:highlight w:val="none"/>
              </w:rPr>
              <w:t>出现可选择性或可调整的报价(竞争性</w:t>
            </w:r>
            <w:r>
              <w:rPr>
                <w:rFonts w:ascii="宋体" w:hAnsi="宋体" w:eastAsia="宋体" w:cs="宋体"/>
                <w:color w:val="auto"/>
                <w:spacing w:val="-1"/>
                <w:sz w:val="21"/>
                <w:szCs w:val="21"/>
                <w:highlight w:val="none"/>
              </w:rPr>
              <w:t>磋商文件另</w:t>
            </w:r>
            <w:r>
              <w:rPr>
                <w:rFonts w:ascii="宋体" w:hAnsi="宋体" w:eastAsia="宋体" w:cs="宋体"/>
                <w:color w:val="auto"/>
                <w:sz w:val="21"/>
                <w:szCs w:val="21"/>
                <w:highlight w:val="none"/>
              </w:rPr>
              <w:t>有规定的除外)</w:t>
            </w:r>
            <w:r>
              <w:rPr>
                <w:rFonts w:hint="eastAsia" w:ascii="宋体" w:hAnsi="宋体" w:eastAsia="宋体" w:cs="宋体"/>
                <w:color w:val="auto"/>
                <w:spacing w:val="0"/>
                <w:w w:val="10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5</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中承诺的</w:t>
            </w: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r>
              <w:rPr>
                <w:rFonts w:hint="eastAsia" w:ascii="宋体" w:hAnsi="宋体" w:eastAsia="宋体" w:cs="宋体"/>
                <w:color w:val="auto"/>
                <w:spacing w:val="0"/>
                <w:w w:val="100"/>
                <w:kern w:val="0"/>
                <w:position w:val="0"/>
                <w:sz w:val="21"/>
                <w:szCs w:val="21"/>
                <w:highlight w:val="none"/>
                <w:lang w:val="en-US" w:bidi="ar-SA"/>
              </w:rPr>
              <w:t>满足</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0"/>
                <w:position w:val="0"/>
                <w:sz w:val="21"/>
                <w:szCs w:val="21"/>
                <w:highlight w:val="none"/>
                <w:lang w:val="en-US" w:bidi="ar-SA"/>
              </w:rPr>
              <w:t>中载明的</w:t>
            </w: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r>
              <w:rPr>
                <w:rFonts w:hint="eastAsia" w:cs="宋体"/>
                <w:smallCaps w:val="0"/>
                <w:color w:val="auto"/>
                <w:spacing w:val="0"/>
                <w:w w:val="100"/>
                <w:kern w:val="0"/>
                <w:position w:val="0"/>
                <w:sz w:val="21"/>
                <w:szCs w:val="21"/>
                <w:highlight w:val="none"/>
                <w:lang w:val="en-US" w:eastAsia="zh-CN" w:bidi="ar"/>
              </w:rPr>
              <w:t>的</w:t>
            </w:r>
            <w:r>
              <w:rPr>
                <w:rFonts w:hint="eastAsia" w:ascii="宋体" w:hAnsi="宋体" w:eastAsia="宋体" w:cs="宋体"/>
                <w:color w:val="auto"/>
                <w:spacing w:val="0"/>
                <w:w w:val="10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6</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签署、盖章</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按照</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0"/>
                <w:position w:val="0"/>
                <w:sz w:val="21"/>
                <w:szCs w:val="21"/>
                <w:highlight w:val="none"/>
                <w:lang w:val="en-US" w:bidi="ar-SA"/>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7</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cs="宋体"/>
                <w:color w:val="auto"/>
                <w:spacing w:val="0"/>
                <w:w w:val="100"/>
                <w:kern w:val="0"/>
                <w:position w:val="0"/>
                <w:sz w:val="21"/>
                <w:szCs w:val="21"/>
                <w:highlight w:val="none"/>
                <w:lang w:val="en-US" w:eastAsia="zh-CN" w:bidi="ar-SA"/>
              </w:rPr>
              <w:t>磋商保证金</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zh-CN" w:bidi="ar-SA"/>
              </w:rPr>
              <w:t>按时、足额缴纳</w:t>
            </w:r>
            <w:r>
              <w:rPr>
                <w:rFonts w:hint="eastAsia" w:cs="宋体"/>
                <w:color w:val="auto"/>
                <w:spacing w:val="0"/>
                <w:w w:val="100"/>
                <w:kern w:val="0"/>
                <w:position w:val="0"/>
                <w:sz w:val="21"/>
                <w:szCs w:val="21"/>
                <w:highlight w:val="none"/>
                <w:lang w:val="en-US" w:eastAsia="zh-CN" w:bidi="ar-SA"/>
              </w:rPr>
              <w:t>磋商保证金</w:t>
            </w:r>
            <w:r>
              <w:rPr>
                <w:rFonts w:hint="eastAsia" w:ascii="宋体" w:hAnsi="宋体" w:eastAsia="宋体" w:cs="宋体"/>
                <w:color w:val="auto"/>
                <w:spacing w:val="0"/>
                <w:w w:val="100"/>
                <w:kern w:val="0"/>
                <w:position w:val="0"/>
                <w:sz w:val="21"/>
                <w:szCs w:val="21"/>
                <w:highlight w:val="none"/>
                <w:lang w:val="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8</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付款方式</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zh-CN" w:eastAsia="zh-CN" w:bidi="ar-SA"/>
              </w:rPr>
            </w:pPr>
            <w:r>
              <w:rPr>
                <w:rFonts w:hint="eastAsia" w:ascii="宋体" w:hAnsi="宋体" w:eastAsia="宋体" w:cs="宋体"/>
                <w:color w:val="auto"/>
                <w:spacing w:val="0"/>
                <w:w w:val="100"/>
                <w:kern w:val="0"/>
                <w:position w:val="0"/>
                <w:sz w:val="21"/>
                <w:szCs w:val="21"/>
                <w:highlight w:val="none"/>
                <w:lang w:val="en-US" w:eastAsia="zh-CN" w:bidi="ar-SA"/>
              </w:rPr>
              <w:t>响应文件承诺的付款方式满足竞争性磋商文件要求；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cs="宋体"/>
                <w:color w:val="auto"/>
                <w:spacing w:val="0"/>
                <w:w w:val="100"/>
                <w:kern w:val="0"/>
                <w:position w:val="0"/>
                <w:sz w:val="21"/>
                <w:szCs w:val="21"/>
                <w:highlight w:val="none"/>
                <w:lang w:val="en-US" w:eastAsia="zh-CN" w:bidi="ar-SA"/>
              </w:rPr>
              <w:t>9</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★号条款响应</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满足</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2"/>
                <w:position w:val="0"/>
                <w:sz w:val="21"/>
                <w:szCs w:val="21"/>
                <w:highlight w:val="none"/>
                <w:lang w:val="en-US" w:bidi="ar-SA"/>
              </w:rPr>
              <w:t>《采购需求》</w:t>
            </w:r>
            <w:r>
              <w:rPr>
                <w:rFonts w:hint="eastAsia" w:ascii="宋体" w:hAnsi="宋体" w:eastAsia="宋体" w:cs="宋体"/>
                <w:color w:val="auto"/>
                <w:spacing w:val="0"/>
                <w:w w:val="100"/>
                <w:kern w:val="0"/>
                <w:position w:val="0"/>
                <w:sz w:val="21"/>
                <w:szCs w:val="21"/>
                <w:highlight w:val="none"/>
                <w:lang w:val="en-US" w:bidi="ar-SA"/>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0</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报价合理性</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报价合理，或</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的报价明显低于其他通过符合性审查</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color w:val="auto"/>
                <w:spacing w:val="0"/>
                <w:w w:val="10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公平竞争</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遵循公平竞争的原则，不存在恶意串通，妨碍其他</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的竞争行为，不存在损害采购人或者其他</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附加条件</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其他无效情形</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w:t>
            </w:r>
            <w:r>
              <w:rPr>
                <w:rFonts w:hint="eastAsia" w:ascii="宋体" w:hAnsi="宋体" w:eastAsia="宋体" w:cs="宋体"/>
                <w:color w:val="auto"/>
                <w:spacing w:val="0"/>
                <w:w w:val="100"/>
                <w:kern w:val="2"/>
                <w:position w:val="0"/>
                <w:sz w:val="21"/>
                <w:szCs w:val="21"/>
                <w:highlight w:val="none"/>
                <w:lang w:val="en-US" w:eastAsia="zh-CN" w:bidi="ar-SA"/>
              </w:rPr>
              <w:t>响应文件</w:t>
            </w:r>
            <w:r>
              <w:rPr>
                <w:rFonts w:hint="eastAsia" w:ascii="宋体" w:hAnsi="宋体" w:eastAsia="宋体" w:cs="宋体"/>
                <w:color w:val="auto"/>
                <w:spacing w:val="0"/>
                <w:w w:val="100"/>
                <w:kern w:val="2"/>
                <w:position w:val="0"/>
                <w:sz w:val="21"/>
                <w:szCs w:val="21"/>
                <w:highlight w:val="none"/>
                <w:lang w:val="en-US" w:bidi="ar-SA"/>
              </w:rPr>
              <w:t>不存在不符合法律、法规和</w:t>
            </w:r>
            <w:r>
              <w:rPr>
                <w:rFonts w:hint="eastAsia" w:ascii="宋体" w:hAnsi="宋体" w:eastAsia="宋体" w:cs="宋体"/>
                <w:color w:val="auto"/>
                <w:spacing w:val="0"/>
                <w:w w:val="100"/>
                <w:kern w:val="2"/>
                <w:position w:val="0"/>
                <w:sz w:val="21"/>
                <w:szCs w:val="21"/>
                <w:highlight w:val="none"/>
                <w:lang w:val="en-US" w:eastAsia="zh-CN" w:bidi="ar-SA"/>
              </w:rPr>
              <w:t>竞争性磋商文件</w:t>
            </w:r>
            <w:r>
              <w:rPr>
                <w:rFonts w:hint="eastAsia" w:ascii="宋体" w:hAnsi="宋体" w:eastAsia="宋体" w:cs="宋体"/>
                <w:color w:val="auto"/>
                <w:spacing w:val="0"/>
                <w:w w:val="100"/>
                <w:kern w:val="2"/>
                <w:position w:val="0"/>
                <w:sz w:val="21"/>
                <w:szCs w:val="21"/>
                <w:highlight w:val="none"/>
                <w:lang w:val="en-US" w:bidi="ar-SA"/>
              </w:rPr>
              <w:t>规定的其他无效情形。</w:t>
            </w:r>
          </w:p>
        </w:tc>
      </w:tr>
    </w:tbl>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4.磋商程序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4.1磋商小组按照</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4.3对磋商文件作出的实质性变动是磋商文件的有效组成部分，由磋商小组及时以电子澄清函形式同时通知所有参加磋商的供应商。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4.5磋商中，磋商的任何一方不得透露与磋商有关的其他供应商的技术资料、价格和其他信息。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4.6磋商小组应对磋商过程和重要磋商内容进行记录，作为评标报告一部分，磋商小组在记录上签字确认。主要内容包括：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（1）按照相关规定进行公示的，公示情况说明；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（2）磋商日期和地点，磋商人员名单；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（3）合同主要条款及价格商定情况。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4.7磋商过程中重新提交的响应文件，供应商可以在开启前补充、修改。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4.8对磋商过程提交的响应文件进行有效性、完整性和响应程度审查，通过审查的合格供应商不足3家的，采购人或者采购代理机构应当重新开展采购活动。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5.最后报价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5.4已经提交响应文件的供应商，在提交最后报价之前，可以根据磋商情况退出磋商，退出磋商的供应商的响应文件按无效响应处理。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5.5供应商未在规定时间内提交最后报价的，视同退出磋商。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5.6磋商小组收齐某一分标最后报价后统一开启，磋商小组对最后报价进行有效性、完整性和响应程度的审查。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5.7最终响应文件的报价出现前后不一致的，按照本章第3.4条的规定修正。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5.8修正后的最终报价出现下列情形的，按无效响应处理：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（1）供应商不确认的（全流程电子化评标采取在线确认）；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（2）经供应商确认修正后的响应报价（包含首次报价、最后报价）超过所竞标分标规定的采购预算金额或者最高限价的（如本项目公布了最高限价）；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（3）经供应商确认修正后的响应报价（包含首次报价、最后报价）超过分项采购预算金额或者最高限价的（如本项目公布了最高限价）。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5.9经供应商确认修正后的最后报价作为评审及签订合同的依据。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5.10供应商出现最后报价按无效响应处理或者响应文件按无效处理时，磋商小组应当告知有关供应商。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snapToGrid w:val="0"/>
          <w:color w:val="auto"/>
          <w:spacing w:val="0"/>
          <w:kern w:val="0"/>
          <w:position w:val="0"/>
          <w:sz w:val="21"/>
          <w:szCs w:val="21"/>
          <w:highlight w:val="none"/>
          <w:lang w:val="en-US" w:eastAsia="en-US" w:bidi="ar-SA"/>
        </w:rPr>
        <w:t>5.11最后报价结束后，磋商小组不得再与供应商进行任何形式的商谈。</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6.比较与评价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6.1评审方法：综合评分法。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6.2经磋商确定最终采购需求和提交最后报价的供应商后，由磋商小组采用综合评分法对提交最后报价的供应商的响应文件和最后报价进行综合评分。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6.3评审时，磋商小组各成员应当独立对每个有效响应的文件进行评价、打分，然后汇总每个供应商每项评分因素的得分。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（2）磋商小组按照磋商文件中规定的评审标准计算各供应商的报价得分。项目评审过程中，不得去掉最后报价中的最高报价和最低报价。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（3）各供应商的得分为磋商小组所有成员的有效评分的算术平均数。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6.4评审价为供应商的最后报价进行政策性扣除后的价格，评审价只是作为评审时使用。最终成交供应商的成交金额等于最后报价（如有修正，以确认修正后的最后报价为准）。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6.5由磋商小组根据综合评分情况，按照评审得分由高到低顺序推荐3名以上成交候选供应商，并编写评审报告。符合本章</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情形的，可以推荐2家成交候选供应商。评审得分相同的，按照最后报价由低到高的顺序推荐。评审得分且最后报价相同的，按照技术指标优劣顺序推荐。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7.评审复核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7.1评审报告签署前，评审委员会要对评审结果进行复核，复核意见要体现在评审报告中。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8.评审标准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default"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8.1评审依据：磋商小组将以磋商响应文件为评审依据，对供应商的报价、技术、商务等方面内容按</w:t>
      </w:r>
      <w:r>
        <w:rPr>
          <w:rFonts w:hint="eastAsia" w:ascii="宋体" w:hAnsi="宋体" w:eastAsia="宋体" w:cs="宋体"/>
          <w:snapToGrid w:val="0"/>
          <w:color w:val="auto"/>
          <w:spacing w:val="0"/>
          <w:kern w:val="0"/>
          <w:position w:val="0"/>
          <w:sz w:val="21"/>
          <w:szCs w:val="21"/>
          <w:highlight w:val="none"/>
          <w:lang w:val="en-US" w:eastAsia="zh-CN" w:bidi="ar-SA"/>
        </w:rPr>
        <w:t>标准</w:t>
      </w:r>
      <w:r>
        <w:rPr>
          <w:rFonts w:hint="eastAsia" w:ascii="宋体" w:hAnsi="宋体" w:eastAsia="宋体" w:cs="宋体"/>
          <w:snapToGrid w:val="0"/>
          <w:color w:val="auto"/>
          <w:spacing w:val="0"/>
          <w:kern w:val="0"/>
          <w:position w:val="0"/>
          <w:sz w:val="21"/>
          <w:szCs w:val="21"/>
          <w:highlight w:val="none"/>
          <w:lang w:val="en-US" w:eastAsia="en-US" w:bidi="ar-SA"/>
        </w:rPr>
        <w:t>打分。</w:t>
      </w:r>
      <w:r>
        <w:rPr>
          <w:rFonts w:hint="eastAsia" w:ascii="宋体" w:hAnsi="宋体" w:eastAsia="宋体" w:cs="宋体"/>
          <w:snapToGrid w:val="0"/>
          <w:color w:val="auto"/>
          <w:spacing w:val="0"/>
          <w:kern w:val="0"/>
          <w:position w:val="0"/>
          <w:sz w:val="21"/>
          <w:szCs w:val="21"/>
          <w:highlight w:val="none"/>
          <w:lang w:val="en-US" w:eastAsia="zh-CN" w:bidi="ar-SA"/>
        </w:rPr>
        <w:t>具体详见附件：“评审标准”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8.2对供应商的客观评分项目，各评审专家评分应当一致。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8.3.终止竞争性磋商采购活动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9.报告违法行为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9.1磋商小组在评审过程中发现供应商有行贿、提供虚假材料或者串通等违法行为时，有向采购人、采购代理机构或者有关部门报告的职责。</w:t>
      </w:r>
    </w:p>
    <w:p>
      <w:pPr>
        <w:autoSpaceDE w:val="0"/>
        <w:autoSpaceDN w:val="0"/>
        <w:spacing w:line="480" w:lineRule="exact"/>
        <w:jc w:val="left"/>
        <w:rPr>
          <w:rFonts w:ascii="宋体" w:hAnsi="宋体" w:eastAsia="宋体" w:cs="宋体"/>
          <w:b/>
          <w:bCs/>
          <w:color w:val="auto"/>
          <w:kern w:val="0"/>
          <w:sz w:val="22"/>
          <w:szCs w:val="22"/>
          <w:highlight w:val="none"/>
          <w:lang w:val="en-US" w:bidi="zh-CN"/>
        </w:rPr>
      </w:pPr>
      <w:r>
        <w:rPr>
          <w:rFonts w:hint="eastAsia" w:ascii="宋体" w:hAnsi="宋体" w:eastAsia="宋体" w:cs="宋体"/>
          <w:b/>
          <w:bCs/>
          <w:color w:val="auto"/>
          <w:kern w:val="0"/>
          <w:sz w:val="22"/>
          <w:szCs w:val="22"/>
          <w:highlight w:val="none"/>
          <w:lang w:val="en-US" w:bidi="zh-CN"/>
        </w:rPr>
        <w:t>附件：评审标准</w:t>
      </w:r>
    </w:p>
    <w:p>
      <w:pPr>
        <w:autoSpaceDE w:val="0"/>
        <w:autoSpaceDN w:val="0"/>
        <w:jc w:val="center"/>
        <w:rPr>
          <w:rFonts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详细评标表（满分100分）</w:t>
      </w:r>
    </w:p>
    <w:tbl>
      <w:tblPr>
        <w:tblStyle w:val="32"/>
        <w:tblW w:w="4736"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4125"/>
        <w:gridCol w:w="51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8" w:hRule="atLeast"/>
          <w:jc w:val="center"/>
        </w:trPr>
        <w:tc>
          <w:tcPr>
            <w:tcW w:w="4113" w:type="dxa"/>
            <w:tcBorders>
              <w:bottom w:val="single" w:color="000000" w:sz="6" w:space="0"/>
              <w:right w:val="single" w:color="000000" w:sz="6" w:space="0"/>
            </w:tcBorders>
            <w:vAlign w:val="center"/>
          </w:tcPr>
          <w:p>
            <w:pPr>
              <w:autoSpaceDE w:val="0"/>
              <w:autoSpaceDN w:val="0"/>
              <w:spacing w:before="2"/>
              <w:jc w:val="center"/>
              <w:rPr>
                <w:rFonts w:ascii="宋体" w:hAnsi="宋体" w:eastAsia="宋体" w:cs="宋体"/>
                <w:b/>
                <w:color w:val="auto"/>
                <w:kern w:val="2"/>
                <w:sz w:val="21"/>
                <w:szCs w:val="21"/>
                <w:highlight w:val="none"/>
                <w:lang w:val="zh-CN" w:bidi="zh-CN"/>
              </w:rPr>
            </w:pPr>
            <w:r>
              <w:rPr>
                <w:rFonts w:hint="eastAsia" w:ascii="宋体" w:hAnsi="宋体" w:eastAsia="宋体" w:cs="宋体"/>
                <w:b/>
                <w:color w:val="auto"/>
                <w:kern w:val="2"/>
                <w:sz w:val="21"/>
                <w:szCs w:val="21"/>
                <w:highlight w:val="none"/>
                <w:lang w:val="zh-CN" w:bidi="zh-CN"/>
              </w:rPr>
              <w:t>评分因素</w:t>
            </w:r>
          </w:p>
        </w:tc>
        <w:tc>
          <w:tcPr>
            <w:tcW w:w="5124" w:type="dxa"/>
            <w:tcBorders>
              <w:left w:val="single" w:color="000000" w:sz="6" w:space="0"/>
              <w:bottom w:val="single" w:color="000000" w:sz="6" w:space="0"/>
            </w:tcBorders>
            <w:vAlign w:val="center"/>
          </w:tcPr>
          <w:p>
            <w:pPr>
              <w:autoSpaceDE w:val="0"/>
              <w:autoSpaceDN w:val="0"/>
              <w:spacing w:before="2"/>
              <w:jc w:val="center"/>
              <w:rPr>
                <w:rFonts w:ascii="宋体" w:hAnsi="宋体" w:eastAsia="宋体" w:cs="宋体"/>
                <w:b/>
                <w:color w:val="auto"/>
                <w:kern w:val="2"/>
                <w:sz w:val="21"/>
                <w:szCs w:val="21"/>
                <w:highlight w:val="none"/>
                <w:lang w:val="zh-CN" w:bidi="zh-CN"/>
              </w:rPr>
            </w:pPr>
            <w:r>
              <w:rPr>
                <w:rFonts w:hint="eastAsia" w:ascii="宋体" w:hAnsi="宋体" w:eastAsia="宋体" w:cs="宋体"/>
                <w:b/>
                <w:color w:val="auto"/>
                <w:kern w:val="2"/>
                <w:sz w:val="21"/>
                <w:szCs w:val="21"/>
                <w:highlight w:val="none"/>
                <w:lang w:val="zh-CN" w:bidi="zh-CN"/>
              </w:rPr>
              <w:t>分值</w:t>
            </w:r>
            <w:r>
              <w:rPr>
                <w:rFonts w:hint="eastAsia" w:ascii="宋体" w:hAnsi="宋体" w:eastAsia="宋体" w:cs="宋体"/>
                <w:b/>
                <w:color w:val="auto"/>
                <w:kern w:val="2"/>
                <w:sz w:val="21"/>
                <w:szCs w:val="21"/>
                <w:highlight w:val="none"/>
                <w:lang w:val="en-US" w:bidi="zh-CN"/>
              </w:rPr>
              <w:t>分</w:t>
            </w:r>
            <w:r>
              <w:rPr>
                <w:rFonts w:hint="eastAsia" w:ascii="宋体" w:hAnsi="宋体" w:eastAsia="宋体" w:cs="宋体"/>
                <w:b/>
                <w:color w:val="auto"/>
                <w:kern w:val="2"/>
                <w:sz w:val="21"/>
                <w:szCs w:val="21"/>
                <w:highlight w:val="none"/>
                <w:lang w:val="zh-CN" w:bidi="zh-CN"/>
              </w:rPr>
              <w:t>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4113" w:type="dxa"/>
            <w:tcBorders>
              <w:top w:val="single" w:color="000000" w:sz="6" w:space="0"/>
              <w:bottom w:val="single" w:color="000000" w:sz="6" w:space="0"/>
              <w:right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en-US" w:bidi="zh-CN"/>
              </w:rPr>
              <w:t>响应报价</w:t>
            </w:r>
          </w:p>
        </w:tc>
        <w:tc>
          <w:tcPr>
            <w:tcW w:w="5124" w:type="dxa"/>
            <w:tcBorders>
              <w:top w:val="single" w:color="000000" w:sz="6" w:space="0"/>
              <w:left w:val="single" w:color="000000" w:sz="6" w:space="0"/>
              <w:bottom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2</w:t>
            </w:r>
            <w:r>
              <w:rPr>
                <w:rFonts w:hint="eastAsia" w:ascii="宋体" w:hAnsi="宋体" w:eastAsia="宋体" w:cs="宋体"/>
                <w:color w:val="auto"/>
                <w:kern w:val="2"/>
                <w:sz w:val="21"/>
                <w:szCs w:val="21"/>
                <w:highlight w:val="none"/>
                <w:lang w:val="en-US" w:bidi="zh-CN"/>
              </w:rPr>
              <w:t>0</w:t>
            </w:r>
            <w:r>
              <w:rPr>
                <w:rFonts w:hint="eastAsia" w:ascii="宋体" w:hAnsi="宋体" w:eastAsia="宋体" w:cs="宋体"/>
                <w:color w:val="auto"/>
                <w:kern w:val="2"/>
                <w:sz w:val="21"/>
                <w:szCs w:val="21"/>
                <w:highlight w:val="none"/>
                <w:lang w:val="zh-CN" w:bidi="zh-CN"/>
              </w:rPr>
              <w:t>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4113" w:type="dxa"/>
            <w:tcBorders>
              <w:top w:val="single" w:color="000000" w:sz="6" w:space="0"/>
              <w:bottom w:val="single" w:color="000000" w:sz="6" w:space="0"/>
              <w:right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商务部分</w:t>
            </w:r>
          </w:p>
        </w:tc>
        <w:tc>
          <w:tcPr>
            <w:tcW w:w="5124" w:type="dxa"/>
            <w:tcBorders>
              <w:top w:val="single" w:color="000000" w:sz="6" w:space="0"/>
              <w:left w:val="single" w:color="000000" w:sz="6" w:space="0"/>
              <w:bottom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20</w:t>
            </w:r>
            <w:r>
              <w:rPr>
                <w:rFonts w:hint="eastAsia" w:ascii="宋体" w:hAnsi="宋体" w:eastAsia="宋体" w:cs="宋体"/>
                <w:color w:val="auto"/>
                <w:kern w:val="2"/>
                <w:sz w:val="21"/>
                <w:szCs w:val="21"/>
                <w:highlight w:val="none"/>
                <w:lang w:val="zh-CN" w:bidi="zh-CN"/>
              </w:rPr>
              <w:t>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4113" w:type="dxa"/>
            <w:tcBorders>
              <w:top w:val="single" w:color="000000" w:sz="6" w:space="0"/>
              <w:bottom w:val="single" w:color="000000" w:sz="6" w:space="0"/>
              <w:right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技术（服务）部分</w:t>
            </w:r>
          </w:p>
        </w:tc>
        <w:tc>
          <w:tcPr>
            <w:tcW w:w="5124" w:type="dxa"/>
            <w:tcBorders>
              <w:top w:val="single" w:color="000000" w:sz="6" w:space="0"/>
              <w:left w:val="single" w:color="000000" w:sz="6" w:space="0"/>
              <w:bottom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60</w:t>
            </w:r>
            <w:r>
              <w:rPr>
                <w:rFonts w:hint="eastAsia" w:ascii="宋体" w:hAnsi="宋体" w:eastAsia="宋体" w:cs="宋体"/>
                <w:color w:val="auto"/>
                <w:kern w:val="2"/>
                <w:sz w:val="21"/>
                <w:szCs w:val="21"/>
                <w:highlight w:val="none"/>
                <w:lang w:val="zh-CN" w:bidi="zh-CN"/>
              </w:rPr>
              <w:t>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4113" w:type="dxa"/>
            <w:tcBorders>
              <w:top w:val="single" w:color="000000" w:sz="6" w:space="0"/>
              <w:right w:val="single" w:color="000000" w:sz="6" w:space="0"/>
            </w:tcBorders>
            <w:vAlign w:val="center"/>
          </w:tcPr>
          <w:p>
            <w:pPr>
              <w:autoSpaceDE w:val="0"/>
              <w:autoSpaceDN w:val="0"/>
              <w:spacing w:before="5"/>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合计</w:t>
            </w:r>
          </w:p>
        </w:tc>
        <w:tc>
          <w:tcPr>
            <w:tcW w:w="5124" w:type="dxa"/>
            <w:tcBorders>
              <w:top w:val="single" w:color="000000" w:sz="6" w:space="0"/>
              <w:left w:val="single" w:color="000000" w:sz="6" w:space="0"/>
            </w:tcBorders>
            <w:vAlign w:val="center"/>
          </w:tcPr>
          <w:p>
            <w:pPr>
              <w:autoSpaceDE w:val="0"/>
              <w:autoSpaceDN w:val="0"/>
              <w:spacing w:before="5"/>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100分</w:t>
            </w:r>
          </w:p>
        </w:tc>
      </w:tr>
    </w:tbl>
    <w:p>
      <w:pPr>
        <w:autoSpaceDE w:val="0"/>
        <w:autoSpaceDN w:val="0"/>
        <w:jc w:val="center"/>
        <w:rPr>
          <w:rFonts w:hint="eastAsia" w:ascii="宋体" w:hAnsi="宋体" w:eastAsia="宋体" w:cs="宋体"/>
          <w:b/>
          <w:bCs/>
          <w:color w:val="auto"/>
          <w:kern w:val="0"/>
          <w:sz w:val="22"/>
          <w:szCs w:val="22"/>
          <w:highlight w:val="none"/>
          <w:lang w:val="zh-CN" w:bidi="zh-CN"/>
        </w:rPr>
      </w:pPr>
    </w:p>
    <w:p>
      <w:pPr>
        <w:autoSpaceDE w:val="0"/>
        <w:autoSpaceDN w:val="0"/>
        <w:jc w:val="center"/>
        <w:rPr>
          <w:rFonts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响应报价</w:t>
      </w:r>
      <w:r>
        <w:rPr>
          <w:rFonts w:hint="eastAsia" w:ascii="宋体" w:hAnsi="宋体" w:eastAsia="宋体" w:cs="宋体"/>
          <w:b/>
          <w:bCs/>
          <w:color w:val="auto"/>
          <w:kern w:val="0"/>
          <w:sz w:val="22"/>
          <w:szCs w:val="22"/>
          <w:highlight w:val="none"/>
          <w:lang w:val="en-US" w:bidi="zh-CN"/>
        </w:rPr>
        <w:t>部分</w:t>
      </w:r>
      <w:r>
        <w:rPr>
          <w:rFonts w:hint="eastAsia" w:cs="宋体"/>
          <w:b/>
          <w:bCs/>
          <w:color w:val="auto"/>
          <w:kern w:val="0"/>
          <w:sz w:val="22"/>
          <w:szCs w:val="22"/>
          <w:highlight w:val="none"/>
          <w:lang w:val="en-US" w:bidi="zh-CN"/>
        </w:rPr>
        <w:t>2</w:t>
      </w:r>
      <w:r>
        <w:rPr>
          <w:rFonts w:hint="eastAsia" w:ascii="宋体" w:hAnsi="宋体" w:eastAsia="宋体" w:cs="宋体"/>
          <w:b/>
          <w:bCs/>
          <w:color w:val="auto"/>
          <w:kern w:val="0"/>
          <w:sz w:val="22"/>
          <w:szCs w:val="22"/>
          <w:highlight w:val="none"/>
          <w:lang w:val="zh-CN" w:bidi="zh-CN"/>
        </w:rPr>
        <w:t>0分</w:t>
      </w:r>
    </w:p>
    <w:tbl>
      <w:tblPr>
        <w:tblStyle w:val="32"/>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186"/>
        <w:gridCol w:w="696"/>
        <w:gridCol w:w="7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序号</w:t>
            </w:r>
          </w:p>
        </w:tc>
        <w:tc>
          <w:tcPr>
            <w:tcW w:w="11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0"/>
                <w:sz w:val="21"/>
                <w:szCs w:val="21"/>
                <w:highlight w:val="none"/>
                <w:lang w:val="en-US" w:bidi="ar-SA"/>
              </w:rPr>
              <w:t>评审内容</w:t>
            </w:r>
          </w:p>
        </w:tc>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分值</w:t>
            </w:r>
          </w:p>
        </w:tc>
        <w:tc>
          <w:tcPr>
            <w:tcW w:w="70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03"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118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响应报价</w:t>
            </w:r>
          </w:p>
        </w:tc>
        <w:tc>
          <w:tcPr>
            <w:tcW w:w="69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bidi="ar-SA"/>
              </w:rPr>
              <w:t>0分</w:t>
            </w:r>
          </w:p>
        </w:tc>
        <w:tc>
          <w:tcPr>
            <w:tcW w:w="70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hint="eastAsia" w:cs="宋体"/>
                <w:color w:val="auto"/>
                <w:kern w:val="0"/>
                <w:sz w:val="22"/>
                <w:szCs w:val="22"/>
                <w:highlight w:val="none"/>
                <w:lang w:val="en-US" w:bidi="zh-CN"/>
              </w:rPr>
            </w:pPr>
            <w:r>
              <w:rPr>
                <w:rFonts w:hint="eastAsia" w:cs="宋体"/>
                <w:color w:val="auto"/>
                <w:kern w:val="0"/>
                <w:sz w:val="22"/>
                <w:szCs w:val="22"/>
                <w:highlight w:val="none"/>
                <w:lang w:val="en-US" w:bidi="zh-CN"/>
              </w:rPr>
              <w:t>投标报价得分的计算：</w:t>
            </w:r>
          </w:p>
          <w:p>
            <w:pPr>
              <w:autoSpaceDE w:val="0"/>
              <w:autoSpaceDN w:val="0"/>
              <w:adjustRightInd w:val="0"/>
              <w:jc w:val="both"/>
              <w:rPr>
                <w:rFonts w:hint="eastAsia" w:cs="宋体"/>
                <w:color w:val="auto"/>
                <w:kern w:val="0"/>
                <w:sz w:val="22"/>
                <w:szCs w:val="22"/>
                <w:highlight w:val="none"/>
                <w:lang w:val="en-US" w:bidi="zh-CN"/>
              </w:rPr>
            </w:pPr>
            <w:r>
              <w:rPr>
                <w:rFonts w:hint="eastAsia" w:cs="宋体"/>
                <w:color w:val="auto"/>
                <w:kern w:val="0"/>
                <w:sz w:val="22"/>
                <w:szCs w:val="22"/>
                <w:highlight w:val="none"/>
                <w:lang w:val="en-US" w:bidi="zh-CN"/>
              </w:rPr>
              <w:t>采用低价优先法计算，即满足磋商文件要求且投标人的投标价格在限价范围内的最低投标报价为评标基准价，其报价得分为满分。</w:t>
            </w:r>
          </w:p>
          <w:p>
            <w:pPr>
              <w:autoSpaceDE w:val="0"/>
              <w:autoSpaceDN w:val="0"/>
              <w:adjustRightInd w:val="0"/>
              <w:jc w:val="both"/>
              <w:rPr>
                <w:rFonts w:hint="eastAsia" w:cs="宋体"/>
                <w:color w:val="auto"/>
                <w:kern w:val="0"/>
                <w:sz w:val="22"/>
                <w:szCs w:val="22"/>
                <w:highlight w:val="none"/>
                <w:lang w:val="en-US" w:bidi="zh-CN"/>
              </w:rPr>
            </w:pPr>
            <w:r>
              <w:rPr>
                <w:rFonts w:hint="eastAsia" w:cs="宋体"/>
                <w:color w:val="auto"/>
                <w:kern w:val="0"/>
                <w:sz w:val="22"/>
                <w:szCs w:val="22"/>
                <w:highlight w:val="none"/>
                <w:lang w:val="en-US" w:bidi="zh-CN"/>
              </w:rPr>
              <w:t>其他投标人的报价得分统一按下列公式计算：</w:t>
            </w:r>
          </w:p>
          <w:p>
            <w:pPr>
              <w:autoSpaceDE w:val="0"/>
              <w:autoSpaceDN w:val="0"/>
              <w:adjustRightInd w:val="0"/>
              <w:jc w:val="both"/>
              <w:rPr>
                <w:rFonts w:ascii="宋体" w:hAnsi="宋体" w:eastAsia="仿宋" w:cs="宋体"/>
                <w:color w:val="auto"/>
                <w:kern w:val="0"/>
                <w:sz w:val="32"/>
                <w:szCs w:val="20"/>
                <w:highlight w:val="none"/>
                <w:lang w:val="en-US" w:bidi="zh-CN"/>
              </w:rPr>
            </w:pPr>
            <w:r>
              <w:rPr>
                <w:rFonts w:hint="eastAsia" w:cs="宋体"/>
                <w:color w:val="auto"/>
                <w:kern w:val="0"/>
                <w:sz w:val="22"/>
                <w:szCs w:val="22"/>
                <w:highlight w:val="none"/>
                <w:lang w:val="en-US" w:bidi="zh-CN"/>
              </w:rPr>
              <w:t>投标报价得分=（评标基准价/投标人报价）×100×20%</w:t>
            </w:r>
          </w:p>
        </w:tc>
      </w:tr>
    </w:tbl>
    <w:p>
      <w:pPr>
        <w:autoSpaceDE w:val="0"/>
        <w:autoSpaceDN w:val="0"/>
        <w:jc w:val="center"/>
        <w:rPr>
          <w:rFonts w:hint="eastAsia" w:ascii="宋体" w:hAnsi="宋体" w:eastAsia="宋体" w:cs="宋体"/>
          <w:b/>
          <w:bCs/>
          <w:color w:val="auto"/>
          <w:kern w:val="0"/>
          <w:sz w:val="24"/>
          <w:szCs w:val="24"/>
          <w:highlight w:val="none"/>
          <w:lang w:val="en-US" w:bidi="zh-CN"/>
        </w:rPr>
      </w:pPr>
    </w:p>
    <w:p>
      <w:pPr>
        <w:autoSpaceDE w:val="0"/>
        <w:autoSpaceDN w:val="0"/>
        <w:jc w:val="center"/>
        <w:rPr>
          <w:rFonts w:hint="eastAsia" w:ascii="宋体" w:hAnsi="宋体" w:eastAsia="宋体" w:cs="宋体"/>
          <w:b/>
          <w:bCs/>
          <w:color w:val="auto"/>
          <w:kern w:val="0"/>
          <w:sz w:val="24"/>
          <w:szCs w:val="24"/>
          <w:highlight w:val="none"/>
          <w:lang w:val="en-US" w:bidi="zh-CN"/>
        </w:rPr>
      </w:pPr>
    </w:p>
    <w:p>
      <w:pPr>
        <w:autoSpaceDE w:val="0"/>
        <w:autoSpaceDN w:val="0"/>
        <w:jc w:val="center"/>
        <w:rPr>
          <w:rFonts w:hint="eastAsia" w:ascii="宋体" w:hAnsi="宋体" w:eastAsia="宋体" w:cs="宋体"/>
          <w:b/>
          <w:bCs/>
          <w:color w:val="auto"/>
          <w:kern w:val="0"/>
          <w:sz w:val="24"/>
          <w:szCs w:val="24"/>
          <w:highlight w:val="none"/>
          <w:lang w:val="en-US" w:bidi="zh-CN"/>
        </w:rPr>
      </w:pPr>
    </w:p>
    <w:p>
      <w:pPr>
        <w:autoSpaceDE w:val="0"/>
        <w:autoSpaceDN w:val="0"/>
        <w:jc w:val="center"/>
        <w:rPr>
          <w:rFonts w:hint="eastAsia" w:ascii="宋体" w:hAnsi="宋体" w:eastAsia="宋体" w:cs="宋体"/>
          <w:b/>
          <w:bCs/>
          <w:color w:val="auto"/>
          <w:kern w:val="0"/>
          <w:sz w:val="24"/>
          <w:szCs w:val="24"/>
          <w:highlight w:val="none"/>
          <w:lang w:val="en-US" w:bidi="zh-CN"/>
        </w:rPr>
      </w:pPr>
    </w:p>
    <w:p>
      <w:pPr>
        <w:autoSpaceDE w:val="0"/>
        <w:autoSpaceDN w:val="0"/>
        <w:jc w:val="center"/>
        <w:rPr>
          <w:rFonts w:ascii="宋体" w:hAnsi="宋体" w:eastAsia="宋体" w:cs="宋体"/>
          <w:b/>
          <w:bCs/>
          <w:color w:val="auto"/>
          <w:kern w:val="0"/>
          <w:sz w:val="24"/>
          <w:szCs w:val="24"/>
          <w:highlight w:val="none"/>
          <w:lang w:val="zh-CN" w:bidi="zh-CN"/>
        </w:rPr>
      </w:pPr>
      <w:r>
        <w:rPr>
          <w:rFonts w:hint="eastAsia" w:ascii="宋体" w:hAnsi="宋体" w:eastAsia="宋体" w:cs="宋体"/>
          <w:b/>
          <w:bCs/>
          <w:color w:val="auto"/>
          <w:kern w:val="0"/>
          <w:sz w:val="24"/>
          <w:szCs w:val="24"/>
          <w:highlight w:val="none"/>
          <w:lang w:val="en-US" w:bidi="zh-CN"/>
        </w:rPr>
        <w:t>商务评分表（</w:t>
      </w:r>
      <w:r>
        <w:rPr>
          <w:rFonts w:hint="eastAsia" w:cs="宋体"/>
          <w:b/>
          <w:bCs/>
          <w:color w:val="auto"/>
          <w:kern w:val="0"/>
          <w:sz w:val="24"/>
          <w:szCs w:val="24"/>
          <w:highlight w:val="none"/>
          <w:lang w:val="en-US" w:bidi="zh-CN"/>
        </w:rPr>
        <w:t>20</w:t>
      </w:r>
      <w:r>
        <w:rPr>
          <w:rFonts w:hint="eastAsia" w:ascii="宋体" w:hAnsi="宋体" w:eastAsia="宋体" w:cs="宋体"/>
          <w:b/>
          <w:bCs/>
          <w:color w:val="auto"/>
          <w:kern w:val="0"/>
          <w:sz w:val="24"/>
          <w:szCs w:val="24"/>
          <w:highlight w:val="none"/>
          <w:lang w:val="en-US" w:bidi="zh-CN"/>
        </w:rPr>
        <w:t>分）</w:t>
      </w:r>
    </w:p>
    <w:tbl>
      <w:tblPr>
        <w:tblStyle w:val="32"/>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539"/>
        <w:gridCol w:w="750"/>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5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序号</w:t>
            </w:r>
          </w:p>
        </w:tc>
        <w:tc>
          <w:tcPr>
            <w:tcW w:w="1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0"/>
                <w:sz w:val="21"/>
                <w:szCs w:val="21"/>
                <w:highlight w:val="none"/>
                <w:lang w:val="en-US" w:bidi="ar-SA"/>
              </w:rPr>
              <w:t>评审内容</w:t>
            </w:r>
          </w:p>
        </w:tc>
        <w:tc>
          <w:tcPr>
            <w:tcW w:w="7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分值</w:t>
            </w:r>
          </w:p>
        </w:tc>
        <w:tc>
          <w:tcPr>
            <w:tcW w:w="72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153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运维团队配置</w:t>
            </w:r>
          </w:p>
        </w:tc>
        <w:tc>
          <w:tcPr>
            <w:tcW w:w="75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sz w:val="24"/>
                <w:szCs w:val="24"/>
                <w:highlight w:val="none"/>
                <w:lang w:val="en-US" w:eastAsia="zh-CN"/>
              </w:rPr>
              <w:t>7分</w:t>
            </w:r>
          </w:p>
        </w:tc>
        <w:tc>
          <w:tcPr>
            <w:tcW w:w="7203"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1.运维工作流程： </w:t>
            </w:r>
          </w:p>
          <w:p>
            <w:pPr>
              <w:autoSpaceDE w:val="0"/>
              <w:autoSpaceDN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有相对完整的运维工作流程、规章制度与操作规范，保证措施全面、完整、可行性度高；可行性度高得（5分）、可行性度一般的得（3分）、可行性度差的得（1分）； </w:t>
            </w:r>
          </w:p>
          <w:p>
            <w:pPr>
              <w:autoSpaceDE w:val="0"/>
              <w:autoSpaceDN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2.服务团队： </w:t>
            </w:r>
          </w:p>
          <w:p>
            <w:pPr>
              <w:autoSpaceDE w:val="0"/>
              <w:autoSpaceDN w:val="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ar-SA"/>
              </w:rPr>
              <w:t>项目组成员（满足运维采购需求）中，供应商每提供1名具备相关专业的运维人员的得1分,此项最多得2分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w:t>
            </w:r>
          </w:p>
        </w:tc>
        <w:tc>
          <w:tcPr>
            <w:tcW w:w="153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企业实力</w:t>
            </w:r>
          </w:p>
        </w:tc>
        <w:tc>
          <w:tcPr>
            <w:tcW w:w="75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bidi="ar-SA"/>
              </w:rPr>
              <w:t>分</w:t>
            </w:r>
          </w:p>
        </w:tc>
        <w:tc>
          <w:tcPr>
            <w:tcW w:w="7203"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投标人应具备以下认证证书：</w:t>
            </w:r>
          </w:p>
          <w:p>
            <w:pPr>
              <w:autoSpaceDE w:val="0"/>
              <w:autoSpaceDN w:val="0"/>
              <w:jc w:val="left"/>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1、投标单位具有有效ISO 9001质量管理体系认证证书，有证书得3分，不提供不得分，总共3分；</w:t>
            </w:r>
          </w:p>
          <w:p>
            <w:pPr>
              <w:autoSpaceDE w:val="0"/>
              <w:autoSpaceDN w:val="0"/>
              <w:jc w:val="left"/>
              <w:rPr>
                <w:rFonts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注：以上证书需提供相关证书复印件或扫描件并加盖公章，未提供视不满足。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583"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w:t>
            </w:r>
          </w:p>
        </w:tc>
        <w:tc>
          <w:tcPr>
            <w:tcW w:w="1539" w:type="dxa"/>
            <w:tcBorders>
              <w:top w:val="single" w:color="auto" w:sz="4" w:space="0"/>
              <w:left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投标人业绩</w:t>
            </w:r>
          </w:p>
        </w:tc>
        <w:tc>
          <w:tcPr>
            <w:tcW w:w="750" w:type="dxa"/>
            <w:tcBorders>
              <w:top w:val="single" w:color="auto" w:sz="4" w:space="0"/>
              <w:left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10分</w:t>
            </w:r>
          </w:p>
        </w:tc>
        <w:tc>
          <w:tcPr>
            <w:tcW w:w="7203"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en-US" w:bidi="zh-CN"/>
              </w:rPr>
              <w:t>投标人提供近三年的具有同类项目类似业绩（以项目合同为准，需提供合同关键页，应至少包含首页、盖章页、招标内容页），每提供一份合格业绩得5分，满分10分。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合计</w:t>
            </w:r>
          </w:p>
        </w:tc>
        <w:tc>
          <w:tcPr>
            <w:tcW w:w="7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20</w:t>
            </w:r>
            <w:r>
              <w:rPr>
                <w:rFonts w:hint="eastAsia" w:ascii="宋体" w:hAnsi="宋体" w:eastAsia="宋体" w:cs="宋体"/>
                <w:color w:val="auto"/>
                <w:kern w:val="0"/>
                <w:sz w:val="21"/>
                <w:szCs w:val="21"/>
                <w:highlight w:val="none"/>
                <w:lang w:val="en-US" w:bidi="ar-SA"/>
              </w:rPr>
              <w:t>分</w:t>
            </w:r>
          </w:p>
        </w:tc>
        <w:tc>
          <w:tcPr>
            <w:tcW w:w="720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both"/>
              <w:rPr>
                <w:rFonts w:ascii="宋体" w:hAnsi="宋体" w:eastAsia="宋体" w:cs="宋体"/>
                <w:color w:val="auto"/>
                <w:kern w:val="0"/>
                <w:sz w:val="21"/>
                <w:szCs w:val="21"/>
                <w:highlight w:val="none"/>
                <w:lang w:val="en-US" w:bidi="zh-CN"/>
              </w:rPr>
            </w:pPr>
          </w:p>
        </w:tc>
      </w:tr>
    </w:tbl>
    <w:p>
      <w:pPr>
        <w:autoSpaceDE w:val="0"/>
        <w:autoSpaceDN w:val="0"/>
        <w:jc w:val="center"/>
        <w:rPr>
          <w:rFonts w:ascii="宋体" w:hAnsi="宋体" w:eastAsia="宋体" w:cs="宋体"/>
          <w:b/>
          <w:bCs/>
          <w:color w:val="auto"/>
          <w:kern w:val="0"/>
          <w:sz w:val="24"/>
          <w:szCs w:val="24"/>
          <w:highlight w:val="none"/>
          <w:lang w:val="zh-CN" w:bidi="zh-CN"/>
        </w:rPr>
      </w:pPr>
      <w:r>
        <w:rPr>
          <w:rFonts w:hint="eastAsia" w:ascii="宋体" w:hAnsi="宋体" w:eastAsia="宋体" w:cs="宋体"/>
          <w:b/>
          <w:bCs/>
          <w:color w:val="auto"/>
          <w:kern w:val="0"/>
          <w:sz w:val="24"/>
          <w:szCs w:val="24"/>
          <w:highlight w:val="none"/>
          <w:lang w:val="en-US" w:bidi="ar-SA"/>
        </w:rPr>
        <w:t>技术（服务）评分表（</w:t>
      </w:r>
      <w:r>
        <w:rPr>
          <w:rFonts w:hint="eastAsia" w:cs="宋体"/>
          <w:b/>
          <w:bCs/>
          <w:color w:val="auto"/>
          <w:kern w:val="0"/>
          <w:sz w:val="24"/>
          <w:szCs w:val="24"/>
          <w:highlight w:val="none"/>
          <w:lang w:val="en-US" w:eastAsia="zh-CN" w:bidi="ar-SA"/>
        </w:rPr>
        <w:t>60</w:t>
      </w:r>
      <w:r>
        <w:rPr>
          <w:rFonts w:hint="eastAsia" w:ascii="宋体" w:hAnsi="宋体" w:eastAsia="宋体" w:cs="宋体"/>
          <w:b/>
          <w:bCs/>
          <w:color w:val="auto"/>
          <w:kern w:val="0"/>
          <w:sz w:val="24"/>
          <w:szCs w:val="24"/>
          <w:highlight w:val="none"/>
          <w:lang w:val="en-US" w:bidi="ar-SA"/>
        </w:rPr>
        <w:t>分）</w:t>
      </w:r>
    </w:p>
    <w:tbl>
      <w:tblPr>
        <w:tblStyle w:val="32"/>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569"/>
        <w:gridCol w:w="720"/>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序号</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0"/>
                <w:sz w:val="21"/>
                <w:szCs w:val="21"/>
                <w:highlight w:val="none"/>
                <w:lang w:val="en-US" w:bidi="ar-SA"/>
              </w:rPr>
              <w:t>评审内容</w:t>
            </w:r>
          </w:p>
        </w:tc>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分值</w:t>
            </w:r>
          </w:p>
        </w:tc>
        <w:tc>
          <w:tcPr>
            <w:tcW w:w="72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技术参数</w:t>
            </w:r>
          </w:p>
        </w:tc>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30分</w:t>
            </w:r>
          </w:p>
        </w:tc>
        <w:tc>
          <w:tcPr>
            <w:tcW w:w="7218"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ascii="宋体" w:hAnsi="宋体" w:eastAsia="宋体" w:cs="宋体"/>
                <w:color w:val="auto"/>
                <w:kern w:val="2"/>
                <w:sz w:val="21"/>
                <w:szCs w:val="21"/>
                <w:highlight w:val="none"/>
                <w:lang w:val="en-US" w:bidi="zh-CN"/>
              </w:rPr>
            </w:pPr>
            <w:r>
              <w:rPr>
                <w:rFonts w:hint="eastAsia" w:ascii="宋体" w:hAnsi="宋体" w:eastAsia="宋体" w:cs="宋体"/>
                <w:color w:val="auto"/>
                <w:kern w:val="2"/>
                <w:sz w:val="21"/>
                <w:szCs w:val="21"/>
                <w:highlight w:val="none"/>
                <w:lang w:val="en-US" w:bidi="zh-CN"/>
              </w:rPr>
              <w:t xml:space="preserve">根据投标文件对磋商文件产品详细技术参数和性能指标的响应程度: </w:t>
            </w:r>
          </w:p>
          <w:p>
            <w:pPr>
              <w:autoSpaceDE w:val="0"/>
              <w:autoSpaceDN w:val="0"/>
              <w:jc w:val="left"/>
              <w:rPr>
                <w:rFonts w:hint="eastAsia" w:ascii="宋体" w:hAnsi="宋体" w:eastAsia="宋体" w:cs="宋体"/>
                <w:color w:val="auto"/>
                <w:kern w:val="2"/>
                <w:sz w:val="21"/>
                <w:szCs w:val="21"/>
                <w:highlight w:val="none"/>
                <w:lang w:val="en-US" w:bidi="zh-CN"/>
              </w:rPr>
            </w:pPr>
            <w:r>
              <w:rPr>
                <w:rFonts w:hint="eastAsia" w:ascii="宋体" w:hAnsi="宋体" w:eastAsia="宋体" w:cs="宋体"/>
                <w:color w:val="auto"/>
                <w:kern w:val="2"/>
                <w:sz w:val="21"/>
                <w:szCs w:val="21"/>
                <w:highlight w:val="none"/>
                <w:lang w:val="en-US" w:bidi="zh-CN"/>
              </w:rPr>
              <w:t>1、投标人应对详细技术参数逐条响应，投标人完全响应未带“</w:t>
            </w:r>
            <w:r>
              <w:rPr>
                <w:rFonts w:hint="eastAsia" w:ascii="宋体" w:hAnsi="宋体" w:eastAsia="宋体" w:cs="宋体"/>
                <w:b w:val="0"/>
                <w:bCs w:val="0"/>
                <w:color w:val="auto"/>
                <w:kern w:val="2"/>
                <w:sz w:val="21"/>
                <w:szCs w:val="21"/>
                <w:highlight w:val="none"/>
                <w:lang w:val="en-US" w:bidi="ar-SA"/>
              </w:rPr>
              <w:t>★</w:t>
            </w:r>
            <w:r>
              <w:rPr>
                <w:rFonts w:hint="eastAsia" w:ascii="宋体" w:hAnsi="宋体" w:eastAsia="宋体" w:cs="宋体"/>
                <w:color w:val="auto"/>
                <w:kern w:val="2"/>
                <w:sz w:val="21"/>
                <w:szCs w:val="21"/>
                <w:highlight w:val="none"/>
                <w:lang w:val="en-US" w:bidi="zh-CN"/>
              </w:rPr>
              <w:t>”号的技术参数，无偏离的，得22分，每出现一条负偏离扣1分，扣完为止；</w:t>
            </w:r>
          </w:p>
          <w:p>
            <w:pPr>
              <w:autoSpaceDE w:val="0"/>
              <w:autoSpaceDN w:val="0"/>
              <w:jc w:val="left"/>
              <w:rPr>
                <w:rFonts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2、</w:t>
            </w:r>
            <w:r>
              <w:rPr>
                <w:rFonts w:hint="eastAsia" w:ascii="宋体" w:hAnsi="宋体" w:eastAsia="宋体" w:cs="宋体"/>
                <w:color w:val="auto"/>
                <w:kern w:val="2"/>
                <w:sz w:val="21"/>
                <w:szCs w:val="21"/>
                <w:highlight w:val="none"/>
                <w:lang w:val="en-US" w:bidi="zh-CN"/>
              </w:rPr>
              <w:t>投标人应对带“</w:t>
            </w:r>
            <w:r>
              <w:rPr>
                <w:rFonts w:hint="eastAsia" w:ascii="宋体" w:hAnsi="宋体" w:eastAsia="宋体" w:cs="宋体"/>
                <w:b w:val="0"/>
                <w:bCs w:val="0"/>
                <w:color w:val="auto"/>
                <w:kern w:val="2"/>
                <w:sz w:val="21"/>
                <w:szCs w:val="21"/>
                <w:highlight w:val="none"/>
                <w:lang w:val="en-US" w:bidi="ar-SA"/>
              </w:rPr>
              <w:t>★</w:t>
            </w:r>
            <w:r>
              <w:rPr>
                <w:rFonts w:hint="eastAsia" w:ascii="宋体" w:hAnsi="宋体" w:eastAsia="宋体" w:cs="宋体"/>
                <w:color w:val="auto"/>
                <w:kern w:val="2"/>
                <w:sz w:val="21"/>
                <w:szCs w:val="21"/>
                <w:highlight w:val="none"/>
                <w:lang w:val="en-US" w:bidi="zh-CN"/>
              </w:rPr>
              <w:t>”号的技术参数完全响应，无偏离的，得8分，若有带“</w:t>
            </w:r>
            <w:r>
              <w:rPr>
                <w:rFonts w:hint="eastAsia" w:ascii="宋体" w:hAnsi="宋体" w:eastAsia="宋体" w:cs="宋体"/>
                <w:b w:val="0"/>
                <w:bCs w:val="0"/>
                <w:color w:val="auto"/>
                <w:kern w:val="2"/>
                <w:sz w:val="21"/>
                <w:szCs w:val="21"/>
                <w:highlight w:val="none"/>
                <w:lang w:val="en-US" w:bidi="ar-SA"/>
              </w:rPr>
              <w:t>★</w:t>
            </w:r>
            <w:r>
              <w:rPr>
                <w:rFonts w:hint="eastAsia" w:ascii="宋体" w:hAnsi="宋体" w:eastAsia="宋体" w:cs="宋体"/>
                <w:color w:val="auto"/>
                <w:kern w:val="2"/>
                <w:sz w:val="21"/>
                <w:szCs w:val="21"/>
                <w:highlight w:val="none"/>
                <w:lang w:val="en-US" w:bidi="zh-CN"/>
              </w:rPr>
              <w:t>”号的技术参数不满足，每出现一条负偏离扣2分，扣完为止。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zh-CN" w:bidi="ar-SA"/>
              </w:rPr>
            </w:pPr>
            <w:r>
              <w:rPr>
                <w:rFonts w:hint="eastAsia" w:ascii="宋体" w:hAnsi="宋体" w:eastAsia="宋体" w:cs="宋体"/>
                <w:color w:val="auto"/>
                <w:kern w:val="0"/>
                <w:sz w:val="21"/>
                <w:szCs w:val="21"/>
                <w:highlight w:val="none"/>
                <w:lang w:val="zh-CN" w:bidi="ar-SA"/>
              </w:rPr>
              <w:t>总体设计方案</w:t>
            </w:r>
          </w:p>
        </w:tc>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5分</w:t>
            </w:r>
          </w:p>
        </w:tc>
        <w:tc>
          <w:tcPr>
            <w:tcW w:w="7218"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根据磋商文件对业务需求的阐述，深化总体架构设计，提供完整、详细的总体设计方案，包括总体设计思路、总体架构、采用的技术路线等方面内容，方案全面完整、具体、合理可行并具有前瞻性。优（5分）、良（3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项目实施</w:t>
            </w:r>
          </w:p>
        </w:tc>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5分</w:t>
            </w:r>
          </w:p>
        </w:tc>
        <w:tc>
          <w:tcPr>
            <w:tcW w:w="7218"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default"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根据项目实施方案是否合理、科学，措施是否得当，是否针对本项目实施提出进度安排、质量保证、试运行及验收方案的描述，整体工期要求、进度安排和按期完成措施是否合理、完善，是否满足招标人服务期限要求。优（5分）、良（3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4</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质量保证措施</w:t>
            </w:r>
          </w:p>
        </w:tc>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5分</w:t>
            </w:r>
          </w:p>
        </w:tc>
        <w:tc>
          <w:tcPr>
            <w:tcW w:w="7218"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宋体" w:hAnsi="宋体" w:eastAsia="宋体" w:cs="宋体"/>
                <w:color w:val="auto"/>
                <w:kern w:val="2"/>
                <w:sz w:val="21"/>
                <w:szCs w:val="21"/>
                <w:highlight w:val="none"/>
                <w:lang w:val="en-US" w:bidi="zh-CN"/>
              </w:rPr>
            </w:pPr>
            <w:r>
              <w:rPr>
                <w:rFonts w:hint="eastAsia" w:ascii="宋体" w:hAnsi="宋体" w:eastAsia="宋体" w:cs="宋体"/>
                <w:color w:val="auto"/>
                <w:kern w:val="2"/>
                <w:sz w:val="21"/>
                <w:szCs w:val="21"/>
                <w:highlight w:val="none"/>
                <w:lang w:val="en-US" w:bidi="zh-CN"/>
              </w:rPr>
              <w:t>质量控制内容全面、详细，措施合理的5分，一般3分，不够全面详细1分；不提供不得分。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5</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培训与售后服务方案</w:t>
            </w:r>
          </w:p>
        </w:tc>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15分</w:t>
            </w:r>
          </w:p>
        </w:tc>
        <w:tc>
          <w:tcPr>
            <w:tcW w:w="7218"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宋体" w:hAnsi="宋体" w:eastAsia="宋体" w:cs="宋体"/>
                <w:color w:val="auto"/>
                <w:kern w:val="2"/>
                <w:sz w:val="21"/>
                <w:szCs w:val="21"/>
                <w:highlight w:val="none"/>
                <w:lang w:val="en-US" w:bidi="zh-CN"/>
              </w:rPr>
            </w:pPr>
            <w:r>
              <w:rPr>
                <w:rFonts w:hint="eastAsia" w:ascii="宋体" w:hAnsi="宋体" w:eastAsia="宋体" w:cs="宋体"/>
                <w:color w:val="auto"/>
                <w:kern w:val="2"/>
                <w:sz w:val="21"/>
                <w:szCs w:val="21"/>
                <w:highlight w:val="none"/>
                <w:lang w:val="en-US" w:bidi="zh-CN"/>
              </w:rPr>
              <w:t>项目交付后组织培训，后续服务承诺全面、服务体系完善，后续服务措施明确，具有针对性和可操作性，故障处理措施途径保障度高；优（15分）、良（10分）、差（5分）；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blHeader/>
          <w:jc w:val="center"/>
        </w:trPr>
        <w:tc>
          <w:tcPr>
            <w:tcW w:w="213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合计</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60</w:t>
            </w:r>
            <w:r>
              <w:rPr>
                <w:rFonts w:hint="eastAsia" w:ascii="宋体" w:hAnsi="宋体" w:eastAsia="宋体" w:cs="宋体"/>
                <w:color w:val="auto"/>
                <w:kern w:val="0"/>
                <w:sz w:val="21"/>
                <w:szCs w:val="21"/>
                <w:highlight w:val="none"/>
                <w:lang w:val="en-US" w:bidi="ar"/>
              </w:rPr>
              <w:t>分</w:t>
            </w:r>
          </w:p>
        </w:tc>
        <w:tc>
          <w:tcPr>
            <w:tcW w:w="721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left"/>
              <w:rPr>
                <w:rFonts w:ascii="宋体" w:hAnsi="宋体" w:eastAsia="宋体" w:cs="宋体"/>
                <w:color w:val="auto"/>
                <w:kern w:val="0"/>
                <w:sz w:val="21"/>
                <w:szCs w:val="21"/>
                <w:highlight w:val="none"/>
                <w:lang w:val="en-US" w:bidi="ar"/>
              </w:rPr>
            </w:pPr>
          </w:p>
        </w:tc>
      </w:tr>
    </w:tbl>
    <w:p>
      <w:pPr>
        <w:autoSpaceDE/>
        <w:autoSpaceDN/>
        <w:jc w:val="both"/>
        <w:rPr>
          <w:rFonts w:ascii="宋体" w:hAnsi="宋体" w:eastAsia="宋体" w:cs="宋体"/>
          <w:color w:val="auto"/>
          <w:kern w:val="2"/>
          <w:sz w:val="24"/>
          <w:szCs w:val="24"/>
          <w:highlight w:val="none"/>
          <w:lang w:val="en-US" w:bidi="ar-SA"/>
        </w:rPr>
      </w:pPr>
    </w:p>
    <w:p>
      <w:pPr>
        <w:shd w:val="clear"/>
        <w:autoSpaceDE w:val="0"/>
        <w:autoSpaceDN w:val="0"/>
        <w:jc w:val="left"/>
        <w:rPr>
          <w:rFonts w:hint="eastAsia" w:ascii="宋体" w:hAnsi="宋体" w:eastAsia="宋体" w:cs="宋体"/>
          <w:color w:val="auto"/>
          <w:spacing w:val="0"/>
          <w:w w:val="100"/>
          <w:kern w:val="0"/>
          <w:position w:val="0"/>
          <w:sz w:val="22"/>
          <w:szCs w:val="22"/>
          <w:highlight w:val="none"/>
          <w:lang w:val="zh-CN" w:bidi="zh-CN"/>
        </w:rPr>
      </w:pPr>
      <w:r>
        <w:rPr>
          <w:rFonts w:hint="eastAsia" w:ascii="宋体" w:hAnsi="宋体" w:eastAsia="宋体" w:cs="宋体"/>
          <w:color w:val="auto"/>
          <w:spacing w:val="0"/>
          <w:w w:val="100"/>
          <w:kern w:val="0"/>
          <w:position w:val="0"/>
          <w:sz w:val="22"/>
          <w:szCs w:val="22"/>
          <w:highlight w:val="none"/>
          <w:lang w:val="zh-CN" w:bidi="zh-CN"/>
        </w:rPr>
        <w:t>说明：所有认证、证明和业绩均以有效的复印件加盖公章。评分标准中所含的主观分部分由各评委独立评分，计分时取各评委评分的平均值为某个供应商的本项得分（保留2位小数）。评标结果保留两位小数。</w:t>
      </w:r>
    </w:p>
    <w:p>
      <w:pPr>
        <w:widowControl/>
        <w:kinsoku w:val="0"/>
        <w:adjustRightInd w:val="0"/>
        <w:snapToGrid w:val="0"/>
        <w:spacing w:before="78" w:line="218" w:lineRule="auto"/>
        <w:ind w:left="0" w:leftChars="0" w:right="0" w:rightChars="0" w:firstLine="0" w:firstLineChars="0"/>
        <w:jc w:val="center"/>
        <w:textAlignment w:val="baseline"/>
        <w:outlineLvl w:val="1"/>
        <w:rPr>
          <w:rFonts w:ascii="宋体" w:hAnsi="宋体" w:eastAsia="宋体" w:cs="宋体"/>
          <w:b/>
          <w:bCs/>
          <w:color w:val="auto"/>
          <w:spacing w:val="-1"/>
          <w:sz w:val="28"/>
          <w:szCs w:val="28"/>
          <w:highlight w:val="none"/>
          <w:lang w:val="en-US" w:eastAsia="en-US"/>
        </w:rPr>
      </w:pPr>
      <w:bookmarkStart w:id="52" w:name="_Toc1475"/>
      <w:bookmarkStart w:id="53" w:name="_Toc20583"/>
      <w:r>
        <w:rPr>
          <w:rFonts w:ascii="宋体" w:hAnsi="宋体" w:eastAsia="宋体" w:cs="宋体"/>
          <w:b/>
          <w:bCs/>
          <w:color w:val="auto"/>
          <w:spacing w:val="-1"/>
          <w:sz w:val="28"/>
          <w:szCs w:val="28"/>
          <w:highlight w:val="none"/>
          <w:lang w:val="en-US" w:eastAsia="en-US"/>
        </w:rPr>
        <w:t>第二节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lang w:val="en-US" w:eastAsia="en-US"/>
        </w:rPr>
        <w:t>评标报告</w:t>
      </w:r>
      <w:bookmarkEnd w:id="52"/>
      <w:bookmarkEnd w:id="53"/>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1.成交标准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由磋商小组根据综合评分情况，按照评审得分由高到低顺序推荐3名以上成交候选供应商,并在线编写电子评审报告。符合本章第一节</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2.评标争议事项处理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磋商小组成员对需要共同认定的事项存在争议的，应当按照少数服从多数的原则作出结论持不同意见的磋商小组成员应当在评标报告上签署不同意见及理由，否则视为同意评标报告。</w:t>
      </w:r>
    </w:p>
    <w:p>
      <w:pPr>
        <w:widowControl/>
        <w:kinsoku w:val="0"/>
        <w:adjustRightInd w:val="0"/>
        <w:snapToGrid w:val="0"/>
        <w:spacing w:before="78" w:line="218" w:lineRule="auto"/>
        <w:ind w:left="0" w:leftChars="0" w:right="0" w:rightChars="0" w:firstLine="0" w:firstLineChars="0"/>
        <w:jc w:val="center"/>
        <w:textAlignment w:val="baseline"/>
        <w:outlineLvl w:val="1"/>
        <w:rPr>
          <w:rFonts w:ascii="宋体" w:hAnsi="宋体" w:eastAsia="宋体" w:cs="宋体"/>
          <w:b/>
          <w:bCs/>
          <w:color w:val="auto"/>
          <w:spacing w:val="-1"/>
          <w:sz w:val="28"/>
          <w:szCs w:val="28"/>
          <w:highlight w:val="none"/>
          <w:lang w:val="en-US" w:eastAsia="en-US"/>
        </w:rPr>
      </w:pPr>
      <w:bookmarkStart w:id="54" w:name="_Toc16091"/>
      <w:bookmarkStart w:id="55" w:name="_Toc28256"/>
      <w:r>
        <w:rPr>
          <w:rFonts w:ascii="宋体" w:hAnsi="宋体" w:eastAsia="宋体" w:cs="宋体"/>
          <w:b/>
          <w:bCs/>
          <w:color w:val="auto"/>
          <w:spacing w:val="-1"/>
          <w:sz w:val="28"/>
          <w:szCs w:val="28"/>
          <w:highlight w:val="none"/>
          <w:lang w:val="en-US" w:eastAsia="en-US"/>
        </w:rPr>
        <w:t>第三节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lang w:val="en-US" w:eastAsia="en-US"/>
        </w:rPr>
        <w:t>评审过程的保密与录像</w:t>
      </w:r>
      <w:bookmarkEnd w:id="54"/>
      <w:bookmarkEnd w:id="55"/>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2.录音录像。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采购代理机构对评审工作现场及操作屏幕进行全过程录音录像，录音录像资料作为采购项目文件随其他文件一并存档。</w:t>
      </w:r>
    </w:p>
    <w:p>
      <w:pPr>
        <w:widowControl/>
        <w:kinsoku w:val="0"/>
        <w:adjustRightInd w:val="0"/>
        <w:snapToGrid w:val="0"/>
        <w:spacing w:before="78" w:line="218" w:lineRule="auto"/>
        <w:ind w:left="0" w:leftChars="0" w:right="0" w:rightChars="0" w:firstLine="0" w:firstLineChars="0"/>
        <w:jc w:val="center"/>
        <w:textAlignment w:val="baseline"/>
        <w:outlineLvl w:val="1"/>
        <w:rPr>
          <w:rFonts w:hint="eastAsia" w:ascii="宋体" w:hAnsi="宋体" w:eastAsia="宋体" w:cs="宋体"/>
          <w:b/>
          <w:bCs/>
          <w:color w:val="auto"/>
          <w:spacing w:val="-1"/>
          <w:sz w:val="28"/>
          <w:szCs w:val="28"/>
          <w:highlight w:val="none"/>
          <w:lang w:val="en-US" w:eastAsia="zh-CN"/>
        </w:rPr>
      </w:pPr>
      <w:bookmarkStart w:id="56" w:name="_Toc14629"/>
      <w:bookmarkStart w:id="57" w:name="_Toc19795"/>
      <w:r>
        <w:rPr>
          <w:rFonts w:ascii="宋体" w:hAnsi="宋体" w:eastAsia="宋体" w:cs="宋体"/>
          <w:b/>
          <w:bCs/>
          <w:color w:val="auto"/>
          <w:spacing w:val="-1"/>
          <w:sz w:val="28"/>
          <w:szCs w:val="28"/>
          <w:highlight w:val="none"/>
          <w:lang w:val="en-US" w:eastAsia="en-US"/>
        </w:rPr>
        <w:t>第</w:t>
      </w:r>
      <w:r>
        <w:rPr>
          <w:rFonts w:hint="eastAsia" w:ascii="宋体" w:hAnsi="宋体" w:eastAsia="宋体" w:cs="宋体"/>
          <w:b/>
          <w:bCs/>
          <w:color w:val="auto"/>
          <w:spacing w:val="-1"/>
          <w:sz w:val="28"/>
          <w:szCs w:val="28"/>
          <w:highlight w:val="none"/>
          <w:lang w:val="en-US" w:eastAsia="zh-CN"/>
        </w:rPr>
        <w:t>四</w:t>
      </w:r>
      <w:r>
        <w:rPr>
          <w:rFonts w:ascii="宋体" w:hAnsi="宋体" w:eastAsia="宋体" w:cs="宋体"/>
          <w:b/>
          <w:bCs/>
          <w:color w:val="auto"/>
          <w:spacing w:val="-1"/>
          <w:sz w:val="28"/>
          <w:szCs w:val="28"/>
          <w:highlight w:val="none"/>
          <w:lang w:val="en-US" w:eastAsia="en-US"/>
        </w:rPr>
        <w:t>节</w:t>
      </w:r>
      <w:r>
        <w:rPr>
          <w:rFonts w:hint="eastAsia" w:ascii="宋体" w:hAnsi="宋体" w:eastAsia="宋体" w:cs="宋体"/>
          <w:b/>
          <w:bCs/>
          <w:color w:val="auto"/>
          <w:spacing w:val="-1"/>
          <w:sz w:val="28"/>
          <w:szCs w:val="28"/>
          <w:highlight w:val="none"/>
          <w:lang w:val="en-US" w:eastAsia="zh-CN"/>
        </w:rPr>
        <w:t xml:space="preserve"> 评标中的落实政府采购政策具体办法</w:t>
      </w:r>
      <w:bookmarkEnd w:id="56"/>
      <w:bookmarkEnd w:id="57"/>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1、促进中小企业、残疾人福利性单位、监狱企业政策落实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bookmarkStart w:id="58" w:name="_bookmark69"/>
      <w:bookmarkEnd w:id="58"/>
      <w:r>
        <w:rPr>
          <w:rFonts w:hint="eastAsia" w:ascii="宋体" w:hAnsi="宋体" w:eastAsia="宋体" w:cs="宋体"/>
          <w:snapToGrid w:val="0"/>
          <w:color w:val="auto"/>
          <w:spacing w:val="0"/>
          <w:kern w:val="0"/>
          <w:position w:val="0"/>
          <w:sz w:val="21"/>
          <w:szCs w:val="21"/>
          <w:highlight w:val="none"/>
          <w:lang w:val="en-US" w:eastAsia="zh-CN" w:bidi="ar-SA"/>
        </w:rPr>
        <w:t>（1）《政府采购促进中小企业发展管理办法》（财库[2020]46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（2）在政府采购活动中，供应商提供的货物、工程或者服务符合下列情形的，享受本办法规定的中小企业扶持政策：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（一）在货物采购项目中，货物由中小企业制造，即货物由中小企业生产且使用该中小企业商号或者注册商标；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（二）在工程采购项目中，工程由中小企业承建，即工程施工单位为中小企业；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（三）在服务采购项目中，服务由中小企业承接，即提供服务的人员为中小企业依照《中华人民共和国劳动民法典》订立劳动合同的从业人员。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在货物采购项目中，供应商提供的货物既有中小企业制造货物，也有大型企业制造货物的，不享受本办法规定的中小企业扶持政策。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以联合体形式参加政府采购活动，联合体各方均为中小企业的，联合体视同中小企业。其中，联合体各方均为小微企业的，联合体视同小微企业。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接受大中型企业与小微企业组成联合体或者允许大中型企业向一家或者多家小微企业分包的采购项目，对于联合协议或者分包意向协议约定小微企业的合同份额占到合同总金额</w:t>
      </w:r>
      <w:r>
        <w:rPr>
          <w:rFonts w:hint="eastAsia"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zh-CN" w:bidi="ar-SA"/>
        </w:rPr>
        <w:t>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价格扣除比例或者价格分加分比例对小型企业和微型企业同等对待，不作区分。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（4）中小企业参加政府采购活动，应当出具《中小企业声明函》，否则不得享受相关中小企业扶持政策，《中小企业声明函》格式见响应文件格式。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5）根据《关于政府采购支持监狱企业发展有关问题的通知》（财库[2014]68号）的要求，监狱和戒毒企业（以下简称监狱企业）参加政府采购活动时，应当提供由省级以上监狱管理局、戒毒管理局（含新疆生产建设兵团）出具的属于监狱企业的证明文件。监狱企业视同小型、微型企业，享受竞争性磋商文件规定的评审中价格扣除等促进中小企业发展的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6）根据《关于促进残疾人就业政府采购政策的通知》（财库〔2017〕141号）规定，供应商如符合该规定享受政府采购支持政策的残疾人福利性单位的条件，应提供《残疾人福利性单位声明函》，格式见响应文件格式。残疾人福利性单位视同小型、微型企业，享受竞争性磋商文件规定的评审中价格扣除等促进中小企业发展的政府采购政策。残疾人福利性单位属于小型、微型企业的，不重复享受政策。享受政府采购支持政策的残疾人福利性单位应当同时满足以下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（一）安置的残疾人占本单位在职职工人数的比例不低于25%（含25%），并且安置的残疾人人数不少于10人（含10人）；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（二）依法与安置的每位残疾人签订了一年以上（含一年）的劳动合同或服务协议；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（三）为安置的每位残疾人按月足额缴纳了基本养老保险、基本医疗保险、失业保险、工伤保险和生育保险等社会保险费；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（四）通过银行等金融机构向安置的每位残疾人，按月支付了不低于单位所在区县适用的经省级人民政府批准的月最低工资标准的工资；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（五）提供本单位制造的货物、承担的工程或者服务（以下简称产品），或者提供其他残疾人福利性单位制造的货物（不包括使用非残疾人福利性单位注册商标的货物）。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（7）具体扣除比例说明：</w:t>
      </w:r>
    </w:p>
    <w:p>
      <w:pPr>
        <w:tabs>
          <w:tab w:val="left" w:pos="908"/>
        </w:tabs>
        <w:spacing w:line="360" w:lineRule="auto"/>
        <w:ind w:firstLine="420" w:firstLineChars="200"/>
        <w:outlineLvl w:val="9"/>
        <w:rPr>
          <w:color w:val="auto"/>
          <w:kern w:val="2"/>
          <w:sz w:val="21"/>
          <w:szCs w:val="21"/>
          <w:highlight w:val="none"/>
          <w:lang w:val="en-US"/>
        </w:rPr>
      </w:pPr>
      <w:r>
        <w:rPr>
          <w:rFonts w:hint="eastAsia" w:ascii="宋体"/>
          <w:color w:val="auto"/>
          <w:kern w:val="2"/>
          <w:sz w:val="21"/>
          <w:szCs w:val="21"/>
          <w:highlight w:val="none"/>
          <w:lang w:val="en-US"/>
        </w:rPr>
        <w:t>（一）对给予中小企业的扣除说明：</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1.是否为专门面向中小企业采购：是</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2.是否为本项目面向中小企业采购预留份额：是，项目整体预留给中小微企业。</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3.符合要求的小型和微型企业扣除比例：</w:t>
      </w:r>
      <w:r>
        <w:rPr>
          <w:rFonts w:hint="eastAsia"/>
          <w:b/>
          <w:bCs/>
          <w:color w:val="auto"/>
          <w:kern w:val="2"/>
          <w:sz w:val="21"/>
          <w:szCs w:val="21"/>
          <w:highlight w:val="none"/>
          <w:lang w:val="en-US"/>
        </w:rPr>
        <w:t>本项目专门面向中小微企业采购不再进行价格扣除。</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4.政府采购项目价格和得分计算方法。</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1）适用价格扣除方法政府采购项目价格及得分计算方法：</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评标价格=投标报价-投标报价*扣除比例；</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投标报价得分=（评标基准价/评标价格）*价格权值*100</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2）适用招标投标法的政府采购工程项目按照综合评估法（未采用低价优先法）计算基础价格得分后，按以下公式计算最终报价得分。</w:t>
      </w:r>
    </w:p>
    <w:p>
      <w:pPr>
        <w:tabs>
          <w:tab w:val="left" w:pos="908"/>
        </w:tabs>
        <w:spacing w:line="360" w:lineRule="auto"/>
        <w:ind w:firstLine="420" w:firstLineChars="200"/>
        <w:outlineLvl w:val="9"/>
        <w:rPr>
          <w:color w:val="auto"/>
          <w:kern w:val="2"/>
          <w:sz w:val="21"/>
          <w:szCs w:val="21"/>
          <w:highlight w:val="none"/>
          <w:lang w:val="en-US"/>
        </w:rPr>
      </w:pPr>
      <w:r>
        <w:rPr>
          <w:rFonts w:hint="eastAsia" w:ascii="宋体"/>
          <w:color w:val="auto"/>
          <w:kern w:val="2"/>
          <w:sz w:val="21"/>
          <w:szCs w:val="21"/>
          <w:highlight w:val="none"/>
          <w:lang w:val="en-US"/>
        </w:rPr>
        <w:t>最终报价得分=基础价格得分+基础价格得分*加分比例；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（二）对给予</w:t>
      </w:r>
      <w:r>
        <w:rPr>
          <w:rFonts w:hint="eastAsia" w:ascii="宋体" w:hAnsi="宋体" w:eastAsia="宋体" w:cs="宋体"/>
          <w:snapToGrid w:val="0"/>
          <w:color w:val="auto"/>
          <w:spacing w:val="0"/>
          <w:kern w:val="0"/>
          <w:position w:val="0"/>
          <w:sz w:val="21"/>
          <w:szCs w:val="21"/>
          <w:highlight w:val="none"/>
          <w:lang w:val="zh-CN" w:eastAsia="zh-CN" w:bidi="ar-SA"/>
        </w:rPr>
        <w:t>残疾人</w:t>
      </w:r>
      <w:r>
        <w:rPr>
          <w:rFonts w:hint="eastAsia" w:ascii="宋体" w:hAnsi="宋体" w:eastAsia="宋体" w:cs="宋体"/>
          <w:snapToGrid w:val="0"/>
          <w:color w:val="auto"/>
          <w:spacing w:val="0"/>
          <w:kern w:val="0"/>
          <w:position w:val="0"/>
          <w:sz w:val="21"/>
          <w:szCs w:val="21"/>
          <w:highlight w:val="none"/>
          <w:lang w:val="en-US" w:eastAsia="zh-CN" w:bidi="ar-SA"/>
        </w:rPr>
        <w:t>企业</w:t>
      </w:r>
      <w:r>
        <w:rPr>
          <w:rFonts w:hint="eastAsia" w:ascii="宋体" w:hAnsi="宋体" w:eastAsia="宋体" w:cs="宋体"/>
          <w:snapToGrid w:val="0"/>
          <w:color w:val="auto"/>
          <w:spacing w:val="0"/>
          <w:kern w:val="0"/>
          <w:position w:val="0"/>
          <w:sz w:val="21"/>
          <w:szCs w:val="21"/>
          <w:highlight w:val="none"/>
          <w:lang w:val="zh-CN" w:eastAsia="zh-CN" w:bidi="ar-SA"/>
        </w:rPr>
        <w:t>、</w:t>
      </w:r>
      <w:r>
        <w:rPr>
          <w:rFonts w:hint="eastAsia" w:ascii="宋体" w:hAnsi="宋体" w:eastAsia="宋体" w:cs="宋体"/>
          <w:snapToGrid w:val="0"/>
          <w:color w:val="auto"/>
          <w:spacing w:val="0"/>
          <w:kern w:val="0"/>
          <w:position w:val="0"/>
          <w:sz w:val="21"/>
          <w:szCs w:val="21"/>
          <w:highlight w:val="none"/>
          <w:lang w:val="en-US" w:eastAsia="zh-CN" w:bidi="ar-SA"/>
        </w:rPr>
        <w:t>监狱企业的扣除说明：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ascii="Times New Roman"/>
          <w:b/>
          <w:bCs/>
          <w:color w:val="auto"/>
          <w:kern w:val="2"/>
          <w:sz w:val="21"/>
          <w:szCs w:val="21"/>
          <w:highlight w:val="none"/>
          <w:lang w:val="en-US"/>
        </w:rPr>
        <w:t>本项目专门面向中小微企业采购不再进行价格扣除。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Times New Roman"/>
          <w:b/>
          <w:bCs/>
          <w:color w:val="auto"/>
          <w:kern w:val="2"/>
          <w:sz w:val="21"/>
          <w:szCs w:val="21"/>
          <w:highlight w:val="none"/>
          <w:lang w:val="en-US"/>
        </w:rPr>
        <w:t>本项目专门面向中小微企业采购不再进行价格扣除。</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2、鼓励节能、环保政策落实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bookmarkStart w:id="59" w:name="_bookmark70"/>
      <w:bookmarkEnd w:id="59"/>
      <w:r>
        <w:rPr>
          <w:rFonts w:hint="eastAsia" w:ascii="宋体" w:hAnsi="宋体" w:eastAsia="宋体" w:cs="宋体"/>
          <w:snapToGrid w:val="0"/>
          <w:color w:val="auto"/>
          <w:spacing w:val="0"/>
          <w:kern w:val="0"/>
          <w:position w:val="0"/>
          <w:sz w:val="21"/>
          <w:szCs w:val="21"/>
          <w:highlight w:val="none"/>
          <w:lang w:val="en-US" w:eastAsia="zh-CN" w:bidi="ar-SA"/>
        </w:rPr>
        <w:t>（1）鼓励节能政策：在性能、技术、服务等指标同等条件下，优先采购国家确定的认证机构出具的、处于有效期之内的节能产品认证证书标志产品。投标涉及上述产品的，供应商应提供带有投标产品型号的节能产品认证证书复印件作为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鼓励环保政策：在性能、技术、服务等指标同等条件下，优先采购国家确定的认证机构出具的、处于有效期之内的环境标志产品认证证书标志产品。投标涉及上述产品的，供应商应提供带有投标产品型号的环境标志产品认证证书复印件作为证明。</w:t>
      </w:r>
    </w:p>
    <w:p>
      <w:pPr>
        <w:shd w:val="clear"/>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pPr>
        <w:numPr>
          <w:ilvl w:val="0"/>
          <w:numId w:val="0"/>
        </w:numPr>
        <w:shd w:val="clear"/>
        <w:spacing w:line="480" w:lineRule="exact"/>
        <w:jc w:val="center"/>
        <w:outlineLvl w:val="0"/>
        <w:rPr>
          <w:rFonts w:hint="eastAsia" w:ascii="宋体" w:hAnsi="宋体" w:eastAsia="宋体" w:cs="宋体"/>
          <w:b/>
          <w:bCs/>
          <w:color w:val="auto"/>
          <w:spacing w:val="0"/>
          <w:w w:val="100"/>
          <w:position w:val="0"/>
          <w:sz w:val="32"/>
          <w:szCs w:val="32"/>
          <w:highlight w:val="none"/>
        </w:rPr>
      </w:pPr>
      <w:bookmarkStart w:id="60" w:name="_Toc4516"/>
      <w:bookmarkStart w:id="61" w:name="_Toc23101"/>
      <w:bookmarkStart w:id="62" w:name="_Toc28361"/>
      <w:bookmarkStart w:id="63" w:name="_Toc23518"/>
      <w:bookmarkStart w:id="64" w:name="_Toc21238"/>
      <w:bookmarkStart w:id="65" w:name="_Toc1235"/>
      <w:bookmarkStart w:id="66" w:name="_Toc18443"/>
      <w:r>
        <w:rPr>
          <w:rFonts w:hint="eastAsia" w:ascii="宋体" w:hAnsi="宋体" w:eastAsia="宋体" w:cs="宋体"/>
          <w:b/>
          <w:bCs/>
          <w:color w:val="auto"/>
          <w:spacing w:val="0"/>
          <w:w w:val="100"/>
          <w:position w:val="0"/>
          <w:sz w:val="32"/>
          <w:szCs w:val="32"/>
          <w:highlight w:val="none"/>
          <w:lang w:eastAsia="zh-CN"/>
        </w:rPr>
        <w:t>第五部分</w:t>
      </w:r>
      <w:r>
        <w:rPr>
          <w:rFonts w:hint="eastAsia" w:ascii="宋体" w:hAnsi="宋体" w:eastAsia="宋体" w:cs="宋体"/>
          <w:b/>
          <w:bCs/>
          <w:color w:val="auto"/>
          <w:spacing w:val="0"/>
          <w:w w:val="100"/>
          <w:position w:val="0"/>
          <w:sz w:val="32"/>
          <w:szCs w:val="32"/>
          <w:highlight w:val="none"/>
          <w:lang w:val="en-US" w:eastAsia="zh-CN"/>
        </w:rPr>
        <w:t xml:space="preserve"> </w:t>
      </w:r>
      <w:r>
        <w:rPr>
          <w:rFonts w:hint="eastAsia" w:ascii="宋体" w:hAnsi="宋体" w:eastAsia="宋体" w:cs="宋体"/>
          <w:b/>
          <w:bCs/>
          <w:color w:val="auto"/>
          <w:spacing w:val="0"/>
          <w:w w:val="100"/>
          <w:position w:val="0"/>
          <w:sz w:val="32"/>
          <w:szCs w:val="32"/>
          <w:highlight w:val="none"/>
        </w:rPr>
        <w:t>合同书格式</w:t>
      </w:r>
      <w:bookmarkEnd w:id="60"/>
      <w:bookmarkEnd w:id="61"/>
      <w:bookmarkEnd w:id="62"/>
      <w:bookmarkEnd w:id="63"/>
      <w:bookmarkEnd w:id="64"/>
      <w:bookmarkEnd w:id="65"/>
      <w:bookmarkEnd w:id="66"/>
    </w:p>
    <w:p>
      <w:pPr>
        <w:pageBreakBefore w:val="0"/>
        <w:kinsoku/>
        <w:wordWrap/>
        <w:overflowPunct/>
        <w:topLinePunct w:val="0"/>
        <w:autoSpaceDE/>
        <w:autoSpaceDN/>
        <w:bidi w:val="0"/>
        <w:spacing w:line="520" w:lineRule="exact"/>
        <w:jc w:val="center"/>
        <w:textAlignment w:val="auto"/>
        <w:outlineLvl w:val="9"/>
        <w:rPr>
          <w:rFonts w:hint="eastAsia" w:ascii="宋体" w:hAnsi="宋体" w:eastAsia="宋体" w:cs="宋体"/>
          <w:b/>
          <w:bCs/>
          <w:color w:val="auto"/>
          <w:kern w:val="2"/>
          <w:sz w:val="24"/>
          <w:szCs w:val="24"/>
          <w:highlight w:val="none"/>
          <w:lang w:val="en-US" w:eastAsia="zh-CN" w:bidi="ar-SA"/>
        </w:rPr>
      </w:pPr>
      <w:bookmarkStart w:id="67" w:name="_Toc13454"/>
      <w:r>
        <w:rPr>
          <w:rFonts w:hint="eastAsia" w:ascii="宋体" w:hAnsi="宋体" w:eastAsia="宋体" w:cs="宋体"/>
          <w:b/>
          <w:bCs/>
          <w:color w:val="auto"/>
          <w:kern w:val="2"/>
          <w:sz w:val="24"/>
          <w:szCs w:val="24"/>
          <w:highlight w:val="none"/>
          <w:lang w:val="en-US" w:eastAsia="zh-CN" w:bidi="ar-SA"/>
        </w:rPr>
        <w:t>（以最终签订合同为准）</w:t>
      </w:r>
    </w:p>
    <w:p>
      <w:pPr>
        <w:widowControl w:val="0"/>
        <w:shd w:val="clear"/>
        <w:autoSpaceDE w:val="0"/>
        <w:autoSpaceDN w:val="0"/>
        <w:spacing w:before="6"/>
        <w:outlineLvl w:val="9"/>
        <w:rPr>
          <w:rFonts w:hint="eastAsia" w:ascii="宋体" w:hAnsi="宋体" w:eastAsia="宋体" w:cs="宋体"/>
          <w:b/>
          <w:color w:val="auto"/>
          <w:sz w:val="49"/>
          <w:szCs w:val="21"/>
          <w:highlight w:val="none"/>
          <w:lang w:val="zh-CN" w:eastAsia="zh-CN" w:bidi="zh-CN"/>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lang w:eastAsia="zh-CN"/>
        </w:rPr>
      </w:pPr>
    </w:p>
    <w:p>
      <w:pPr>
        <w:pStyle w:val="31"/>
        <w:outlineLvl w:val="9"/>
        <w:rPr>
          <w:rFonts w:hint="eastAsia"/>
          <w:color w:val="auto"/>
          <w:highlight w:val="none"/>
          <w:lang w:eastAsia="zh-CN"/>
        </w:rPr>
      </w:pPr>
    </w:p>
    <w:p>
      <w:pPr>
        <w:pStyle w:val="31"/>
        <w:outlineLvl w:val="9"/>
        <w:rPr>
          <w:rFonts w:hint="eastAsia"/>
          <w:color w:val="auto"/>
          <w:highlight w:val="none"/>
          <w:lang w:eastAsia="zh-CN"/>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360" w:lineRule="auto"/>
        <w:ind w:left="0" w:right="0"/>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 xml:space="preserve">XXXXXXXXXXXXXXXXXX项目    </w:t>
      </w:r>
    </w:p>
    <w:p>
      <w:pPr>
        <w:shd w:val="clear"/>
        <w:spacing w:before="0" w:after="0" w:line="360" w:lineRule="auto"/>
        <w:ind w:left="0" w:right="0"/>
        <w:jc w:val="center"/>
        <w:outlineLvl w:val="9"/>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rPr>
        <w:t>服务合同</w:t>
      </w:r>
    </w:p>
    <w:p>
      <w:pPr>
        <w:pStyle w:val="31"/>
        <w:outlineLvl w:val="9"/>
        <w:rPr>
          <w:rFonts w:hint="eastAsia"/>
          <w:color w:val="auto"/>
          <w:highlight w:val="none"/>
          <w:lang w:eastAsia="zh-CN"/>
        </w:rPr>
      </w:pPr>
    </w:p>
    <w:p>
      <w:pPr>
        <w:pStyle w:val="31"/>
        <w:outlineLvl w:val="9"/>
        <w:rPr>
          <w:rFonts w:hint="eastAsia"/>
          <w:color w:val="auto"/>
          <w:highlight w:val="none"/>
          <w:lang w:eastAsia="zh-CN"/>
        </w:rPr>
      </w:pPr>
    </w:p>
    <w:p>
      <w:pPr>
        <w:pStyle w:val="65"/>
        <w:shd w:val="clear"/>
        <w:spacing w:line="240" w:lineRule="auto"/>
        <w:ind w:left="0" w:right="0"/>
        <w:jc w:val="center"/>
        <w:outlineLvl w:val="9"/>
        <w:rPr>
          <w:rFonts w:hint="eastAsia" w:ascii="宋体" w:hAnsi="宋体" w:eastAsia="宋体" w:cs="宋体"/>
          <w:color w:val="auto"/>
          <w:highlight w:val="none"/>
        </w:rPr>
      </w:pPr>
    </w:p>
    <w:p>
      <w:pPr>
        <w:pStyle w:val="65"/>
        <w:shd w:val="clear"/>
        <w:spacing w:line="240" w:lineRule="auto"/>
        <w:ind w:left="0" w:right="0"/>
        <w:jc w:val="center"/>
        <w:outlineLvl w:val="9"/>
        <w:rPr>
          <w:rFonts w:hint="eastAsia" w:ascii="宋体" w:hAnsi="宋体" w:eastAsia="宋体" w:cs="宋体"/>
          <w:color w:val="auto"/>
          <w:highlight w:val="none"/>
        </w:rPr>
      </w:pPr>
    </w:p>
    <w:p>
      <w:pPr>
        <w:pStyle w:val="65"/>
        <w:shd w:val="clear"/>
        <w:spacing w:line="240" w:lineRule="auto"/>
        <w:ind w:left="0" w:right="0"/>
        <w:jc w:val="center"/>
        <w:outlineLvl w:val="9"/>
        <w:rPr>
          <w:rFonts w:hint="eastAsia" w:ascii="宋体" w:hAnsi="宋体" w:eastAsia="宋体" w:cs="宋体"/>
          <w:color w:val="auto"/>
          <w:highlight w:val="none"/>
        </w:rPr>
      </w:pPr>
    </w:p>
    <w:p>
      <w:pPr>
        <w:pStyle w:val="65"/>
        <w:shd w:val="clear"/>
        <w:spacing w:line="240" w:lineRule="auto"/>
        <w:ind w:left="0" w:right="0"/>
        <w:jc w:val="center"/>
        <w:outlineLvl w:val="9"/>
        <w:rPr>
          <w:rFonts w:hint="eastAsia" w:ascii="宋体" w:hAnsi="宋体" w:eastAsia="宋体" w:cs="宋体"/>
          <w:color w:val="auto"/>
          <w:highlight w:val="none"/>
        </w:rPr>
      </w:pPr>
    </w:p>
    <w:p>
      <w:pPr>
        <w:pStyle w:val="65"/>
        <w:shd w:val="clear"/>
        <w:spacing w:line="240" w:lineRule="auto"/>
        <w:ind w:left="0" w:right="0"/>
        <w:jc w:val="center"/>
        <w:outlineLvl w:val="9"/>
        <w:rPr>
          <w:rFonts w:hint="eastAsia" w:ascii="宋体" w:hAnsi="宋体" w:eastAsia="宋体" w:cs="宋体"/>
          <w:color w:val="auto"/>
          <w:highlight w:val="none"/>
        </w:rPr>
      </w:pPr>
    </w:p>
    <w:p>
      <w:pPr>
        <w:pStyle w:val="17"/>
        <w:shd w:val="clear"/>
        <w:spacing w:before="0" w:after="0" w:line="500" w:lineRule="exact"/>
        <w:ind w:left="0" w:right="0"/>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XXXXXXXXXXXXXXXXXXXXXXXXX项目</w:t>
      </w:r>
    </w:p>
    <w:p>
      <w:pPr>
        <w:pStyle w:val="17"/>
        <w:shd w:val="clear"/>
        <w:spacing w:before="0" w:after="0" w:line="500" w:lineRule="exact"/>
        <w:ind w:left="0" w:right="0" w:firstLine="2160" w:firstLineChars="9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（以最终签订合同为准，本合同条款仅供参考）</w:t>
      </w:r>
    </w:p>
    <w:p>
      <w:pPr>
        <w:shd w:val="clear"/>
        <w:spacing w:before="0" w:after="0" w:line="240" w:lineRule="auto"/>
        <w:ind w:left="0" w:right="0"/>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widowControl w:val="0"/>
        <w:shd w:val="clear"/>
        <w:autoSpaceDE w:val="0"/>
        <w:autoSpaceDN w:val="0"/>
        <w:spacing w:before="14"/>
        <w:jc w:val="center"/>
        <w:outlineLvl w:val="9"/>
        <w:rPr>
          <w:rFonts w:hint="eastAsia" w:ascii="宋体" w:hAnsi="宋体" w:eastAsia="宋体" w:cs="宋体"/>
          <w:color w:val="auto"/>
          <w:sz w:val="24"/>
          <w:szCs w:val="24"/>
          <w:highlight w:val="none"/>
          <w:lang w:val="zh-CN" w:eastAsia="zh-CN" w:bidi="zh-CN"/>
        </w:rPr>
      </w:pPr>
      <w:r>
        <w:rPr>
          <w:rFonts w:hint="eastAsia" w:ascii="宋体" w:hAnsi="宋体" w:eastAsia="宋体" w:cs="宋体"/>
          <w:b/>
          <w:bCs/>
          <w:color w:val="auto"/>
          <w:sz w:val="24"/>
          <w:szCs w:val="24"/>
          <w:highlight w:val="none"/>
          <w:lang w:val="zh-CN" w:eastAsia="zh-CN" w:bidi="zh-CN"/>
        </w:rPr>
        <w:t>合</w:t>
      </w:r>
      <w:r>
        <w:rPr>
          <w:rFonts w:hint="eastAsia" w:ascii="宋体" w:hAnsi="宋体" w:eastAsia="宋体" w:cs="宋体"/>
          <w:b/>
          <w:bCs/>
          <w:color w:val="auto"/>
          <w:sz w:val="24"/>
          <w:szCs w:val="24"/>
          <w:highlight w:val="none"/>
          <w:lang w:val="zh-CN" w:eastAsia="zh-CN" w:bidi="zh-CN"/>
        </w:rPr>
        <w:tab/>
      </w:r>
      <w:r>
        <w:rPr>
          <w:rFonts w:hint="eastAsia" w:ascii="宋体" w:hAnsi="宋体" w:eastAsia="宋体" w:cs="宋体"/>
          <w:b/>
          <w:bCs/>
          <w:color w:val="auto"/>
          <w:sz w:val="24"/>
          <w:szCs w:val="24"/>
          <w:highlight w:val="none"/>
          <w:lang w:val="zh-CN" w:eastAsia="zh-CN" w:bidi="zh-CN"/>
        </w:rPr>
        <w:t>同（样本）</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甲方：</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根据《中华人民共和国政府采购法》《中华人民共和国民法典》等法律法规的规定，甲乙双方按照政府采购磋商结果签订本合同。</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第一条 合同标的</w:t>
      </w:r>
      <w:r>
        <w:rPr>
          <w:rFonts w:hint="eastAsia" w:ascii="宋体" w:hAnsi="宋体" w:eastAsia="宋体" w:cs="宋体"/>
          <w:color w:val="auto"/>
          <w:kern w:val="0"/>
          <w:sz w:val="21"/>
          <w:szCs w:val="21"/>
          <w:highlight w:val="none"/>
          <w:lang w:val="en-US" w:bidi="ar-SA"/>
        </w:rPr>
        <w:t xml:space="preserve"> 乙方根据甲方需求提供下列服务：</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1、服务内容：</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详见乙方响应文件。</w:t>
      </w:r>
    </w:p>
    <w:p>
      <w:pPr>
        <w:widowControl/>
        <w:autoSpaceDE/>
        <w:autoSpaceDN/>
        <w:spacing w:line="360" w:lineRule="auto"/>
        <w:ind w:firstLine="420" w:firstLineChars="200"/>
        <w:jc w:val="both"/>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bidi="ar-SA"/>
        </w:rPr>
        <w:t>2、服务要求：</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3、服务方式：</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4、服务成果：</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bidi="ar-SA"/>
        </w:rPr>
        <w:t>第二条 合同总价款</w:t>
      </w:r>
      <w:r>
        <w:rPr>
          <w:rFonts w:hint="eastAsia" w:ascii="宋体" w:hAnsi="宋体" w:eastAsia="宋体" w:cs="宋体"/>
          <w:b/>
          <w:color w:val="auto"/>
          <w:kern w:val="0"/>
          <w:sz w:val="21"/>
          <w:szCs w:val="21"/>
          <w:highlight w:val="none"/>
          <w:lang w:val="en-US" w:eastAsia="zh-CN" w:bidi="ar-SA"/>
        </w:rPr>
        <w:t>及付款方式</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本合同项下人民币总价款为___________（大写）人民币。</w:t>
      </w:r>
      <w:r>
        <w:rPr>
          <w:rFonts w:hint="eastAsia" w:ascii="宋体" w:hAnsi="宋体" w:eastAsia="宋体" w:cs="宋体"/>
          <w:color w:val="auto"/>
          <w:kern w:val="0"/>
          <w:sz w:val="21"/>
          <w:szCs w:val="21"/>
          <w:highlight w:val="none"/>
          <w:u w:val="single"/>
          <w:lang w:val="en-US" w:bidi="ar-SA"/>
        </w:rPr>
        <w:t>（￥       ）</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本合同总价款是完成本项目所发生的所有含税费用、支付给员工的工资和国家强制缴纳的各种社会保障资金，以及供应商认为需要的其他费用等。</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本合同执行期间合同总价款不变。</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付款方式：采购人与成交供应商完成合同签订且采购人在收到发票后30日内，支付合同金额的90%;甲方于2023年8月31日前一次性据实拨付剩余合同金额10%的费用。</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第三条 组成本合同的有关文件</w:t>
      </w:r>
      <w:r>
        <w:rPr>
          <w:rFonts w:hint="eastAsia" w:ascii="宋体" w:hAnsi="宋体" w:eastAsia="宋体" w:cs="宋体"/>
          <w:color w:val="auto"/>
          <w:kern w:val="0"/>
          <w:sz w:val="21"/>
          <w:szCs w:val="21"/>
          <w:highlight w:val="none"/>
          <w:lang w:val="en-US" w:bidi="ar-SA"/>
        </w:rPr>
        <w:t xml:space="preserve"> </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 xml:space="preserve">下列关于 </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（项目编号）的竞争性磋商文件或与本次采购活动方式相适应的文件及有关附件是本合同不可分割的组成部分，与本合同具有同等法律效力，这些文件包括但不限于：</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（1）乙方提供的响应文件和响应报价表；</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（2）技术规格响应表；</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（3）响应承诺/服务承诺；</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（4）成交通知书；</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（5）服务工作确认单；</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（6）甲乙双方商定的其他文件等。</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第四条 权利保证</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乙方应保证甲方在使用该服务或其任何一部分时不受第三方提出侵犯其专利权、版权、商标权或其他权利的起诉。一旦出现侵权，乙方应承担全部责任。</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第五条 质量保证</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乙方所提供的服务的技术规格应与磋商文件规定的技术规格及所附的“技术条款偏离表”相一致；若技术性能无特殊说明，则按国家有关部门最新颁布的标准及规范为准。</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第六条 交付和验收</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1、交付（服务）期限：</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2、验收标准：按行业通行标准和乙方响应文件及承诺。</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第七条 履约保证金</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1、本次</w:t>
      </w:r>
      <w:r>
        <w:rPr>
          <w:rFonts w:hint="eastAsia" w:ascii="宋体" w:hAnsi="宋体" w:eastAsia="宋体" w:cs="宋体"/>
          <w:color w:val="auto"/>
          <w:kern w:val="0"/>
          <w:sz w:val="21"/>
          <w:szCs w:val="21"/>
          <w:highlight w:val="none"/>
          <w:u w:val="single"/>
          <w:lang w:val="en-US" w:bidi="ar-SA"/>
        </w:rPr>
        <w:t xml:space="preserve">  不收取    </w:t>
      </w:r>
      <w:r>
        <w:rPr>
          <w:rFonts w:hint="eastAsia" w:ascii="宋体" w:hAnsi="宋体" w:eastAsia="宋体" w:cs="宋体"/>
          <w:color w:val="auto"/>
          <w:kern w:val="0"/>
          <w:sz w:val="21"/>
          <w:szCs w:val="21"/>
          <w:highlight w:val="none"/>
          <w:lang w:val="en-US" w:bidi="ar-SA"/>
        </w:rPr>
        <w:t>履约保证金。</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第八条 合同款支付</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1、本合同项下所有款项均以人民币支付。</w:t>
      </w:r>
    </w:p>
    <w:p>
      <w:pPr>
        <w:widowControl/>
        <w:autoSpaceDE w:val="0"/>
        <w:autoSpaceDN w:val="0"/>
        <w:adjustRightInd w:val="0"/>
        <w:ind w:firstLine="420" w:firstLineChars="200"/>
        <w:jc w:val="left"/>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2、本合同项下的采购资金由</w:t>
      </w:r>
      <w:bookmarkStart w:id="68" w:name="_Hlk80881534"/>
      <w:r>
        <w:rPr>
          <w:rFonts w:hint="eastAsia" w:ascii="宋体" w:hAnsi="宋体" w:eastAsia="宋体" w:cs="宋体"/>
          <w:color w:val="auto"/>
          <w:kern w:val="0"/>
          <w:sz w:val="21"/>
          <w:szCs w:val="21"/>
          <w:highlight w:val="none"/>
          <w:lang w:val="en-US" w:bidi="ar-SA"/>
        </w:rPr>
        <w:t>付款方</w:t>
      </w:r>
      <w:bookmarkEnd w:id="68"/>
      <w:r>
        <w:rPr>
          <w:rFonts w:hint="eastAsia" w:ascii="宋体" w:hAnsi="宋体" w:eastAsia="宋体" w:cs="宋体"/>
          <w:color w:val="auto"/>
          <w:kern w:val="0"/>
          <w:sz w:val="21"/>
          <w:szCs w:val="21"/>
          <w:highlight w:val="none"/>
          <w:lang w:val="en-US" w:bidi="ar-SA"/>
        </w:rPr>
        <w:t>自行支付，</w:t>
      </w:r>
      <w:r>
        <w:rPr>
          <w:rFonts w:hint="eastAsia" w:ascii="宋体" w:hAnsi="宋体" w:eastAsia="宋体" w:cs="宋体"/>
          <w:color w:val="auto"/>
          <w:kern w:val="2"/>
          <w:sz w:val="21"/>
          <w:szCs w:val="21"/>
          <w:highlight w:val="none"/>
          <w:lang w:val="en-US" w:bidi="ar-SA"/>
        </w:rPr>
        <w:t>乙方向付款方开具合法且符合甲方要求的增值税发票，乙方未开具发票或开具发票不符合要求的甲方有权拒绝支付合同款项。</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w:t>
      </w:r>
      <w:bookmarkStart w:id="69" w:name="_Hlk16758949"/>
      <w:r>
        <w:rPr>
          <w:rFonts w:hint="eastAsia" w:ascii="宋体" w:hAnsi="宋体" w:eastAsia="宋体" w:cs="宋体"/>
          <w:color w:val="auto"/>
          <w:kern w:val="0"/>
          <w:sz w:val="21"/>
          <w:szCs w:val="21"/>
          <w:highlight w:val="none"/>
          <w:lang w:val="en-US" w:bidi="ar-SA"/>
        </w:rPr>
        <w:t xml:space="preserve">付款方式及条件： </w:t>
      </w:r>
    </w:p>
    <w:bookmarkEnd w:id="69"/>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第九条 违约责任</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１、付款方无正当理由拒付服务款的，由付款方向乙方偿付合同总价的 5%违约金。</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２、付款方未按合同规定的期限向乙方支付货款的，每逾期 1 天付款方向乙方偿付欠款总额的1‰滞纳金，但累计滞纳金总额不超过欠款总额的 5% 。</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３、如乙方不能在双方约定时间内向付款方交付合同服务成果，付款方有权扣留全部履约保证金；并不支付阶段性合同价款（如采取的是阶段性付款）同时乙方应向付款方支付合同总价 5%的违约金。</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４、乙方在每个阶段逾期交付的，每逾期 1 天，乙方向付款方偿付合同总额的 5‰的滞纳金。如乙方逾期交付达 10 天，付款方有权解除合同，解除合同的通知自到达乙方时生效。</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５、乙方所交付的服务不符合合同规定的，付款方有权拒收。付款方拒收的，乙方应向付款方支付合同总款 5%的违约金。付款方未拒收的，招标代理机构发现后将向有关部门反映，并责成乙方按照采购结果提供服务，同时视情给予不退还部分或全部履约保证金处理。</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６、在乙方承诺的或国家规定的质量保证期内（取两者中最长的期限），如经乙方两次整改仍不能达到合同约定的质量标准，乙方应退回全部合同价款，并按第 3 款处理，同时，乙方还须赔偿付款方因此遭受的损失。</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7、乙方未按本合同的规定和“服务承诺”提供伴随服务的，应按合同总价款的5 %向付款方承担违约责任。</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8、乙方在承担上述 4-7 款一项或多项违约责任后，仍应继续履行合同规定的义务（甲方解除合同的除外）。甲方未能及时追究乙方的任何一项违约责任并不表明甲方放弃追究乙方该项或其他违约责任。</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9、乙方投标属虚假承诺，或经权威部门监测提供的服务不能满足磋商文件要求，或是由于乙方的过错造成合同无法继续履行的，乙方履约保证金不予退还外，还应向付款方支付不少于合同总价 30%赔偿金。</w:t>
      </w:r>
    </w:p>
    <w:p>
      <w:pPr>
        <w:widowControl w:val="0"/>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10、乙方利用甲方提供的技术资料和工作条件完成的新的技术成果、甲方利用乙方的工作成果完成的新的技术成果属于甲方。</w:t>
      </w:r>
    </w:p>
    <w:p>
      <w:pPr>
        <w:autoSpaceDE/>
        <w:autoSpaceDN/>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11、甲方按照乙方符合约定要求的咨询报告和意见作出决策所造成的损失，由乙方承担。</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第十条 合同的变更和终止</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1、除《政府采购法》第 50 条第二款规定的情形外，本合同一经签订，甲乙双方不得擅自变更、中止或终止合同。</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2、除发生法律规定的不能预见、不能避免并不能克服的客观情况外，甲乙双方不得放弃或拒绝履行合同。乙方放弃或拒绝履行合同，保证金不予退还。</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第十一条 合同的转让</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本合同履行期间，乙方不得将本合同项下权利义务转让给第三方，否则甲方有权解除合同，同时乙方应当向甲方支付合同总价款5%的违约金，造成甲方损失的还应当进行赔偿。</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第十二条 争议的解决</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1、因服务的质量问题发生争议的，应当邀请国家认可的质量检测机构对服务质量进行鉴定。符合标准的，鉴定费由甲方承担；不符合质量标准的，鉴定费由乙方承担。</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2、因履行本合同引起的或与本合同有关的争议，甲、乙双方应首先通过友好协商解决，如果协商不能解决争议，则采取以下第</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种方式解决争议：</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（1）向甲方所在地有管辖权的人民法院提起诉讼；</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（2）向南京仲裁委员会按其仲裁规则申请仲裁。</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如没有约定，默认采取第 2 种方式解决争议。</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3、在仲裁期间，本合同应继续履行。</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第十三条 诚实信用</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乙方应诚实信用，严格按照磋商文件要求和响应承诺履行合同，不向甲方进行商业贿赂或者提供不正当利益。</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第十四条 合同生效及其他</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1、本合同自签订之日起生效。</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2、本合同正本一式</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bidi="ar-SA"/>
        </w:rPr>
        <w:t>份，具有同等法律效力，甲方、乙方各执</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bidi="ar-SA"/>
        </w:rPr>
        <w:t>份。</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3、本合同应按照中华人民共和国的现行法律进行解释。</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甲方（采购人）：（盖章）                     乙方（供应商）：（盖章）</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代表人：                                     代表人：</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电 话：                                      电 话：</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开户银行：                                   开户银行：</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账 号：                                      账 号：</w:t>
      </w:r>
    </w:p>
    <w:p>
      <w:pPr>
        <w:rPr>
          <w:rFonts w:hint="eastAsia" w:ascii="宋体" w:hAnsi="宋体" w:eastAsia="宋体" w:cs="宋体"/>
          <w:color w:val="auto"/>
          <w:spacing w:val="0"/>
          <w:w w:val="100"/>
          <w:position w:val="0"/>
          <w:sz w:val="28"/>
          <w:szCs w:val="28"/>
          <w:highlight w:val="none"/>
        </w:rPr>
      </w:pPr>
      <w:r>
        <w:rPr>
          <w:rFonts w:hint="eastAsia" w:ascii="宋体" w:hAnsi="宋体" w:eastAsia="宋体" w:cs="宋体"/>
          <w:color w:val="auto"/>
          <w:spacing w:val="0"/>
          <w:w w:val="100"/>
          <w:position w:val="0"/>
          <w:sz w:val="28"/>
          <w:szCs w:val="28"/>
          <w:highlight w:val="none"/>
        </w:rPr>
        <w:br w:type="page"/>
      </w:r>
    </w:p>
    <w:p>
      <w:pPr>
        <w:pStyle w:val="3"/>
        <w:shd w:val="clear"/>
        <w:spacing w:before="0" w:line="480" w:lineRule="exact"/>
        <w:ind w:left="0" w:right="0"/>
        <w:rPr>
          <w:rFonts w:hint="eastAsia" w:ascii="宋体" w:hAnsi="宋体" w:eastAsia="宋体" w:cs="宋体"/>
          <w:color w:val="auto"/>
          <w:spacing w:val="0"/>
          <w:w w:val="100"/>
          <w:position w:val="0"/>
          <w:sz w:val="32"/>
          <w:szCs w:val="32"/>
          <w:highlight w:val="none"/>
        </w:rPr>
      </w:pPr>
      <w:bookmarkStart w:id="70" w:name="_Toc22875"/>
      <w:bookmarkStart w:id="71" w:name="_Toc24089"/>
      <w:bookmarkStart w:id="72" w:name="_Toc30052"/>
      <w:bookmarkStart w:id="73" w:name="_Toc30202"/>
      <w:bookmarkStart w:id="74" w:name="_Toc32477"/>
      <w:bookmarkStart w:id="75" w:name="_Toc4161"/>
      <w:r>
        <w:rPr>
          <w:rFonts w:hint="eastAsia" w:ascii="宋体" w:hAnsi="宋体" w:eastAsia="宋体" w:cs="宋体"/>
          <w:color w:val="auto"/>
          <w:spacing w:val="0"/>
          <w:w w:val="100"/>
          <w:position w:val="0"/>
          <w:sz w:val="32"/>
          <w:szCs w:val="32"/>
          <w:highlight w:val="none"/>
        </w:rPr>
        <w:t>第六部分</w:t>
      </w:r>
      <w:r>
        <w:rPr>
          <w:rFonts w:hint="eastAsia" w:ascii="宋体" w:hAnsi="宋体" w:eastAsia="宋体" w:cs="宋体"/>
          <w:color w:val="auto"/>
          <w:spacing w:val="0"/>
          <w:w w:val="100"/>
          <w:position w:val="0"/>
          <w:sz w:val="32"/>
          <w:szCs w:val="32"/>
          <w:highlight w:val="none"/>
          <w:lang w:val="en-US"/>
        </w:rPr>
        <w:t xml:space="preserve"> </w:t>
      </w:r>
      <w:r>
        <w:rPr>
          <w:rFonts w:hint="eastAsia" w:ascii="宋体" w:hAnsi="宋体" w:eastAsia="宋体" w:cs="宋体"/>
          <w:color w:val="auto"/>
          <w:spacing w:val="0"/>
          <w:w w:val="100"/>
          <w:position w:val="0"/>
          <w:sz w:val="32"/>
          <w:szCs w:val="32"/>
          <w:highlight w:val="none"/>
        </w:rPr>
        <w:t>响应文件格式</w:t>
      </w:r>
      <w:bookmarkEnd w:id="67"/>
      <w:bookmarkEnd w:id="70"/>
      <w:bookmarkEnd w:id="71"/>
      <w:bookmarkEnd w:id="72"/>
      <w:bookmarkEnd w:id="73"/>
      <w:bookmarkEnd w:id="74"/>
      <w:bookmarkEnd w:id="75"/>
    </w:p>
    <w:p>
      <w:pPr>
        <w:widowControl w:val="0"/>
        <w:autoSpaceDE w:val="0"/>
        <w:autoSpaceDN w:val="0"/>
        <w:adjustRightInd w:val="0"/>
        <w:spacing w:line="520" w:lineRule="exact"/>
        <w:ind w:firstLine="482" w:firstLineChars="200"/>
        <w:rPr>
          <w:rFonts w:hint="eastAsia" w:ascii="宋体" w:hAnsi="宋体" w:eastAsia="宋体" w:cs="宋体"/>
          <w:b/>
          <w:bCs/>
          <w:color w:val="auto"/>
          <w:spacing w:val="0"/>
          <w:position w:val="0"/>
          <w:sz w:val="24"/>
          <w:szCs w:val="24"/>
          <w:highlight w:val="none"/>
          <w:lang w:val="en-US" w:eastAsia="zh-CN" w:bidi="ar-SA"/>
        </w:rPr>
      </w:pPr>
      <w:bookmarkStart w:id="76" w:name="_Toc8308"/>
      <w:bookmarkStart w:id="77" w:name="_Toc12391"/>
      <w:r>
        <w:rPr>
          <w:rFonts w:hint="eastAsia" w:ascii="宋体" w:hAnsi="宋体" w:eastAsia="宋体" w:cs="宋体"/>
          <w:b/>
          <w:bCs/>
          <w:color w:val="auto"/>
          <w:spacing w:val="0"/>
          <w:position w:val="0"/>
          <w:sz w:val="24"/>
          <w:szCs w:val="24"/>
          <w:highlight w:val="none"/>
          <w:lang w:val="en-US" w:eastAsia="zh-CN" w:bidi="ar-SA"/>
        </w:rPr>
        <w:t>说明：1、投标供应商上传的商务技术文件应该是包含“资格证明文件”、“商务技术文件”、“报价文件”“政府采购政策证明文件（如有提供，无可不提供）”组成的全部响应文件。</w:t>
      </w:r>
    </w:p>
    <w:p>
      <w:pPr>
        <w:widowControl w:val="0"/>
        <w:autoSpaceDE w:val="0"/>
        <w:autoSpaceDN w:val="0"/>
        <w:adjustRightInd w:val="0"/>
        <w:spacing w:line="520" w:lineRule="exact"/>
        <w:ind w:firstLine="482" w:firstLineChars="200"/>
        <w:rPr>
          <w:rFonts w:hint="eastAsia" w:ascii="宋体" w:hAnsi="宋体" w:eastAsia="宋体" w:cs="宋体"/>
          <w:b/>
          <w:bCs/>
          <w:color w:val="auto"/>
          <w:spacing w:val="0"/>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bidi="ar-SA"/>
        </w:rPr>
        <w:t>2、上传的商务技术文件需编制目录，方便专家组进行查询。</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供应商提交的材料将被保密，但不退还。全部文件应按规定的份数按标项编制并按标项提交。如果招标文件采购内容未注明分标项采购，即全部采购内容为一个标项（即第 1 标项），标项号为“1”标项名称仍为项目名称。格式如下：</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（1）本章未给出格式的材料或附件，由供应商自行提供或编制，但应注意招标文件相应盖章要求。本章其格式仅供参考，均不作强制要求，供应商可自行编制，但应注意招标文件相应盖章要求。</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（2）本章明确指明为“格式”的文件：</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格式名称为“表”的，表头给定内容不得删减、改变，可根据实际需要增减行，需要填写的空格或空白应有效填写。格式属于文字内容性质的（包括“函”、“书”、“声明”、“协议”），不得删减、改变格式中给定的文字内容，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（3）本章提供的格式表格中括号“【】”中内容表示填写说明或举例说明，并非给定内容，供应商应根据自身投标情况据实填写。本章提供的格式中“注：”的内容也是填写说明，也非给定内容。</w:t>
      </w:r>
    </w:p>
    <w:p>
      <w:pPr>
        <w:rPr>
          <w:rFonts w:hint="eastAsia" w:ascii="宋体" w:hAnsi="宋体" w:eastAsia="宋体" w:cs="宋体"/>
          <w:b/>
          <w:bCs/>
          <w:smallCaps w:val="0"/>
          <w:color w:val="auto"/>
          <w:spacing w:val="0"/>
          <w:w w:val="100"/>
          <w:position w:val="0"/>
          <w:sz w:val="28"/>
          <w:szCs w:val="28"/>
          <w:highlight w:val="none"/>
        </w:rPr>
      </w:pPr>
      <w:r>
        <w:rPr>
          <w:rFonts w:hint="eastAsia" w:ascii="宋体" w:hAnsi="宋体" w:eastAsia="宋体" w:cs="宋体"/>
          <w:b/>
          <w:bCs/>
          <w:smallCaps w:val="0"/>
          <w:color w:val="auto"/>
          <w:spacing w:val="0"/>
          <w:w w:val="100"/>
          <w:position w:val="0"/>
          <w:sz w:val="28"/>
          <w:szCs w:val="28"/>
          <w:highlight w:val="none"/>
        </w:rPr>
        <w:br w:type="page"/>
      </w:r>
    </w:p>
    <w:p>
      <w:pPr>
        <w:ind w:left="0" w:leftChars="0" w:right="0" w:rightChars="0" w:firstLine="0" w:firstLineChars="0"/>
        <w:jc w:val="center"/>
        <w:outlineLvl w:val="1"/>
        <w:rPr>
          <w:rFonts w:hint="eastAsia"/>
          <w:b/>
          <w:bCs/>
          <w:color w:val="auto"/>
          <w:sz w:val="28"/>
          <w:szCs w:val="28"/>
          <w:highlight w:val="none"/>
        </w:rPr>
      </w:pPr>
      <w:r>
        <w:rPr>
          <w:rFonts w:hint="eastAsia" w:ascii="宋体" w:hAnsi="宋体" w:eastAsia="宋体" w:cs="宋体"/>
          <w:b/>
          <w:bCs/>
          <w:smallCaps w:val="0"/>
          <w:color w:val="auto"/>
          <w:spacing w:val="0"/>
          <w:w w:val="100"/>
          <w:position w:val="0"/>
          <w:sz w:val="28"/>
          <w:szCs w:val="28"/>
          <w:highlight w:val="none"/>
        </w:rPr>
        <w:t>封面建议格式</w:t>
      </w:r>
      <w:bookmarkEnd w:id="76"/>
      <w:bookmarkEnd w:id="77"/>
    </w:p>
    <w:p>
      <w:pPr>
        <w:bidi w:val="0"/>
        <w:rPr>
          <w:rFonts w:hint="eastAsia" w:ascii="宋体" w:hAnsi="宋体" w:eastAsia="宋体" w:cs="宋体"/>
          <w:color w:val="auto"/>
          <w:spacing w:val="0"/>
          <w:w w:val="100"/>
          <w:position w:val="0"/>
          <w:sz w:val="21"/>
          <w:szCs w:val="21"/>
          <w:highlight w:val="none"/>
        </w:rPr>
      </w:pPr>
    </w:p>
    <w:p>
      <w:pPr>
        <w:bidi w:val="0"/>
        <w:jc w:val="center"/>
        <w:outlineLvl w:val="9"/>
        <w:rPr>
          <w:rFonts w:hint="eastAsia" w:ascii="宋体" w:hAnsi="宋体" w:eastAsia="宋体" w:cs="宋体"/>
          <w:b/>
          <w:bCs/>
          <w:color w:val="auto"/>
          <w:spacing w:val="0"/>
          <w:w w:val="100"/>
          <w:position w:val="0"/>
          <w:sz w:val="21"/>
          <w:szCs w:val="21"/>
          <w:highlight w:val="none"/>
          <w:lang w:eastAsia="zh-CN"/>
        </w:rPr>
      </w:pPr>
      <w:r>
        <w:rPr>
          <w:rFonts w:hint="eastAsia" w:cs="宋体"/>
          <w:b/>
          <w:bCs/>
          <w:color w:val="auto"/>
          <w:spacing w:val="0"/>
          <w:w w:val="100"/>
          <w:position w:val="0"/>
          <w:sz w:val="40"/>
          <w:szCs w:val="40"/>
          <w:highlight w:val="none"/>
          <w:lang w:val="zh-CN" w:eastAsia="zh-CN"/>
        </w:rPr>
        <w:t>昌吉回族自治州产品质量检验所实验室信息管理系统建设项目</w:t>
      </w: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96"/>
          <w:szCs w:val="96"/>
          <w:highlight w:val="none"/>
        </w:rPr>
      </w:pPr>
      <w:r>
        <w:rPr>
          <w:rFonts w:hint="eastAsia" w:ascii="宋体" w:hAnsi="宋体" w:eastAsia="宋体" w:cs="宋体"/>
          <w:b/>
          <w:bCs/>
          <w:color w:val="auto"/>
          <w:spacing w:val="0"/>
          <w:w w:val="100"/>
          <w:position w:val="0"/>
          <w:sz w:val="96"/>
          <w:szCs w:val="96"/>
          <w:highlight w:val="none"/>
        </w:rPr>
        <w:t>响应文件</w:t>
      </w: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rPr>
      </w:pPr>
      <w:r>
        <w:rPr>
          <w:rFonts w:hint="eastAsia" w:ascii="宋体" w:hAnsi="宋体" w:eastAsia="宋体" w:cs="宋体"/>
          <w:b/>
          <w:bCs/>
          <w:color w:val="auto"/>
          <w:spacing w:val="0"/>
          <w:w w:val="100"/>
          <w:position w:val="0"/>
          <w:sz w:val="22"/>
          <w:szCs w:val="22"/>
          <w:highlight w:val="none"/>
        </w:rPr>
        <w:t>项目编号：</w:t>
      </w: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outlineLvl w:val="9"/>
        <w:rPr>
          <w:rFonts w:hint="eastAsia" w:ascii="宋体" w:hAnsi="宋体" w:eastAsia="宋体" w:cs="宋体"/>
          <w:color w:val="auto"/>
          <w:spacing w:val="0"/>
          <w:w w:val="100"/>
          <w:position w:val="0"/>
          <w:sz w:val="21"/>
          <w:szCs w:val="21"/>
          <w:highlight w:val="none"/>
        </w:rPr>
      </w:pPr>
    </w:p>
    <w:p>
      <w:pPr>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pStyle w:val="31"/>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lang w:val="en-US" w:eastAsia="zh-CN"/>
        </w:rPr>
        <w:t>供应商</w:t>
      </w:r>
      <w:r>
        <w:rPr>
          <w:rFonts w:hint="eastAsia" w:ascii="宋体" w:hAnsi="宋体" w:eastAsia="宋体" w:cs="宋体"/>
          <w:b/>
          <w:bCs/>
          <w:color w:val="auto"/>
          <w:spacing w:val="0"/>
          <w:w w:val="100"/>
          <w:position w:val="0"/>
          <w:sz w:val="24"/>
          <w:szCs w:val="24"/>
          <w:highlight w:val="none"/>
        </w:rPr>
        <w:t>名称（加盖公章）：</w:t>
      </w: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法定代表人或委托代理人（签字或盖章）：</w:t>
      </w: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地址：</w:t>
      </w: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联系人：</w:t>
      </w: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联系电话：</w:t>
      </w:r>
    </w:p>
    <w:p>
      <w:pPr>
        <w:bidi w:val="0"/>
        <w:ind w:leftChars="200"/>
        <w:outlineLvl w:val="9"/>
        <w:rPr>
          <w:rFonts w:hint="eastAsia" w:ascii="宋体" w:hAnsi="宋体" w:eastAsia="宋体" w:cs="宋体"/>
          <w:b/>
          <w:bCs/>
          <w:color w:val="auto"/>
          <w:spacing w:val="0"/>
          <w:w w:val="100"/>
          <w:position w:val="0"/>
          <w:sz w:val="24"/>
          <w:szCs w:val="24"/>
          <w:highlight w:val="none"/>
        </w:rPr>
      </w:pP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24"/>
          <w:szCs w:val="24"/>
          <w:highlight w:val="none"/>
          <w:lang w:val="en-US"/>
        </w:rPr>
      </w:pPr>
      <w:r>
        <w:rPr>
          <w:rFonts w:hint="eastAsia" w:ascii="宋体" w:hAnsi="宋体" w:eastAsia="宋体" w:cs="宋体"/>
          <w:b/>
          <w:bCs/>
          <w:color w:val="auto"/>
          <w:spacing w:val="0"/>
          <w:w w:val="100"/>
          <w:position w:val="0"/>
          <w:sz w:val="24"/>
          <w:szCs w:val="24"/>
          <w:highlight w:val="none"/>
        </w:rPr>
        <w:t>日期：二〇二</w:t>
      </w:r>
      <w:r>
        <w:rPr>
          <w:rFonts w:hint="eastAsia" w:cs="宋体"/>
          <w:b/>
          <w:bCs/>
          <w:color w:val="auto"/>
          <w:spacing w:val="0"/>
          <w:w w:val="100"/>
          <w:position w:val="0"/>
          <w:sz w:val="24"/>
          <w:szCs w:val="24"/>
          <w:highlight w:val="none"/>
          <w:lang w:val="en-US" w:eastAsia="zh-CN"/>
        </w:rPr>
        <w:t>三</w:t>
      </w:r>
      <w:r>
        <w:rPr>
          <w:rFonts w:hint="eastAsia" w:ascii="宋体" w:hAnsi="宋体" w:eastAsia="宋体" w:cs="宋体"/>
          <w:b/>
          <w:bCs/>
          <w:color w:val="auto"/>
          <w:spacing w:val="0"/>
          <w:w w:val="100"/>
          <w:position w:val="0"/>
          <w:sz w:val="24"/>
          <w:szCs w:val="24"/>
          <w:highlight w:val="none"/>
        </w:rPr>
        <w:t>年</w:t>
      </w:r>
      <w:r>
        <w:rPr>
          <w:rFonts w:hint="eastAsia" w:ascii="宋体" w:hAnsi="宋体" w:eastAsia="宋体"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月</w:t>
      </w:r>
      <w:r>
        <w:rPr>
          <w:rFonts w:hint="eastAsia" w:ascii="宋体" w:hAnsi="宋体" w:eastAsia="宋体" w:cs="宋体"/>
          <w:b/>
          <w:bCs/>
          <w:color w:val="auto"/>
          <w:spacing w:val="0"/>
          <w:w w:val="100"/>
          <w:position w:val="0"/>
          <w:sz w:val="24"/>
          <w:szCs w:val="24"/>
          <w:highlight w:val="none"/>
          <w:lang w:val="en-US"/>
        </w:rPr>
        <w:t xml:space="preserve">  日</w:t>
      </w:r>
    </w:p>
    <w:p>
      <w:pPr>
        <w:bidi w:val="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br w:type="page"/>
      </w:r>
    </w:p>
    <w:p>
      <w:pPr>
        <w:widowControl w:val="0"/>
        <w:autoSpaceDE w:val="0"/>
        <w:autoSpaceDN w:val="0"/>
        <w:spacing w:before="43" w:after="0" w:line="240" w:lineRule="auto"/>
        <w:ind w:left="363" w:right="437"/>
        <w:jc w:val="center"/>
        <w:outlineLvl w:val="1"/>
        <w:rPr>
          <w:rFonts w:hint="eastAsia" w:ascii="宋体" w:hAnsi="宋体" w:eastAsia="宋体" w:cs="宋体"/>
          <w:b/>
          <w:bCs/>
          <w:smallCaps w:val="0"/>
          <w:color w:val="auto"/>
          <w:spacing w:val="0"/>
          <w:position w:val="0"/>
          <w:sz w:val="28"/>
          <w:szCs w:val="28"/>
          <w:highlight w:val="none"/>
          <w:lang w:val="en-US" w:eastAsia="zh-CN" w:bidi="zh-CN"/>
        </w:rPr>
      </w:pPr>
      <w:bookmarkStart w:id="78" w:name="_Toc31521"/>
      <w:bookmarkStart w:id="79" w:name="_Toc16071"/>
      <w:bookmarkStart w:id="80" w:name="_Toc8665"/>
      <w:bookmarkStart w:id="81" w:name="_Toc30628"/>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一</w:t>
      </w:r>
      <w:r>
        <w:rPr>
          <w:rFonts w:hint="eastAsia" w:ascii="宋体" w:hAnsi="宋体" w:eastAsia="宋体" w:cs="宋体"/>
          <w:b/>
          <w:bCs/>
          <w:smallCaps w:val="0"/>
          <w:color w:val="auto"/>
          <w:spacing w:val="0"/>
          <w:position w:val="0"/>
          <w:sz w:val="28"/>
          <w:szCs w:val="28"/>
          <w:highlight w:val="none"/>
          <w:lang w:val="zh-CN" w:eastAsia="zh-CN" w:bidi="zh-CN"/>
        </w:rPr>
        <w:t>节 资格证明文件格式</w:t>
      </w:r>
      <w:bookmarkEnd w:id="78"/>
      <w:bookmarkEnd w:id="79"/>
      <w:bookmarkEnd w:id="80"/>
      <w:bookmarkEnd w:id="81"/>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82" w:name="_Toc11152"/>
      <w:bookmarkStart w:id="83" w:name="_Toc21483"/>
      <w:bookmarkStart w:id="84" w:name="_Toc10881"/>
      <w:r>
        <w:rPr>
          <w:rFonts w:hint="eastAsia" w:ascii="宋体" w:hAnsi="宋体" w:eastAsia="宋体" w:cs="宋体"/>
          <w:b/>
          <w:bCs/>
          <w:smallCaps w:val="0"/>
          <w:color w:val="auto"/>
          <w:spacing w:val="0"/>
          <w:position w:val="0"/>
          <w:sz w:val="28"/>
          <w:szCs w:val="28"/>
          <w:highlight w:val="none"/>
          <w:lang w:val="en-US" w:eastAsia="zh-CN" w:bidi="zh-CN"/>
        </w:rPr>
        <w:t>附件 1 资格、资信证明文件</w:t>
      </w:r>
      <w:bookmarkEnd w:id="82"/>
      <w:bookmarkEnd w:id="83"/>
      <w:bookmarkEnd w:id="84"/>
    </w:p>
    <w:p>
      <w:pPr>
        <w:widowControl w:val="0"/>
        <w:autoSpaceDE w:val="0"/>
        <w:autoSpaceDN w:val="0"/>
        <w:adjustRightInd w:val="0"/>
        <w:spacing w:before="0" w:after="0" w:line="400" w:lineRule="exact"/>
        <w:ind w:left="0" w:right="0"/>
        <w:jc w:val="center"/>
        <w:outlineLvl w:val="9"/>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资格、资信证明文件部分建议格式</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2070"/>
        <w:gridCol w:w="6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b/>
                <w:smallCaps w:val="0"/>
                <w:color w:val="auto"/>
                <w:spacing w:val="0"/>
                <w:position w:val="0"/>
                <w:sz w:val="21"/>
                <w:szCs w:val="20"/>
                <w:highlight w:val="none"/>
                <w:lang w:val="zh-CN" w:eastAsia="zh-CN" w:bidi="zh-CN"/>
              </w:rPr>
            </w:pPr>
            <w:r>
              <w:rPr>
                <w:rFonts w:hint="eastAsia" w:ascii="宋体" w:hAnsi="宋体" w:eastAsia="宋体" w:cs="宋体"/>
                <w:b/>
                <w:smallCaps w:val="0"/>
                <w:color w:val="auto"/>
                <w:spacing w:val="0"/>
                <w:position w:val="0"/>
                <w:sz w:val="21"/>
                <w:szCs w:val="20"/>
                <w:highlight w:val="none"/>
                <w:lang w:val="zh-CN" w:eastAsia="zh-CN" w:bidi="zh-CN"/>
              </w:rPr>
              <w:t>附件顺序</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b/>
                <w:smallCaps w:val="0"/>
                <w:color w:val="auto"/>
                <w:spacing w:val="0"/>
                <w:position w:val="0"/>
                <w:sz w:val="21"/>
                <w:szCs w:val="20"/>
                <w:highlight w:val="none"/>
                <w:lang w:val="zh-CN" w:eastAsia="zh-CN" w:bidi="zh-CN"/>
              </w:rPr>
            </w:pPr>
            <w:r>
              <w:rPr>
                <w:rFonts w:hint="eastAsia" w:ascii="宋体" w:hAnsi="宋体" w:eastAsia="宋体" w:cs="宋体"/>
                <w:b/>
                <w:smallCaps w:val="0"/>
                <w:color w:val="auto"/>
                <w:spacing w:val="0"/>
                <w:position w:val="0"/>
                <w:sz w:val="21"/>
                <w:szCs w:val="20"/>
                <w:highlight w:val="none"/>
                <w:lang w:val="zh-CN" w:eastAsia="zh-CN" w:bidi="zh-CN"/>
              </w:rPr>
              <w:t>提交文件</w:t>
            </w:r>
          </w:p>
        </w:tc>
        <w:tc>
          <w:tcPr>
            <w:tcW w:w="6383"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b/>
                <w:smallCaps w:val="0"/>
                <w:color w:val="auto"/>
                <w:spacing w:val="0"/>
                <w:position w:val="0"/>
                <w:sz w:val="21"/>
                <w:szCs w:val="20"/>
                <w:highlight w:val="none"/>
                <w:lang w:val="zh-CN" w:eastAsia="zh-CN" w:bidi="zh-CN"/>
              </w:rPr>
            </w:pPr>
            <w:r>
              <w:rPr>
                <w:rFonts w:hint="eastAsia" w:ascii="宋体" w:hAnsi="宋体" w:eastAsia="宋体" w:cs="宋体"/>
                <w:b/>
                <w:smallCaps w:val="0"/>
                <w:color w:val="auto"/>
                <w:spacing w:val="0"/>
                <w:position w:val="0"/>
                <w:sz w:val="21"/>
                <w:szCs w:val="20"/>
                <w:highlight w:val="none"/>
                <w:lang w:val="zh-CN" w:eastAsia="zh-CN" w:bidi="zh-CN"/>
              </w:rPr>
              <w:t>提交文件说明与评审标准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1</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法人或者其他组织、自然人的营业执照等证明文件</w:t>
            </w:r>
          </w:p>
        </w:tc>
        <w:tc>
          <w:tcPr>
            <w:tcW w:w="6383" w:type="dxa"/>
            <w:vAlign w:val="center"/>
          </w:tcPr>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供应商是企业（包括合伙企业）的，应提供其在工商部门注册的有效“营业执照”复印件；</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供应商是事业单位的，应提供其有效的“事业单位法人证书”复印件；</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供应商是非企业专业服务机构的，应提供其有效的“执业许可证”复印件；</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供应商是民办非企业单位的，应提供其有效的登记证书复印件；</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供应商是个体工商户的，应提供其有效的“营业执照”复印件；</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en-US" w:eastAsia="zh-CN" w:bidi="zh-CN"/>
              </w:rPr>
              <w:t>供应商是自然人的，应提供其有效的自然人身份证明复印件；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104" w:type="dxa"/>
            <w:vMerge w:val="restart"/>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2</w:t>
            </w:r>
          </w:p>
        </w:tc>
        <w:tc>
          <w:tcPr>
            <w:tcW w:w="2070" w:type="dxa"/>
            <w:vMerge w:val="restart"/>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财务状况报告：提供（1）或提供（2）</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（1）</w:t>
            </w:r>
            <w:r>
              <w:rPr>
                <w:rFonts w:hint="eastAsia" w:ascii="宋体" w:hAnsi="宋体" w:eastAsia="宋体" w:cs="宋体"/>
                <w:smallCaps w:val="0"/>
                <w:color w:val="auto"/>
                <w:spacing w:val="0"/>
                <w:position w:val="0"/>
                <w:sz w:val="21"/>
                <w:szCs w:val="20"/>
                <w:highlight w:val="none"/>
                <w:lang w:val="en-US" w:eastAsia="zh-CN" w:bidi="zh-CN"/>
              </w:rPr>
              <w:t>近一</w:t>
            </w:r>
            <w:r>
              <w:rPr>
                <w:rFonts w:hint="eastAsia" w:ascii="宋体" w:hAnsi="宋体" w:eastAsia="宋体" w:cs="宋体"/>
                <w:smallCaps w:val="0"/>
                <w:color w:val="auto"/>
                <w:spacing w:val="0"/>
                <w:position w:val="0"/>
                <w:sz w:val="21"/>
                <w:szCs w:val="20"/>
                <w:highlight w:val="none"/>
                <w:lang w:val="zh-CN" w:eastAsia="zh-CN" w:bidi="zh-CN"/>
              </w:rPr>
              <w:t>年度由会计师事务所出具财务审计报告（复印件，至少须包括审计意见正文、资产负债表、利润表、现金流量表和附注）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104" w:type="dxa"/>
            <w:vMerge w:val="continue"/>
            <w:tcBorders>
              <w:top w:val="nil"/>
            </w:tcBorders>
            <w:vAlign w:val="center"/>
          </w:tcPr>
          <w:p>
            <w:pPr>
              <w:spacing w:before="0" w:after="0" w:line="240" w:lineRule="auto"/>
              <w:ind w:left="0" w:right="0"/>
              <w:jc w:val="center"/>
              <w:outlineLvl w:val="9"/>
              <w:rPr>
                <w:rFonts w:hint="eastAsia" w:ascii="宋体" w:hAnsi="宋体" w:eastAsia="宋体" w:cs="宋体"/>
                <w:smallCaps w:val="0"/>
                <w:color w:val="auto"/>
                <w:spacing w:val="0"/>
                <w:position w:val="0"/>
                <w:sz w:val="2"/>
                <w:szCs w:val="2"/>
                <w:highlight w:val="none"/>
              </w:rPr>
            </w:pPr>
          </w:p>
        </w:tc>
        <w:tc>
          <w:tcPr>
            <w:tcW w:w="2070" w:type="dxa"/>
            <w:vMerge w:val="continue"/>
            <w:tcBorders>
              <w:top w:val="nil"/>
            </w:tcBorders>
            <w:vAlign w:val="center"/>
          </w:tcPr>
          <w:p>
            <w:pPr>
              <w:spacing w:before="0" w:after="0" w:line="240" w:lineRule="auto"/>
              <w:ind w:left="0" w:right="0"/>
              <w:jc w:val="center"/>
              <w:outlineLvl w:val="9"/>
              <w:rPr>
                <w:rFonts w:hint="eastAsia" w:ascii="宋体" w:hAnsi="宋体" w:eastAsia="宋体" w:cs="宋体"/>
                <w:smallCaps w:val="0"/>
                <w:color w:val="auto"/>
                <w:spacing w:val="0"/>
                <w:position w:val="0"/>
                <w:sz w:val="2"/>
                <w:szCs w:val="2"/>
                <w:highlight w:val="none"/>
              </w:rPr>
            </w:pP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（2）提供由开标日前三个月内供应商开户银行出具的资信证明原件。资信证明还应满足以下要求：</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无收受人和项目的限制，但开具银行有限制规定的除外；</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银行资信证明应能说明该供应商与银行之间业务往来正常，企业信誉良好等；</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银行出具的存款证明不能替代银行资信证明。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3</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依法缴纳税收的相关材料</w:t>
            </w:r>
          </w:p>
        </w:tc>
        <w:tc>
          <w:tcPr>
            <w:tcW w:w="6383" w:type="dxa"/>
            <w:vAlign w:val="center"/>
          </w:tcPr>
          <w:p>
            <w:pPr>
              <w:widowControl/>
              <w:autoSpaceDE/>
              <w:autoSpaceDN/>
              <w:spacing w:before="0" w:after="0" w:line="240" w:lineRule="auto"/>
              <w:ind w:left="0" w:right="0"/>
              <w:jc w:val="left"/>
              <w:outlineLvl w:val="9"/>
              <w:rPr>
                <w:rFonts w:hint="eastAsia" w:ascii="宋体" w:hAnsi="宋体" w:eastAsia="宋体" w:cs="宋体"/>
                <w:smallCaps w:val="0"/>
                <w:color w:val="auto"/>
                <w:spacing w:val="0"/>
                <w:position w:val="0"/>
                <w:sz w:val="21"/>
                <w:szCs w:val="21"/>
                <w:highlight w:val="none"/>
                <w:lang w:val="en-US" w:bidi="ar"/>
              </w:rPr>
            </w:pPr>
            <w:r>
              <w:rPr>
                <w:rFonts w:hint="eastAsia" w:ascii="宋体" w:hAnsi="宋体" w:eastAsia="宋体" w:cs="宋体"/>
                <w:smallCaps w:val="0"/>
                <w:color w:val="auto"/>
                <w:spacing w:val="0"/>
                <w:position w:val="0"/>
                <w:sz w:val="21"/>
                <w:szCs w:val="21"/>
                <w:highlight w:val="none"/>
                <w:lang w:val="en-US" w:bidi="ar"/>
              </w:rPr>
              <w:t>开标日前6个月内任意一月缴纳税收的凭证复印件；</w:t>
            </w:r>
          </w:p>
          <w:p>
            <w:pPr>
              <w:widowControl/>
              <w:autoSpaceDE/>
              <w:autoSpaceDN/>
              <w:spacing w:before="0" w:after="0" w:line="240" w:lineRule="auto"/>
              <w:ind w:left="0" w:right="0"/>
              <w:jc w:val="left"/>
              <w:outlineLvl w:val="9"/>
              <w:rPr>
                <w:rFonts w:hint="eastAsia" w:ascii="宋体" w:hAnsi="宋体" w:eastAsia="宋体" w:cs="宋体"/>
                <w:smallCaps w:val="0"/>
                <w:color w:val="auto"/>
                <w:spacing w:val="0"/>
                <w:position w:val="0"/>
                <w:sz w:val="21"/>
                <w:szCs w:val="21"/>
                <w:highlight w:val="none"/>
                <w:lang w:val="en-US" w:bidi="ar"/>
              </w:rPr>
            </w:pPr>
            <w:r>
              <w:rPr>
                <w:rFonts w:hint="eastAsia" w:ascii="宋体" w:hAnsi="宋体" w:eastAsia="宋体" w:cs="宋体"/>
                <w:smallCaps w:val="0"/>
                <w:color w:val="auto"/>
                <w:spacing w:val="0"/>
                <w:position w:val="0"/>
                <w:sz w:val="21"/>
                <w:szCs w:val="21"/>
                <w:highlight w:val="none"/>
                <w:lang w:val="en-US" w:bidi="ar"/>
              </w:rPr>
              <w:t>缴纳凭证复印件须清晰可辨，并能显示出税种种类，单位代扣代缴的个人所得税不能作为单位纳税的凭证；</w:t>
            </w:r>
          </w:p>
          <w:p>
            <w:pPr>
              <w:widowControl/>
              <w:autoSpaceDE/>
              <w:autoSpaceDN/>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1"/>
                <w:highlight w:val="none"/>
                <w:lang w:val="en-US" w:bidi="ar"/>
              </w:rPr>
              <w:t>依法免税的</w:t>
            </w:r>
            <w:r>
              <w:rPr>
                <w:rFonts w:hint="eastAsia" w:cs="宋体"/>
                <w:smallCaps w:val="0"/>
                <w:color w:val="auto"/>
                <w:spacing w:val="0"/>
                <w:position w:val="0"/>
                <w:sz w:val="21"/>
                <w:szCs w:val="21"/>
                <w:highlight w:val="none"/>
                <w:lang w:val="en-US" w:eastAsia="zh-CN" w:bidi="ar"/>
              </w:rPr>
              <w:t>供应商</w:t>
            </w:r>
            <w:r>
              <w:rPr>
                <w:rFonts w:hint="eastAsia" w:ascii="宋体" w:hAnsi="宋体" w:eastAsia="宋体" w:cs="宋体"/>
                <w:smallCaps w:val="0"/>
                <w:color w:val="auto"/>
                <w:spacing w:val="0"/>
                <w:position w:val="0"/>
                <w:sz w:val="21"/>
                <w:szCs w:val="21"/>
                <w:highlight w:val="none"/>
                <w:lang w:val="en-US" w:bidi="ar"/>
              </w:rPr>
              <w:t>，应提供相应文件证明其依法免税；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4</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依法缴纳社会保障资金的相关材料</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ar"/>
              </w:rPr>
              <w:t>开标日前6个月内（至少提供1个月）缴纳社会保险的凭据（专用收据或社会保险缴纳清单）；供应商为其他组织或自然人的，也需要按此项规定提供缴纳税收的凭据和缴纳社会保险的凭据。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5</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具备履行合同所必需的设备和专业技术能力的说明函</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供应商自行拟定格式，加盖公章。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6</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参加政府采购活动前 3 年内在经营活动中没有重大违法记录的书面声明</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供应商自行拟定格式，加盖公章。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7</w:t>
            </w:r>
          </w:p>
        </w:tc>
        <w:tc>
          <w:tcPr>
            <w:tcW w:w="2070" w:type="dxa"/>
            <w:vAlign w:val="center"/>
          </w:tcPr>
          <w:p>
            <w:pPr>
              <w:widowControl w:val="0"/>
              <w:autoSpaceDE w:val="0"/>
              <w:autoSpaceDN w:val="0"/>
              <w:spacing w:before="0" w:after="0" w:line="240" w:lineRule="auto"/>
              <w:ind w:left="0" w:right="0"/>
              <w:jc w:val="center"/>
              <w:outlineLvl w:val="9"/>
              <w:rPr>
                <w:rFonts w:hint="default"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zh-CN" w:eastAsia="zh-CN" w:bidi="zh-CN"/>
              </w:rPr>
              <w:t>信用查询</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t>供应商供相关资料。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en-US" w:eastAsia="zh-CN" w:bidi="zh-CN"/>
              </w:rPr>
              <w:t>8</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en-US" w:eastAsia="zh-CN" w:bidi="zh-CN"/>
              </w:rPr>
              <w:t>针对供应商资格要求限制行为的声明格式</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供应商自行拟定格式，加盖公章。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widowControl w:val="0"/>
              <w:autoSpaceDE w:val="0"/>
              <w:autoSpaceDN w:val="0"/>
              <w:spacing w:before="0" w:after="0" w:line="240" w:lineRule="auto"/>
              <w:ind w:left="0" w:right="0"/>
              <w:jc w:val="center"/>
              <w:outlineLvl w:val="9"/>
              <w:rPr>
                <w:rFonts w:hint="default"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9</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联合体协议（联合体投标时适用）</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如为联合体投标，联合体各方均需提供联合体协议。应加盖所有成员单位公章。</w:t>
            </w:r>
          </w:p>
        </w:tc>
      </w:tr>
    </w:tbl>
    <w:p>
      <w:pPr>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pPr>
        <w:widowControl w:val="0"/>
        <w:autoSpaceDE w:val="0"/>
        <w:autoSpaceDN w:val="0"/>
        <w:spacing w:before="31" w:after="0" w:line="240" w:lineRule="auto"/>
        <w:ind w:left="0" w:right="115"/>
        <w:jc w:val="center"/>
        <w:outlineLvl w:val="1"/>
        <w:rPr>
          <w:rFonts w:hint="eastAsia" w:ascii="宋体" w:hAnsi="宋体" w:eastAsia="宋体" w:cs="宋体"/>
          <w:b/>
          <w:bCs/>
          <w:smallCaps w:val="0"/>
          <w:color w:val="auto"/>
          <w:spacing w:val="0"/>
          <w:position w:val="0"/>
          <w:sz w:val="28"/>
          <w:szCs w:val="28"/>
          <w:highlight w:val="none"/>
          <w:lang w:val="zh-CN" w:eastAsia="zh-CN" w:bidi="zh-CN"/>
        </w:rPr>
      </w:pPr>
      <w:bookmarkStart w:id="85" w:name="_bookmark129"/>
      <w:bookmarkEnd w:id="85"/>
      <w:bookmarkStart w:id="86" w:name="_Toc10370"/>
      <w:bookmarkStart w:id="87" w:name="_Toc1003"/>
      <w:bookmarkStart w:id="88" w:name="_Toc12659"/>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二</w:t>
      </w:r>
      <w:r>
        <w:rPr>
          <w:rFonts w:hint="eastAsia" w:ascii="宋体" w:hAnsi="宋体" w:eastAsia="宋体" w:cs="宋体"/>
          <w:b/>
          <w:bCs/>
          <w:smallCaps w:val="0"/>
          <w:color w:val="auto"/>
          <w:spacing w:val="0"/>
          <w:position w:val="0"/>
          <w:sz w:val="28"/>
          <w:szCs w:val="28"/>
          <w:highlight w:val="none"/>
          <w:lang w:val="zh-CN" w:eastAsia="zh-CN" w:bidi="zh-CN"/>
        </w:rPr>
        <w:t>节 商务</w:t>
      </w:r>
      <w:r>
        <w:rPr>
          <w:rFonts w:hint="eastAsia" w:ascii="宋体" w:hAnsi="宋体" w:eastAsia="宋体" w:cs="宋体"/>
          <w:b/>
          <w:bCs/>
          <w:smallCaps w:val="0"/>
          <w:color w:val="auto"/>
          <w:spacing w:val="0"/>
          <w:position w:val="0"/>
          <w:sz w:val="28"/>
          <w:szCs w:val="28"/>
          <w:highlight w:val="none"/>
          <w:lang w:val="en-US" w:eastAsia="zh-CN" w:bidi="zh-CN"/>
        </w:rPr>
        <w:t>技术</w:t>
      </w:r>
      <w:r>
        <w:rPr>
          <w:rFonts w:hint="eastAsia" w:ascii="宋体" w:hAnsi="宋体" w:eastAsia="宋体" w:cs="宋体"/>
          <w:b/>
          <w:bCs/>
          <w:smallCaps w:val="0"/>
          <w:color w:val="auto"/>
          <w:spacing w:val="0"/>
          <w:position w:val="0"/>
          <w:sz w:val="28"/>
          <w:szCs w:val="28"/>
          <w:highlight w:val="none"/>
          <w:lang w:val="zh-CN" w:eastAsia="zh-CN" w:bidi="zh-CN"/>
        </w:rPr>
        <w:t>文件格式</w:t>
      </w:r>
      <w:bookmarkEnd w:id="86"/>
      <w:bookmarkEnd w:id="87"/>
      <w:bookmarkEnd w:id="88"/>
    </w:p>
    <w:p>
      <w:pPr>
        <w:widowControl w:val="0"/>
        <w:autoSpaceDE w:val="0"/>
        <w:autoSpaceDN w:val="0"/>
        <w:spacing w:before="31" w:after="0" w:line="240" w:lineRule="auto"/>
        <w:ind w:left="0" w:right="11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89" w:name="_Toc16166"/>
      <w:bookmarkStart w:id="90" w:name="_Toc3506"/>
      <w:bookmarkStart w:id="91" w:name="_Toc426"/>
      <w:r>
        <w:rPr>
          <w:rFonts w:hint="eastAsia" w:ascii="宋体" w:hAnsi="宋体" w:eastAsia="宋体" w:cs="宋体"/>
          <w:b/>
          <w:bCs/>
          <w:smallCaps w:val="0"/>
          <w:color w:val="auto"/>
          <w:spacing w:val="0"/>
          <w:position w:val="0"/>
          <w:sz w:val="28"/>
          <w:szCs w:val="28"/>
          <w:highlight w:val="none"/>
          <w:lang w:val="zh-CN" w:eastAsia="zh-CN" w:bidi="zh-CN"/>
        </w:rPr>
        <w:t xml:space="preserve">附件 1 </w:t>
      </w:r>
      <w:r>
        <w:rPr>
          <w:rFonts w:hint="eastAsia" w:cs="宋体"/>
          <w:b/>
          <w:bCs/>
          <w:smallCaps w:val="0"/>
          <w:color w:val="auto"/>
          <w:spacing w:val="0"/>
          <w:position w:val="0"/>
          <w:sz w:val="28"/>
          <w:szCs w:val="28"/>
          <w:highlight w:val="none"/>
          <w:lang w:val="en-US" w:eastAsia="zh-CN" w:bidi="zh-CN"/>
        </w:rPr>
        <w:t>响应</w:t>
      </w:r>
      <w:r>
        <w:rPr>
          <w:rFonts w:hint="eastAsia" w:ascii="宋体" w:hAnsi="宋体" w:eastAsia="宋体" w:cs="宋体"/>
          <w:b/>
          <w:bCs/>
          <w:smallCaps w:val="0"/>
          <w:color w:val="auto"/>
          <w:spacing w:val="0"/>
          <w:position w:val="0"/>
          <w:sz w:val="28"/>
          <w:szCs w:val="28"/>
          <w:highlight w:val="none"/>
          <w:lang w:val="zh-CN" w:eastAsia="zh-CN" w:bidi="zh-CN"/>
        </w:rPr>
        <w:t>函格式</w:t>
      </w:r>
      <w:bookmarkEnd w:id="89"/>
      <w:bookmarkEnd w:id="90"/>
      <w:bookmarkEnd w:id="91"/>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cs="宋体"/>
          <w:b/>
          <w:smallCaps w:val="0"/>
          <w:color w:val="auto"/>
          <w:spacing w:val="0"/>
          <w:position w:val="0"/>
          <w:sz w:val="24"/>
          <w:szCs w:val="20"/>
          <w:highlight w:val="none"/>
          <w:lang w:val="en-US" w:eastAsia="zh-CN"/>
        </w:rPr>
        <w:t>响应</w:t>
      </w:r>
      <w:r>
        <w:rPr>
          <w:rFonts w:hint="eastAsia" w:ascii="宋体" w:hAnsi="宋体" w:eastAsia="宋体" w:cs="宋体"/>
          <w:b/>
          <w:smallCaps w:val="0"/>
          <w:color w:val="auto"/>
          <w:spacing w:val="0"/>
          <w:position w:val="0"/>
          <w:sz w:val="24"/>
          <w:szCs w:val="20"/>
          <w:highlight w:val="none"/>
        </w:rPr>
        <w:t>函</w:t>
      </w:r>
    </w:p>
    <w:p>
      <w:pPr>
        <w:widowControl w:val="0"/>
        <w:tabs>
          <w:tab w:val="left" w:pos="1428"/>
          <w:tab w:val="left" w:pos="4188"/>
        </w:tabs>
        <w:autoSpaceDE w:val="0"/>
        <w:autoSpaceDN w:val="0"/>
        <w:spacing w:before="0" w:after="0" w:line="520" w:lineRule="exact"/>
        <w:ind w:left="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u w:val="single"/>
          <w:lang w:val="zh-CN" w:eastAsia="zh-CN" w:bidi="zh-CN"/>
        </w:rPr>
        <w:tab/>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我方参加</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（项目编号</w:t>
      </w:r>
      <w:r>
        <w:rPr>
          <w:rFonts w:hint="eastAsia" w:ascii="宋体" w:hAnsi="宋体" w:eastAsia="宋体" w:cs="宋体"/>
          <w:bCs/>
          <w:smallCaps w:val="0"/>
          <w:color w:val="auto"/>
          <w:spacing w:val="0"/>
          <w:kern w:val="2"/>
          <w:position w:val="0"/>
          <w:sz w:val="21"/>
          <w:szCs w:val="21"/>
          <w:highlight w:val="none"/>
          <w:u w:val="single"/>
          <w:lang w:val="en-US" w:bidi="ar-SA"/>
        </w:rPr>
        <w:t>：</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ascii="宋体" w:hAnsi="宋体" w:eastAsia="宋体" w:cs="宋体"/>
          <w:smallCaps w:val="0"/>
          <w:color w:val="auto"/>
          <w:spacing w:val="0"/>
          <w:kern w:val="2"/>
          <w:position w:val="0"/>
          <w:sz w:val="21"/>
          <w:szCs w:val="21"/>
          <w:highlight w:val="none"/>
          <w:lang w:val="en-US" w:bidi="ar-SA"/>
        </w:rPr>
        <w:t>项目，为此，我方提交电子加密</w:t>
      </w:r>
      <w:r>
        <w:rPr>
          <w:rFonts w:hint="eastAsia" w:cs="宋体"/>
          <w:smallCaps w:val="0"/>
          <w:color w:val="auto"/>
          <w:spacing w:val="0"/>
          <w:kern w:val="2"/>
          <w:position w:val="0"/>
          <w:sz w:val="21"/>
          <w:szCs w:val="21"/>
          <w:highlight w:val="none"/>
          <w:lang w:val="en-US" w:eastAsia="zh-CN" w:bidi="ar-SA"/>
        </w:rPr>
        <w:t>响应文件</w:t>
      </w:r>
      <w:r>
        <w:rPr>
          <w:rFonts w:hint="eastAsia" w:ascii="宋体" w:hAnsi="宋体" w:eastAsia="宋体" w:cs="宋体"/>
          <w:smallCaps w:val="0"/>
          <w:color w:val="auto"/>
          <w:spacing w:val="0"/>
          <w:kern w:val="2"/>
          <w:position w:val="0"/>
          <w:sz w:val="21"/>
          <w:szCs w:val="21"/>
          <w:highlight w:val="none"/>
          <w:lang w:val="en-US" w:bidi="ar-SA"/>
        </w:rPr>
        <w:t>一份、</w:t>
      </w:r>
      <w:r>
        <w:rPr>
          <w:rFonts w:hint="eastAsia" w:ascii="宋体" w:hAnsi="宋体" w:eastAsia="宋体" w:cs="宋体"/>
          <w:smallCaps w:val="0"/>
          <w:color w:val="auto"/>
          <w:spacing w:val="0"/>
          <w:kern w:val="2"/>
          <w:position w:val="0"/>
          <w:sz w:val="21"/>
          <w:szCs w:val="21"/>
          <w:highlight w:val="none"/>
          <w:u w:val="none"/>
          <w:lang w:val="en-US" w:bidi="ar-SA"/>
        </w:rPr>
        <w:t>备份</w:t>
      </w:r>
      <w:r>
        <w:rPr>
          <w:rFonts w:hint="eastAsia" w:cs="宋体"/>
          <w:smallCaps w:val="0"/>
          <w:color w:val="auto"/>
          <w:spacing w:val="0"/>
          <w:kern w:val="2"/>
          <w:position w:val="0"/>
          <w:sz w:val="21"/>
          <w:szCs w:val="21"/>
          <w:highlight w:val="none"/>
          <w:u w:val="none"/>
          <w:lang w:val="en-US" w:eastAsia="zh-CN" w:bidi="ar-SA"/>
        </w:rPr>
        <w:t>响应文件</w:t>
      </w:r>
      <w:r>
        <w:rPr>
          <w:rFonts w:hint="eastAsia" w:ascii="宋体" w:hAnsi="宋体" w:eastAsia="宋体" w:cs="宋体"/>
          <w:smallCaps w:val="0"/>
          <w:color w:val="auto"/>
          <w:spacing w:val="0"/>
          <w:kern w:val="2"/>
          <w:position w:val="0"/>
          <w:sz w:val="21"/>
          <w:szCs w:val="21"/>
          <w:highlight w:val="none"/>
          <w:u w:val="none"/>
          <w:lang w:val="en-US" w:eastAsia="zh-CN" w:bidi="ar-SA"/>
        </w:rPr>
        <w:t>1</w:t>
      </w:r>
      <w:r>
        <w:rPr>
          <w:rFonts w:hint="eastAsia" w:ascii="宋体" w:hAnsi="宋体" w:eastAsia="宋体" w:cs="宋体"/>
          <w:smallCaps w:val="0"/>
          <w:color w:val="auto"/>
          <w:spacing w:val="0"/>
          <w:kern w:val="2"/>
          <w:position w:val="0"/>
          <w:sz w:val="21"/>
          <w:szCs w:val="21"/>
          <w:highlight w:val="none"/>
          <w:u w:val="none"/>
          <w:lang w:val="en-US" w:bidi="ar-SA"/>
        </w:rPr>
        <w:t>份</w:t>
      </w:r>
      <w:r>
        <w:rPr>
          <w:rFonts w:hint="eastAsia" w:cs="宋体"/>
          <w:smallCaps w:val="0"/>
          <w:color w:val="auto"/>
          <w:spacing w:val="0"/>
          <w:kern w:val="2"/>
          <w:position w:val="0"/>
          <w:sz w:val="21"/>
          <w:szCs w:val="21"/>
          <w:highlight w:val="none"/>
          <w:u w:val="none"/>
          <w:lang w:val="en-US" w:eastAsia="zh-CN" w:bidi="ar-SA"/>
        </w:rPr>
        <w:t>（如有）</w:t>
      </w:r>
      <w:r>
        <w:rPr>
          <w:rFonts w:hint="eastAsia" w:ascii="宋体" w:hAnsi="宋体" w:eastAsia="宋体" w:cs="宋体"/>
          <w:smallCaps w:val="0"/>
          <w:color w:val="auto"/>
          <w:spacing w:val="0"/>
          <w:kern w:val="2"/>
          <w:position w:val="0"/>
          <w:sz w:val="21"/>
          <w:szCs w:val="21"/>
          <w:highlight w:val="none"/>
          <w:lang w:val="en-US" w:bidi="ar-SA"/>
        </w:rPr>
        <w:t>。宣布同意如下：</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1.我方已详细审查全部“</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文件”，包括修改文件（如有）以及全部参考资料和有关附件，已经了解我方对于</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w:t>
      </w:r>
      <w:r>
        <w:rPr>
          <w:rFonts w:hint="eastAsia" w:cs="宋体"/>
          <w:smallCaps w:val="0"/>
          <w:color w:val="auto"/>
          <w:spacing w:val="0"/>
          <w:kern w:val="2"/>
          <w:position w:val="0"/>
          <w:sz w:val="21"/>
          <w:szCs w:val="21"/>
          <w:highlight w:val="none"/>
          <w:lang w:val="en-US" w:eastAsia="zh-CN" w:bidi="ar-SA"/>
        </w:rPr>
        <w:t>磋商</w:t>
      </w:r>
      <w:r>
        <w:rPr>
          <w:rFonts w:hint="eastAsia" w:ascii="宋体" w:hAnsi="宋体" w:eastAsia="宋体" w:cs="宋体"/>
          <w:smallCaps w:val="0"/>
          <w:color w:val="auto"/>
          <w:spacing w:val="0"/>
          <w:kern w:val="2"/>
          <w:position w:val="0"/>
          <w:sz w:val="21"/>
          <w:szCs w:val="21"/>
          <w:highlight w:val="none"/>
          <w:lang w:val="en-US" w:bidi="ar-SA"/>
        </w:rPr>
        <w:t>过程、</w:t>
      </w:r>
      <w:r>
        <w:rPr>
          <w:rFonts w:hint="eastAsia" w:cs="宋体"/>
          <w:smallCaps w:val="0"/>
          <w:color w:val="auto"/>
          <w:spacing w:val="0"/>
          <w:kern w:val="2"/>
          <w:position w:val="0"/>
          <w:sz w:val="21"/>
          <w:szCs w:val="21"/>
          <w:highlight w:val="none"/>
          <w:lang w:val="en-US" w:eastAsia="zh-CN" w:bidi="ar-SA"/>
        </w:rPr>
        <w:t>成交</w:t>
      </w:r>
      <w:r>
        <w:rPr>
          <w:rFonts w:hint="eastAsia" w:ascii="宋体" w:hAnsi="宋体" w:eastAsia="宋体" w:cs="宋体"/>
          <w:smallCaps w:val="0"/>
          <w:color w:val="auto"/>
          <w:spacing w:val="0"/>
          <w:kern w:val="2"/>
          <w:position w:val="0"/>
          <w:sz w:val="21"/>
          <w:szCs w:val="21"/>
          <w:highlight w:val="none"/>
          <w:lang w:val="en-US" w:bidi="ar-SA"/>
        </w:rPr>
        <w:t>结果有依法进行询问、质疑、投诉的权利及相关渠道和要求。</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2.我方在</w:t>
      </w:r>
      <w:r>
        <w:rPr>
          <w:rFonts w:hint="eastAsia" w:cs="宋体"/>
          <w:smallCaps w:val="0"/>
          <w:color w:val="auto"/>
          <w:spacing w:val="0"/>
          <w:kern w:val="2"/>
          <w:position w:val="0"/>
          <w:sz w:val="21"/>
          <w:szCs w:val="21"/>
          <w:highlight w:val="none"/>
          <w:lang w:val="en-US" w:eastAsia="zh-CN" w:bidi="ar-SA"/>
        </w:rPr>
        <w:t>磋商</w:t>
      </w:r>
      <w:r>
        <w:rPr>
          <w:rFonts w:hint="eastAsia" w:ascii="宋体" w:hAnsi="宋体" w:eastAsia="宋体" w:cs="宋体"/>
          <w:smallCaps w:val="0"/>
          <w:color w:val="auto"/>
          <w:spacing w:val="0"/>
          <w:kern w:val="2"/>
          <w:position w:val="0"/>
          <w:sz w:val="21"/>
          <w:szCs w:val="21"/>
          <w:highlight w:val="none"/>
          <w:lang w:val="en-US" w:bidi="ar-SA"/>
        </w:rPr>
        <w:t>之前已经与贵方进行了充分的沟通，完全理解并接受</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文件的各项规定和要求，对</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文件的合理性、合法性不再有异议。</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3.</w:t>
      </w:r>
      <w:r>
        <w:rPr>
          <w:rFonts w:hint="eastAsia" w:ascii="宋体" w:hAnsi="宋体" w:eastAsia="宋体" w:cs="宋体"/>
          <w:color w:val="auto"/>
          <w:spacing w:val="0"/>
          <w:w w:val="100"/>
          <w:position w:val="0"/>
          <w:sz w:val="21"/>
          <w:szCs w:val="21"/>
          <w:highlight w:val="none"/>
          <w:lang w:val="en-US" w:eastAsia="zh-CN"/>
        </w:rPr>
        <w:t>竞标</w:t>
      </w:r>
      <w:r>
        <w:rPr>
          <w:rFonts w:hint="eastAsia" w:ascii="宋体" w:hAnsi="宋体" w:eastAsia="宋体" w:cs="宋体"/>
          <w:color w:val="auto"/>
          <w:spacing w:val="0"/>
          <w:w w:val="100"/>
          <w:position w:val="0"/>
          <w:sz w:val="21"/>
          <w:szCs w:val="21"/>
          <w:highlight w:val="none"/>
        </w:rPr>
        <w:t>有效期</w:t>
      </w:r>
      <w:r>
        <w:rPr>
          <w:rFonts w:hint="eastAsia" w:ascii="宋体" w:hAnsi="宋体" w:eastAsia="宋体" w:cs="宋体"/>
          <w:smallCaps w:val="0"/>
          <w:color w:val="auto"/>
          <w:spacing w:val="0"/>
          <w:kern w:val="2"/>
          <w:position w:val="0"/>
          <w:sz w:val="21"/>
          <w:szCs w:val="21"/>
          <w:highlight w:val="none"/>
          <w:lang w:val="en-US" w:bidi="ar-SA"/>
        </w:rPr>
        <w:t>自提交</w:t>
      </w:r>
      <w:r>
        <w:rPr>
          <w:rFonts w:hint="eastAsia"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文件的截止之日起</w:t>
      </w:r>
      <w:r>
        <w:rPr>
          <w:rFonts w:hint="eastAsia" w:ascii="宋体" w:hAnsi="宋体" w:eastAsia="宋体" w:cs="宋体"/>
          <w:bCs/>
          <w:smallCaps w:val="0"/>
          <w:color w:val="auto"/>
          <w:spacing w:val="0"/>
          <w:kern w:val="2"/>
          <w:position w:val="0"/>
          <w:sz w:val="21"/>
          <w:szCs w:val="21"/>
          <w:highlight w:val="none"/>
          <w:u w:val="single"/>
          <w:lang w:val="en-US" w:bidi="ar-SA"/>
        </w:rPr>
        <w:t xml:space="preserve"> </w:t>
      </w:r>
      <w:r>
        <w:rPr>
          <w:rFonts w:hint="eastAsia"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bCs/>
          <w:smallCaps w:val="0"/>
          <w:color w:val="auto"/>
          <w:spacing w:val="0"/>
          <w:kern w:val="2"/>
          <w:position w:val="0"/>
          <w:sz w:val="21"/>
          <w:szCs w:val="21"/>
          <w:highlight w:val="none"/>
          <w:u w:val="single"/>
          <w:lang w:val="en-US" w:bidi="ar-SA"/>
        </w:rPr>
        <w:t xml:space="preserve"> </w:t>
      </w:r>
      <w:r>
        <w:rPr>
          <w:rFonts w:hint="eastAsia" w:ascii="宋体" w:hAnsi="宋体" w:eastAsia="宋体" w:cs="宋体"/>
          <w:smallCaps w:val="0"/>
          <w:color w:val="auto"/>
          <w:spacing w:val="0"/>
          <w:kern w:val="2"/>
          <w:position w:val="0"/>
          <w:sz w:val="21"/>
          <w:szCs w:val="21"/>
          <w:highlight w:val="none"/>
          <w:lang w:val="en-US" w:bidi="ar-SA"/>
        </w:rPr>
        <w:t>天。</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4.如</w:t>
      </w:r>
      <w:r>
        <w:rPr>
          <w:rFonts w:hint="eastAsia" w:cs="宋体"/>
          <w:smallCaps w:val="0"/>
          <w:color w:val="auto"/>
          <w:spacing w:val="0"/>
          <w:kern w:val="2"/>
          <w:position w:val="0"/>
          <w:sz w:val="21"/>
          <w:szCs w:val="21"/>
          <w:highlight w:val="none"/>
          <w:lang w:val="en-US" w:eastAsia="zh-CN" w:bidi="ar-SA"/>
        </w:rPr>
        <w:t>成交</w:t>
      </w:r>
      <w:r>
        <w:rPr>
          <w:rFonts w:hint="eastAsia" w:ascii="宋体" w:hAnsi="宋体" w:eastAsia="宋体" w:cs="宋体"/>
          <w:smallCaps w:val="0"/>
          <w:color w:val="auto"/>
          <w:spacing w:val="0"/>
          <w:kern w:val="2"/>
          <w:position w:val="0"/>
          <w:sz w:val="21"/>
          <w:szCs w:val="21"/>
          <w:highlight w:val="none"/>
          <w:lang w:val="en-US" w:bidi="ar-SA"/>
        </w:rPr>
        <w:t>，本</w:t>
      </w:r>
      <w:r>
        <w:rPr>
          <w:rFonts w:hint="eastAsia"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文件至本项目合同履行完毕止均保持有效，我方将按“</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文件”及政府采购法律、法规的规定履行合同责任和义务。关于代理服务费，我方承诺按照</w:t>
      </w:r>
      <w:r>
        <w:rPr>
          <w:rFonts w:hint="eastAsia" w:cs="宋体"/>
          <w:smallCaps w:val="0"/>
          <w:color w:val="auto"/>
          <w:spacing w:val="0"/>
          <w:kern w:val="2"/>
          <w:position w:val="0"/>
          <w:sz w:val="21"/>
          <w:szCs w:val="21"/>
          <w:highlight w:val="none"/>
          <w:lang w:val="en-US" w:eastAsia="zh-CN" w:bidi="ar-SA"/>
        </w:rPr>
        <w:t>采购文件</w:t>
      </w:r>
      <w:r>
        <w:rPr>
          <w:rFonts w:hint="eastAsia" w:ascii="宋体" w:hAnsi="宋体" w:eastAsia="宋体" w:cs="宋体"/>
          <w:smallCaps w:val="0"/>
          <w:color w:val="auto"/>
          <w:spacing w:val="0"/>
          <w:kern w:val="2"/>
          <w:position w:val="0"/>
          <w:sz w:val="21"/>
          <w:szCs w:val="21"/>
          <w:highlight w:val="none"/>
          <w:lang w:val="en-US" w:bidi="ar-SA"/>
        </w:rPr>
        <w:t>的规定履行并承担相应的责任。</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5.我方同意按照贵方要求提供与投标有关的一切数据或资料。</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6.与本投标有关的一切正式往来信函联系：</w:t>
      </w:r>
    </w:p>
    <w:tbl>
      <w:tblPr>
        <w:tblStyle w:val="33"/>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联系人：</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职务：</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手机：</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电子邮箱：</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地址：</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开户银行：</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银行账号：</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ageBreakBefore w:val="0"/>
        <w:kinsoku/>
        <w:wordWrap/>
        <w:overflowPunct/>
        <w:topLinePunct w:val="0"/>
        <w:bidi w:val="0"/>
        <w:spacing w:line="480" w:lineRule="exact"/>
        <w:ind w:firstLine="2640" w:firstLineChars="1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p>
    <w:p>
      <w:pPr>
        <w:pageBreakBefore w:val="0"/>
        <w:kinsoku/>
        <w:wordWrap/>
        <w:overflowPunct/>
        <w:topLinePunct w:val="0"/>
        <w:bidi w:val="0"/>
        <w:spacing w:line="480" w:lineRule="exact"/>
        <w:ind w:left="0" w:leftChars="0" w:right="0" w:rightChars="0" w:firstLine="0" w:firstLineChars="0"/>
        <w:jc w:val="center"/>
        <w:textAlignment w:val="auto"/>
        <w:outlineLvl w:val="2"/>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br w:type="page"/>
      </w:r>
      <w:bookmarkStart w:id="92" w:name="_Toc24239"/>
      <w:bookmarkStart w:id="93" w:name="_Toc30679"/>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2 </w:t>
      </w:r>
      <w:r>
        <w:rPr>
          <w:rFonts w:hint="eastAsia" w:ascii="宋体" w:hAnsi="宋体" w:eastAsia="宋体" w:cs="宋体"/>
          <w:b/>
          <w:bCs/>
          <w:smallCaps w:val="0"/>
          <w:color w:val="auto"/>
          <w:spacing w:val="0"/>
          <w:position w:val="0"/>
          <w:sz w:val="28"/>
          <w:szCs w:val="28"/>
          <w:highlight w:val="none"/>
          <w:lang w:val="zh-CN" w:eastAsia="zh-CN" w:bidi="zh-CN"/>
        </w:rPr>
        <w:t>法定代表人证明书</w:t>
      </w:r>
      <w:r>
        <w:rPr>
          <w:rFonts w:hint="eastAsia" w:ascii="宋体" w:hAnsi="宋体" w:eastAsia="宋体" w:cs="宋体"/>
          <w:b/>
          <w:bCs/>
          <w:smallCaps w:val="0"/>
          <w:color w:val="auto"/>
          <w:spacing w:val="0"/>
          <w:position w:val="0"/>
          <w:sz w:val="28"/>
          <w:szCs w:val="28"/>
          <w:highlight w:val="none"/>
          <w:lang w:val="en-US" w:eastAsia="zh-CN" w:bidi="zh-CN"/>
        </w:rPr>
        <w:t>和</w:t>
      </w:r>
      <w:r>
        <w:rPr>
          <w:rFonts w:hint="eastAsia" w:ascii="宋体" w:hAnsi="宋体" w:eastAsia="宋体" w:cs="宋体"/>
          <w:b/>
          <w:bCs/>
          <w:smallCaps w:val="0"/>
          <w:color w:val="auto"/>
          <w:spacing w:val="0"/>
          <w:position w:val="0"/>
          <w:sz w:val="28"/>
          <w:szCs w:val="28"/>
          <w:highlight w:val="none"/>
          <w:lang w:val="zh-CN" w:eastAsia="zh-CN" w:bidi="zh-CN"/>
        </w:rPr>
        <w:t>法定代表人授权书</w:t>
      </w:r>
      <w:bookmarkEnd w:id="92"/>
      <w:bookmarkEnd w:id="93"/>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法定代表人证明书</w:t>
      </w:r>
    </w:p>
    <w:p>
      <w:pPr>
        <w:pageBreakBefore w:val="0"/>
        <w:kinsoku/>
        <w:wordWrap/>
        <w:overflowPunct/>
        <w:topLinePunct w:val="0"/>
        <w:bidi w:val="0"/>
        <w:spacing w:before="159" w:line="480" w:lineRule="exact"/>
        <w:ind w:left="298" w:right="0" w:firstLine="0"/>
        <w:jc w:val="lef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致：</w:t>
      </w:r>
    </w:p>
    <w:p>
      <w:pPr>
        <w:pageBreakBefore w:val="0"/>
        <w:widowControl w:val="0"/>
        <w:kinsoku/>
        <w:wordWrap/>
        <w:overflowPunct/>
        <w:topLinePunct w:val="0"/>
        <w:autoSpaceDE w:val="0"/>
        <w:autoSpaceDN w:val="0"/>
        <w:bidi w:val="0"/>
        <w:spacing w:before="139" w:line="480" w:lineRule="exact"/>
        <w:ind w:left="298" w:right="274" w:firstLine="638" w:firstLineChars="29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u w:val="single"/>
          <w:lang w:val="en-US" w:eastAsia="zh-CN" w:bidi="zh-CN"/>
        </w:rPr>
        <w:t xml:space="preserve">  </w:t>
      </w:r>
      <w:r>
        <w:rPr>
          <w:rFonts w:hint="eastAsia" w:ascii="宋体" w:hAnsi="宋体" w:eastAsia="宋体" w:cs="宋体"/>
          <w:color w:val="auto"/>
          <w:spacing w:val="0"/>
          <w:w w:val="100"/>
          <w:position w:val="0"/>
          <w:sz w:val="22"/>
          <w:szCs w:val="22"/>
          <w:highlight w:val="none"/>
          <w:lang w:val="en-US" w:eastAsia="zh-CN" w:bidi="zh-CN"/>
        </w:rPr>
        <w:t>同志，现任我单位</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职务，为法定代表人，特此证明。有效日期与本公司响应文件成交注的响应有效期相同，签发日期：</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年</w:t>
      </w:r>
      <w:r>
        <w:rPr>
          <w:rFonts w:hint="eastAsia" w:ascii="宋体" w:hAnsi="宋体" w:eastAsia="宋体" w:cs="宋体"/>
          <w:color w:val="auto"/>
          <w:spacing w:val="0"/>
          <w:w w:val="100"/>
          <w:position w:val="0"/>
          <w:sz w:val="22"/>
          <w:szCs w:val="22"/>
          <w:highlight w:val="none"/>
          <w:u w:val="single"/>
          <w:lang w:val="en-US" w:eastAsia="zh-CN" w:bidi="zh-CN"/>
        </w:rPr>
        <w:t xml:space="preserve">    </w:t>
      </w:r>
      <w:r>
        <w:rPr>
          <w:rFonts w:hint="eastAsia" w:ascii="宋体" w:hAnsi="宋体" w:eastAsia="宋体" w:cs="宋体"/>
          <w:color w:val="auto"/>
          <w:spacing w:val="0"/>
          <w:w w:val="100"/>
          <w:position w:val="0"/>
          <w:sz w:val="22"/>
          <w:szCs w:val="22"/>
          <w:highlight w:val="none"/>
          <w:lang w:val="en-US" w:eastAsia="zh-CN" w:bidi="zh-CN"/>
        </w:rPr>
        <w:t>月</w:t>
      </w:r>
      <w:r>
        <w:rPr>
          <w:rFonts w:hint="eastAsia" w:ascii="宋体" w:hAnsi="宋体" w:eastAsia="宋体" w:cs="宋体"/>
          <w:color w:val="auto"/>
          <w:spacing w:val="0"/>
          <w:w w:val="100"/>
          <w:position w:val="0"/>
          <w:sz w:val="22"/>
          <w:szCs w:val="22"/>
          <w:highlight w:val="none"/>
          <w:u w:val="single"/>
          <w:lang w:val="en-US" w:eastAsia="zh-CN" w:bidi="zh-CN"/>
        </w:rPr>
        <w:t xml:space="preserve">    </w:t>
      </w:r>
      <w:r>
        <w:rPr>
          <w:rFonts w:hint="eastAsia" w:ascii="宋体" w:hAnsi="宋体" w:eastAsia="宋体" w:cs="宋体"/>
          <w:color w:val="auto"/>
          <w:spacing w:val="0"/>
          <w:w w:val="100"/>
          <w:position w:val="0"/>
          <w:sz w:val="22"/>
          <w:szCs w:val="22"/>
          <w:highlight w:val="none"/>
          <w:lang w:val="en-US" w:eastAsia="zh-CN" w:bidi="zh-CN"/>
        </w:rPr>
        <w:t>日</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附：</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营业执照（注册号）：</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经济性质：</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主营（产）：</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兼营（产）：</w:t>
      </w:r>
    </w:p>
    <w:p>
      <w:pPr>
        <w:pageBreakBefore w:val="0"/>
        <w:widowControl w:val="0"/>
        <w:kinsoku/>
        <w:wordWrap/>
        <w:overflowPunct/>
        <w:topLinePunct w:val="0"/>
        <w:autoSpaceDE w:val="0"/>
        <w:autoSpaceDN w:val="0"/>
        <w:bidi w:val="0"/>
        <w:spacing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pageBreakBefore w:val="0"/>
        <w:widowControl w:val="0"/>
        <w:kinsoku/>
        <w:wordWrap/>
        <w:overflowPunct/>
        <w:topLinePunct w:val="0"/>
        <w:autoSpaceDE w:val="0"/>
        <w:autoSpaceDN w:val="0"/>
        <w:bidi w:val="0"/>
        <w:spacing w:before="2"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mc:AlternateContent>
          <mc:Choice Requires="wpg">
            <w:drawing>
              <wp:anchor distT="0" distB="0" distL="114300" distR="114300" simplePos="0" relativeHeight="251660288" behindDoc="1" locked="0" layoutInCell="1" allowOverlap="1">
                <wp:simplePos x="0" y="0"/>
                <wp:positionH relativeFrom="page">
                  <wp:posOffset>1880235</wp:posOffset>
                </wp:positionH>
                <wp:positionV relativeFrom="paragraph">
                  <wp:posOffset>85090</wp:posOffset>
                </wp:positionV>
                <wp:extent cx="3895725" cy="1968500"/>
                <wp:effectExtent l="0" t="0" r="9525" b="12700"/>
                <wp:wrapTopAndBottom/>
                <wp:docPr id="8" name="组合 8"/>
                <wp:cNvGraphicFramePr/>
                <a:graphic xmlns:a="http://schemas.openxmlformats.org/drawingml/2006/main">
                  <a:graphicData uri="http://schemas.microsoft.com/office/word/2010/wordprocessingGroup">
                    <wpg:wgp>
                      <wpg:cNvGrpSpPr/>
                      <wpg:grpSpPr>
                        <a:xfrm>
                          <a:off x="0" y="0"/>
                          <a:ext cx="3895725" cy="1968500"/>
                          <a:chOff x="4830" y="285"/>
                          <a:chExt cx="6135" cy="3100"/>
                        </a:xfrm>
                        <a:effectLst/>
                      </wpg:grpSpPr>
                      <wps:wsp>
                        <wps:cNvPr id="11" name="任意多边形 9"/>
                        <wps:cNvSpPr/>
                        <wps:spPr>
                          <a:xfrm>
                            <a:off x="4830" y="285"/>
                            <a:ext cx="6135" cy="3100"/>
                          </a:xfrm>
                          <a:custGeom>
                            <a:avLst/>
                            <a:gdLst/>
                            <a:ahLst/>
                            <a:cxnLst/>
                            <a:pathLst>
                              <a:path w="6135" h="3100">
                                <a:moveTo>
                                  <a:pt x="329" y="20"/>
                                </a:moveTo>
                                <a:lnTo>
                                  <a:pt x="260" y="20"/>
                                </a:lnTo>
                                <a:lnTo>
                                  <a:pt x="278" y="0"/>
                                </a:lnTo>
                                <a:lnTo>
                                  <a:pt x="338" y="0"/>
                                </a:lnTo>
                                <a:lnTo>
                                  <a:pt x="329" y="20"/>
                                </a:lnTo>
                                <a:close/>
                                <a:moveTo>
                                  <a:pt x="5876" y="20"/>
                                </a:moveTo>
                                <a:lnTo>
                                  <a:pt x="5807" y="20"/>
                                </a:lnTo>
                                <a:lnTo>
                                  <a:pt x="5798" y="0"/>
                                </a:lnTo>
                                <a:lnTo>
                                  <a:pt x="5858" y="0"/>
                                </a:lnTo>
                                <a:lnTo>
                                  <a:pt x="5876" y="20"/>
                                </a:lnTo>
                                <a:close/>
                                <a:moveTo>
                                  <a:pt x="248" y="40"/>
                                </a:moveTo>
                                <a:lnTo>
                                  <a:pt x="207" y="40"/>
                                </a:lnTo>
                                <a:lnTo>
                                  <a:pt x="225" y="20"/>
                                </a:lnTo>
                                <a:lnTo>
                                  <a:pt x="265" y="20"/>
                                </a:lnTo>
                                <a:lnTo>
                                  <a:pt x="248" y="40"/>
                                </a:lnTo>
                                <a:close/>
                                <a:moveTo>
                                  <a:pt x="5929" y="40"/>
                                </a:moveTo>
                                <a:lnTo>
                                  <a:pt x="5888" y="40"/>
                                </a:lnTo>
                                <a:lnTo>
                                  <a:pt x="5871" y="20"/>
                                </a:lnTo>
                                <a:lnTo>
                                  <a:pt x="5911" y="20"/>
                                </a:lnTo>
                                <a:lnTo>
                                  <a:pt x="5929" y="40"/>
                                </a:lnTo>
                                <a:close/>
                                <a:moveTo>
                                  <a:pt x="214" y="60"/>
                                </a:moveTo>
                                <a:lnTo>
                                  <a:pt x="175" y="60"/>
                                </a:lnTo>
                                <a:lnTo>
                                  <a:pt x="191" y="40"/>
                                </a:lnTo>
                                <a:lnTo>
                                  <a:pt x="231" y="40"/>
                                </a:lnTo>
                                <a:lnTo>
                                  <a:pt x="214" y="60"/>
                                </a:lnTo>
                                <a:close/>
                                <a:moveTo>
                                  <a:pt x="5961" y="60"/>
                                </a:moveTo>
                                <a:lnTo>
                                  <a:pt x="5922" y="60"/>
                                </a:lnTo>
                                <a:lnTo>
                                  <a:pt x="5905" y="40"/>
                                </a:lnTo>
                                <a:lnTo>
                                  <a:pt x="5945" y="40"/>
                                </a:lnTo>
                                <a:lnTo>
                                  <a:pt x="5961" y="60"/>
                                </a:lnTo>
                                <a:close/>
                                <a:moveTo>
                                  <a:pt x="154" y="100"/>
                                </a:moveTo>
                                <a:lnTo>
                                  <a:pt x="130" y="100"/>
                                </a:lnTo>
                                <a:lnTo>
                                  <a:pt x="144" y="80"/>
                                </a:lnTo>
                                <a:lnTo>
                                  <a:pt x="159" y="60"/>
                                </a:lnTo>
                                <a:lnTo>
                                  <a:pt x="183" y="60"/>
                                </a:lnTo>
                                <a:lnTo>
                                  <a:pt x="168" y="80"/>
                                </a:lnTo>
                                <a:lnTo>
                                  <a:pt x="168" y="80"/>
                                </a:lnTo>
                                <a:lnTo>
                                  <a:pt x="154" y="100"/>
                                </a:lnTo>
                                <a:close/>
                                <a:moveTo>
                                  <a:pt x="183" y="80"/>
                                </a:moveTo>
                                <a:lnTo>
                                  <a:pt x="183" y="60"/>
                                </a:lnTo>
                                <a:lnTo>
                                  <a:pt x="199" y="60"/>
                                </a:lnTo>
                                <a:lnTo>
                                  <a:pt x="183" y="80"/>
                                </a:lnTo>
                                <a:close/>
                                <a:moveTo>
                                  <a:pt x="5953" y="80"/>
                                </a:moveTo>
                                <a:lnTo>
                                  <a:pt x="5937" y="60"/>
                                </a:lnTo>
                                <a:lnTo>
                                  <a:pt x="5953" y="60"/>
                                </a:lnTo>
                                <a:lnTo>
                                  <a:pt x="5953" y="80"/>
                                </a:lnTo>
                                <a:close/>
                                <a:moveTo>
                                  <a:pt x="6006" y="100"/>
                                </a:moveTo>
                                <a:lnTo>
                                  <a:pt x="5982" y="100"/>
                                </a:lnTo>
                                <a:lnTo>
                                  <a:pt x="5968" y="80"/>
                                </a:lnTo>
                                <a:lnTo>
                                  <a:pt x="5968" y="80"/>
                                </a:lnTo>
                                <a:lnTo>
                                  <a:pt x="5953" y="60"/>
                                </a:lnTo>
                                <a:lnTo>
                                  <a:pt x="5977" y="60"/>
                                </a:lnTo>
                                <a:lnTo>
                                  <a:pt x="5992" y="80"/>
                                </a:lnTo>
                                <a:lnTo>
                                  <a:pt x="6006" y="100"/>
                                </a:lnTo>
                                <a:close/>
                                <a:moveTo>
                                  <a:pt x="102" y="140"/>
                                </a:moveTo>
                                <a:lnTo>
                                  <a:pt x="91" y="140"/>
                                </a:lnTo>
                                <a:lnTo>
                                  <a:pt x="103" y="120"/>
                                </a:lnTo>
                                <a:lnTo>
                                  <a:pt x="116" y="100"/>
                                </a:lnTo>
                                <a:lnTo>
                                  <a:pt x="140" y="100"/>
                                </a:lnTo>
                                <a:lnTo>
                                  <a:pt x="127" y="120"/>
                                </a:lnTo>
                                <a:lnTo>
                                  <a:pt x="114" y="120"/>
                                </a:lnTo>
                                <a:lnTo>
                                  <a:pt x="102" y="140"/>
                                </a:lnTo>
                                <a:close/>
                                <a:moveTo>
                                  <a:pt x="6045" y="140"/>
                                </a:moveTo>
                                <a:lnTo>
                                  <a:pt x="6034" y="140"/>
                                </a:lnTo>
                                <a:lnTo>
                                  <a:pt x="6022" y="120"/>
                                </a:lnTo>
                                <a:lnTo>
                                  <a:pt x="6009" y="120"/>
                                </a:lnTo>
                                <a:lnTo>
                                  <a:pt x="5996" y="100"/>
                                </a:lnTo>
                                <a:lnTo>
                                  <a:pt x="6020" y="100"/>
                                </a:lnTo>
                                <a:lnTo>
                                  <a:pt x="6033" y="120"/>
                                </a:lnTo>
                                <a:lnTo>
                                  <a:pt x="6045" y="140"/>
                                </a:lnTo>
                                <a:close/>
                                <a:moveTo>
                                  <a:pt x="45" y="240"/>
                                </a:moveTo>
                                <a:lnTo>
                                  <a:pt x="32" y="240"/>
                                </a:lnTo>
                                <a:lnTo>
                                  <a:pt x="39" y="220"/>
                                </a:lnTo>
                                <a:lnTo>
                                  <a:pt x="48" y="200"/>
                                </a:lnTo>
                                <a:lnTo>
                                  <a:pt x="58" y="180"/>
                                </a:lnTo>
                                <a:lnTo>
                                  <a:pt x="68" y="160"/>
                                </a:lnTo>
                                <a:lnTo>
                                  <a:pt x="79" y="140"/>
                                </a:lnTo>
                                <a:lnTo>
                                  <a:pt x="102" y="140"/>
                                </a:lnTo>
                                <a:lnTo>
                                  <a:pt x="91" y="160"/>
                                </a:lnTo>
                                <a:lnTo>
                                  <a:pt x="91" y="160"/>
                                </a:lnTo>
                                <a:lnTo>
                                  <a:pt x="80" y="180"/>
                                </a:lnTo>
                                <a:lnTo>
                                  <a:pt x="71" y="180"/>
                                </a:lnTo>
                                <a:lnTo>
                                  <a:pt x="61" y="200"/>
                                </a:lnTo>
                                <a:lnTo>
                                  <a:pt x="61" y="200"/>
                                </a:lnTo>
                                <a:lnTo>
                                  <a:pt x="53" y="220"/>
                                </a:lnTo>
                                <a:lnTo>
                                  <a:pt x="53" y="220"/>
                                </a:lnTo>
                                <a:lnTo>
                                  <a:pt x="45" y="240"/>
                                </a:lnTo>
                                <a:close/>
                                <a:moveTo>
                                  <a:pt x="6104" y="240"/>
                                </a:moveTo>
                                <a:lnTo>
                                  <a:pt x="6091" y="240"/>
                                </a:lnTo>
                                <a:lnTo>
                                  <a:pt x="6083" y="220"/>
                                </a:lnTo>
                                <a:lnTo>
                                  <a:pt x="6083" y="220"/>
                                </a:lnTo>
                                <a:lnTo>
                                  <a:pt x="6074" y="200"/>
                                </a:lnTo>
                                <a:lnTo>
                                  <a:pt x="6075" y="200"/>
                                </a:lnTo>
                                <a:lnTo>
                                  <a:pt x="6065" y="180"/>
                                </a:lnTo>
                                <a:lnTo>
                                  <a:pt x="6056" y="180"/>
                                </a:lnTo>
                                <a:lnTo>
                                  <a:pt x="6045" y="160"/>
                                </a:lnTo>
                                <a:lnTo>
                                  <a:pt x="6045" y="160"/>
                                </a:lnTo>
                                <a:lnTo>
                                  <a:pt x="6033" y="140"/>
                                </a:lnTo>
                                <a:lnTo>
                                  <a:pt x="6057" y="140"/>
                                </a:lnTo>
                                <a:lnTo>
                                  <a:pt x="6068" y="160"/>
                                </a:lnTo>
                                <a:lnTo>
                                  <a:pt x="6078" y="180"/>
                                </a:lnTo>
                                <a:lnTo>
                                  <a:pt x="6088" y="200"/>
                                </a:lnTo>
                                <a:lnTo>
                                  <a:pt x="6096" y="220"/>
                                </a:lnTo>
                                <a:lnTo>
                                  <a:pt x="6104" y="240"/>
                                </a:lnTo>
                                <a:close/>
                                <a:moveTo>
                                  <a:pt x="33" y="280"/>
                                </a:moveTo>
                                <a:lnTo>
                                  <a:pt x="15" y="280"/>
                                </a:lnTo>
                                <a:lnTo>
                                  <a:pt x="18" y="260"/>
                                </a:lnTo>
                                <a:lnTo>
                                  <a:pt x="24" y="240"/>
                                </a:lnTo>
                                <a:lnTo>
                                  <a:pt x="45" y="240"/>
                                </a:lnTo>
                                <a:lnTo>
                                  <a:pt x="39" y="260"/>
                                </a:lnTo>
                                <a:lnTo>
                                  <a:pt x="39" y="260"/>
                                </a:lnTo>
                                <a:lnTo>
                                  <a:pt x="33" y="280"/>
                                </a:lnTo>
                                <a:close/>
                                <a:moveTo>
                                  <a:pt x="6120" y="280"/>
                                </a:moveTo>
                                <a:lnTo>
                                  <a:pt x="6103" y="280"/>
                                </a:lnTo>
                                <a:lnTo>
                                  <a:pt x="6097" y="260"/>
                                </a:lnTo>
                                <a:lnTo>
                                  <a:pt x="6097" y="260"/>
                                </a:lnTo>
                                <a:lnTo>
                                  <a:pt x="6091" y="240"/>
                                </a:lnTo>
                                <a:lnTo>
                                  <a:pt x="6111" y="240"/>
                                </a:lnTo>
                                <a:lnTo>
                                  <a:pt x="6118" y="260"/>
                                </a:lnTo>
                                <a:lnTo>
                                  <a:pt x="6120" y="280"/>
                                </a:lnTo>
                                <a:close/>
                                <a:moveTo>
                                  <a:pt x="27" y="300"/>
                                </a:moveTo>
                                <a:lnTo>
                                  <a:pt x="11" y="300"/>
                                </a:lnTo>
                                <a:lnTo>
                                  <a:pt x="13" y="280"/>
                                </a:lnTo>
                                <a:lnTo>
                                  <a:pt x="30" y="280"/>
                                </a:lnTo>
                                <a:lnTo>
                                  <a:pt x="27" y="300"/>
                                </a:lnTo>
                                <a:close/>
                                <a:moveTo>
                                  <a:pt x="6125" y="300"/>
                                </a:moveTo>
                                <a:lnTo>
                                  <a:pt x="6109" y="300"/>
                                </a:lnTo>
                                <a:lnTo>
                                  <a:pt x="6106" y="280"/>
                                </a:lnTo>
                                <a:lnTo>
                                  <a:pt x="6123" y="280"/>
                                </a:lnTo>
                                <a:lnTo>
                                  <a:pt x="6125" y="300"/>
                                </a:lnTo>
                                <a:close/>
                                <a:moveTo>
                                  <a:pt x="21" y="320"/>
                                </a:moveTo>
                                <a:lnTo>
                                  <a:pt x="7" y="320"/>
                                </a:lnTo>
                                <a:lnTo>
                                  <a:pt x="9" y="300"/>
                                </a:lnTo>
                                <a:lnTo>
                                  <a:pt x="23" y="300"/>
                                </a:lnTo>
                                <a:lnTo>
                                  <a:pt x="21" y="320"/>
                                </a:lnTo>
                                <a:close/>
                                <a:moveTo>
                                  <a:pt x="6129" y="320"/>
                                </a:moveTo>
                                <a:lnTo>
                                  <a:pt x="6115" y="320"/>
                                </a:lnTo>
                                <a:lnTo>
                                  <a:pt x="6113" y="300"/>
                                </a:lnTo>
                                <a:lnTo>
                                  <a:pt x="6127" y="300"/>
                                </a:lnTo>
                                <a:lnTo>
                                  <a:pt x="6129" y="320"/>
                                </a:lnTo>
                                <a:close/>
                                <a:moveTo>
                                  <a:pt x="19" y="340"/>
                                </a:moveTo>
                                <a:lnTo>
                                  <a:pt x="4" y="340"/>
                                </a:lnTo>
                                <a:lnTo>
                                  <a:pt x="5" y="320"/>
                                </a:lnTo>
                                <a:lnTo>
                                  <a:pt x="20" y="320"/>
                                </a:lnTo>
                                <a:lnTo>
                                  <a:pt x="19" y="340"/>
                                </a:lnTo>
                                <a:close/>
                                <a:moveTo>
                                  <a:pt x="6132" y="340"/>
                                </a:moveTo>
                                <a:lnTo>
                                  <a:pt x="6117" y="340"/>
                                </a:lnTo>
                                <a:lnTo>
                                  <a:pt x="6116" y="320"/>
                                </a:lnTo>
                                <a:lnTo>
                                  <a:pt x="6131" y="320"/>
                                </a:lnTo>
                                <a:lnTo>
                                  <a:pt x="6132" y="340"/>
                                </a:lnTo>
                                <a:close/>
                                <a:moveTo>
                                  <a:pt x="17" y="360"/>
                                </a:moveTo>
                                <a:lnTo>
                                  <a:pt x="2" y="360"/>
                                </a:lnTo>
                                <a:lnTo>
                                  <a:pt x="3" y="340"/>
                                </a:lnTo>
                                <a:lnTo>
                                  <a:pt x="17" y="340"/>
                                </a:lnTo>
                                <a:lnTo>
                                  <a:pt x="17" y="360"/>
                                </a:lnTo>
                                <a:close/>
                                <a:moveTo>
                                  <a:pt x="6134" y="360"/>
                                </a:moveTo>
                                <a:lnTo>
                                  <a:pt x="6119" y="360"/>
                                </a:lnTo>
                                <a:lnTo>
                                  <a:pt x="6119" y="340"/>
                                </a:lnTo>
                                <a:lnTo>
                                  <a:pt x="6133" y="340"/>
                                </a:lnTo>
                                <a:lnTo>
                                  <a:pt x="6134" y="360"/>
                                </a:lnTo>
                                <a:close/>
                                <a:moveTo>
                                  <a:pt x="16" y="380"/>
                                </a:moveTo>
                                <a:lnTo>
                                  <a:pt x="1" y="380"/>
                                </a:lnTo>
                                <a:lnTo>
                                  <a:pt x="1" y="360"/>
                                </a:lnTo>
                                <a:lnTo>
                                  <a:pt x="16" y="360"/>
                                </a:lnTo>
                                <a:lnTo>
                                  <a:pt x="16" y="380"/>
                                </a:lnTo>
                                <a:close/>
                                <a:moveTo>
                                  <a:pt x="6135" y="380"/>
                                </a:moveTo>
                                <a:lnTo>
                                  <a:pt x="6120" y="380"/>
                                </a:lnTo>
                                <a:lnTo>
                                  <a:pt x="6120" y="360"/>
                                </a:lnTo>
                                <a:lnTo>
                                  <a:pt x="6135" y="360"/>
                                </a:lnTo>
                                <a:lnTo>
                                  <a:pt x="6135" y="380"/>
                                </a:lnTo>
                                <a:close/>
                                <a:moveTo>
                                  <a:pt x="15" y="2720"/>
                                </a:moveTo>
                                <a:lnTo>
                                  <a:pt x="0" y="2720"/>
                                </a:lnTo>
                                <a:lnTo>
                                  <a:pt x="0" y="380"/>
                                </a:lnTo>
                                <a:lnTo>
                                  <a:pt x="15" y="380"/>
                                </a:lnTo>
                                <a:lnTo>
                                  <a:pt x="15" y="2720"/>
                                </a:lnTo>
                                <a:close/>
                                <a:moveTo>
                                  <a:pt x="6135" y="2720"/>
                                </a:moveTo>
                                <a:lnTo>
                                  <a:pt x="6120" y="2720"/>
                                </a:lnTo>
                                <a:lnTo>
                                  <a:pt x="6120" y="380"/>
                                </a:lnTo>
                                <a:lnTo>
                                  <a:pt x="6135" y="380"/>
                                </a:lnTo>
                                <a:lnTo>
                                  <a:pt x="6135" y="2720"/>
                                </a:lnTo>
                                <a:close/>
                                <a:moveTo>
                                  <a:pt x="16" y="2740"/>
                                </a:moveTo>
                                <a:lnTo>
                                  <a:pt x="1" y="2740"/>
                                </a:lnTo>
                                <a:lnTo>
                                  <a:pt x="1" y="2720"/>
                                </a:lnTo>
                                <a:lnTo>
                                  <a:pt x="16" y="2720"/>
                                </a:lnTo>
                                <a:lnTo>
                                  <a:pt x="16" y="2740"/>
                                </a:lnTo>
                                <a:close/>
                                <a:moveTo>
                                  <a:pt x="6135" y="2740"/>
                                </a:moveTo>
                                <a:lnTo>
                                  <a:pt x="6120" y="2740"/>
                                </a:lnTo>
                                <a:lnTo>
                                  <a:pt x="6120" y="2720"/>
                                </a:lnTo>
                                <a:lnTo>
                                  <a:pt x="6135" y="2720"/>
                                </a:lnTo>
                                <a:lnTo>
                                  <a:pt x="6135" y="2740"/>
                                </a:lnTo>
                                <a:close/>
                                <a:moveTo>
                                  <a:pt x="17" y="2760"/>
                                </a:moveTo>
                                <a:lnTo>
                                  <a:pt x="3" y="2760"/>
                                </a:lnTo>
                                <a:lnTo>
                                  <a:pt x="2" y="2740"/>
                                </a:lnTo>
                                <a:lnTo>
                                  <a:pt x="17" y="2740"/>
                                </a:lnTo>
                                <a:lnTo>
                                  <a:pt x="17" y="2760"/>
                                </a:lnTo>
                                <a:close/>
                                <a:moveTo>
                                  <a:pt x="6133" y="2760"/>
                                </a:moveTo>
                                <a:lnTo>
                                  <a:pt x="6119" y="2760"/>
                                </a:lnTo>
                                <a:lnTo>
                                  <a:pt x="6119" y="2740"/>
                                </a:lnTo>
                                <a:lnTo>
                                  <a:pt x="6134" y="2740"/>
                                </a:lnTo>
                                <a:lnTo>
                                  <a:pt x="6133" y="2760"/>
                                </a:lnTo>
                                <a:close/>
                                <a:moveTo>
                                  <a:pt x="20" y="2780"/>
                                </a:moveTo>
                                <a:lnTo>
                                  <a:pt x="5" y="2780"/>
                                </a:lnTo>
                                <a:lnTo>
                                  <a:pt x="4" y="2760"/>
                                </a:lnTo>
                                <a:lnTo>
                                  <a:pt x="19" y="2760"/>
                                </a:lnTo>
                                <a:lnTo>
                                  <a:pt x="20" y="2780"/>
                                </a:lnTo>
                                <a:close/>
                                <a:moveTo>
                                  <a:pt x="6131" y="2780"/>
                                </a:moveTo>
                                <a:lnTo>
                                  <a:pt x="6116" y="2780"/>
                                </a:lnTo>
                                <a:lnTo>
                                  <a:pt x="6117" y="2760"/>
                                </a:lnTo>
                                <a:lnTo>
                                  <a:pt x="6132" y="2760"/>
                                </a:lnTo>
                                <a:lnTo>
                                  <a:pt x="6131" y="2780"/>
                                </a:lnTo>
                                <a:close/>
                                <a:moveTo>
                                  <a:pt x="23" y="2800"/>
                                </a:moveTo>
                                <a:lnTo>
                                  <a:pt x="9" y="2800"/>
                                </a:lnTo>
                                <a:lnTo>
                                  <a:pt x="7" y="2780"/>
                                </a:lnTo>
                                <a:lnTo>
                                  <a:pt x="21" y="2780"/>
                                </a:lnTo>
                                <a:lnTo>
                                  <a:pt x="23" y="2800"/>
                                </a:lnTo>
                                <a:close/>
                                <a:moveTo>
                                  <a:pt x="6127" y="2800"/>
                                </a:moveTo>
                                <a:lnTo>
                                  <a:pt x="6113" y="2800"/>
                                </a:lnTo>
                                <a:lnTo>
                                  <a:pt x="6115" y="2780"/>
                                </a:lnTo>
                                <a:lnTo>
                                  <a:pt x="6129" y="2780"/>
                                </a:lnTo>
                                <a:lnTo>
                                  <a:pt x="6127" y="2800"/>
                                </a:lnTo>
                                <a:close/>
                                <a:moveTo>
                                  <a:pt x="30" y="2820"/>
                                </a:moveTo>
                                <a:lnTo>
                                  <a:pt x="13" y="2820"/>
                                </a:lnTo>
                                <a:lnTo>
                                  <a:pt x="11" y="2800"/>
                                </a:lnTo>
                                <a:lnTo>
                                  <a:pt x="27" y="2800"/>
                                </a:lnTo>
                                <a:lnTo>
                                  <a:pt x="30" y="2820"/>
                                </a:lnTo>
                                <a:close/>
                                <a:moveTo>
                                  <a:pt x="6123" y="2820"/>
                                </a:moveTo>
                                <a:lnTo>
                                  <a:pt x="6106" y="2820"/>
                                </a:lnTo>
                                <a:lnTo>
                                  <a:pt x="6109" y="2800"/>
                                </a:lnTo>
                                <a:lnTo>
                                  <a:pt x="6125" y="2800"/>
                                </a:lnTo>
                                <a:lnTo>
                                  <a:pt x="6123" y="2820"/>
                                </a:lnTo>
                                <a:close/>
                                <a:moveTo>
                                  <a:pt x="39" y="2840"/>
                                </a:moveTo>
                                <a:lnTo>
                                  <a:pt x="18" y="2840"/>
                                </a:lnTo>
                                <a:lnTo>
                                  <a:pt x="15" y="2820"/>
                                </a:lnTo>
                                <a:lnTo>
                                  <a:pt x="33" y="2820"/>
                                </a:lnTo>
                                <a:lnTo>
                                  <a:pt x="39" y="2840"/>
                                </a:lnTo>
                                <a:close/>
                                <a:moveTo>
                                  <a:pt x="6118" y="2840"/>
                                </a:moveTo>
                                <a:lnTo>
                                  <a:pt x="6097" y="2840"/>
                                </a:lnTo>
                                <a:lnTo>
                                  <a:pt x="6103" y="2820"/>
                                </a:lnTo>
                                <a:lnTo>
                                  <a:pt x="6120" y="2820"/>
                                </a:lnTo>
                                <a:lnTo>
                                  <a:pt x="6118" y="2840"/>
                                </a:lnTo>
                                <a:close/>
                                <a:moveTo>
                                  <a:pt x="102" y="2960"/>
                                </a:moveTo>
                                <a:lnTo>
                                  <a:pt x="79" y="2960"/>
                                </a:lnTo>
                                <a:lnTo>
                                  <a:pt x="68" y="2940"/>
                                </a:lnTo>
                                <a:lnTo>
                                  <a:pt x="58" y="2920"/>
                                </a:lnTo>
                                <a:lnTo>
                                  <a:pt x="48" y="2900"/>
                                </a:lnTo>
                                <a:lnTo>
                                  <a:pt x="39" y="2880"/>
                                </a:lnTo>
                                <a:lnTo>
                                  <a:pt x="32" y="2860"/>
                                </a:lnTo>
                                <a:lnTo>
                                  <a:pt x="24" y="2840"/>
                                </a:lnTo>
                                <a:lnTo>
                                  <a:pt x="39" y="2840"/>
                                </a:lnTo>
                                <a:lnTo>
                                  <a:pt x="45" y="2860"/>
                                </a:lnTo>
                                <a:lnTo>
                                  <a:pt x="45" y="2860"/>
                                </a:lnTo>
                                <a:lnTo>
                                  <a:pt x="53" y="2880"/>
                                </a:lnTo>
                                <a:lnTo>
                                  <a:pt x="53" y="2880"/>
                                </a:lnTo>
                                <a:lnTo>
                                  <a:pt x="61" y="2900"/>
                                </a:lnTo>
                                <a:lnTo>
                                  <a:pt x="61" y="2900"/>
                                </a:lnTo>
                                <a:lnTo>
                                  <a:pt x="71" y="2920"/>
                                </a:lnTo>
                                <a:lnTo>
                                  <a:pt x="80" y="2920"/>
                                </a:lnTo>
                                <a:lnTo>
                                  <a:pt x="91" y="2940"/>
                                </a:lnTo>
                                <a:lnTo>
                                  <a:pt x="91" y="2940"/>
                                </a:lnTo>
                                <a:lnTo>
                                  <a:pt x="102" y="2960"/>
                                </a:lnTo>
                                <a:close/>
                                <a:moveTo>
                                  <a:pt x="6057" y="2960"/>
                                </a:moveTo>
                                <a:lnTo>
                                  <a:pt x="6033" y="2960"/>
                                </a:lnTo>
                                <a:lnTo>
                                  <a:pt x="6045" y="2940"/>
                                </a:lnTo>
                                <a:lnTo>
                                  <a:pt x="6045" y="2940"/>
                                </a:lnTo>
                                <a:lnTo>
                                  <a:pt x="6056" y="2920"/>
                                </a:lnTo>
                                <a:lnTo>
                                  <a:pt x="6065" y="2920"/>
                                </a:lnTo>
                                <a:lnTo>
                                  <a:pt x="6075" y="2900"/>
                                </a:lnTo>
                                <a:lnTo>
                                  <a:pt x="6074" y="2900"/>
                                </a:lnTo>
                                <a:lnTo>
                                  <a:pt x="6083" y="2880"/>
                                </a:lnTo>
                                <a:lnTo>
                                  <a:pt x="6083" y="2880"/>
                                </a:lnTo>
                                <a:lnTo>
                                  <a:pt x="6091" y="2860"/>
                                </a:lnTo>
                                <a:lnTo>
                                  <a:pt x="6091" y="2860"/>
                                </a:lnTo>
                                <a:lnTo>
                                  <a:pt x="6097" y="2840"/>
                                </a:lnTo>
                                <a:lnTo>
                                  <a:pt x="6111" y="2840"/>
                                </a:lnTo>
                                <a:lnTo>
                                  <a:pt x="6104" y="2860"/>
                                </a:lnTo>
                                <a:lnTo>
                                  <a:pt x="6096" y="2880"/>
                                </a:lnTo>
                                <a:lnTo>
                                  <a:pt x="6088" y="2900"/>
                                </a:lnTo>
                                <a:lnTo>
                                  <a:pt x="6078" y="2920"/>
                                </a:lnTo>
                                <a:lnTo>
                                  <a:pt x="6068" y="2940"/>
                                </a:lnTo>
                                <a:lnTo>
                                  <a:pt x="6057" y="2960"/>
                                </a:lnTo>
                                <a:close/>
                                <a:moveTo>
                                  <a:pt x="140" y="3000"/>
                                </a:moveTo>
                                <a:lnTo>
                                  <a:pt x="116" y="3000"/>
                                </a:lnTo>
                                <a:lnTo>
                                  <a:pt x="103" y="2980"/>
                                </a:lnTo>
                                <a:lnTo>
                                  <a:pt x="91" y="2960"/>
                                </a:lnTo>
                                <a:lnTo>
                                  <a:pt x="114" y="2960"/>
                                </a:lnTo>
                                <a:lnTo>
                                  <a:pt x="127" y="2980"/>
                                </a:lnTo>
                                <a:lnTo>
                                  <a:pt x="127" y="2980"/>
                                </a:lnTo>
                                <a:lnTo>
                                  <a:pt x="140" y="3000"/>
                                </a:lnTo>
                                <a:close/>
                                <a:moveTo>
                                  <a:pt x="6020" y="3000"/>
                                </a:moveTo>
                                <a:lnTo>
                                  <a:pt x="5996" y="3000"/>
                                </a:lnTo>
                                <a:lnTo>
                                  <a:pt x="6009" y="2980"/>
                                </a:lnTo>
                                <a:lnTo>
                                  <a:pt x="6009" y="2980"/>
                                </a:lnTo>
                                <a:lnTo>
                                  <a:pt x="6022" y="2960"/>
                                </a:lnTo>
                                <a:lnTo>
                                  <a:pt x="6045" y="2960"/>
                                </a:lnTo>
                                <a:lnTo>
                                  <a:pt x="6033" y="2980"/>
                                </a:lnTo>
                                <a:lnTo>
                                  <a:pt x="6020" y="3000"/>
                                </a:lnTo>
                                <a:close/>
                                <a:moveTo>
                                  <a:pt x="199" y="3040"/>
                                </a:moveTo>
                                <a:lnTo>
                                  <a:pt x="159" y="3040"/>
                                </a:lnTo>
                                <a:lnTo>
                                  <a:pt x="144" y="3020"/>
                                </a:lnTo>
                                <a:lnTo>
                                  <a:pt x="130" y="3000"/>
                                </a:lnTo>
                                <a:lnTo>
                                  <a:pt x="154" y="3000"/>
                                </a:lnTo>
                                <a:lnTo>
                                  <a:pt x="168" y="3020"/>
                                </a:lnTo>
                                <a:lnTo>
                                  <a:pt x="183" y="3020"/>
                                </a:lnTo>
                                <a:lnTo>
                                  <a:pt x="199" y="3040"/>
                                </a:lnTo>
                                <a:close/>
                                <a:moveTo>
                                  <a:pt x="5977" y="3040"/>
                                </a:moveTo>
                                <a:lnTo>
                                  <a:pt x="5937" y="3040"/>
                                </a:lnTo>
                                <a:lnTo>
                                  <a:pt x="5953" y="3020"/>
                                </a:lnTo>
                                <a:lnTo>
                                  <a:pt x="5968" y="3020"/>
                                </a:lnTo>
                                <a:lnTo>
                                  <a:pt x="5982" y="3000"/>
                                </a:lnTo>
                                <a:lnTo>
                                  <a:pt x="6006" y="3000"/>
                                </a:lnTo>
                                <a:lnTo>
                                  <a:pt x="5992" y="3020"/>
                                </a:lnTo>
                                <a:lnTo>
                                  <a:pt x="5977" y="3040"/>
                                </a:lnTo>
                                <a:close/>
                                <a:moveTo>
                                  <a:pt x="231" y="3060"/>
                                </a:moveTo>
                                <a:lnTo>
                                  <a:pt x="191" y="3060"/>
                                </a:lnTo>
                                <a:lnTo>
                                  <a:pt x="175" y="3040"/>
                                </a:lnTo>
                                <a:lnTo>
                                  <a:pt x="214" y="3040"/>
                                </a:lnTo>
                                <a:lnTo>
                                  <a:pt x="231" y="3060"/>
                                </a:lnTo>
                                <a:close/>
                                <a:moveTo>
                                  <a:pt x="5945" y="3060"/>
                                </a:moveTo>
                                <a:lnTo>
                                  <a:pt x="5905" y="3060"/>
                                </a:lnTo>
                                <a:lnTo>
                                  <a:pt x="5922" y="3040"/>
                                </a:lnTo>
                                <a:lnTo>
                                  <a:pt x="5961" y="3040"/>
                                </a:lnTo>
                                <a:lnTo>
                                  <a:pt x="5945" y="3060"/>
                                </a:lnTo>
                                <a:close/>
                                <a:moveTo>
                                  <a:pt x="265" y="3080"/>
                                </a:moveTo>
                                <a:lnTo>
                                  <a:pt x="225" y="3080"/>
                                </a:lnTo>
                                <a:lnTo>
                                  <a:pt x="207" y="3060"/>
                                </a:lnTo>
                                <a:lnTo>
                                  <a:pt x="248" y="3060"/>
                                </a:lnTo>
                                <a:lnTo>
                                  <a:pt x="265" y="3080"/>
                                </a:lnTo>
                                <a:close/>
                                <a:moveTo>
                                  <a:pt x="5911" y="3080"/>
                                </a:moveTo>
                                <a:lnTo>
                                  <a:pt x="5871" y="3080"/>
                                </a:lnTo>
                                <a:lnTo>
                                  <a:pt x="5888" y="3060"/>
                                </a:lnTo>
                                <a:lnTo>
                                  <a:pt x="5929" y="3060"/>
                                </a:lnTo>
                                <a:lnTo>
                                  <a:pt x="5911" y="3080"/>
                                </a:lnTo>
                                <a:close/>
                                <a:moveTo>
                                  <a:pt x="348" y="3100"/>
                                </a:moveTo>
                                <a:lnTo>
                                  <a:pt x="278" y="3100"/>
                                </a:lnTo>
                                <a:lnTo>
                                  <a:pt x="260" y="3080"/>
                                </a:lnTo>
                                <a:lnTo>
                                  <a:pt x="338" y="3080"/>
                                </a:lnTo>
                                <a:lnTo>
                                  <a:pt x="348" y="3100"/>
                                </a:lnTo>
                                <a:close/>
                                <a:moveTo>
                                  <a:pt x="5858" y="3100"/>
                                </a:moveTo>
                                <a:lnTo>
                                  <a:pt x="5788" y="3100"/>
                                </a:lnTo>
                                <a:lnTo>
                                  <a:pt x="5798" y="3080"/>
                                </a:lnTo>
                                <a:lnTo>
                                  <a:pt x="5876" y="3080"/>
                                </a:lnTo>
                                <a:lnTo>
                                  <a:pt x="5858" y="3100"/>
                                </a:lnTo>
                                <a:close/>
                              </a:path>
                            </a:pathLst>
                          </a:custGeom>
                          <a:solidFill>
                            <a:srgbClr val="000000"/>
                          </a:solidFill>
                          <a:ln>
                            <a:noFill/>
                          </a:ln>
                          <a:effectLst/>
                        </wps:spPr>
                        <wps:bodyPr upright="1"/>
                      </wps:wsp>
                      <wps:wsp>
                        <wps:cNvPr id="13" name="文本框 10"/>
                        <wps:cNvSpPr txBox="1"/>
                        <wps:spPr>
                          <a:xfrm>
                            <a:off x="6098" y="996"/>
                            <a:ext cx="3620" cy="240"/>
                          </a:xfrm>
                          <a:prstGeom prst="rect">
                            <a:avLst/>
                          </a:prstGeom>
                          <a:noFill/>
                          <a:ln>
                            <a:noFill/>
                          </a:ln>
                          <a:effectLst/>
                        </wps:spPr>
                        <wps:txbx>
                          <w:txbxContent>
                            <w:p>
                              <w:pPr>
                                <w:spacing w:before="0" w:line="240" w:lineRule="exact"/>
                                <w:ind w:left="0" w:right="0" w:firstLine="0"/>
                                <w:jc w:val="left"/>
                                <w:rPr>
                                  <w:rFonts w:ascii="宋体" w:hAnsi="宋体" w:eastAsia="宋体" w:cs="宋体"/>
                                  <w:sz w:val="24"/>
                                </w:rPr>
                              </w:pPr>
                              <w:r>
                                <w:rPr>
                                  <w:rFonts w:ascii="宋体" w:hAnsi="宋体" w:eastAsia="宋体" w:cs="宋体"/>
                                  <w:sz w:val="24"/>
                                </w:rPr>
                                <w:t>法定代表人身份证复印件贴于此处</w:t>
                              </w:r>
                            </w:p>
                          </w:txbxContent>
                        </wps:txbx>
                        <wps:bodyPr lIns="0" tIns="0" rIns="0" bIns="0" upright="1"/>
                      </wps:wsp>
                      <wps:wsp>
                        <wps:cNvPr id="15" name="文本框 11"/>
                        <wps:cNvSpPr txBox="1"/>
                        <wps:spPr>
                          <a:xfrm>
                            <a:off x="5097" y="1879"/>
                            <a:ext cx="5560" cy="240"/>
                          </a:xfrm>
                          <a:prstGeom prst="rect">
                            <a:avLst/>
                          </a:prstGeom>
                          <a:noFill/>
                          <a:ln>
                            <a:noFill/>
                          </a:ln>
                          <a:effectLst/>
                        </wps:spPr>
                        <wps:txbx>
                          <w:txbxContent>
                            <w:p>
                              <w:pPr>
                                <w:spacing w:before="0" w:line="240" w:lineRule="exact"/>
                                <w:ind w:left="0" w:right="0" w:firstLine="0"/>
                                <w:jc w:val="left"/>
                                <w:rPr>
                                  <w:rFonts w:ascii="宋体" w:hAnsi="宋体" w:eastAsia="宋体" w:cs="宋体"/>
                                  <w:b/>
                                  <w:sz w:val="24"/>
                                </w:rPr>
                              </w:pPr>
                              <w:r>
                                <w:rPr>
                                  <w:rFonts w:ascii="宋体" w:hAnsi="宋体" w:eastAsia="宋体" w:cs="宋体"/>
                                  <w:b/>
                                  <w:sz w:val="24"/>
                                </w:rPr>
                                <w:t>(为避免废标，请供应商务必提供本人身份证复印件)</w:t>
                              </w:r>
                            </w:p>
                          </w:txbxContent>
                        </wps:txbx>
                        <wps:bodyPr lIns="0" tIns="0" rIns="0" bIns="0" upright="1"/>
                      </wps:wsp>
                    </wpg:wgp>
                  </a:graphicData>
                </a:graphic>
              </wp:anchor>
            </w:drawing>
          </mc:Choice>
          <mc:Fallback>
            <w:pict>
              <v:group id="_x0000_s1026" o:spid="_x0000_s1026" o:spt="203" style="position:absolute;left:0pt;margin-left:148.05pt;margin-top:6.7pt;height:155pt;width:306.75pt;mso-position-horizontal-relative:page;mso-wrap-distance-bottom:0pt;mso-wrap-distance-top:0pt;z-index:-251656192;mso-width-relative:page;mso-height-relative:page;" coordorigin="4830,285" coordsize="6135,3100" o:gfxdata="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KLi4f7aAAAACgEAAA8AAAAA&#10;AAAAAQAgAAAAIgAAAGRycy9kb3ducmV2LnhtbFBLAQIUABQAAAAIAIdO4kAfz7LebAsAADZBAAAO&#10;AAAAAAAAAAEAIAAAACkBAABkcnMvZTJvRG9jLnhtbFBLBQYAAAAABgAGAFkBAAAHDwAAAAA=&#10;">
                <o:lock v:ext="edit" aspectratio="f"/>
                <v:shape id="任意多边形 9" o:spid="_x0000_s1026" o:spt="100" style="position:absolute;left:4830;top:285;height:3100;width:6135;" fillcolor="#000000" filled="t" stroked="f" coordsize="6135,3100" o:gfxdata="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NhptwAAANsAAAAP&#10;AAAAAAAAAAEAIAAAACIAAABkcnMvZG93bnJldi54bWxQSwECFAAUAAAACACHTuJAMy8FnjsAAAA5&#10;AAAAEAAAAAAAAAABACAAAAAGAQAAZHJzL3NoYXBleG1sLnhtbFBLBQYAAAAABgAGAFsBAACwAwAA&#10;AAA=&#10;" path="m329,20l260,20,278,0,338,0,329,20xm5876,20l5807,20,5798,0,5858,0,5876,20xm248,40l207,40,225,20,265,20,248,40xm5929,40l5888,40,5871,20,5911,20,5929,40xm214,60l175,60,191,40,231,40,214,60xm5961,60l5922,60,5905,40,5945,40,5961,60xm154,100l130,100,144,80,159,60,183,60,168,80,168,80,154,100xm183,80l183,60,199,60,183,80xm5953,80l5937,60,5953,60,5953,80xm6006,100l5982,100,5968,80,5968,80,5953,60,5977,60,5992,80,6006,100xm102,140l91,140,103,120,116,100,140,100,127,120,114,120,102,140xm6045,140l6034,140,6022,120,6009,120,5996,100,6020,100,6033,120,6045,140xm45,240l32,240,39,220,48,200,58,180,68,160,79,140,102,140,91,160,91,160,80,180,71,180,61,200,61,200,53,220,53,220,45,240xm6104,240l6091,240,6083,220,6083,220,6074,200,6075,200,6065,180,6056,180,6045,160,6045,160,6033,140,6057,140,6068,160,6078,180,6088,200,6096,220,6104,240xm33,280l15,280,18,260,24,240,45,240,39,260,39,260,33,280xm6120,280l6103,280,6097,260,6097,260,6091,240,6111,240,6118,260,6120,280xm27,300l11,300,13,280,30,280,27,300xm6125,300l6109,300,6106,280,6123,280,6125,300xm21,320l7,320,9,300,23,300,21,320xm6129,320l6115,320,6113,300,6127,300,6129,320xm19,340l4,340,5,320,20,320,19,340xm6132,340l6117,340,6116,320,6131,320,6132,340xm17,360l2,360,3,340,17,340,17,360xm6134,360l6119,360,6119,340,6133,340,6134,360xm16,380l1,380,1,360,16,360,16,380xm6135,380l6120,380,6120,360,6135,360,6135,380xm15,2720l0,2720,0,380,15,380,15,2720xm6135,2720l6120,2720,6120,380,6135,380,6135,2720xm16,2740l1,2740,1,2720,16,2720,16,2740xm6135,2740l6120,2740,6120,2720,6135,2720,6135,2740xm17,2760l3,2760,2,2740,17,2740,17,2760xm6133,2760l6119,2760,6119,2740,6134,2740,6133,2760xm20,2780l5,2780,4,2760,19,2760,20,2780xm6131,2780l6116,2780,6117,2760,6132,2760,6131,2780xm23,2800l9,2800,7,2780,21,2780,23,2800xm6127,2800l6113,2800,6115,2780,6129,2780,6127,2800xm30,2820l13,2820,11,2800,27,2800,30,2820xm6123,2820l6106,2820,6109,2800,6125,2800,6123,2820xm39,2840l18,2840,15,2820,33,2820,39,2840xm6118,2840l6097,2840,6103,2820,6120,2820,6118,2840xm102,2960l79,2960,68,2940,58,2920,48,2900,39,2880,32,2860,24,2840,39,2840,45,2860,45,2860,53,2880,53,2880,61,2900,61,2900,71,2920,80,2920,91,2940,91,2940,102,2960xm6057,2960l6033,2960,6045,2940,6045,2940,6056,2920,6065,2920,6075,2900,6074,2900,6083,2880,6083,2880,6091,2860,6091,2860,6097,2840,6111,2840,6104,2860,6096,2880,6088,2900,6078,2920,6068,2940,6057,2960xm140,3000l116,3000,103,2980,91,2960,114,2960,127,2980,127,2980,140,3000xm6020,3000l5996,3000,6009,2980,6009,2980,6022,2960,6045,2960,6033,2980,6020,3000xm199,3040l159,3040,144,3020,130,3000,154,3000,168,3020,183,3020,199,3040xm5977,3040l5937,3040,5953,3020,5968,3020,5982,3000,6006,3000,5992,3020,5977,3040xm231,3060l191,3060,175,3040,214,3040,231,3060xm5945,3060l5905,3060,5922,3040,5961,3040,5945,3060xm265,3080l225,3080,207,3060,248,3060,265,3080xm5911,3080l5871,3080,5888,3060,5929,3060,5911,3080xm348,3100l278,3100,260,3080,338,3080,348,3100xm5858,3100l5788,3100,5798,3080,5876,3080,5858,3100xe">
                  <v:fill on="t" focussize="0,0"/>
                  <v:stroke on="f"/>
                  <v:imagedata o:title=""/>
                  <o:lock v:ext="edit" aspectratio="f"/>
                </v:shape>
                <v:shape id="文本框 10" o:spid="_x0000_s1026" o:spt="202" type="#_x0000_t202" style="position:absolute;left:6098;top:996;height:240;width:362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rFonts w:ascii="宋体" w:hAnsi="宋体" w:eastAsia="宋体" w:cs="宋体"/>
                            <w:sz w:val="24"/>
                          </w:rPr>
                        </w:pPr>
                        <w:r>
                          <w:rPr>
                            <w:rFonts w:ascii="宋体" w:hAnsi="宋体" w:eastAsia="宋体" w:cs="宋体"/>
                            <w:sz w:val="24"/>
                          </w:rPr>
                          <w:t>法定代表人身份证复印件贴于此处</w:t>
                        </w:r>
                      </w:p>
                    </w:txbxContent>
                  </v:textbox>
                </v:shape>
                <v:shape id="文本框 11" o:spid="_x0000_s1026" o:spt="202" type="#_x0000_t202" style="position:absolute;left:5097;top:1879;height:240;width:5560;"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rFonts w:ascii="宋体" w:hAnsi="宋体" w:eastAsia="宋体" w:cs="宋体"/>
                            <w:b/>
                            <w:sz w:val="24"/>
                          </w:rPr>
                        </w:pPr>
                        <w:r>
                          <w:rPr>
                            <w:rFonts w:ascii="宋体" w:hAnsi="宋体" w:eastAsia="宋体" w:cs="宋体"/>
                            <w:b/>
                            <w:sz w:val="24"/>
                          </w:rPr>
                          <w:t>(为避免废标，请供应商务必提供本人身份证复印件)</w:t>
                        </w:r>
                      </w:p>
                    </w:txbxContent>
                  </v:textbox>
                </v:shape>
                <w10:wrap type="topAndBottom"/>
              </v:group>
            </w:pict>
          </mc:Fallback>
        </mc:AlternateContent>
      </w:r>
    </w:p>
    <w:p>
      <w:pPr>
        <w:pageBreakBefore w:val="0"/>
        <w:widowControl w:val="0"/>
        <w:kinsoku/>
        <w:wordWrap/>
        <w:overflowPunct/>
        <w:topLinePunct w:val="0"/>
        <w:autoSpaceDE w:val="0"/>
        <w:autoSpaceDN w:val="0"/>
        <w:bidi w:val="0"/>
        <w:spacing w:before="8"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供应商名称（公章）：</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地址：</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日期：</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年</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月</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日</w:t>
      </w:r>
    </w:p>
    <w:p>
      <w:pPr>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color w:val="auto"/>
          <w:spacing w:val="0"/>
          <w:w w:val="100"/>
          <w:position w:val="0"/>
          <w:sz w:val="22"/>
          <w:szCs w:val="22"/>
          <w:highlight w:val="none"/>
          <w:lang w:val="en-US" w:eastAsia="zh-CN"/>
        </w:rPr>
        <w:br w:type="page"/>
      </w: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color w:val="auto"/>
          <w:spacing w:val="0"/>
          <w:w w:val="100"/>
          <w:position w:val="0"/>
          <w:sz w:val="24"/>
          <w:szCs w:val="24"/>
          <w:highlight w:val="none"/>
          <w:lang w:val="en-US" w:eastAsia="zh-CN"/>
        </w:rPr>
        <w:t>法定代表人授权书</w:t>
      </w:r>
    </w:p>
    <w:p>
      <w:pPr>
        <w:widowControl w:val="0"/>
        <w:autoSpaceDE w:val="0"/>
        <w:autoSpaceDN w:val="0"/>
        <w:spacing w:before="6"/>
        <w:outlineLvl w:val="9"/>
        <w:rPr>
          <w:rFonts w:hint="eastAsia" w:ascii="宋体" w:hAnsi="宋体" w:eastAsia="宋体" w:cs="宋体"/>
          <w:b/>
          <w:color w:val="auto"/>
          <w:spacing w:val="0"/>
          <w:w w:val="100"/>
          <w:position w:val="0"/>
          <w:sz w:val="24"/>
          <w:szCs w:val="20"/>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right="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致</w:t>
      </w:r>
      <w:r>
        <w:rPr>
          <w:rFonts w:hint="eastAsia" w:ascii="宋体" w:hAnsi="宋体" w:eastAsia="宋体" w:cs="宋体"/>
          <w:color w:val="auto"/>
          <w:spacing w:val="0"/>
          <w:w w:val="100"/>
          <w:position w:val="0"/>
          <w:sz w:val="22"/>
          <w:szCs w:val="22"/>
          <w:highlight w:val="none"/>
          <w:u w:val="single"/>
          <w:lang w:val="zh-CN" w:eastAsia="zh-CN" w:bidi="zh-CN"/>
        </w:rPr>
        <w:t>【采购代理机构】</w:t>
      </w:r>
      <w:r>
        <w:rPr>
          <w:rFonts w:hint="eastAsia" w:ascii="宋体" w:hAnsi="宋体" w:eastAsia="宋体" w:cs="宋体"/>
          <w:color w:val="auto"/>
          <w:spacing w:val="0"/>
          <w:w w:val="100"/>
          <w:position w:val="0"/>
          <w:sz w:val="22"/>
          <w:szCs w:val="22"/>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40" w:firstLineChars="200"/>
        <w:jc w:val="both"/>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本授权书声明：注册于</w:t>
      </w:r>
      <w:r>
        <w:rPr>
          <w:rFonts w:hint="eastAsia" w:ascii="宋体" w:hAnsi="宋体" w:eastAsia="宋体" w:cs="宋体"/>
          <w:color w:val="auto"/>
          <w:spacing w:val="0"/>
          <w:w w:val="100"/>
          <w:position w:val="0"/>
          <w:sz w:val="22"/>
          <w:szCs w:val="22"/>
          <w:highlight w:val="none"/>
          <w:u w:val="single"/>
          <w:lang w:val="zh-CN" w:eastAsia="zh-CN" w:bidi="zh-CN"/>
        </w:rPr>
        <w:t xml:space="preserve">  【注册地址】 </w:t>
      </w:r>
      <w:r>
        <w:rPr>
          <w:rFonts w:hint="eastAsia" w:ascii="宋体" w:hAnsi="宋体" w:eastAsia="宋体" w:cs="宋体"/>
          <w:color w:val="auto"/>
          <w:spacing w:val="0"/>
          <w:w w:val="100"/>
          <w:position w:val="0"/>
          <w:sz w:val="22"/>
          <w:szCs w:val="22"/>
          <w:highlight w:val="none"/>
          <w:lang w:val="zh-CN" w:eastAsia="zh-CN" w:bidi="zh-CN"/>
        </w:rPr>
        <w:t>的</w:t>
      </w:r>
      <w:r>
        <w:rPr>
          <w:rFonts w:hint="eastAsia" w:ascii="宋体" w:hAnsi="宋体" w:eastAsia="宋体" w:cs="宋体"/>
          <w:color w:val="auto"/>
          <w:spacing w:val="0"/>
          <w:w w:val="100"/>
          <w:position w:val="0"/>
          <w:sz w:val="22"/>
          <w:szCs w:val="22"/>
          <w:highlight w:val="none"/>
          <w:u w:val="single"/>
          <w:lang w:val="zh-CN" w:eastAsia="zh-CN" w:bidi="zh-CN"/>
        </w:rPr>
        <w:t xml:space="preserve"> 【某某公司或某某单位】</w:t>
      </w:r>
      <w:r>
        <w:rPr>
          <w:rFonts w:hint="eastAsia" w:ascii="宋体" w:hAnsi="宋体" w:eastAsia="宋体" w:cs="宋体"/>
          <w:color w:val="auto"/>
          <w:spacing w:val="0"/>
          <w:w w:val="100"/>
          <w:position w:val="0"/>
          <w:sz w:val="22"/>
          <w:szCs w:val="22"/>
          <w:highlight w:val="none"/>
          <w:lang w:val="zh-CN" w:eastAsia="zh-CN" w:bidi="zh-CN"/>
        </w:rPr>
        <w:t xml:space="preserve"> 的在下面签字的</w:t>
      </w:r>
      <w:r>
        <w:rPr>
          <w:rFonts w:hint="eastAsia" w:ascii="宋体" w:hAnsi="宋体" w:eastAsia="宋体" w:cs="宋体"/>
          <w:color w:val="auto"/>
          <w:spacing w:val="0"/>
          <w:w w:val="100"/>
          <w:position w:val="0"/>
          <w:sz w:val="22"/>
          <w:szCs w:val="22"/>
          <w:highlight w:val="none"/>
          <w:u w:val="single"/>
          <w:lang w:val="zh-CN" w:eastAsia="zh-CN" w:bidi="zh-CN"/>
        </w:rPr>
        <w:t xml:space="preserve">  【法定代表人或负责人姓名、职务】 </w:t>
      </w:r>
      <w:r>
        <w:rPr>
          <w:rFonts w:hint="eastAsia" w:ascii="宋体" w:hAnsi="宋体" w:eastAsia="宋体" w:cs="宋体"/>
          <w:color w:val="auto"/>
          <w:spacing w:val="0"/>
          <w:w w:val="100"/>
          <w:position w:val="0"/>
          <w:sz w:val="22"/>
          <w:szCs w:val="22"/>
          <w:highlight w:val="none"/>
          <w:lang w:val="zh-CN" w:eastAsia="zh-CN" w:bidi="zh-CN"/>
        </w:rPr>
        <w:t>代表本公司授权在下面签字的</w:t>
      </w:r>
      <w:r>
        <w:rPr>
          <w:rFonts w:hint="eastAsia" w:ascii="宋体" w:hAnsi="宋体" w:eastAsia="宋体" w:cs="宋体"/>
          <w:color w:val="auto"/>
          <w:spacing w:val="0"/>
          <w:w w:val="100"/>
          <w:position w:val="0"/>
          <w:sz w:val="22"/>
          <w:szCs w:val="22"/>
          <w:highlight w:val="none"/>
          <w:u w:val="single"/>
          <w:lang w:val="zh-CN" w:eastAsia="zh-CN" w:bidi="zh-CN"/>
        </w:rPr>
        <w:t>【被授权人的姓名、职务】</w:t>
      </w:r>
      <w:r>
        <w:rPr>
          <w:rFonts w:hint="eastAsia" w:ascii="宋体" w:hAnsi="宋体" w:eastAsia="宋体" w:cs="宋体"/>
          <w:color w:val="auto"/>
          <w:spacing w:val="0"/>
          <w:w w:val="100"/>
          <w:position w:val="0"/>
          <w:sz w:val="22"/>
          <w:szCs w:val="22"/>
          <w:highlight w:val="none"/>
          <w:lang w:val="zh-CN" w:eastAsia="zh-CN" w:bidi="zh-CN"/>
        </w:rPr>
        <w:t xml:space="preserve"> 为本公司的合法代理人，就</w:t>
      </w:r>
      <w:r>
        <w:rPr>
          <w:rFonts w:hint="eastAsia" w:ascii="宋体" w:hAnsi="宋体" w:eastAsia="宋体" w:cs="宋体"/>
          <w:color w:val="auto"/>
          <w:spacing w:val="0"/>
          <w:w w:val="100"/>
          <w:position w:val="0"/>
          <w:sz w:val="22"/>
          <w:szCs w:val="22"/>
          <w:highlight w:val="none"/>
          <w:u w:val="single"/>
          <w:lang w:val="zh-CN" w:eastAsia="zh-CN" w:bidi="zh-CN"/>
        </w:rPr>
        <w:t xml:space="preserve"> 【项目名称】</w:t>
      </w:r>
      <w:r>
        <w:rPr>
          <w:rFonts w:hint="eastAsia" w:ascii="宋体" w:hAnsi="宋体" w:eastAsia="宋体" w:cs="宋体"/>
          <w:color w:val="auto"/>
          <w:spacing w:val="0"/>
          <w:w w:val="100"/>
          <w:position w:val="0"/>
          <w:sz w:val="22"/>
          <w:szCs w:val="22"/>
          <w:highlight w:val="none"/>
          <w:lang w:val="zh-CN" w:eastAsia="zh-CN" w:bidi="zh-CN"/>
        </w:rPr>
        <w:t xml:space="preserve"> 的投标及合同的执行，以本公司名义处理一切与之有关的事务。</w:t>
      </w:r>
    </w:p>
    <w:p>
      <w:pPr>
        <w:keepNext w:val="0"/>
        <w:keepLines w:val="0"/>
        <w:pageBreakBefore w:val="0"/>
        <w:widowControl w:val="0"/>
        <w:tabs>
          <w:tab w:val="left" w:pos="2620"/>
          <w:tab w:val="left" w:pos="3460"/>
          <w:tab w:val="left" w:pos="4300"/>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本授权书于</w:t>
      </w:r>
      <w:r>
        <w:rPr>
          <w:rFonts w:hint="eastAsia" w:ascii="宋体" w:hAnsi="宋体" w:eastAsia="宋体" w:cs="宋体"/>
          <w:color w:val="auto"/>
          <w:spacing w:val="0"/>
          <w:w w:val="100"/>
          <w:position w:val="0"/>
          <w:sz w:val="22"/>
          <w:szCs w:val="22"/>
          <w:highlight w:val="none"/>
          <w:u w:val="single"/>
          <w:lang w:val="zh-CN" w:eastAsia="zh-CN" w:bidi="zh-CN"/>
        </w:rPr>
        <w:t xml:space="preserve"> </w:t>
      </w:r>
      <w:r>
        <w:rPr>
          <w:rFonts w:hint="eastAsia" w:ascii="宋体" w:hAnsi="宋体" w:eastAsia="宋体" w:cs="宋体"/>
          <w:color w:val="auto"/>
          <w:spacing w:val="0"/>
          <w:w w:val="100"/>
          <w:position w:val="0"/>
          <w:sz w:val="22"/>
          <w:szCs w:val="22"/>
          <w:highlight w:val="none"/>
          <w:u w:val="single"/>
          <w:lang w:val="zh-CN" w:eastAsia="zh-CN" w:bidi="zh-CN"/>
        </w:rPr>
        <w:tab/>
      </w:r>
      <w:r>
        <w:rPr>
          <w:rFonts w:hint="eastAsia" w:ascii="宋体" w:hAnsi="宋体" w:eastAsia="宋体" w:cs="宋体"/>
          <w:color w:val="auto"/>
          <w:spacing w:val="0"/>
          <w:w w:val="100"/>
          <w:position w:val="0"/>
          <w:sz w:val="22"/>
          <w:szCs w:val="22"/>
          <w:highlight w:val="none"/>
          <w:lang w:val="zh-CN" w:eastAsia="zh-CN" w:bidi="zh-CN"/>
        </w:rPr>
        <w:t>年</w:t>
      </w:r>
      <w:r>
        <w:rPr>
          <w:rFonts w:hint="eastAsia" w:ascii="宋体" w:hAnsi="宋体" w:eastAsia="宋体" w:cs="宋体"/>
          <w:color w:val="auto"/>
          <w:spacing w:val="0"/>
          <w:w w:val="100"/>
          <w:position w:val="0"/>
          <w:sz w:val="22"/>
          <w:szCs w:val="22"/>
          <w:highlight w:val="none"/>
          <w:u w:val="single"/>
          <w:lang w:val="zh-CN" w:eastAsia="zh-CN" w:bidi="zh-CN"/>
        </w:rPr>
        <w:t xml:space="preserve"> </w:t>
      </w:r>
      <w:r>
        <w:rPr>
          <w:rFonts w:hint="eastAsia" w:ascii="宋体" w:hAnsi="宋体" w:eastAsia="宋体" w:cs="宋体"/>
          <w:color w:val="auto"/>
          <w:spacing w:val="0"/>
          <w:w w:val="100"/>
          <w:position w:val="0"/>
          <w:sz w:val="22"/>
          <w:szCs w:val="22"/>
          <w:highlight w:val="none"/>
          <w:u w:val="single"/>
          <w:lang w:val="zh-CN" w:eastAsia="zh-CN" w:bidi="zh-CN"/>
        </w:rPr>
        <w:tab/>
      </w:r>
      <w:r>
        <w:rPr>
          <w:rFonts w:hint="eastAsia" w:ascii="宋体" w:hAnsi="宋体" w:eastAsia="宋体" w:cs="宋体"/>
          <w:color w:val="auto"/>
          <w:spacing w:val="0"/>
          <w:w w:val="100"/>
          <w:position w:val="0"/>
          <w:sz w:val="22"/>
          <w:szCs w:val="22"/>
          <w:highlight w:val="none"/>
          <w:lang w:val="zh-CN" w:eastAsia="zh-CN" w:bidi="zh-CN"/>
        </w:rPr>
        <w:t>月</w:t>
      </w:r>
      <w:r>
        <w:rPr>
          <w:rFonts w:hint="eastAsia" w:ascii="宋体" w:hAnsi="宋体" w:eastAsia="宋体" w:cs="宋体"/>
          <w:color w:val="auto"/>
          <w:spacing w:val="0"/>
          <w:w w:val="100"/>
          <w:position w:val="0"/>
          <w:sz w:val="22"/>
          <w:szCs w:val="22"/>
          <w:highlight w:val="none"/>
          <w:u w:val="single"/>
          <w:lang w:val="zh-CN" w:eastAsia="zh-CN" w:bidi="zh-CN"/>
        </w:rPr>
        <w:t xml:space="preserve"> </w:t>
      </w:r>
      <w:r>
        <w:rPr>
          <w:rFonts w:hint="eastAsia" w:ascii="宋体" w:hAnsi="宋体" w:eastAsia="宋体" w:cs="宋体"/>
          <w:color w:val="auto"/>
          <w:spacing w:val="0"/>
          <w:w w:val="100"/>
          <w:position w:val="0"/>
          <w:sz w:val="22"/>
          <w:szCs w:val="22"/>
          <w:highlight w:val="none"/>
          <w:u w:val="single"/>
          <w:lang w:val="zh-CN" w:eastAsia="zh-CN" w:bidi="zh-CN"/>
        </w:rPr>
        <w:tab/>
      </w:r>
      <w:r>
        <w:rPr>
          <w:rFonts w:hint="eastAsia" w:ascii="宋体" w:hAnsi="宋体" w:eastAsia="宋体" w:cs="宋体"/>
          <w:color w:val="auto"/>
          <w:spacing w:val="0"/>
          <w:w w:val="100"/>
          <w:position w:val="0"/>
          <w:sz w:val="22"/>
          <w:szCs w:val="22"/>
          <w:highlight w:val="none"/>
          <w:lang w:val="zh-CN" w:eastAsia="zh-CN" w:bidi="zh-CN"/>
        </w:rPr>
        <w:t>日签字生效，特此声明。</w:t>
      </w:r>
    </w:p>
    <w:p>
      <w:pPr>
        <w:keepNext w:val="0"/>
        <w:keepLines w:val="0"/>
        <w:pageBreakBefore w:val="0"/>
        <w:widowControl w:val="0"/>
        <w:tabs>
          <w:tab w:val="left" w:pos="4956"/>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16"/>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单位名称（公章）：</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4956"/>
        </w:tabs>
        <w:autoSpaceDE w:val="0"/>
        <w:autoSpaceDN w:val="0"/>
        <w:spacing w:before="0" w:after="0" w:line="560" w:lineRule="exact"/>
        <w:ind w:left="0" w:right="0" w:firstLine="420" w:firstLineChars="200"/>
        <w:jc w:val="left"/>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法定代表人签署：</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cs="宋体"/>
          <w:smallCaps w:val="0"/>
          <w:color w:val="auto"/>
          <w:spacing w:val="0"/>
          <w:position w:val="0"/>
          <w:sz w:val="21"/>
          <w:szCs w:val="21"/>
          <w:highlight w:val="none"/>
          <w:u w:val="single"/>
          <w:lang w:val="en-US" w:eastAsia="zh-CN" w:bidi="zh-CN"/>
        </w:rPr>
        <w:t xml:space="preserve">        </w:t>
      </w:r>
    </w:p>
    <w:p>
      <w:pPr>
        <w:widowControl w:val="0"/>
        <w:tabs>
          <w:tab w:val="left" w:pos="5436"/>
        </w:tabs>
        <w:autoSpaceDE w:val="0"/>
        <w:autoSpaceDN w:val="0"/>
        <w:spacing w:before="0" w:after="0" w:line="560" w:lineRule="exact"/>
        <w:ind w:left="0" w:right="0" w:firstLine="420" w:firstLineChars="200"/>
        <w:jc w:val="left"/>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代理人（被授权人）签字：</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cs="宋体"/>
          <w:smallCaps w:val="0"/>
          <w:color w:val="auto"/>
          <w:spacing w:val="0"/>
          <w:position w:val="0"/>
          <w:sz w:val="21"/>
          <w:szCs w:val="21"/>
          <w:highlight w:val="none"/>
          <w:u w:val="single"/>
          <w:lang w:val="en-US" w:eastAsia="zh-CN" w:bidi="zh-CN"/>
        </w:rPr>
        <w:t xml:space="preserve">   </w:t>
      </w:r>
    </w:p>
    <w:p>
      <w:pPr>
        <w:widowControl w:val="0"/>
        <w:tabs>
          <w:tab w:val="left" w:pos="5436"/>
          <w:tab w:val="left" w:pos="6396"/>
        </w:tabs>
        <w:autoSpaceDE w:val="0"/>
        <w:autoSpaceDN w:val="0"/>
        <w:spacing w:before="0" w:after="0" w:line="560" w:lineRule="exact"/>
        <w:ind w:left="0" w:right="0" w:firstLine="420" w:firstLineChars="200"/>
        <w:jc w:val="left"/>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代理人职务：</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cs="宋体"/>
          <w:smallCaps w:val="0"/>
          <w:color w:val="auto"/>
          <w:spacing w:val="0"/>
          <w:position w:val="0"/>
          <w:sz w:val="21"/>
          <w:szCs w:val="21"/>
          <w:highlight w:val="none"/>
          <w:u w:val="single"/>
          <w:lang w:val="en-US" w:eastAsia="zh-CN" w:bidi="zh-CN"/>
        </w:rPr>
        <w:t xml:space="preserve">   </w:t>
      </w:r>
    </w:p>
    <w:p>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u w:val="single"/>
          <w:lang w:val="zh-CN" w:eastAsia="zh-CN" w:bidi="zh-CN"/>
        </w:rPr>
      </w:pPr>
    </w:p>
    <w:tbl>
      <w:tblPr>
        <w:tblStyle w:val="3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28"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法定代表人身份证明：</w:t>
            </w: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授权代表身份证明：</w:t>
            </w: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bCs/>
                <w:smallCaps w:val="0"/>
                <w:color w:val="auto"/>
                <w:spacing w:val="0"/>
                <w:kern w:val="2"/>
                <w:position w:val="0"/>
                <w:sz w:val="21"/>
                <w:szCs w:val="21"/>
                <w:highlight w:val="none"/>
                <w:lang w:val="en-US" w:bidi="ar-SA"/>
              </w:rPr>
            </w:pPr>
          </w:p>
        </w:tc>
      </w:tr>
    </w:tbl>
    <w:p>
      <w:pPr>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br w:type="page"/>
      </w:r>
    </w:p>
    <w:p>
      <w:pPr>
        <w:widowControl w:val="0"/>
        <w:autoSpaceDE w:val="0"/>
        <w:autoSpaceDN w:val="0"/>
        <w:spacing w:before="43" w:after="0" w:line="240" w:lineRule="auto"/>
        <w:ind w:left="363" w:right="43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94" w:name="_Toc29212"/>
      <w:bookmarkStart w:id="95" w:name="_Toc15637"/>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3</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采购需求</w:t>
      </w:r>
      <w:r>
        <w:rPr>
          <w:rFonts w:hint="eastAsia" w:ascii="宋体" w:hAnsi="宋体" w:eastAsia="宋体" w:cs="宋体"/>
          <w:b/>
          <w:bCs/>
          <w:smallCaps w:val="0"/>
          <w:color w:val="auto"/>
          <w:spacing w:val="0"/>
          <w:position w:val="0"/>
          <w:sz w:val="28"/>
          <w:szCs w:val="28"/>
          <w:highlight w:val="none"/>
          <w:lang w:val="zh-CN" w:eastAsia="zh-CN" w:bidi="zh-CN"/>
        </w:rPr>
        <w:t>偏离表格式</w:t>
      </w:r>
      <w:bookmarkEnd w:id="94"/>
      <w:bookmarkEnd w:id="95"/>
    </w:p>
    <w:p>
      <w:pPr>
        <w:widowControl w:val="0"/>
        <w:autoSpaceDE w:val="0"/>
        <w:autoSpaceDN w:val="0"/>
        <w:spacing w:before="0" w:after="0" w:line="240" w:lineRule="auto"/>
        <w:ind w:left="400" w:right="0"/>
        <w:jc w:val="center"/>
        <w:rPr>
          <w:rFonts w:hint="eastAsia" w:ascii="宋体" w:hAnsi="宋体" w:eastAsia="宋体" w:cs="宋体"/>
          <w:b/>
          <w:bCs/>
          <w:smallCaps w:val="0"/>
          <w:color w:val="auto"/>
          <w:spacing w:val="0"/>
          <w:position w:val="0"/>
          <w:sz w:val="24"/>
          <w:szCs w:val="24"/>
          <w:highlight w:val="none"/>
          <w:lang w:val="zh-CN" w:eastAsia="zh-CN" w:bidi="zh-CN"/>
        </w:rPr>
      </w:pPr>
      <w:r>
        <w:rPr>
          <w:rFonts w:hint="eastAsia" w:ascii="宋体" w:hAnsi="宋体" w:eastAsia="宋体" w:cs="宋体"/>
          <w:b/>
          <w:bCs/>
          <w:smallCaps w:val="0"/>
          <w:color w:val="auto"/>
          <w:spacing w:val="0"/>
          <w:position w:val="0"/>
          <w:sz w:val="24"/>
          <w:szCs w:val="24"/>
          <w:highlight w:val="none"/>
          <w:lang w:val="en-US" w:eastAsia="zh-CN" w:bidi="zh-CN"/>
        </w:rPr>
        <w:t>采购需求</w:t>
      </w:r>
      <w:r>
        <w:rPr>
          <w:rFonts w:hint="eastAsia" w:ascii="宋体" w:hAnsi="宋体" w:eastAsia="宋体" w:cs="宋体"/>
          <w:b/>
          <w:bCs/>
          <w:smallCaps w:val="0"/>
          <w:color w:val="auto"/>
          <w:spacing w:val="0"/>
          <w:position w:val="0"/>
          <w:sz w:val="24"/>
          <w:szCs w:val="24"/>
          <w:highlight w:val="none"/>
          <w:lang w:val="zh-CN" w:eastAsia="zh-CN" w:bidi="zh-CN"/>
        </w:rPr>
        <w:t>偏离表</w:t>
      </w:r>
    </w:p>
    <w:p>
      <w:pPr>
        <w:widowControl w:val="0"/>
        <w:autoSpaceDE w:val="0"/>
        <w:autoSpaceDN w:val="0"/>
        <w:spacing w:before="0" w:after="0" w:line="240" w:lineRule="auto"/>
        <w:ind w:left="4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p>
    <w:p>
      <w:pPr>
        <w:widowControl w:val="0"/>
        <w:tabs>
          <w:tab w:val="left" w:pos="4961"/>
        </w:tabs>
        <w:autoSpaceDE w:val="0"/>
        <w:autoSpaceDN w:val="0"/>
        <w:spacing w:before="158" w:after="0" w:line="240" w:lineRule="auto"/>
        <w:ind w:left="4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p>
    <w:p>
      <w:pPr>
        <w:widowControl w:val="0"/>
        <w:autoSpaceDE w:val="0"/>
        <w:autoSpaceDN w:val="0"/>
        <w:spacing w:before="7" w:after="0" w:line="240" w:lineRule="auto"/>
        <w:ind w:left="0" w:right="0"/>
        <w:jc w:val="left"/>
        <w:rPr>
          <w:rFonts w:hint="eastAsia" w:ascii="宋体" w:hAnsi="宋体" w:eastAsia="宋体" w:cs="宋体"/>
          <w:smallCaps w:val="0"/>
          <w:color w:val="auto"/>
          <w:spacing w:val="0"/>
          <w:position w:val="0"/>
          <w:sz w:val="10"/>
          <w:szCs w:val="21"/>
          <w:highlight w:val="none"/>
          <w:lang w:val="zh-CN" w:eastAsia="zh-CN" w:bidi="zh-CN"/>
        </w:rPr>
      </w:pPr>
    </w:p>
    <w:tbl>
      <w:tblPr>
        <w:tblStyle w:val="3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425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cs="宋体"/>
                <w:b/>
                <w:bCs/>
                <w:smallCaps w:val="0"/>
                <w:color w:val="auto"/>
                <w:spacing w:val="0"/>
                <w:kern w:val="2"/>
                <w:position w:val="0"/>
                <w:sz w:val="21"/>
                <w:szCs w:val="21"/>
                <w:highlight w:val="none"/>
                <w:lang w:val="en-US" w:eastAsia="zh-CN" w:bidi="ar-SA"/>
              </w:rPr>
              <w:t>采购文件</w:t>
            </w:r>
            <w:r>
              <w:rPr>
                <w:rFonts w:hint="eastAsia" w:ascii="宋体" w:hAnsi="宋体" w:eastAsia="宋体" w:cs="宋体"/>
                <w:b/>
                <w:bCs/>
                <w:smallCaps w:val="0"/>
                <w:color w:val="auto"/>
                <w:spacing w:val="0"/>
                <w:kern w:val="2"/>
                <w:position w:val="0"/>
                <w:sz w:val="21"/>
                <w:szCs w:val="21"/>
                <w:highlight w:val="none"/>
                <w:lang w:val="en-US" w:bidi="ar-SA"/>
              </w:rPr>
              <w:t>要求</w:t>
            </w:r>
          </w:p>
        </w:tc>
        <w:tc>
          <w:tcPr>
            <w:tcW w:w="257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说明：</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1.逐项按照</w:t>
      </w:r>
      <w:r>
        <w:rPr>
          <w:rFonts w:hint="eastAsia" w:cs="宋体"/>
          <w:b w:val="0"/>
          <w:bCs w:val="0"/>
          <w:smallCaps w:val="0"/>
          <w:color w:val="auto"/>
          <w:spacing w:val="0"/>
          <w:kern w:val="2"/>
          <w:position w:val="0"/>
          <w:sz w:val="21"/>
          <w:szCs w:val="21"/>
          <w:highlight w:val="none"/>
          <w:lang w:val="en-US" w:eastAsia="zh-CN" w:bidi="ar-SA"/>
        </w:rPr>
        <w:t>采购文件</w:t>
      </w:r>
      <w:r>
        <w:rPr>
          <w:rFonts w:hint="eastAsia" w:ascii="宋体" w:hAnsi="宋体" w:eastAsia="宋体" w:cs="宋体"/>
          <w:b w:val="0"/>
          <w:bCs w:val="0"/>
          <w:smallCaps w:val="0"/>
          <w:color w:val="auto"/>
          <w:spacing w:val="0"/>
          <w:kern w:val="2"/>
          <w:position w:val="0"/>
          <w:sz w:val="21"/>
          <w:szCs w:val="21"/>
          <w:highlight w:val="none"/>
          <w:lang w:val="en-US" w:bidi="ar-SA"/>
        </w:rPr>
        <w:t>要求填写响应规格；</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2.偏离说明是指对</w:t>
      </w:r>
      <w:r>
        <w:rPr>
          <w:rFonts w:hint="eastAsia" w:cs="宋体"/>
          <w:b w:val="0"/>
          <w:bCs w:val="0"/>
          <w:smallCaps w:val="0"/>
          <w:color w:val="auto"/>
          <w:spacing w:val="0"/>
          <w:kern w:val="2"/>
          <w:position w:val="0"/>
          <w:sz w:val="21"/>
          <w:szCs w:val="21"/>
          <w:highlight w:val="none"/>
          <w:lang w:val="en-US" w:eastAsia="zh-CN" w:bidi="ar-SA"/>
        </w:rPr>
        <w:t>采购文件</w:t>
      </w:r>
      <w:r>
        <w:rPr>
          <w:rFonts w:hint="eastAsia" w:ascii="宋体" w:hAnsi="宋体" w:eastAsia="宋体" w:cs="宋体"/>
          <w:b w:val="0"/>
          <w:bCs w:val="0"/>
          <w:smallCaps w:val="0"/>
          <w:color w:val="auto"/>
          <w:spacing w:val="0"/>
          <w:kern w:val="2"/>
          <w:position w:val="0"/>
          <w:sz w:val="21"/>
          <w:szCs w:val="21"/>
          <w:highlight w:val="none"/>
          <w:lang w:val="en-US" w:bidi="ar-SA"/>
        </w:rPr>
        <w:t>要求存在不同之处的解释说明。偏离系指：正偏离（高于采购需求）、负偏离（低于采购需求）、无偏离（满足采购需求）；</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3</w:t>
      </w:r>
      <w:r>
        <w:rPr>
          <w:rFonts w:hint="eastAsia" w:ascii="宋体" w:hAnsi="宋体" w:eastAsia="宋体" w:cs="宋体"/>
          <w:b w:val="0"/>
          <w:bCs w:val="0"/>
          <w:smallCaps w:val="0"/>
          <w:color w:val="auto"/>
          <w:spacing w:val="0"/>
          <w:kern w:val="2"/>
          <w:position w:val="0"/>
          <w:sz w:val="21"/>
          <w:szCs w:val="21"/>
          <w:highlight w:val="none"/>
          <w:lang w:val="en-US" w:bidi="ar-SA"/>
        </w:rPr>
        <w:t>、对</w:t>
      </w:r>
      <w:r>
        <w:rPr>
          <w:rFonts w:hint="eastAsia" w:cs="宋体"/>
          <w:b w:val="0"/>
          <w:bCs w:val="0"/>
          <w:smallCaps w:val="0"/>
          <w:color w:val="auto"/>
          <w:spacing w:val="0"/>
          <w:kern w:val="2"/>
          <w:position w:val="0"/>
          <w:sz w:val="21"/>
          <w:szCs w:val="21"/>
          <w:highlight w:val="none"/>
          <w:lang w:val="en-US" w:eastAsia="zh-CN" w:bidi="ar-SA"/>
        </w:rPr>
        <w:t>采购文件</w:t>
      </w:r>
      <w:r>
        <w:rPr>
          <w:rFonts w:hint="eastAsia" w:ascii="宋体" w:hAnsi="宋体" w:eastAsia="宋体" w:cs="宋体"/>
          <w:b w:val="0"/>
          <w:bCs w:val="0"/>
          <w:smallCaps w:val="0"/>
          <w:color w:val="auto"/>
          <w:spacing w:val="0"/>
          <w:kern w:val="2"/>
          <w:position w:val="0"/>
          <w:sz w:val="21"/>
          <w:szCs w:val="21"/>
          <w:highlight w:val="none"/>
          <w:lang w:val="en-US" w:bidi="ar-SA"/>
        </w:rPr>
        <w:t>有任何偏离应列明，并标明“其他无偏离”；</w:t>
      </w:r>
    </w:p>
    <w:p>
      <w:pPr>
        <w:autoSpaceDE/>
        <w:autoSpaceDN/>
        <w:adjustRightInd w:val="0"/>
        <w:snapToGrid w:val="0"/>
        <w:spacing w:before="0" w:after="0" w:line="288" w:lineRule="auto"/>
        <w:ind w:left="0" w:right="0"/>
        <w:jc w:val="both"/>
        <w:outlineLvl w:val="9"/>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eastAsia="zh-CN" w:bidi="ar-SA"/>
        </w:rPr>
        <w:t>4</w:t>
      </w:r>
      <w:r>
        <w:rPr>
          <w:rFonts w:hint="eastAsia" w:ascii="宋体" w:hAnsi="宋体" w:eastAsia="宋体" w:cs="宋体"/>
          <w:b/>
          <w:bCs/>
          <w:smallCaps w:val="0"/>
          <w:color w:val="auto"/>
          <w:spacing w:val="0"/>
          <w:kern w:val="2"/>
          <w:position w:val="0"/>
          <w:sz w:val="21"/>
          <w:szCs w:val="21"/>
          <w:highlight w:val="none"/>
          <w:lang w:val="en-US" w:bidi="ar-SA"/>
        </w:rPr>
        <w:t>、对</w:t>
      </w:r>
      <w:r>
        <w:rPr>
          <w:rFonts w:hint="eastAsia" w:cs="宋体"/>
          <w:b/>
          <w:bCs/>
          <w:smallCaps w:val="0"/>
          <w:color w:val="auto"/>
          <w:spacing w:val="0"/>
          <w:kern w:val="2"/>
          <w:position w:val="0"/>
          <w:sz w:val="21"/>
          <w:szCs w:val="21"/>
          <w:highlight w:val="none"/>
          <w:lang w:val="en-US" w:eastAsia="zh-CN" w:bidi="ar-SA"/>
        </w:rPr>
        <w:t>采购文件</w:t>
      </w:r>
      <w:r>
        <w:rPr>
          <w:rFonts w:hint="eastAsia" w:ascii="宋体" w:hAnsi="宋体" w:eastAsia="宋体" w:cs="宋体"/>
          <w:b/>
          <w:bCs/>
          <w:smallCaps w:val="0"/>
          <w:color w:val="auto"/>
          <w:spacing w:val="0"/>
          <w:kern w:val="2"/>
          <w:position w:val="0"/>
          <w:sz w:val="21"/>
          <w:szCs w:val="21"/>
          <w:highlight w:val="none"/>
          <w:lang w:val="en-US" w:bidi="ar-SA"/>
        </w:rPr>
        <w:t>无偏离应标明“全部无偏离”。</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5</w:t>
      </w:r>
      <w:r>
        <w:rPr>
          <w:rFonts w:hint="eastAsia" w:ascii="宋体" w:hAnsi="宋体" w:eastAsia="宋体" w:cs="宋体"/>
          <w:b w:val="0"/>
          <w:bCs w:val="0"/>
          <w:smallCaps w:val="0"/>
          <w:color w:val="auto"/>
          <w:spacing w:val="0"/>
          <w:kern w:val="2"/>
          <w:position w:val="0"/>
          <w:sz w:val="21"/>
          <w:szCs w:val="21"/>
          <w:highlight w:val="none"/>
          <w:lang w:val="en-US" w:bidi="ar-SA"/>
        </w:rPr>
        <w:t>.如不填写或未如实填写，自行承担投标风险。</w:t>
      </w: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spacing w:before="43" w:after="0" w:line="240" w:lineRule="auto"/>
        <w:ind w:left="363" w:right="436"/>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96" w:name="_Toc15849"/>
      <w:bookmarkStart w:id="97" w:name="_Toc1324"/>
      <w:bookmarkStart w:id="98" w:name="_Toc12283"/>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4</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cs="宋体"/>
          <w:b/>
          <w:bCs/>
          <w:smallCaps w:val="0"/>
          <w:color w:val="auto"/>
          <w:spacing w:val="0"/>
          <w:position w:val="0"/>
          <w:sz w:val="28"/>
          <w:szCs w:val="28"/>
          <w:highlight w:val="none"/>
          <w:lang w:val="zh-CN" w:eastAsia="zh-CN" w:bidi="zh-CN"/>
        </w:rPr>
        <w:t>磋商保证金</w:t>
      </w:r>
      <w:r>
        <w:rPr>
          <w:rFonts w:hint="eastAsia" w:ascii="宋体" w:hAnsi="宋体" w:eastAsia="宋体" w:cs="宋体"/>
          <w:b/>
          <w:bCs/>
          <w:smallCaps w:val="0"/>
          <w:color w:val="auto"/>
          <w:spacing w:val="0"/>
          <w:position w:val="0"/>
          <w:sz w:val="28"/>
          <w:szCs w:val="28"/>
          <w:highlight w:val="none"/>
          <w:lang w:val="zh-CN" w:eastAsia="zh-CN" w:bidi="zh-CN"/>
        </w:rPr>
        <w:t>承诺函格式</w:t>
      </w:r>
      <w:r>
        <w:rPr>
          <w:rFonts w:hint="eastAsia" w:ascii="宋体" w:hAnsi="宋体" w:eastAsia="宋体" w:cs="宋体"/>
          <w:b/>
          <w:bCs/>
          <w:smallCaps w:val="0"/>
          <w:color w:val="auto"/>
          <w:spacing w:val="0"/>
          <w:position w:val="0"/>
          <w:sz w:val="28"/>
          <w:szCs w:val="28"/>
          <w:highlight w:val="none"/>
          <w:lang w:val="en-US" w:eastAsia="zh-CN" w:bidi="zh-CN"/>
        </w:rPr>
        <w:t>和退还保证金说明函</w:t>
      </w:r>
      <w:bookmarkEnd w:id="96"/>
      <w:bookmarkEnd w:id="97"/>
      <w:bookmarkEnd w:id="98"/>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cs="宋体"/>
          <w:b/>
          <w:smallCaps w:val="0"/>
          <w:color w:val="auto"/>
          <w:spacing w:val="0"/>
          <w:position w:val="0"/>
          <w:sz w:val="24"/>
          <w:szCs w:val="21"/>
          <w:highlight w:val="none"/>
          <w:lang w:val="en-US" w:eastAsia="zh-CN" w:bidi="ar-SA"/>
        </w:rPr>
        <w:t>磋商保证金</w:t>
      </w:r>
      <w:r>
        <w:rPr>
          <w:rFonts w:hint="eastAsia" w:ascii="宋体" w:hAnsi="宋体" w:eastAsia="宋体" w:cs="宋体"/>
          <w:b/>
          <w:smallCaps w:val="0"/>
          <w:color w:val="auto"/>
          <w:spacing w:val="0"/>
          <w:position w:val="0"/>
          <w:sz w:val="24"/>
          <w:szCs w:val="21"/>
          <w:highlight w:val="none"/>
          <w:lang w:val="en-US" w:eastAsia="zh-CN" w:bidi="ar-SA"/>
        </w:rPr>
        <w:t>承诺函</w:t>
      </w:r>
    </w:p>
    <w:p>
      <w:pPr>
        <w:widowControl w:val="0"/>
        <w:autoSpaceDE w:val="0"/>
        <w:autoSpaceDN w:val="0"/>
        <w:spacing w:before="8" w:after="0" w:line="240" w:lineRule="auto"/>
        <w:ind w:left="0" w:right="0"/>
        <w:jc w:val="left"/>
        <w:rPr>
          <w:rFonts w:hint="eastAsia" w:ascii="宋体" w:hAnsi="宋体" w:eastAsia="宋体" w:cs="宋体"/>
          <w:b/>
          <w:smallCaps w:val="0"/>
          <w:color w:val="auto"/>
          <w:spacing w:val="0"/>
          <w:position w:val="0"/>
          <w:sz w:val="28"/>
          <w:szCs w:val="21"/>
          <w:highlight w:val="none"/>
          <w:lang w:val="zh-CN" w:eastAsia="zh-CN" w:bidi="zh-CN"/>
        </w:rPr>
      </w:pPr>
    </w:p>
    <w:p>
      <w:pPr>
        <w:adjustRightInd w:val="0"/>
        <w:spacing w:before="154"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r>
        <w:rPr>
          <w:rFonts w:hint="eastAsia" w:ascii="宋体" w:hAnsi="宋体" w:eastAsia="宋体" w:cs="宋体"/>
          <w:b/>
          <w:smallCaps w:val="0"/>
          <w:color w:val="auto"/>
          <w:spacing w:val="0"/>
          <w:position w:val="0"/>
          <w:sz w:val="21"/>
          <w:szCs w:val="21"/>
          <w:highlight w:val="none"/>
          <w:lang w:val="en-US" w:bidi="ar-SA"/>
        </w:rPr>
        <w:t>致：</w:t>
      </w:r>
      <w:r>
        <w:rPr>
          <w:rFonts w:hint="eastAsia" w:ascii="宋体" w:hAnsi="宋体" w:eastAsia="宋体" w:cs="宋体"/>
          <w:smallCaps w:val="0"/>
          <w:color w:val="auto"/>
          <w:spacing w:val="0"/>
          <w:position w:val="0"/>
          <w:sz w:val="20"/>
          <w:szCs w:val="20"/>
          <w:highlight w:val="none"/>
          <w:u w:val="single"/>
        </w:rPr>
        <w:t>【采购代理机构】</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我方于</w:t>
      </w:r>
      <w:r>
        <w:rPr>
          <w:rFonts w:hint="eastAsia" w:ascii="宋体" w:hAnsi="宋体" w:eastAsia="宋体" w:cs="宋体"/>
          <w:smallCaps w:val="0"/>
          <w:color w:val="auto"/>
          <w:spacing w:val="0"/>
          <w:position w:val="0"/>
          <w:sz w:val="21"/>
          <w:szCs w:val="21"/>
          <w:highlight w:val="none"/>
          <w:lang w:val="en-US" w:bidi="ar-SA"/>
        </w:rPr>
        <w:tab/>
      </w:r>
      <w:r>
        <w:rPr>
          <w:rFonts w:hint="eastAsia" w:ascii="宋体" w:hAnsi="宋体" w:eastAsia="宋体" w:cs="宋体"/>
          <w:smallCaps w:val="0"/>
          <w:color w:val="auto"/>
          <w:spacing w:val="0"/>
          <w:position w:val="0"/>
          <w:sz w:val="21"/>
          <w:szCs w:val="21"/>
          <w:highlight w:val="none"/>
          <w:lang w:val="en-US" w:bidi="ar-SA"/>
        </w:rPr>
        <w:t>年</w:t>
      </w:r>
      <w:r>
        <w:rPr>
          <w:rFonts w:hint="eastAsia" w:ascii="宋体" w:hAnsi="宋体" w:eastAsia="宋体" w:cs="宋体"/>
          <w:smallCaps w:val="0"/>
          <w:color w:val="auto"/>
          <w:spacing w:val="0"/>
          <w:position w:val="0"/>
          <w:sz w:val="21"/>
          <w:szCs w:val="21"/>
          <w:highlight w:val="none"/>
          <w:u w:val="single"/>
          <w:lang w:val="en-US" w:bidi="ar-SA"/>
        </w:rPr>
        <w:tab/>
      </w:r>
      <w:r>
        <w:rPr>
          <w:rFonts w:hint="eastAsia" w:ascii="宋体" w:hAnsi="宋体" w:eastAsia="宋体" w:cs="宋体"/>
          <w:smallCaps w:val="0"/>
          <w:color w:val="auto"/>
          <w:spacing w:val="0"/>
          <w:position w:val="0"/>
          <w:sz w:val="21"/>
          <w:szCs w:val="21"/>
          <w:highlight w:val="none"/>
          <w:lang w:val="en-US" w:bidi="ar-SA"/>
        </w:rPr>
        <w:t>月</w:t>
      </w:r>
      <w:r>
        <w:rPr>
          <w:rFonts w:hint="eastAsia" w:ascii="宋体" w:hAnsi="宋体" w:eastAsia="宋体" w:cs="宋体"/>
          <w:smallCaps w:val="0"/>
          <w:color w:val="auto"/>
          <w:spacing w:val="0"/>
          <w:position w:val="0"/>
          <w:sz w:val="21"/>
          <w:szCs w:val="21"/>
          <w:highlight w:val="none"/>
          <w:u w:val="single"/>
          <w:lang w:val="en-US" w:bidi="ar-SA"/>
        </w:rPr>
        <w:tab/>
      </w:r>
      <w:r>
        <w:rPr>
          <w:rFonts w:hint="eastAsia" w:ascii="宋体" w:hAnsi="宋体" w:eastAsia="宋体" w:cs="宋体"/>
          <w:smallCaps w:val="0"/>
          <w:color w:val="auto"/>
          <w:spacing w:val="0"/>
          <w:position w:val="0"/>
          <w:sz w:val="21"/>
          <w:szCs w:val="21"/>
          <w:highlight w:val="none"/>
          <w:lang w:val="en-US" w:bidi="ar-SA"/>
        </w:rPr>
        <w:t>日参加</w:t>
      </w:r>
      <w:r>
        <w:rPr>
          <w:rFonts w:hint="eastAsia" w:ascii="宋体" w:hAnsi="宋体" w:eastAsia="宋体" w:cs="宋体"/>
          <w:smallCaps w:val="0"/>
          <w:color w:val="auto"/>
          <w:spacing w:val="0"/>
          <w:position w:val="0"/>
          <w:sz w:val="21"/>
          <w:szCs w:val="21"/>
          <w:highlight w:val="none"/>
          <w:u w:val="single"/>
          <w:lang w:val="en-US" w:bidi="ar-SA"/>
        </w:rPr>
        <w:tab/>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ascii="宋体" w:hAnsi="宋体" w:eastAsia="宋体" w:cs="宋体"/>
          <w:smallCaps w:val="0"/>
          <w:color w:val="auto"/>
          <w:spacing w:val="0"/>
          <w:position w:val="0"/>
          <w:sz w:val="21"/>
          <w:szCs w:val="21"/>
          <w:highlight w:val="none"/>
          <w:lang w:val="en-US" w:bidi="ar-SA"/>
        </w:rPr>
        <w:t>的</w:t>
      </w:r>
      <w:r>
        <w:rPr>
          <w:rFonts w:hint="eastAsia" w:cs="宋体"/>
          <w:smallCaps w:val="0"/>
          <w:color w:val="auto"/>
          <w:spacing w:val="0"/>
          <w:position w:val="0"/>
          <w:sz w:val="21"/>
          <w:szCs w:val="21"/>
          <w:highlight w:val="none"/>
          <w:lang w:val="en-US" w:eastAsia="zh-CN" w:bidi="ar-SA"/>
        </w:rPr>
        <w:t>磋商</w:t>
      </w:r>
      <w:r>
        <w:rPr>
          <w:rFonts w:hint="eastAsia" w:ascii="宋体" w:hAnsi="宋体" w:eastAsia="宋体" w:cs="宋体"/>
          <w:smallCaps w:val="0"/>
          <w:color w:val="auto"/>
          <w:spacing w:val="0"/>
          <w:position w:val="0"/>
          <w:sz w:val="21"/>
          <w:szCs w:val="21"/>
          <w:highlight w:val="none"/>
          <w:lang w:val="en-US" w:bidi="ar-SA"/>
        </w:rPr>
        <w:t>，现保证：我方在规定的</w:t>
      </w:r>
      <w:r>
        <w:rPr>
          <w:rFonts w:hint="eastAsia" w:cs="宋体"/>
          <w:smallCaps w:val="0"/>
          <w:color w:val="auto"/>
          <w:spacing w:val="0"/>
          <w:position w:val="0"/>
          <w:sz w:val="21"/>
          <w:szCs w:val="21"/>
          <w:highlight w:val="none"/>
          <w:lang w:val="en-US" w:eastAsia="zh-CN" w:bidi="ar-SA"/>
        </w:rPr>
        <w:t>竞标</w:t>
      </w:r>
      <w:r>
        <w:rPr>
          <w:rFonts w:hint="eastAsia" w:ascii="宋体" w:hAnsi="宋体" w:eastAsia="宋体" w:cs="宋体"/>
          <w:smallCaps w:val="0"/>
          <w:color w:val="auto"/>
          <w:spacing w:val="0"/>
          <w:position w:val="0"/>
          <w:sz w:val="21"/>
          <w:szCs w:val="21"/>
          <w:highlight w:val="none"/>
          <w:lang w:val="en-US" w:bidi="ar-SA"/>
        </w:rPr>
        <w:t>有效期内撤销或修改</w:t>
      </w:r>
      <w:r>
        <w:rPr>
          <w:rFonts w:hint="eastAsia" w:cs="宋体"/>
          <w:smallCaps w:val="0"/>
          <w:color w:val="auto"/>
          <w:spacing w:val="0"/>
          <w:position w:val="0"/>
          <w:sz w:val="21"/>
          <w:szCs w:val="21"/>
          <w:highlight w:val="none"/>
          <w:lang w:val="en-US" w:eastAsia="zh-CN" w:bidi="ar-SA"/>
        </w:rPr>
        <w:t>响应文件</w:t>
      </w:r>
      <w:r>
        <w:rPr>
          <w:rFonts w:hint="eastAsia" w:ascii="宋体" w:hAnsi="宋体" w:eastAsia="宋体" w:cs="宋体"/>
          <w:smallCaps w:val="0"/>
          <w:color w:val="auto"/>
          <w:spacing w:val="0"/>
          <w:position w:val="0"/>
          <w:sz w:val="21"/>
          <w:szCs w:val="21"/>
          <w:highlight w:val="none"/>
          <w:lang w:val="en-US" w:bidi="ar-SA"/>
        </w:rPr>
        <w:t>的，或者在收到</w:t>
      </w:r>
      <w:r>
        <w:rPr>
          <w:rFonts w:hint="eastAsia" w:cs="宋体"/>
          <w:smallCaps w:val="0"/>
          <w:color w:val="auto"/>
          <w:spacing w:val="0"/>
          <w:position w:val="0"/>
          <w:sz w:val="21"/>
          <w:szCs w:val="21"/>
          <w:highlight w:val="none"/>
          <w:lang w:val="en-US" w:eastAsia="zh-CN" w:bidi="ar-SA"/>
        </w:rPr>
        <w:t>成交</w:t>
      </w:r>
      <w:r>
        <w:rPr>
          <w:rFonts w:hint="eastAsia" w:ascii="宋体" w:hAnsi="宋体" w:eastAsia="宋体" w:cs="宋体"/>
          <w:smallCaps w:val="0"/>
          <w:color w:val="auto"/>
          <w:spacing w:val="0"/>
          <w:position w:val="0"/>
          <w:sz w:val="21"/>
          <w:szCs w:val="21"/>
          <w:highlight w:val="none"/>
          <w:lang w:val="en-US" w:bidi="ar-SA"/>
        </w:rPr>
        <w:t>通知书后无正当理由拒签合同或拒交规定履约担保的，</w:t>
      </w:r>
      <w:r>
        <w:rPr>
          <w:rFonts w:hint="eastAsia" w:cs="宋体"/>
          <w:smallCaps w:val="0"/>
          <w:color w:val="auto"/>
          <w:spacing w:val="0"/>
          <w:position w:val="0"/>
          <w:sz w:val="21"/>
          <w:szCs w:val="21"/>
          <w:highlight w:val="none"/>
          <w:lang w:val="en-US" w:eastAsia="zh-CN" w:bidi="ar-SA"/>
        </w:rPr>
        <w:t>磋商保证金</w:t>
      </w:r>
      <w:r>
        <w:rPr>
          <w:rFonts w:hint="eastAsia" w:ascii="宋体" w:hAnsi="宋体" w:eastAsia="宋体" w:cs="宋体"/>
          <w:smallCaps w:val="0"/>
          <w:color w:val="auto"/>
          <w:spacing w:val="0"/>
          <w:position w:val="0"/>
          <w:sz w:val="21"/>
          <w:szCs w:val="21"/>
          <w:highlight w:val="none"/>
          <w:lang w:val="en-US" w:bidi="ar-SA"/>
        </w:rPr>
        <w:t>不予退还。</w:t>
      </w:r>
    </w:p>
    <w:p>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adjustRightInd w:val="0"/>
        <w:spacing w:before="154" w:after="0" w:line="480" w:lineRule="exact"/>
        <w:ind w:left="0" w:right="0"/>
        <w:jc w:val="center"/>
        <w:rPr>
          <w:rFonts w:hint="eastAsia" w:ascii="宋体" w:hAnsi="宋体" w:eastAsia="宋体" w:cs="宋体"/>
          <w:b/>
          <w:smallCaps w:val="0"/>
          <w:color w:val="auto"/>
          <w:spacing w:val="0"/>
          <w:position w:val="0"/>
          <w:sz w:val="21"/>
          <w:szCs w:val="21"/>
          <w:highlight w:val="none"/>
          <w:lang w:val="en-US" w:bidi="ar-SA"/>
        </w:rPr>
      </w:pPr>
      <w:r>
        <w:rPr>
          <w:rFonts w:hint="eastAsia" w:ascii="宋体" w:hAnsi="宋体" w:eastAsia="宋体" w:cs="宋体"/>
          <w:b/>
          <w:smallCaps w:val="0"/>
          <w:color w:val="auto"/>
          <w:spacing w:val="0"/>
          <w:position w:val="0"/>
          <w:sz w:val="21"/>
          <w:szCs w:val="21"/>
          <w:highlight w:val="none"/>
          <w:lang w:val="en-US" w:bidi="ar-SA"/>
        </w:rPr>
        <w:t>缴费回单（复印件应附在</w:t>
      </w:r>
      <w:r>
        <w:rPr>
          <w:rFonts w:hint="eastAsia" w:cs="宋体"/>
          <w:b/>
          <w:smallCaps w:val="0"/>
          <w:color w:val="auto"/>
          <w:spacing w:val="0"/>
          <w:position w:val="0"/>
          <w:sz w:val="21"/>
          <w:szCs w:val="21"/>
          <w:highlight w:val="none"/>
          <w:lang w:val="en-US" w:eastAsia="zh-CN" w:bidi="ar-SA"/>
        </w:rPr>
        <w:t>响应文件</w:t>
      </w:r>
      <w:r>
        <w:rPr>
          <w:rFonts w:hint="eastAsia" w:ascii="宋体" w:hAnsi="宋体" w:eastAsia="宋体" w:cs="宋体"/>
          <w:b/>
          <w:smallCaps w:val="0"/>
          <w:color w:val="auto"/>
          <w:spacing w:val="0"/>
          <w:position w:val="0"/>
          <w:sz w:val="21"/>
          <w:szCs w:val="21"/>
          <w:highlight w:val="none"/>
          <w:lang w:val="en-US" w:bidi="ar-SA"/>
        </w:rPr>
        <w:t>中）</w:t>
      </w:r>
    </w:p>
    <w:p>
      <w:pPr>
        <w:adjustRightInd w:val="0"/>
        <w:spacing w:before="154" w:after="0" w:line="480" w:lineRule="exact"/>
        <w:ind w:left="0" w:right="0"/>
        <w:jc w:val="left"/>
        <w:rPr>
          <w:rFonts w:hint="eastAsia" w:ascii="宋体" w:hAnsi="宋体" w:eastAsia="宋体" w:cs="宋体"/>
          <w:b/>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2" w:firstLineChars="200"/>
        <w:jc w:val="left"/>
        <w:rPr>
          <w:rFonts w:hint="eastAsia" w:ascii="宋体" w:hAnsi="宋体" w:eastAsia="宋体" w:cs="宋体"/>
          <w:b/>
          <w:bCs/>
          <w:smallCaps w:val="0"/>
          <w:color w:val="auto"/>
          <w:spacing w:val="0"/>
          <w:position w:val="0"/>
          <w:sz w:val="21"/>
          <w:szCs w:val="21"/>
          <w:highlight w:val="none"/>
          <w:lang w:val="en-US" w:eastAsia="zh-CN" w:bidi="ar-SA"/>
        </w:rPr>
      </w:pPr>
      <w:r>
        <w:rPr>
          <w:rFonts w:hint="eastAsia" w:ascii="宋体" w:hAnsi="宋体" w:eastAsia="宋体" w:cs="宋体"/>
          <w:b/>
          <w:bCs/>
          <w:smallCaps w:val="0"/>
          <w:color w:val="auto"/>
          <w:spacing w:val="0"/>
          <w:position w:val="0"/>
          <w:sz w:val="21"/>
          <w:szCs w:val="21"/>
          <w:highlight w:val="none"/>
          <w:lang w:val="en-US" w:eastAsia="zh-CN" w:bidi="ar-SA"/>
        </w:rPr>
        <w:t>★备注：</w:t>
      </w:r>
      <w:r>
        <w:rPr>
          <w:rFonts w:hint="eastAsia" w:cs="宋体"/>
          <w:b/>
          <w:bCs/>
          <w:smallCaps w:val="0"/>
          <w:color w:val="auto"/>
          <w:spacing w:val="0"/>
          <w:position w:val="0"/>
          <w:sz w:val="21"/>
          <w:szCs w:val="21"/>
          <w:highlight w:val="none"/>
          <w:lang w:val="en-US" w:eastAsia="zh-CN" w:bidi="ar-SA"/>
        </w:rPr>
        <w:t>磋商保证金</w:t>
      </w:r>
      <w:r>
        <w:rPr>
          <w:rFonts w:hint="eastAsia" w:ascii="宋体" w:hAnsi="宋体" w:eastAsia="宋体" w:cs="宋体"/>
          <w:b/>
          <w:bCs/>
          <w:smallCaps w:val="0"/>
          <w:color w:val="auto"/>
          <w:spacing w:val="0"/>
          <w:position w:val="0"/>
          <w:sz w:val="21"/>
          <w:szCs w:val="21"/>
          <w:highlight w:val="none"/>
          <w:lang w:val="en-US" w:eastAsia="zh-CN" w:bidi="ar-SA"/>
        </w:rPr>
        <w:t>缴费回单复印件加盖公章</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说明：</w:t>
      </w:r>
      <w:r>
        <w:rPr>
          <w:rFonts w:hint="eastAsia" w:cs="宋体"/>
          <w:smallCaps w:val="0"/>
          <w:color w:val="auto"/>
          <w:spacing w:val="0"/>
          <w:position w:val="0"/>
          <w:sz w:val="21"/>
          <w:szCs w:val="21"/>
          <w:highlight w:val="none"/>
          <w:lang w:val="en-US" w:eastAsia="zh-CN" w:bidi="ar-SA"/>
        </w:rPr>
        <w:t>磋商保证金</w:t>
      </w:r>
      <w:r>
        <w:rPr>
          <w:rFonts w:hint="eastAsia" w:ascii="宋体" w:hAnsi="宋体" w:eastAsia="宋体" w:cs="宋体"/>
          <w:smallCaps w:val="0"/>
          <w:color w:val="auto"/>
          <w:spacing w:val="0"/>
          <w:position w:val="0"/>
          <w:sz w:val="21"/>
          <w:szCs w:val="21"/>
          <w:highlight w:val="none"/>
          <w:lang w:val="en-US" w:eastAsia="zh-CN" w:bidi="ar-SA"/>
        </w:rPr>
        <w:t>提交方式为银行电汇或其他方式缴纳，电汇须从</w:t>
      </w: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基本账户转出，</w:t>
      </w:r>
      <w:r>
        <w:rPr>
          <w:rFonts w:hint="eastAsia" w:cs="宋体"/>
          <w:smallCaps w:val="0"/>
          <w:color w:val="auto"/>
          <w:spacing w:val="0"/>
          <w:position w:val="0"/>
          <w:sz w:val="21"/>
          <w:szCs w:val="21"/>
          <w:highlight w:val="none"/>
          <w:lang w:val="en-US" w:eastAsia="zh-CN" w:bidi="ar-SA"/>
        </w:rPr>
        <w:t>磋商保证金</w:t>
      </w:r>
      <w:r>
        <w:rPr>
          <w:rFonts w:hint="eastAsia" w:ascii="宋体" w:hAnsi="宋体" w:eastAsia="宋体" w:cs="宋体"/>
          <w:smallCaps w:val="0"/>
          <w:color w:val="auto"/>
          <w:spacing w:val="0"/>
          <w:position w:val="0"/>
          <w:sz w:val="21"/>
          <w:szCs w:val="21"/>
          <w:highlight w:val="none"/>
          <w:lang w:val="en-US" w:eastAsia="zh-CN" w:bidi="ar-SA"/>
        </w:rPr>
        <w:t>必须在</w:t>
      </w:r>
      <w:r>
        <w:rPr>
          <w:rFonts w:hint="eastAsia" w:cs="宋体"/>
          <w:smallCaps w:val="0"/>
          <w:color w:val="auto"/>
          <w:spacing w:val="0"/>
          <w:position w:val="0"/>
          <w:sz w:val="21"/>
          <w:szCs w:val="21"/>
          <w:highlight w:val="none"/>
          <w:lang w:val="en-US" w:eastAsia="zh-CN" w:bidi="ar-SA"/>
        </w:rPr>
        <w:t>递交响应文件</w:t>
      </w:r>
      <w:r>
        <w:rPr>
          <w:rFonts w:hint="eastAsia" w:ascii="宋体" w:hAnsi="宋体" w:eastAsia="宋体" w:cs="宋体"/>
          <w:smallCaps w:val="0"/>
          <w:color w:val="auto"/>
          <w:spacing w:val="0"/>
          <w:position w:val="0"/>
          <w:sz w:val="21"/>
          <w:szCs w:val="21"/>
          <w:highlight w:val="none"/>
          <w:lang w:val="en-US" w:eastAsia="zh-CN" w:bidi="ar-SA"/>
        </w:rPr>
        <w:t>截止时间前到指定的账户，并在汇款单上注明所投项目名称。未领取</w:t>
      </w:r>
      <w:r>
        <w:rPr>
          <w:rFonts w:hint="eastAsia" w:cs="宋体"/>
          <w:smallCaps w:val="0"/>
          <w:color w:val="auto"/>
          <w:spacing w:val="0"/>
          <w:position w:val="0"/>
          <w:sz w:val="21"/>
          <w:szCs w:val="21"/>
          <w:highlight w:val="none"/>
          <w:lang w:val="en-US" w:eastAsia="zh-CN" w:bidi="ar-SA"/>
        </w:rPr>
        <w:t>采购文件</w:t>
      </w:r>
      <w:r>
        <w:rPr>
          <w:rFonts w:hint="eastAsia" w:ascii="宋体" w:hAnsi="宋体" w:eastAsia="宋体" w:cs="宋体"/>
          <w:smallCaps w:val="0"/>
          <w:color w:val="auto"/>
          <w:spacing w:val="0"/>
          <w:position w:val="0"/>
          <w:sz w:val="21"/>
          <w:szCs w:val="21"/>
          <w:highlight w:val="none"/>
          <w:lang w:val="en-US" w:eastAsia="zh-CN" w:bidi="ar-SA"/>
        </w:rPr>
        <w:t>、缴纳保证金的</w:t>
      </w: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不得参与</w:t>
      </w:r>
      <w:r>
        <w:rPr>
          <w:rFonts w:hint="eastAsia" w:cs="宋体"/>
          <w:smallCaps w:val="0"/>
          <w:color w:val="auto"/>
          <w:spacing w:val="0"/>
          <w:position w:val="0"/>
          <w:sz w:val="21"/>
          <w:szCs w:val="21"/>
          <w:highlight w:val="none"/>
          <w:lang w:val="en-US" w:eastAsia="zh-CN" w:bidi="ar-SA"/>
        </w:rPr>
        <w:t>磋商</w:t>
      </w:r>
      <w:r>
        <w:rPr>
          <w:rFonts w:hint="eastAsia" w:ascii="宋体" w:hAnsi="宋体" w:eastAsia="宋体" w:cs="宋体"/>
          <w:smallCaps w:val="0"/>
          <w:color w:val="auto"/>
          <w:spacing w:val="0"/>
          <w:position w:val="0"/>
          <w:sz w:val="21"/>
          <w:szCs w:val="21"/>
          <w:highlight w:val="none"/>
          <w:lang w:val="en-US" w:eastAsia="zh-CN" w:bidi="ar-SA"/>
        </w:rPr>
        <w:t>，</w:t>
      </w:r>
      <w:r>
        <w:rPr>
          <w:rFonts w:hint="eastAsia" w:cs="宋体"/>
          <w:smallCaps w:val="0"/>
          <w:color w:val="auto"/>
          <w:spacing w:val="0"/>
          <w:position w:val="0"/>
          <w:sz w:val="21"/>
          <w:szCs w:val="21"/>
          <w:highlight w:val="none"/>
          <w:lang w:val="en-US" w:eastAsia="zh-CN" w:bidi="ar-SA"/>
        </w:rPr>
        <w:t>磋商保证金</w:t>
      </w:r>
      <w:r>
        <w:rPr>
          <w:rFonts w:hint="eastAsia" w:ascii="宋体" w:hAnsi="宋体" w:eastAsia="宋体" w:cs="宋体"/>
          <w:smallCaps w:val="0"/>
          <w:color w:val="auto"/>
          <w:spacing w:val="0"/>
          <w:position w:val="0"/>
          <w:sz w:val="21"/>
          <w:szCs w:val="21"/>
          <w:highlight w:val="none"/>
          <w:lang w:val="en-US" w:eastAsia="zh-CN" w:bidi="ar-SA"/>
        </w:rPr>
        <w:t>以其他方式递交未按规定时间到账的，由</w:t>
      </w: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自行承担。</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退还保证金说明函</w:t>
      </w:r>
    </w:p>
    <w:p>
      <w:pPr>
        <w:adjustRightInd w:val="0"/>
        <w:spacing w:before="0" w:after="0" w:line="480" w:lineRule="exact"/>
        <w:ind w:left="118" w:right="0"/>
        <w:jc w:val="left"/>
        <w:rPr>
          <w:rFonts w:hint="eastAsia" w:ascii="宋体" w:hAnsi="宋体" w:eastAsia="宋体" w:cs="宋体"/>
          <w:bCs/>
          <w:smallCaps w:val="0"/>
          <w:color w:val="auto"/>
          <w:spacing w:val="0"/>
          <w:position w:val="0"/>
          <w:sz w:val="21"/>
          <w:szCs w:val="21"/>
          <w:highlight w:val="none"/>
          <w:lang w:val="en-US" w:bidi="ar-SA"/>
        </w:rPr>
      </w:pPr>
      <w:r>
        <w:rPr>
          <w:rFonts w:hint="eastAsia" w:ascii="宋体" w:hAnsi="宋体" w:eastAsia="宋体" w:cs="宋体"/>
          <w:bCs/>
          <w:smallCaps w:val="0"/>
          <w:color w:val="auto"/>
          <w:spacing w:val="0"/>
          <w:position w:val="0"/>
          <w:sz w:val="21"/>
          <w:szCs w:val="21"/>
          <w:highlight w:val="none"/>
          <w:lang w:val="en-US" w:bidi="ar-SA"/>
        </w:rPr>
        <w:t>致：</w:t>
      </w:r>
      <w:r>
        <w:rPr>
          <w:rFonts w:hint="eastAsia" w:ascii="宋体" w:hAnsi="宋体" w:eastAsia="宋体" w:cs="宋体"/>
          <w:smallCaps w:val="0"/>
          <w:color w:val="auto"/>
          <w:spacing w:val="0"/>
          <w:position w:val="0"/>
          <w:sz w:val="20"/>
          <w:szCs w:val="20"/>
          <w:highlight w:val="none"/>
          <w:u w:val="single"/>
        </w:rPr>
        <w:t>【采购代理机构】</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我单位已按项目（项目号：）的</w:t>
      </w:r>
      <w:r>
        <w:rPr>
          <w:rFonts w:hint="eastAsia" w:cs="宋体"/>
          <w:smallCaps w:val="0"/>
          <w:color w:val="auto"/>
          <w:spacing w:val="0"/>
          <w:position w:val="0"/>
          <w:sz w:val="21"/>
          <w:szCs w:val="21"/>
          <w:highlight w:val="none"/>
          <w:lang w:val="en-US" w:eastAsia="zh-CN" w:bidi="ar-SA"/>
        </w:rPr>
        <w:t>采购文件</w:t>
      </w:r>
      <w:r>
        <w:rPr>
          <w:rFonts w:hint="eastAsia" w:ascii="宋体" w:hAnsi="宋体" w:eastAsia="宋体" w:cs="宋体"/>
          <w:smallCaps w:val="0"/>
          <w:color w:val="auto"/>
          <w:spacing w:val="0"/>
          <w:position w:val="0"/>
          <w:sz w:val="21"/>
          <w:szCs w:val="21"/>
          <w:highlight w:val="none"/>
          <w:lang w:val="en-US" w:bidi="ar-SA"/>
        </w:rPr>
        <w:t>要求，提交的报价保证金（</w:t>
      </w:r>
      <w:r>
        <w:rPr>
          <w:rFonts w:hint="eastAsia" w:ascii="宋体" w:hAnsi="宋体" w:eastAsia="宋体" w:cs="宋体"/>
          <w:smallCaps w:val="0"/>
          <w:color w:val="auto"/>
          <w:spacing w:val="0"/>
          <w:position w:val="0"/>
          <w:sz w:val="21"/>
          <w:szCs w:val="21"/>
          <w:highlight w:val="none"/>
          <w:u w:val="single"/>
          <w:lang w:val="en-US" w:bidi="ar-SA"/>
        </w:rPr>
        <w:t>大写金额</w:t>
      </w:r>
      <w:r>
        <w:rPr>
          <w:rFonts w:hint="eastAsia" w:ascii="宋体" w:hAnsi="宋体" w:eastAsia="宋体" w:cs="宋体"/>
          <w:smallCaps w:val="0"/>
          <w:color w:val="auto"/>
          <w:spacing w:val="0"/>
          <w:position w:val="0"/>
          <w:sz w:val="21"/>
          <w:szCs w:val="21"/>
          <w:highlight w:val="none"/>
          <w:lang w:val="en-US" w:bidi="ar-SA"/>
        </w:rPr>
        <w:t>）元，请贵公司退还时划到以下账户：</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收款单位：</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收款单位地址：</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开户银行：</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cs="宋体"/>
          <w:smallCaps w:val="0"/>
          <w:color w:val="auto"/>
          <w:spacing w:val="0"/>
          <w:position w:val="0"/>
          <w:sz w:val="21"/>
          <w:szCs w:val="21"/>
          <w:highlight w:val="none"/>
          <w:lang w:val="en-US" w:eastAsia="zh-CN" w:bidi="ar-SA"/>
        </w:rPr>
        <w:t>账号</w:t>
      </w:r>
      <w:r>
        <w:rPr>
          <w:rFonts w:hint="eastAsia" w:ascii="宋体" w:hAnsi="宋体" w:eastAsia="宋体" w:cs="宋体"/>
          <w:smallCaps w:val="0"/>
          <w:color w:val="auto"/>
          <w:spacing w:val="0"/>
          <w:position w:val="0"/>
          <w:sz w:val="21"/>
          <w:szCs w:val="21"/>
          <w:highlight w:val="none"/>
          <w:lang w:val="en-US" w:bidi="ar-SA"/>
        </w:rPr>
        <w:t>：</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联系人：</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联系电话：</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行号：</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（联系人和电话请填写财务人员，以便我公司财务人员核实退还保证金账户正确性）</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pPr>
        <w:widowControl w:val="0"/>
        <w:tabs>
          <w:tab w:val="left" w:pos="1204"/>
        </w:tabs>
        <w:autoSpaceDE w:val="0"/>
        <w:autoSpaceDN w:val="0"/>
        <w:spacing w:before="43" w:after="0" w:line="240" w:lineRule="auto"/>
        <w:ind w:left="0"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99" w:name="_bookmark115"/>
      <w:bookmarkEnd w:id="99"/>
      <w:bookmarkStart w:id="100" w:name="_Toc3319"/>
      <w:bookmarkStart w:id="101" w:name="_Toc8605"/>
      <w:bookmarkStart w:id="102" w:name="_Toc29621"/>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 xml:space="preserve">5 </w:t>
      </w:r>
      <w:r>
        <w:rPr>
          <w:rFonts w:hint="eastAsia" w:ascii="宋体" w:hAnsi="宋体" w:eastAsia="宋体" w:cs="宋体"/>
          <w:b/>
          <w:bCs/>
          <w:smallCaps w:val="0"/>
          <w:color w:val="auto"/>
          <w:spacing w:val="0"/>
          <w:position w:val="0"/>
          <w:sz w:val="28"/>
          <w:szCs w:val="28"/>
          <w:highlight w:val="none"/>
          <w:lang w:val="zh-CN" w:eastAsia="zh-CN" w:bidi="zh-CN"/>
        </w:rPr>
        <w:t>代理服务费承诺函格式</w:t>
      </w:r>
      <w:bookmarkEnd w:id="100"/>
      <w:bookmarkEnd w:id="101"/>
      <w:bookmarkEnd w:id="102"/>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代理服务费承诺函</w:t>
      </w:r>
    </w:p>
    <w:p>
      <w:pPr>
        <w:widowControl w:val="0"/>
        <w:autoSpaceDE w:val="0"/>
        <w:autoSpaceDN w:val="0"/>
        <w:spacing w:before="2" w:after="0" w:line="240" w:lineRule="auto"/>
        <w:ind w:left="0" w:right="0"/>
        <w:jc w:val="left"/>
        <w:rPr>
          <w:rFonts w:hint="eastAsia" w:ascii="宋体" w:hAnsi="宋体" w:eastAsia="宋体" w:cs="宋体"/>
          <w:b/>
          <w:smallCaps w:val="0"/>
          <w:color w:val="auto"/>
          <w:spacing w:val="0"/>
          <w:position w:val="0"/>
          <w:sz w:val="28"/>
          <w:szCs w:val="21"/>
          <w:highlight w:val="none"/>
          <w:lang w:val="zh-CN" w:eastAsia="zh-CN" w:bidi="zh-CN"/>
        </w:rPr>
      </w:pPr>
    </w:p>
    <w:p>
      <w:pPr>
        <w:widowControl w:val="0"/>
        <w:autoSpaceDE w:val="0"/>
        <w:autoSpaceDN w:val="0"/>
        <w:spacing w:before="1" w:after="0" w:line="240" w:lineRule="auto"/>
        <w:ind w:left="363" w:right="7206"/>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lang w:val="zh-CN" w:eastAsia="zh-CN" w:bidi="zh-CN"/>
        </w:rPr>
        <w:t>：</w:t>
      </w:r>
    </w:p>
    <w:p>
      <w:pPr>
        <w:widowControl w:val="0"/>
        <w:autoSpaceDE w:val="0"/>
        <w:autoSpaceDN w:val="0"/>
        <w:spacing w:before="9" w:after="0" w:line="304" w:lineRule="auto"/>
        <w:ind w:left="400" w:right="474" w:firstLine="479"/>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我司在贵公司组织的</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【项目名称】  </w:t>
      </w:r>
      <w:r>
        <w:rPr>
          <w:rFonts w:hint="eastAsia" w:ascii="宋体" w:hAnsi="宋体" w:eastAsia="宋体" w:cs="宋体"/>
          <w:smallCaps w:val="0"/>
          <w:color w:val="auto"/>
          <w:spacing w:val="0"/>
          <w:position w:val="0"/>
          <w:sz w:val="21"/>
          <w:szCs w:val="21"/>
          <w:highlight w:val="none"/>
          <w:lang w:val="zh-CN" w:eastAsia="zh-CN" w:bidi="zh-CN"/>
        </w:rPr>
        <w:t>项目（项目编号：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【项目编号】</w:t>
      </w:r>
      <w:r>
        <w:rPr>
          <w:rFonts w:hint="eastAsia" w:ascii="宋体" w:hAnsi="宋体" w:eastAsia="宋体" w:cs="宋体"/>
          <w:smallCaps w:val="0"/>
          <w:color w:val="auto"/>
          <w:spacing w:val="0"/>
          <w:position w:val="0"/>
          <w:sz w:val="21"/>
          <w:szCs w:val="21"/>
          <w:highlight w:val="none"/>
          <w:lang w:val="zh-CN" w:eastAsia="zh-CN" w:bidi="zh-CN"/>
        </w:rPr>
        <w:t>_）招标中若获成交，我司保证在接到成交通知后三日内按采购文件的规定，以电汇形式向</w:t>
      </w:r>
      <w:r>
        <w:rPr>
          <w:rFonts w:hint="eastAsia" w:ascii="宋体" w:hAnsi="宋体" w:eastAsia="宋体" w:cs="宋体"/>
          <w:smallCaps w:val="0"/>
          <w:color w:val="auto"/>
          <w:spacing w:val="0"/>
          <w:position w:val="0"/>
          <w:sz w:val="21"/>
          <w:szCs w:val="21"/>
          <w:highlight w:val="none"/>
          <w:lang w:val="en-US" w:eastAsia="zh-CN" w:bidi="zh-CN"/>
        </w:rPr>
        <w:t>招标代理机构指定</w:t>
      </w:r>
      <w:r>
        <w:rPr>
          <w:rFonts w:hint="eastAsia" w:ascii="宋体" w:hAnsi="宋体" w:eastAsia="宋体" w:cs="宋体"/>
          <w:smallCaps w:val="0"/>
          <w:color w:val="auto"/>
          <w:spacing w:val="0"/>
          <w:position w:val="0"/>
          <w:sz w:val="21"/>
          <w:szCs w:val="21"/>
          <w:highlight w:val="none"/>
          <w:lang w:val="zh-CN" w:eastAsia="zh-CN" w:bidi="zh-CN"/>
        </w:rPr>
        <w:t>账户支付服务费（成交人须按供应商须知规定的标准向采购代理机构支付</w:t>
      </w:r>
      <w:r>
        <w:rPr>
          <w:rFonts w:hint="eastAsia" w:ascii="宋体" w:hAnsi="宋体" w:eastAsia="宋体" w:cs="宋体"/>
          <w:smallCaps w:val="0"/>
          <w:color w:val="auto"/>
          <w:spacing w:val="0"/>
          <w:position w:val="0"/>
          <w:sz w:val="21"/>
          <w:szCs w:val="21"/>
          <w:highlight w:val="none"/>
          <w:lang w:val="en-US" w:eastAsia="zh-CN" w:bidi="zh-CN"/>
        </w:rPr>
        <w:t>采购</w:t>
      </w:r>
      <w:r>
        <w:rPr>
          <w:rFonts w:hint="eastAsia" w:ascii="宋体" w:hAnsi="宋体" w:eastAsia="宋体" w:cs="宋体"/>
          <w:smallCaps w:val="0"/>
          <w:color w:val="auto"/>
          <w:spacing w:val="0"/>
          <w:position w:val="0"/>
          <w:sz w:val="21"/>
          <w:szCs w:val="21"/>
          <w:highlight w:val="none"/>
          <w:lang w:val="zh-CN" w:eastAsia="zh-CN" w:bidi="zh-CN"/>
        </w:rPr>
        <w:t>代理服务费）。由此产生的一切法律后果和责任由我司承担，我司声明放弃对此提出任何异议和追索的权利。</w:t>
      </w:r>
    </w:p>
    <w:p>
      <w:pPr>
        <w:widowControl w:val="0"/>
        <w:autoSpaceDE w:val="0"/>
        <w:autoSpaceDN w:val="0"/>
        <w:spacing w:before="0" w:after="0" w:line="302" w:lineRule="exact"/>
        <w:ind w:left="363" w:right="7206"/>
        <w:jc w:val="center"/>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特此承诺！</w:t>
      </w:r>
    </w:p>
    <w:p>
      <w:pPr>
        <w:widowControl w:val="0"/>
        <w:autoSpaceDE w:val="0"/>
        <w:autoSpaceDN w:val="0"/>
        <w:spacing w:before="10" w:after="0" w:line="240" w:lineRule="auto"/>
        <w:ind w:left="0" w:right="0"/>
        <w:jc w:val="left"/>
        <w:rPr>
          <w:rFonts w:hint="eastAsia" w:ascii="宋体" w:hAnsi="宋体" w:eastAsia="宋体" w:cs="宋体"/>
          <w:smallCaps w:val="0"/>
          <w:color w:val="auto"/>
          <w:spacing w:val="0"/>
          <w:position w:val="0"/>
          <w:sz w:val="24"/>
          <w:szCs w:val="21"/>
          <w:highlight w:val="none"/>
          <w:lang w:val="zh-CN" w:eastAsia="zh-CN" w:bidi="zh-CN"/>
        </w:rPr>
      </w:pPr>
    </w:p>
    <w:p>
      <w:pPr>
        <w:widowControl w:val="0"/>
        <w:tabs>
          <w:tab w:val="left" w:pos="6575"/>
          <w:tab w:val="left" w:pos="7176"/>
        </w:tabs>
        <w:autoSpaceDE w:val="0"/>
        <w:autoSpaceDN w:val="0"/>
        <w:spacing w:before="1" w:after="0" w:line="302" w:lineRule="auto"/>
        <w:ind w:left="400" w:right="2628"/>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供应商名称（电子签章）：</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地址：</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邮编：</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电话：</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传真：</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承诺日期：</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ab/>
      </w: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cs="宋体"/>
          <w:b/>
          <w:smallCaps w:val="0"/>
          <w:color w:val="auto"/>
          <w:spacing w:val="0"/>
          <w:position w:val="0"/>
          <w:sz w:val="24"/>
          <w:szCs w:val="20"/>
          <w:highlight w:val="none"/>
          <w:lang w:eastAsia="zh-CN"/>
        </w:rPr>
        <w:t>供应商</w:t>
      </w:r>
      <w:r>
        <w:rPr>
          <w:rFonts w:hint="eastAsia" w:ascii="宋体" w:hAnsi="宋体" w:eastAsia="宋体" w:cs="宋体"/>
          <w:b/>
          <w:smallCaps w:val="0"/>
          <w:color w:val="auto"/>
          <w:spacing w:val="0"/>
          <w:position w:val="0"/>
          <w:sz w:val="24"/>
          <w:szCs w:val="20"/>
          <w:highlight w:val="none"/>
        </w:rPr>
        <w:t>开票信息表格式</w:t>
      </w:r>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开票信息表格式</w:t>
      </w:r>
    </w:p>
    <w:p>
      <w:pPr>
        <w:widowControl w:val="0"/>
        <w:tabs>
          <w:tab w:val="left" w:pos="4843"/>
        </w:tabs>
        <w:autoSpaceDE w:val="0"/>
        <w:autoSpaceDN w:val="0"/>
        <w:spacing w:before="213" w:after="0" w:line="302" w:lineRule="auto"/>
        <w:ind w:left="228" w:right="5142"/>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4843"/>
        </w:tabs>
        <w:autoSpaceDE w:val="0"/>
        <w:autoSpaceDN w:val="0"/>
        <w:spacing w:before="213" w:after="0" w:line="302" w:lineRule="auto"/>
        <w:ind w:left="228" w:right="5142"/>
        <w:jc w:val="left"/>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ar-SA"/>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pPr>
        <w:widowControl w:val="0"/>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如果我单位中标/成交，请贵单位开具服务费发票：</w:t>
      </w:r>
    </w:p>
    <w:p>
      <w:pPr>
        <w:widowControl w:val="0"/>
        <w:tabs>
          <w:tab w:val="left" w:pos="3348"/>
          <w:tab w:val="left" w:pos="5509"/>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我单位开票信息为：</w:t>
      </w:r>
    </w:p>
    <w:p>
      <w:pPr>
        <w:widowControl w:val="0"/>
        <w:tabs>
          <w:tab w:val="left" w:pos="53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单位全称：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580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纳税人识别号：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65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地址：</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65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电话：</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724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开户行名称：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724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开户行账号：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autoSpaceDE w:val="0"/>
        <w:autoSpaceDN w:val="0"/>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lang w:val="en-US" w:eastAsia="zh-CN" w:bidi="zh-CN"/>
        </w:rPr>
      </w:pPr>
    </w:p>
    <w:p>
      <w:pPr>
        <w:widowControl w:val="0"/>
        <w:autoSpaceDE w:val="0"/>
        <w:autoSpaceDN w:val="0"/>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发票接收邮箱：</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我单位将发票开出后，会发至邮箱。</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tabs>
          <w:tab w:val="left" w:pos="1204"/>
        </w:tabs>
        <w:autoSpaceDE w:val="0"/>
        <w:autoSpaceDN w:val="0"/>
        <w:spacing w:before="43" w:after="0" w:line="240" w:lineRule="auto"/>
        <w:ind w:left="0"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03" w:name="_Toc17512"/>
      <w:bookmarkStart w:id="104" w:name="_Toc30508"/>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6 </w:t>
      </w:r>
      <w:r>
        <w:rPr>
          <w:rFonts w:hint="eastAsia" w:ascii="宋体" w:hAnsi="宋体" w:eastAsia="宋体" w:cs="宋体"/>
          <w:b/>
          <w:bCs/>
          <w:smallCaps w:val="0"/>
          <w:color w:val="auto"/>
          <w:spacing w:val="0"/>
          <w:position w:val="0"/>
          <w:sz w:val="28"/>
          <w:szCs w:val="28"/>
          <w:highlight w:val="none"/>
          <w:lang w:val="zh-CN" w:eastAsia="zh-CN" w:bidi="zh-CN"/>
        </w:rPr>
        <w:t>供应商基本情况说明</w:t>
      </w:r>
      <w:bookmarkEnd w:id="103"/>
      <w:bookmarkEnd w:id="104"/>
    </w:p>
    <w:p>
      <w:pPr>
        <w:pStyle w:val="12"/>
        <w:pageBreakBefore w:val="0"/>
        <w:kinsoku/>
        <w:wordWrap/>
        <w:overflowPunct/>
        <w:topLinePunct w:val="0"/>
        <w:bidi w:val="0"/>
        <w:spacing w:before="139" w:line="240" w:lineRule="auto"/>
        <w:ind w:right="274"/>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一、公司基本情况</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公司名称：                      </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电话号码：</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地</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 xml:space="preserve">址：                          </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传</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真：</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注册资金：                      </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经济性质：</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公司开户银行名称及账号：</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营业注册执照号（统一社会信息用代码）：</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公司简介</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文字描述：发展历程、经营规模及服务理念、技术力量、财务状况、管理水平等方面进行阐述。图片描述：经营场所及服务流程等。</w:t>
      </w:r>
    </w:p>
    <w:p>
      <w:pPr>
        <w:pStyle w:val="12"/>
        <w:pageBreakBefore w:val="0"/>
        <w:kinsoku/>
        <w:wordWrap/>
        <w:overflowPunct/>
        <w:topLinePunct w:val="0"/>
        <w:bidi w:val="0"/>
        <w:spacing w:before="139" w:line="240" w:lineRule="auto"/>
        <w:ind w:right="274"/>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二、供应商获得国家有关部门颁发的资质</w:t>
      </w:r>
    </w:p>
    <w:tbl>
      <w:tblPr>
        <w:tblStyle w:val="32"/>
        <w:tblW w:w="9376"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44"/>
        <w:gridCol w:w="2344"/>
        <w:gridCol w:w="2344"/>
        <w:gridCol w:w="23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2344" w:type="dxa"/>
            <w:tcBorders>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证书名称</w:t>
            </w:r>
          </w:p>
        </w:tc>
        <w:tc>
          <w:tcPr>
            <w:tcW w:w="2344" w:type="dxa"/>
            <w:tcBorders>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发证单位</w:t>
            </w:r>
          </w:p>
        </w:tc>
        <w:tc>
          <w:tcPr>
            <w:tcW w:w="2344" w:type="dxa"/>
            <w:tcBorders>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证书等级</w:t>
            </w:r>
          </w:p>
        </w:tc>
        <w:tc>
          <w:tcPr>
            <w:tcW w:w="2344" w:type="dxa"/>
            <w:tcBorders>
              <w:left w:val="single" w:color="000000" w:sz="4" w:space="0"/>
              <w:bottom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证书有效期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7" w:hRule="atLeast"/>
        </w:trPr>
        <w:tc>
          <w:tcPr>
            <w:tcW w:w="2344" w:type="dxa"/>
            <w:tcBorders>
              <w:top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bottom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3" w:hRule="atLeast"/>
        </w:trPr>
        <w:tc>
          <w:tcPr>
            <w:tcW w:w="2344" w:type="dxa"/>
            <w:tcBorders>
              <w:top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r>
    </w:tbl>
    <w:p>
      <w:pPr>
        <w:pStyle w:val="12"/>
        <w:pageBreakBefore w:val="0"/>
        <w:kinsoku/>
        <w:wordWrap/>
        <w:overflowPunct/>
        <w:topLinePunct w:val="0"/>
        <w:bidi w:val="0"/>
        <w:spacing w:before="139" w:line="240" w:lineRule="auto"/>
        <w:ind w:right="274"/>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三、主要股东或出资人信息</w:t>
      </w:r>
    </w:p>
    <w:tbl>
      <w:tblPr>
        <w:tblStyle w:val="32"/>
        <w:tblW w:w="9409"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3"/>
        <w:gridCol w:w="1431"/>
        <w:gridCol w:w="2316"/>
        <w:gridCol w:w="2031"/>
        <w:gridCol w:w="1493"/>
        <w:gridCol w:w="123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9" w:hRule="atLeast"/>
        </w:trPr>
        <w:tc>
          <w:tcPr>
            <w:tcW w:w="903" w:type="dxa"/>
            <w:tcBorders>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序号</w:t>
            </w:r>
          </w:p>
        </w:tc>
        <w:tc>
          <w:tcPr>
            <w:tcW w:w="1431" w:type="dxa"/>
            <w:tcBorders>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名称</w:t>
            </w:r>
          </w:p>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（姓名）</w:t>
            </w:r>
          </w:p>
        </w:tc>
        <w:tc>
          <w:tcPr>
            <w:tcW w:w="2316" w:type="dxa"/>
            <w:tcBorders>
              <w:left w:val="single" w:color="000000" w:sz="4" w:space="0"/>
              <w:bottom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统一社会信息用代码</w:t>
            </w:r>
          </w:p>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（身份证号）</w:t>
            </w:r>
          </w:p>
        </w:tc>
        <w:tc>
          <w:tcPr>
            <w:tcW w:w="2031" w:type="dxa"/>
            <w:tcBorders>
              <w:left w:val="single" w:color="000000" w:sz="6"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出资额</w:t>
            </w:r>
          </w:p>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（人民币万元）</w:t>
            </w:r>
          </w:p>
        </w:tc>
        <w:tc>
          <w:tcPr>
            <w:tcW w:w="1493" w:type="dxa"/>
            <w:tcBorders>
              <w:left w:val="single" w:color="000000" w:sz="4" w:space="0"/>
              <w:bottom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出资方式</w:t>
            </w:r>
          </w:p>
        </w:tc>
        <w:tc>
          <w:tcPr>
            <w:tcW w:w="1235" w:type="dxa"/>
            <w:tcBorders>
              <w:left w:val="single" w:color="000000" w:sz="6" w:space="0"/>
              <w:bottom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占全部股份比例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03" w:type="dxa"/>
            <w:tcBorders>
              <w:top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1</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316" w:type="dxa"/>
            <w:tcBorders>
              <w:top w:val="single" w:color="000000" w:sz="4" w:space="0"/>
              <w:left w:val="single" w:color="000000" w:sz="4" w:space="0"/>
              <w:bottom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031" w:type="dxa"/>
            <w:tcBorders>
              <w:top w:val="single" w:color="000000" w:sz="4" w:space="0"/>
              <w:left w:val="single" w:color="000000" w:sz="6"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493" w:type="dxa"/>
            <w:tcBorders>
              <w:top w:val="single" w:color="000000" w:sz="4" w:space="0"/>
              <w:left w:val="single" w:color="000000" w:sz="4" w:space="0"/>
              <w:bottom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235" w:type="dxa"/>
            <w:tcBorders>
              <w:top w:val="single" w:color="000000" w:sz="4" w:space="0"/>
              <w:left w:val="single" w:color="000000" w:sz="6" w:space="0"/>
              <w:bottom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61" w:hRule="atLeast"/>
        </w:trPr>
        <w:tc>
          <w:tcPr>
            <w:tcW w:w="903" w:type="dxa"/>
            <w:tcBorders>
              <w:top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316" w:type="dxa"/>
            <w:tcBorders>
              <w:top w:val="single" w:color="000000" w:sz="4" w:space="0"/>
              <w:left w:val="single" w:color="000000" w:sz="4" w:space="0"/>
              <w:bottom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031" w:type="dxa"/>
            <w:tcBorders>
              <w:top w:val="single" w:color="000000" w:sz="4" w:space="0"/>
              <w:left w:val="single" w:color="000000" w:sz="6"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493" w:type="dxa"/>
            <w:tcBorders>
              <w:top w:val="single" w:color="000000" w:sz="4" w:space="0"/>
              <w:left w:val="single" w:color="000000" w:sz="4" w:space="0"/>
              <w:bottom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235" w:type="dxa"/>
            <w:tcBorders>
              <w:top w:val="single" w:color="000000" w:sz="4" w:space="0"/>
              <w:left w:val="single" w:color="000000" w:sz="6" w:space="0"/>
              <w:bottom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w:t>
            </w:r>
          </w:p>
        </w:tc>
        <w:tc>
          <w:tcPr>
            <w:tcW w:w="1431" w:type="dxa"/>
            <w:tcBorders>
              <w:top w:val="single" w:color="000000" w:sz="4" w:space="0"/>
              <w:left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316" w:type="dxa"/>
            <w:tcBorders>
              <w:top w:val="single" w:color="000000" w:sz="4" w:space="0"/>
              <w:left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031" w:type="dxa"/>
            <w:tcBorders>
              <w:top w:val="single" w:color="000000" w:sz="4" w:space="0"/>
              <w:left w:val="single" w:color="000000" w:sz="6"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493" w:type="dxa"/>
            <w:tcBorders>
              <w:top w:val="single" w:color="000000" w:sz="4" w:space="0"/>
              <w:left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235" w:type="dxa"/>
            <w:tcBorders>
              <w:top w:val="single" w:color="000000" w:sz="4" w:space="0"/>
              <w:lef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r>
    </w:tbl>
    <w:p>
      <w:pPr>
        <w:pageBreakBefore w:val="0"/>
        <w:numPr>
          <w:ilvl w:val="0"/>
          <w:numId w:val="0"/>
        </w:numPr>
        <w:tabs>
          <w:tab w:val="left" w:pos="2707"/>
        </w:tabs>
        <w:kinsoku/>
        <w:wordWrap/>
        <w:overflowPunct/>
        <w:topLinePunct w:val="0"/>
        <w:bidi w:val="0"/>
        <w:spacing w:before="122" w:line="240" w:lineRule="auto"/>
        <w:ind w:right="2650" w:rightChars="0"/>
        <w:jc w:val="left"/>
        <w:textAlignment w:val="auto"/>
        <w:outlineLvl w:val="9"/>
        <w:rPr>
          <w:rFonts w:hint="eastAsia" w:ascii="宋体" w:hAnsi="宋体" w:eastAsia="宋体" w:cs="宋体"/>
          <w:b/>
          <w:bCs/>
          <w:color w:val="auto"/>
          <w:spacing w:val="0"/>
          <w:w w:val="100"/>
          <w:position w:val="0"/>
          <w:sz w:val="22"/>
          <w:szCs w:val="22"/>
          <w:highlight w:val="none"/>
          <w:lang w:val="en-US" w:eastAsia="zh-CN" w:bidi="zh-CN"/>
        </w:rPr>
      </w:pPr>
      <w:r>
        <w:rPr>
          <w:rFonts w:hint="eastAsia" w:ascii="宋体" w:hAnsi="宋体" w:eastAsia="宋体" w:cs="宋体"/>
          <w:b/>
          <w:bCs/>
          <w:color w:val="auto"/>
          <w:spacing w:val="0"/>
          <w:w w:val="100"/>
          <w:position w:val="0"/>
          <w:sz w:val="22"/>
          <w:szCs w:val="22"/>
          <w:highlight w:val="none"/>
          <w:lang w:val="en-US" w:eastAsia="zh-CN" w:bidi="zh-CN"/>
        </w:rPr>
        <w:t>四、本单位（请填写：属于、不属于）残疾人福利性单位。</w:t>
      </w:r>
    </w:p>
    <w:p>
      <w:pPr>
        <w:pageBreakBefore w:val="0"/>
        <w:numPr>
          <w:ilvl w:val="0"/>
          <w:numId w:val="0"/>
        </w:numPr>
        <w:tabs>
          <w:tab w:val="left" w:pos="2707"/>
        </w:tabs>
        <w:kinsoku/>
        <w:wordWrap/>
        <w:overflowPunct/>
        <w:topLinePunct w:val="0"/>
        <w:bidi w:val="0"/>
        <w:spacing w:before="122" w:line="240" w:lineRule="auto"/>
        <w:ind w:right="2650" w:rightChars="0"/>
        <w:jc w:val="lef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备注：</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1、主要股东或出资人为法人的，填写法人全称及统一社会信息用代码（尚未办理三证合一的填写组织机构代码）；为自然人的，填写自然人姓名和身份证号。</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2、出资方式填写：货币、实物、工艺产权和非专利技术、土地使用权等。</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3、响应单位应按照占全部股份比例从大到小依次逐个股东填写，股东数量多于10个的，填写前10名，不足10个全部填写。同时供应商需打印“国家企业信用信息公示系统”网页查询的信息并加盖供应商单位公章。</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4、兹证明上述声明是真实、正确的，并提供了全部能提供的资料和数据，我们同意遵照贵方要求出示有关证明文件。</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bookmarkStart w:id="105" w:name="附件5 法定代表人授权书"/>
      <w:bookmarkEnd w:id="105"/>
      <w:bookmarkStart w:id="106" w:name="_bookmark18"/>
      <w:bookmarkEnd w:id="106"/>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color w:val="auto"/>
          <w:spacing w:val="0"/>
          <w:w w:val="100"/>
          <w:position w:val="0"/>
          <w:sz w:val="22"/>
          <w:szCs w:val="22"/>
          <w:highlight w:val="none"/>
        </w:rPr>
        <w:br w:type="page"/>
      </w:r>
    </w:p>
    <w:p>
      <w:pPr>
        <w:widowControl w:val="0"/>
        <w:tabs>
          <w:tab w:val="left" w:pos="1204"/>
        </w:tabs>
        <w:autoSpaceDE w:val="0"/>
        <w:autoSpaceDN w:val="0"/>
        <w:spacing w:before="43" w:after="0" w:line="240" w:lineRule="auto"/>
        <w:ind w:left="0"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07" w:name="_Toc767"/>
      <w:bookmarkStart w:id="108" w:name="_Toc6862"/>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7 相关业绩表</w:t>
      </w:r>
      <w:r>
        <w:rPr>
          <w:rFonts w:hint="eastAsia" w:ascii="宋体" w:hAnsi="宋体" w:eastAsia="宋体" w:cs="宋体"/>
          <w:b/>
          <w:bCs/>
          <w:smallCaps w:val="0"/>
          <w:color w:val="auto"/>
          <w:spacing w:val="0"/>
          <w:position w:val="0"/>
          <w:sz w:val="28"/>
          <w:szCs w:val="28"/>
          <w:highlight w:val="none"/>
          <w:lang w:val="zh-CN" w:eastAsia="zh-CN" w:bidi="zh-CN"/>
        </w:rPr>
        <w:t>情况一览表</w:t>
      </w:r>
      <w:bookmarkEnd w:id="107"/>
      <w:bookmarkEnd w:id="108"/>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相关业绩表情况一览表</w:t>
      </w:r>
    </w:p>
    <w:p>
      <w:pPr>
        <w:pStyle w:val="12"/>
        <w:pageBreakBefore w:val="0"/>
        <w:kinsoku/>
        <w:wordWrap/>
        <w:overflowPunct/>
        <w:topLinePunct w:val="0"/>
        <w:bidi w:val="0"/>
        <w:spacing w:before="160"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项目名称：</w:t>
      </w:r>
    </w:p>
    <w:p>
      <w:pPr>
        <w:pStyle w:val="12"/>
        <w:pageBreakBefore w:val="0"/>
        <w:kinsoku/>
        <w:wordWrap/>
        <w:overflowPunct/>
        <w:topLinePunct w:val="0"/>
        <w:bidi w:val="0"/>
        <w:spacing w:before="160"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eastAsia="zh-CN"/>
        </w:rPr>
        <w:t>项目编号</w:t>
      </w:r>
      <w:r>
        <w:rPr>
          <w:rFonts w:hint="eastAsia" w:ascii="宋体" w:hAnsi="宋体" w:eastAsia="宋体" w:cs="宋体"/>
          <w:color w:val="auto"/>
          <w:spacing w:val="0"/>
          <w:w w:val="100"/>
          <w:position w:val="0"/>
          <w:sz w:val="22"/>
          <w:szCs w:val="22"/>
          <w:highlight w:val="none"/>
        </w:rPr>
        <w:t>：</w:t>
      </w:r>
    </w:p>
    <w:p>
      <w:pPr>
        <w:pStyle w:val="12"/>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mc:AlternateContent>
          <mc:Choice Requires="wps">
            <w:drawing>
              <wp:anchor distT="0" distB="0" distL="114300" distR="114300" simplePos="0" relativeHeight="251659264" behindDoc="0" locked="0" layoutInCell="1" allowOverlap="1">
                <wp:simplePos x="0" y="0"/>
                <wp:positionH relativeFrom="page">
                  <wp:posOffset>882015</wp:posOffset>
                </wp:positionH>
                <wp:positionV relativeFrom="paragraph">
                  <wp:posOffset>41275</wp:posOffset>
                </wp:positionV>
                <wp:extent cx="5971540" cy="19564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971540" cy="1956435"/>
                        </a:xfrm>
                        <a:prstGeom prst="rect">
                          <a:avLst/>
                        </a:prstGeom>
                        <a:noFill/>
                        <a:ln>
                          <a:noFill/>
                        </a:ln>
                        <a:effectLst/>
                      </wps:spPr>
                      <wps:txbx>
                        <w:txbxContent>
                          <w:tbl>
                            <w:tblPr>
                              <w:tblStyle w:val="32"/>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12"/>
                            </w:pPr>
                          </w:p>
                        </w:txbxContent>
                      </wps:txbx>
                      <wps:bodyPr lIns="0" tIns="0" rIns="0" bIns="0" upright="1"/>
                    </wps:wsp>
                  </a:graphicData>
                </a:graphic>
              </wp:anchor>
            </w:drawing>
          </mc:Choice>
          <mc:Fallback>
            <w:pict>
              <v:shape id="_x0000_s1026" o:spid="_x0000_s1026" o:spt="202" type="#_x0000_t202" style="position:absolute;left:0pt;margin-left:69.45pt;margin-top:3.25pt;height:154.05pt;width:470.2pt;mso-position-horizontal-relative:page;z-index:251659264;mso-width-relative:page;mso-height-relative:page;" filled="f" stroked="f" coordsize="21600,21600" o:gfxdata="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NxZNDYAAAACgEAAA8AAAAAAAAAAQAgAAAAIgAAAGRycy9kb3ducmV2Lnht&#10;bFBLAQIUABQAAAAIAIdO4kDaSIYdwAEAAIMDAAAOAAAAAAAAAAEAIAAAACcBAABkcnMvZTJvRG9j&#10;LnhtbFBLBQYAAAAABgAGAFkBAABZBQAAAAA=&#10;">
                <v:fill on="f" focussize="0,0"/>
                <v:stroke on="f"/>
                <v:imagedata o:title=""/>
                <o:lock v:ext="edit" aspectratio="f"/>
                <v:textbox inset="0mm,0mm,0mm,0mm">
                  <w:txbxContent>
                    <w:tbl>
                      <w:tblPr>
                        <w:tblStyle w:val="32"/>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12"/>
                      </w:pPr>
                    </w:p>
                  </w:txbxContent>
                </v:textbox>
              </v:shape>
            </w:pict>
          </mc:Fallback>
        </mc:AlternateContent>
      </w:r>
    </w:p>
    <w:p>
      <w:pPr>
        <w:pStyle w:val="12"/>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3"/>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3"/>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tabs>
          <w:tab w:val="left" w:pos="3603"/>
          <w:tab w:val="left" w:pos="9900"/>
        </w:tabs>
        <w:kinsoku/>
        <w:wordWrap/>
        <w:overflowPunct/>
        <w:topLinePunct w:val="0"/>
        <w:bidi w:val="0"/>
        <w:spacing w:before="70" w:line="480" w:lineRule="exact"/>
        <w:ind w:left="298" w:right="130" w:rightChars="0"/>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备注：提供同类项目经验（按采购项目内容或评分表要求为准提供有效的证明文件）。</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Style w:val="12"/>
        <w:pageBreakBefore w:val="0"/>
        <w:tabs>
          <w:tab w:val="left" w:pos="718"/>
          <w:tab w:val="left" w:pos="1767"/>
          <w:tab w:val="left" w:pos="2398"/>
          <w:tab w:val="left" w:pos="3027"/>
          <w:tab w:val="left" w:pos="3603"/>
        </w:tabs>
        <w:kinsoku/>
        <w:wordWrap/>
        <w:overflowPunct/>
        <w:topLinePunct w:val="0"/>
        <w:bidi w:val="0"/>
        <w:spacing w:before="138" w:line="480" w:lineRule="exact"/>
        <w:ind w:left="298" w:right="6421"/>
        <w:textAlignment w:val="auto"/>
        <w:outlineLvl w:val="9"/>
        <w:rPr>
          <w:rFonts w:hint="eastAsia" w:ascii="宋体" w:hAnsi="宋体" w:eastAsia="宋体" w:cs="宋体"/>
          <w:color w:val="auto"/>
          <w:spacing w:val="0"/>
          <w:w w:val="100"/>
          <w:position w:val="0"/>
          <w:sz w:val="22"/>
          <w:szCs w:val="22"/>
          <w:highlight w:val="none"/>
        </w:rPr>
      </w:pPr>
    </w:p>
    <w:p>
      <w:pPr>
        <w:outlineLvl w:val="9"/>
        <w:rPr>
          <w:rFonts w:hint="eastAsia" w:ascii="宋体" w:hAnsi="宋体" w:eastAsia="宋体" w:cs="宋体"/>
          <w:b/>
          <w:color w:val="auto"/>
          <w:spacing w:val="0"/>
          <w:w w:val="100"/>
          <w:position w:val="0"/>
          <w:sz w:val="24"/>
          <w:szCs w:val="24"/>
          <w:highlight w:val="none"/>
        </w:rPr>
      </w:pPr>
      <w:bookmarkStart w:id="109" w:name="_bookmark25"/>
      <w:bookmarkEnd w:id="109"/>
      <w:bookmarkStart w:id="110" w:name="附件12 开标一览表"/>
      <w:bookmarkEnd w:id="110"/>
      <w:r>
        <w:rPr>
          <w:rFonts w:hint="eastAsia" w:ascii="宋体" w:hAnsi="宋体" w:eastAsia="宋体" w:cs="宋体"/>
          <w:b/>
          <w:color w:val="auto"/>
          <w:spacing w:val="0"/>
          <w:w w:val="100"/>
          <w:position w:val="0"/>
          <w:sz w:val="24"/>
          <w:szCs w:val="24"/>
          <w:highlight w:val="none"/>
        </w:rPr>
        <w:br w:type="page"/>
      </w:r>
    </w:p>
    <w:p>
      <w:pPr>
        <w:widowControl w:val="0"/>
        <w:tabs>
          <w:tab w:val="left" w:pos="1204"/>
        </w:tabs>
        <w:autoSpaceDE w:val="0"/>
        <w:autoSpaceDN w:val="0"/>
        <w:spacing w:before="43" w:after="0" w:line="240" w:lineRule="auto"/>
        <w:ind w:left="0"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11" w:name="_Toc24664"/>
      <w:bookmarkStart w:id="112" w:name="_Toc6119"/>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8 </w:t>
      </w:r>
      <w:r>
        <w:rPr>
          <w:rFonts w:hint="eastAsia" w:ascii="宋体" w:hAnsi="宋体" w:eastAsia="宋体" w:cs="宋体"/>
          <w:b/>
          <w:bCs/>
          <w:smallCaps w:val="0"/>
          <w:color w:val="auto"/>
          <w:spacing w:val="0"/>
          <w:position w:val="0"/>
          <w:sz w:val="28"/>
          <w:szCs w:val="28"/>
          <w:highlight w:val="none"/>
          <w:lang w:val="zh-CN" w:eastAsia="zh-CN" w:bidi="zh-CN"/>
        </w:rPr>
        <w:t>项目人员配备情况表</w:t>
      </w:r>
      <w:bookmarkEnd w:id="111"/>
      <w:bookmarkEnd w:id="112"/>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项目人员配备情况表</w:t>
      </w:r>
    </w:p>
    <w:p>
      <w:pPr>
        <w:pStyle w:val="12"/>
        <w:pageBreakBefore w:val="0"/>
        <w:kinsoku/>
        <w:wordWrap/>
        <w:overflowPunct/>
        <w:topLinePunct w:val="0"/>
        <w:bidi w:val="0"/>
        <w:spacing w:before="93"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项目名称：</w:t>
      </w:r>
    </w:p>
    <w:p>
      <w:pPr>
        <w:pStyle w:val="12"/>
        <w:pageBreakBefore w:val="0"/>
        <w:kinsoku/>
        <w:wordWrap/>
        <w:overflowPunct/>
        <w:topLinePunct w:val="0"/>
        <w:bidi w:val="0"/>
        <w:spacing w:before="93" w:line="480" w:lineRule="exact"/>
        <w:ind w:left="298" w:right="5213"/>
        <w:textAlignment w:val="auto"/>
        <w:outlineLvl w:val="9"/>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项目编号</w:t>
      </w:r>
      <w:r>
        <w:rPr>
          <w:rFonts w:hint="eastAsia" w:ascii="宋体" w:hAnsi="宋体" w:eastAsia="宋体" w:cs="宋体"/>
          <w:color w:val="auto"/>
          <w:spacing w:val="0"/>
          <w:w w:val="100"/>
          <w:position w:val="0"/>
          <w:sz w:val="22"/>
          <w:szCs w:val="22"/>
          <w:highlight w:val="none"/>
        </w:rPr>
        <w:t>：</w:t>
      </w:r>
    </w:p>
    <w:tbl>
      <w:tblPr>
        <w:tblStyle w:val="32"/>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856"/>
        <w:gridCol w:w="1372"/>
        <w:gridCol w:w="128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5"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序号</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姓名</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拟承担工作内容</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学历</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职称</w:t>
            </w:r>
          </w:p>
        </w:tc>
        <w:tc>
          <w:tcPr>
            <w:tcW w:w="856"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专业</w:t>
            </w:r>
          </w:p>
        </w:tc>
        <w:tc>
          <w:tcPr>
            <w:tcW w:w="2659" w:type="dxa"/>
            <w:gridSpan w:val="2"/>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证书</w:t>
            </w:r>
          </w:p>
        </w:tc>
        <w:tc>
          <w:tcPr>
            <w:tcW w:w="798"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5"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证书名称及范围</w:t>
            </w: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证书</w:t>
            </w:r>
          </w:p>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编号</w:t>
            </w:r>
          </w:p>
        </w:tc>
        <w:tc>
          <w:tcPr>
            <w:tcW w:w="798"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bl>
    <w:p>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注：</w:t>
      </w:r>
    </w:p>
    <w:p>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1）供应商必须如实填写此表格，并提供近相关证书等复印件证明文件。</w:t>
      </w:r>
    </w:p>
    <w:p>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2）供应商应保证上述填报内容真实。培训师资机构设置、职责分工等情况可在培训方案中另附资料说明。</w:t>
      </w:r>
    </w:p>
    <w:p>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4）本表不够时按照相同格式自制。</w:t>
      </w:r>
      <w:bookmarkStart w:id="154" w:name="_GoBack"/>
      <w:bookmarkEnd w:id="154"/>
    </w:p>
    <w:p>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p>
    <w:p>
      <w:pPr>
        <w:rPr>
          <w:rFonts w:hint="eastAsia" w:ascii="宋体" w:hAnsi="宋体" w:eastAsia="宋体" w:cs="宋体"/>
          <w:b/>
          <w:color w:val="auto"/>
          <w:spacing w:val="0"/>
          <w:w w:val="100"/>
          <w:position w:val="0"/>
          <w:sz w:val="24"/>
          <w:szCs w:val="24"/>
          <w:highlight w:val="none"/>
        </w:rPr>
      </w:pPr>
      <w:bookmarkStart w:id="113" w:name="_bookmark26"/>
      <w:bookmarkEnd w:id="113"/>
      <w:bookmarkStart w:id="114" w:name="附件13 投标明细报价表"/>
      <w:bookmarkEnd w:id="114"/>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2"/>
          <w:szCs w:val="22"/>
          <w:highlight w:val="none"/>
          <w:lang w:val="en-US" w:eastAsia="zh-CN" w:bidi="ar-SA"/>
        </w:rPr>
      </w:pPr>
      <w:r>
        <w:rPr>
          <w:rFonts w:hint="eastAsia" w:ascii="宋体" w:hAnsi="宋体" w:eastAsia="宋体" w:cs="宋体"/>
          <w:b/>
          <w:smallCaps w:val="0"/>
          <w:color w:val="auto"/>
          <w:spacing w:val="0"/>
          <w:position w:val="0"/>
          <w:sz w:val="22"/>
          <w:szCs w:val="22"/>
          <w:highlight w:val="none"/>
          <w:lang w:val="en-US" w:eastAsia="zh-CN" w:bidi="ar-SA"/>
        </w:rPr>
        <w:t>项目组人员简历</w:t>
      </w:r>
    </w:p>
    <w:p>
      <w:pPr>
        <w:widowControl w:val="0"/>
        <w:autoSpaceDE w:val="0"/>
        <w:autoSpaceDN w:val="0"/>
        <w:spacing w:before="7" w:after="0" w:line="240" w:lineRule="auto"/>
        <w:ind w:left="0" w:right="0"/>
        <w:jc w:val="left"/>
        <w:rPr>
          <w:rFonts w:hint="eastAsia" w:ascii="宋体" w:hAnsi="宋体" w:eastAsia="宋体" w:cs="宋体"/>
          <w:b/>
          <w:smallCaps w:val="0"/>
          <w:color w:val="auto"/>
          <w:spacing w:val="0"/>
          <w:position w:val="0"/>
          <w:sz w:val="10"/>
          <w:szCs w:val="21"/>
          <w:highlight w:val="none"/>
          <w:lang w:val="zh-CN" w:eastAsia="zh-CN" w:bidi="zh-CN"/>
        </w:rPr>
      </w:pPr>
    </w:p>
    <w:tbl>
      <w:tblPr>
        <w:tblStyle w:val="32"/>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660"/>
        <w:gridCol w:w="1702"/>
        <w:gridCol w:w="1358"/>
        <w:gridCol w:w="1051"/>
        <w:gridCol w:w="56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姓名</w:t>
            </w:r>
          </w:p>
        </w:tc>
        <w:tc>
          <w:tcPr>
            <w:tcW w:w="166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702"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职务</w:t>
            </w:r>
          </w:p>
        </w:tc>
        <w:tc>
          <w:tcPr>
            <w:tcW w:w="1358"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617"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职称</w:t>
            </w:r>
          </w:p>
        </w:tc>
        <w:tc>
          <w:tcPr>
            <w:tcW w:w="1843"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年龄</w:t>
            </w:r>
          </w:p>
        </w:tc>
        <w:tc>
          <w:tcPr>
            <w:tcW w:w="166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702"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本项目拟任职</w:t>
            </w:r>
          </w:p>
        </w:tc>
        <w:tc>
          <w:tcPr>
            <w:tcW w:w="1358"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617"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单位任职时间</w:t>
            </w:r>
          </w:p>
        </w:tc>
        <w:tc>
          <w:tcPr>
            <w:tcW w:w="1843"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8930" w:type="dxa"/>
            <w:gridSpan w:val="7"/>
          </w:tcPr>
          <w:p>
            <w:pPr>
              <w:widowControl w:val="0"/>
              <w:autoSpaceDE w:val="0"/>
              <w:autoSpaceDN w:val="0"/>
              <w:spacing w:before="0" w:after="0" w:line="240" w:lineRule="auto"/>
              <w:ind w:left="0" w:right="0"/>
              <w:jc w:val="both"/>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学历（毕业学校、时间、专业）：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tcPr>
          <w:p>
            <w:pPr>
              <w:widowControl w:val="0"/>
              <w:autoSpaceDE w:val="0"/>
              <w:autoSpaceDN w:val="0"/>
              <w:spacing w:before="0" w:after="0" w:line="240" w:lineRule="auto"/>
              <w:ind w:left="0" w:right="0"/>
              <w:jc w:val="both"/>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取得的专业认证、资质情况：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8930" w:type="dxa"/>
            <w:gridSpan w:val="7"/>
          </w:tcPr>
          <w:p>
            <w:pPr>
              <w:widowControl w:val="0"/>
              <w:autoSpaceDE w:val="0"/>
              <w:autoSpaceDN w:val="0"/>
              <w:spacing w:before="0" w:after="0" w:line="240" w:lineRule="auto"/>
              <w:ind w:left="0" w:right="0"/>
              <w:jc w:val="both"/>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人员优势及特长：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tcPr>
          <w:p>
            <w:pPr>
              <w:widowControl w:val="0"/>
              <w:autoSpaceDE w:val="0"/>
              <w:autoSpaceDN w:val="0"/>
              <w:spacing w:before="0" w:after="0" w:line="240" w:lineRule="auto"/>
              <w:ind w:left="0" w:right="0"/>
              <w:jc w:val="both"/>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人员其他情况介绍：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30" w:type="dxa"/>
            <w:gridSpan w:val="7"/>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人员业绩情况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年份</w:t>
            </w: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最近参加过的主要项目名称</w:t>
            </w: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担任职务或承担的主</w:t>
            </w:r>
          </w:p>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bl>
    <w:p>
      <w:pPr>
        <w:widowControl w:val="0"/>
        <w:autoSpaceDE w:val="0"/>
        <w:autoSpaceDN w:val="0"/>
        <w:spacing w:before="2" w:after="0" w:line="240" w:lineRule="auto"/>
        <w:ind w:left="4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注：按照评分标准细则要求提供人员相关证明文件（如有）。</w:t>
      </w: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15" w:name="_Toc15205"/>
      <w:bookmarkStart w:id="116" w:name="_Toc10705"/>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9</w:t>
      </w:r>
      <w:r>
        <w:rPr>
          <w:rFonts w:hint="eastAsia" w:ascii="宋体" w:hAnsi="宋体" w:eastAsia="宋体" w:cs="宋体"/>
          <w:b/>
          <w:bCs/>
          <w:smallCaps w:val="0"/>
          <w:color w:val="auto"/>
          <w:spacing w:val="0"/>
          <w:position w:val="0"/>
          <w:sz w:val="28"/>
          <w:szCs w:val="28"/>
          <w:highlight w:val="none"/>
          <w:lang w:val="zh-CN" w:eastAsia="zh-CN" w:bidi="zh-CN"/>
        </w:rPr>
        <w:t xml:space="preserve"> 项目整体实施方案</w:t>
      </w:r>
      <w:bookmarkEnd w:id="115"/>
      <w:bookmarkEnd w:id="116"/>
    </w:p>
    <w:p>
      <w:pPr>
        <w:ind w:left="0" w:leftChars="0" w:right="0" w:rightChars="0" w:firstLine="0" w:firstLineChars="0"/>
        <w:jc w:val="center"/>
        <w:rPr>
          <w:rFonts w:hint="eastAsia" w:cs="宋体"/>
          <w:smallCaps w:val="0"/>
          <w:color w:val="auto"/>
          <w:spacing w:val="0"/>
          <w:kern w:val="2"/>
          <w:position w:val="0"/>
          <w:sz w:val="21"/>
          <w:szCs w:val="21"/>
          <w:highlight w:val="none"/>
          <w:lang w:val="en-US" w:eastAsia="zh-CN" w:bidi="ar-SA"/>
        </w:rPr>
      </w:pPr>
      <w:bookmarkStart w:id="117" w:name="_bookmark118"/>
      <w:bookmarkEnd w:id="117"/>
      <w:r>
        <w:rPr>
          <w:rFonts w:hint="eastAsia" w:cs="宋体"/>
          <w:smallCaps w:val="0"/>
          <w:color w:val="auto"/>
          <w:spacing w:val="0"/>
          <w:kern w:val="2"/>
          <w:position w:val="0"/>
          <w:sz w:val="21"/>
          <w:szCs w:val="21"/>
          <w:highlight w:val="none"/>
          <w:lang w:val="en-US" w:eastAsia="zh-CN" w:bidi="ar-SA"/>
        </w:rPr>
        <w:t>根据项目需要自行编写。</w:t>
      </w:r>
    </w:p>
    <w:p>
      <w:pPr>
        <w:ind w:left="0" w:leftChars="0" w:right="0" w:rightChars="0" w:firstLine="0" w:firstLineChars="0"/>
        <w:jc w:val="cente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18" w:name="_Toc21733"/>
      <w:bookmarkStart w:id="119" w:name="_Toc21920"/>
      <w:bookmarkStart w:id="120" w:name="_Toc15892"/>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10</w:t>
      </w:r>
      <w:r>
        <w:rPr>
          <w:rFonts w:hint="eastAsia" w:ascii="宋体" w:hAnsi="宋体" w:eastAsia="宋体" w:cs="宋体"/>
          <w:b/>
          <w:bCs/>
          <w:smallCaps w:val="0"/>
          <w:color w:val="auto"/>
          <w:spacing w:val="0"/>
          <w:position w:val="0"/>
          <w:sz w:val="28"/>
          <w:szCs w:val="28"/>
          <w:highlight w:val="none"/>
          <w:lang w:val="zh-CN" w:eastAsia="zh-CN" w:bidi="zh-CN"/>
        </w:rPr>
        <w:t xml:space="preserve"> 其他商务技术文件材料</w:t>
      </w:r>
      <w:bookmarkEnd w:id="118"/>
      <w:bookmarkEnd w:id="119"/>
      <w:bookmarkEnd w:id="120"/>
    </w:p>
    <w:p>
      <w:pPr>
        <w:widowControl w:val="0"/>
        <w:tabs>
          <w:tab w:val="left" w:pos="1354"/>
        </w:tabs>
        <w:autoSpaceDE w:val="0"/>
        <w:autoSpaceDN w:val="0"/>
        <w:spacing w:before="0" w:after="0" w:line="240" w:lineRule="auto"/>
        <w:ind w:left="-1" w:right="75" w:firstLine="0"/>
        <w:jc w:val="center"/>
        <w:rPr>
          <w:rFonts w:hint="eastAsia" w:ascii="宋体" w:hAnsi="宋体" w:eastAsia="宋体" w:cs="宋体"/>
          <w:b/>
          <w:smallCaps w:val="0"/>
          <w:color w:val="auto"/>
          <w:spacing w:val="0"/>
          <w:position w:val="0"/>
          <w:sz w:val="22"/>
          <w:szCs w:val="20"/>
          <w:highlight w:val="none"/>
          <w:lang w:val="zh-CN" w:eastAsia="zh-CN" w:bidi="zh-CN"/>
        </w:rPr>
      </w:pPr>
      <w:bookmarkStart w:id="121" w:name="_bookmark122"/>
      <w:bookmarkEnd w:id="121"/>
      <w:bookmarkStart w:id="122" w:name="_bookmark123"/>
      <w:bookmarkEnd w:id="122"/>
      <w:r>
        <w:rPr>
          <w:rFonts w:hint="eastAsia" w:ascii="宋体" w:hAnsi="宋体" w:eastAsia="宋体" w:cs="宋体"/>
          <w:b/>
          <w:smallCaps w:val="0"/>
          <w:color w:val="auto"/>
          <w:spacing w:val="0"/>
          <w:position w:val="0"/>
          <w:sz w:val="22"/>
          <w:szCs w:val="20"/>
          <w:highlight w:val="none"/>
          <w:lang w:val="zh-CN" w:eastAsia="zh-CN" w:bidi="zh-CN"/>
        </w:rPr>
        <w:t>其它采购文件要求的或供应商认为应当或有必要提供的资料</w:t>
      </w:r>
    </w:p>
    <w:p>
      <w:pP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spacing w:before="0" w:after="0" w:line="240" w:lineRule="auto"/>
        <w:ind w:left="0" w:right="0"/>
        <w:jc w:val="center"/>
        <w:outlineLvl w:val="1"/>
        <w:rPr>
          <w:rFonts w:hint="eastAsia" w:ascii="宋体" w:hAnsi="宋体" w:eastAsia="宋体" w:cs="宋体"/>
          <w:smallCaps w:val="0"/>
          <w:color w:val="auto"/>
          <w:spacing w:val="0"/>
          <w:position w:val="0"/>
          <w:szCs w:val="20"/>
          <w:highlight w:val="none"/>
        </w:rPr>
      </w:pPr>
      <w:bookmarkStart w:id="123" w:name="_Toc14025"/>
      <w:bookmarkStart w:id="124" w:name="_Toc14005"/>
      <w:bookmarkStart w:id="125" w:name="_Toc31713"/>
      <w:bookmarkStart w:id="126" w:name="_Toc19797"/>
      <w:bookmarkStart w:id="127" w:name="_Toc28685"/>
      <w:bookmarkStart w:id="128" w:name="_Toc5916"/>
      <w:r>
        <w:rPr>
          <w:rFonts w:hint="eastAsia" w:ascii="宋体" w:hAnsi="宋体" w:eastAsia="宋体" w:cs="宋体"/>
          <w:b/>
          <w:bCs/>
          <w:smallCaps w:val="0"/>
          <w:color w:val="auto"/>
          <w:spacing w:val="0"/>
          <w:position w:val="0"/>
          <w:sz w:val="28"/>
          <w:szCs w:val="28"/>
          <w:highlight w:val="none"/>
        </w:rPr>
        <w:t>第</w:t>
      </w:r>
      <w:r>
        <w:rPr>
          <w:rFonts w:hint="eastAsia" w:ascii="宋体" w:hAnsi="宋体" w:eastAsia="宋体" w:cs="宋体"/>
          <w:b/>
          <w:bCs/>
          <w:smallCaps w:val="0"/>
          <w:color w:val="auto"/>
          <w:spacing w:val="0"/>
          <w:position w:val="0"/>
          <w:sz w:val="28"/>
          <w:szCs w:val="28"/>
          <w:highlight w:val="none"/>
          <w:lang w:val="en-US" w:eastAsia="zh-CN"/>
        </w:rPr>
        <w:t>三</w:t>
      </w:r>
      <w:r>
        <w:rPr>
          <w:rFonts w:hint="eastAsia" w:ascii="宋体" w:hAnsi="宋体" w:eastAsia="宋体" w:cs="宋体"/>
          <w:b/>
          <w:bCs/>
          <w:smallCaps w:val="0"/>
          <w:color w:val="auto"/>
          <w:spacing w:val="0"/>
          <w:position w:val="0"/>
          <w:sz w:val="28"/>
          <w:szCs w:val="28"/>
          <w:highlight w:val="none"/>
        </w:rPr>
        <w:t>节 报价文件格式</w:t>
      </w:r>
      <w:bookmarkEnd w:id="123"/>
      <w:bookmarkEnd w:id="124"/>
      <w:bookmarkEnd w:id="125"/>
      <w:bookmarkEnd w:id="126"/>
      <w:bookmarkEnd w:id="127"/>
      <w:bookmarkEnd w:id="128"/>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29" w:name="_Toc28215"/>
      <w:bookmarkStart w:id="130" w:name="_Toc11864"/>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w:t>
      </w:r>
      <w:r>
        <w:rPr>
          <w:rFonts w:hint="eastAsia" w:ascii="宋体" w:hAnsi="宋体" w:eastAsia="宋体" w:cs="宋体"/>
          <w:b/>
          <w:bCs/>
          <w:smallCaps w:val="0"/>
          <w:color w:val="auto"/>
          <w:spacing w:val="0"/>
          <w:position w:val="0"/>
          <w:sz w:val="28"/>
          <w:szCs w:val="28"/>
          <w:highlight w:val="none"/>
          <w:lang w:val="zh-CN" w:eastAsia="zh-CN" w:bidi="zh-CN"/>
        </w:rPr>
        <w:t>1</w:t>
      </w:r>
      <w:r>
        <w:rPr>
          <w:rFonts w:hint="eastAsia" w:ascii="宋体" w:hAnsi="宋体" w:eastAsia="宋体" w:cs="宋体"/>
          <w:b/>
          <w:bCs/>
          <w:smallCaps w:val="0"/>
          <w:color w:val="auto"/>
          <w:spacing w:val="0"/>
          <w:position w:val="0"/>
          <w:sz w:val="28"/>
          <w:szCs w:val="28"/>
          <w:highlight w:val="none"/>
          <w:lang w:val="en-US" w:eastAsia="zh-CN" w:bidi="zh-CN"/>
        </w:rPr>
        <w:t xml:space="preserve"> 响应报价表</w:t>
      </w:r>
      <w:bookmarkEnd w:id="129"/>
      <w:bookmarkEnd w:id="130"/>
    </w:p>
    <w:p>
      <w:pPr>
        <w:widowControl w:val="0"/>
        <w:shd w:val="clear"/>
        <w:autoSpaceDE w:val="0"/>
        <w:autoSpaceDN w:val="0"/>
        <w:spacing w:before="159"/>
        <w:ind w:right="-90"/>
        <w:jc w:val="center"/>
        <w:outlineLvl w:val="9"/>
        <w:rPr>
          <w:rFonts w:hint="eastAsia" w:ascii="宋体" w:hAnsi="宋体" w:eastAsia="宋体" w:cs="宋体"/>
          <w:b/>
          <w:color w:val="auto"/>
          <w:spacing w:val="0"/>
          <w:w w:val="100"/>
          <w:position w:val="0"/>
          <w:sz w:val="28"/>
          <w:szCs w:val="28"/>
          <w:highlight w:val="none"/>
          <w:lang w:val="en-US" w:eastAsia="zh-CN" w:bidi="zh-CN"/>
        </w:rPr>
      </w:pPr>
      <w:bookmarkStart w:id="131" w:name="_bookmark28"/>
      <w:bookmarkEnd w:id="131"/>
      <w:bookmarkStart w:id="132" w:name="附件15 中小微企业声明函（中小微企业适用，不符合的无需提供）"/>
      <w:bookmarkEnd w:id="132"/>
      <w:r>
        <w:rPr>
          <w:rFonts w:hint="eastAsia" w:ascii="宋体" w:hAnsi="宋体" w:eastAsia="宋体" w:cs="宋体"/>
          <w:b/>
          <w:color w:val="auto"/>
          <w:spacing w:val="0"/>
          <w:w w:val="100"/>
          <w:position w:val="0"/>
          <w:sz w:val="28"/>
          <w:szCs w:val="28"/>
          <w:highlight w:val="none"/>
          <w:lang w:val="en-US" w:eastAsia="zh-CN" w:bidi="zh-CN"/>
        </w:rPr>
        <w:t>响应报价表</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项目编号：</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tbl>
      <w:tblPr>
        <w:tblStyle w:val="32"/>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
        <w:gridCol w:w="1350"/>
        <w:gridCol w:w="3694"/>
        <w:gridCol w:w="1474"/>
        <w:gridCol w:w="1717"/>
        <w:gridCol w:w="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592"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标项号</w:t>
            </w:r>
          </w:p>
        </w:tc>
        <w:tc>
          <w:tcPr>
            <w:tcW w:w="13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标项名称</w:t>
            </w:r>
          </w:p>
        </w:tc>
        <w:tc>
          <w:tcPr>
            <w:tcW w:w="3694" w:type="dxa"/>
            <w:vAlign w:val="center"/>
          </w:tcPr>
          <w:p>
            <w:pPr>
              <w:widowControl w:val="0"/>
              <w:autoSpaceDE w:val="0"/>
              <w:autoSpaceDN w:val="0"/>
              <w:spacing w:before="0" w:after="0" w:line="240" w:lineRule="auto"/>
              <w:ind w:left="0" w:right="0"/>
              <w:jc w:val="center"/>
              <w:rPr>
                <w:rFonts w:hint="default"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响应报价</w:t>
            </w:r>
          </w:p>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（单位人民币元）</w:t>
            </w:r>
          </w:p>
        </w:tc>
        <w:tc>
          <w:tcPr>
            <w:tcW w:w="1474"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eastAsia="zh-CN" w:bidi="zh-CN"/>
              </w:rPr>
            </w:pPr>
            <w:r>
              <w:rPr>
                <w:rFonts w:hint="eastAsia" w:cs="宋体"/>
                <w:smallCaps w:val="0"/>
                <w:color w:val="auto"/>
                <w:spacing w:val="0"/>
                <w:position w:val="0"/>
                <w:sz w:val="21"/>
                <w:szCs w:val="20"/>
                <w:highlight w:val="none"/>
                <w:lang w:val="en-US" w:eastAsia="zh-CN" w:bidi="zh-CN"/>
              </w:rPr>
              <w:t>磋商</w:t>
            </w:r>
            <w:r>
              <w:rPr>
                <w:rFonts w:hint="eastAsia" w:ascii="宋体" w:hAnsi="宋体" w:eastAsia="宋体" w:cs="宋体"/>
                <w:smallCaps w:val="0"/>
                <w:color w:val="auto"/>
                <w:spacing w:val="0"/>
                <w:position w:val="0"/>
                <w:sz w:val="21"/>
                <w:szCs w:val="20"/>
                <w:highlight w:val="none"/>
                <w:lang w:val="zh-CN" w:eastAsia="zh-CN" w:bidi="zh-CN"/>
              </w:rPr>
              <w:t>保证金</w:t>
            </w:r>
            <w:r>
              <w:rPr>
                <w:rFonts w:hint="eastAsia" w:ascii="宋体" w:hAnsi="宋体" w:eastAsia="宋体" w:cs="宋体"/>
                <w:smallCaps w:val="0"/>
                <w:color w:val="auto"/>
                <w:spacing w:val="0"/>
                <w:position w:val="0"/>
                <w:sz w:val="21"/>
                <w:szCs w:val="20"/>
                <w:highlight w:val="none"/>
                <w:lang w:val="en-US" w:eastAsia="zh-CN" w:bidi="zh-CN"/>
              </w:rPr>
              <w:t>金额及形式</w:t>
            </w:r>
          </w:p>
        </w:tc>
        <w:tc>
          <w:tcPr>
            <w:tcW w:w="1717"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服务期限</w:t>
            </w:r>
          </w:p>
        </w:tc>
        <w:tc>
          <w:tcPr>
            <w:tcW w:w="496"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592"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3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3694" w:type="dxa"/>
            <w:vAlign w:val="center"/>
          </w:tcPr>
          <w:p>
            <w:pPr>
              <w:widowControl w:val="0"/>
              <w:autoSpaceDE w:val="0"/>
              <w:autoSpaceDN w:val="0"/>
              <w:spacing w:before="0" w:after="0" w:line="242" w:lineRule="auto"/>
              <w:ind w:left="0" w:right="0"/>
              <w:jc w:val="left"/>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 xml:space="preserve">大写： </w:t>
            </w:r>
          </w:p>
          <w:p>
            <w:pPr>
              <w:widowControl w:val="0"/>
              <w:autoSpaceDE w:val="0"/>
              <w:autoSpaceDN w:val="0"/>
              <w:spacing w:before="0" w:after="0" w:line="242" w:lineRule="auto"/>
              <w:ind w:left="0" w:right="0"/>
              <w:jc w:val="left"/>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小写：</w:t>
            </w:r>
          </w:p>
        </w:tc>
        <w:tc>
          <w:tcPr>
            <w:tcW w:w="1474" w:type="dxa"/>
            <w:vAlign w:val="center"/>
          </w:tcPr>
          <w:p>
            <w:pPr>
              <w:widowControl w:val="0"/>
              <w:autoSpaceDE w:val="0"/>
              <w:autoSpaceDN w:val="0"/>
              <w:spacing w:before="0" w:after="0" w:line="242" w:lineRule="auto"/>
              <w:ind w:left="0" w:right="0" w:hanging="18"/>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【保证金金额及形式，例如“XX 元， 电汇” 】</w:t>
            </w:r>
          </w:p>
        </w:tc>
        <w:tc>
          <w:tcPr>
            <w:tcW w:w="1717" w:type="dxa"/>
            <w:vAlign w:val="center"/>
          </w:tcPr>
          <w:p>
            <w:pPr>
              <w:widowControl w:val="0"/>
              <w:autoSpaceDE w:val="0"/>
              <w:autoSpaceDN w:val="0"/>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bidi="zh-CN"/>
              </w:rPr>
            </w:pPr>
          </w:p>
        </w:tc>
        <w:tc>
          <w:tcPr>
            <w:tcW w:w="496" w:type="dxa"/>
            <w:vAlign w:val="center"/>
          </w:tcPr>
          <w:p>
            <w:pPr>
              <w:widowControl w:val="0"/>
              <w:autoSpaceDE w:val="0"/>
              <w:autoSpaceDN w:val="0"/>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bidi="zh-CN"/>
              </w:rPr>
            </w:pPr>
          </w:p>
        </w:tc>
      </w:tr>
    </w:tbl>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spacing w:before="7" w:after="0" w:line="240" w:lineRule="auto"/>
        <w:ind w:left="440" w:leftChars="200" w:right="0"/>
        <w:jc w:val="left"/>
        <w:rPr>
          <w:rFonts w:hint="eastAsia" w:ascii="宋体" w:hAnsi="宋体" w:eastAsia="宋体" w:cs="宋体"/>
          <w:smallCaps w:val="0"/>
          <w:color w:val="auto"/>
          <w:spacing w:val="0"/>
          <w:position w:val="0"/>
          <w:sz w:val="21"/>
          <w:szCs w:val="18"/>
          <w:highlight w:val="none"/>
          <w:lang w:val="zh-CN" w:eastAsia="zh-CN" w:bidi="zh-CN"/>
        </w:rPr>
      </w:pPr>
      <w:r>
        <w:rPr>
          <w:rFonts w:hint="eastAsia" w:ascii="宋体" w:hAnsi="宋体" w:eastAsia="宋体" w:cs="宋体"/>
          <w:smallCaps w:val="0"/>
          <w:color w:val="auto"/>
          <w:spacing w:val="0"/>
          <w:position w:val="0"/>
          <w:sz w:val="21"/>
          <w:szCs w:val="18"/>
          <w:highlight w:val="none"/>
          <w:lang w:val="zh-CN" w:eastAsia="zh-CN" w:bidi="zh-CN"/>
        </w:rPr>
        <w:t>1.此表中，每</w:t>
      </w:r>
      <w:r>
        <w:rPr>
          <w:rFonts w:hint="eastAsia" w:ascii="宋体" w:hAnsi="宋体" w:eastAsia="宋体" w:cs="宋体"/>
          <w:smallCaps w:val="0"/>
          <w:color w:val="auto"/>
          <w:spacing w:val="0"/>
          <w:position w:val="0"/>
          <w:sz w:val="21"/>
          <w:szCs w:val="18"/>
          <w:highlight w:val="none"/>
          <w:lang w:val="en-US" w:eastAsia="zh-CN" w:bidi="zh-CN"/>
        </w:rPr>
        <w:t>标项</w:t>
      </w:r>
      <w:r>
        <w:rPr>
          <w:rFonts w:hint="eastAsia" w:ascii="宋体" w:hAnsi="宋体" w:eastAsia="宋体" w:cs="宋体"/>
          <w:smallCaps w:val="0"/>
          <w:color w:val="auto"/>
          <w:spacing w:val="0"/>
          <w:position w:val="0"/>
          <w:sz w:val="21"/>
          <w:szCs w:val="18"/>
          <w:highlight w:val="none"/>
          <w:lang w:val="zh-CN" w:eastAsia="zh-CN" w:bidi="zh-CN"/>
        </w:rPr>
        <w:t>的报价应和《分项报价表》中的总价相一致。</w:t>
      </w:r>
    </w:p>
    <w:p>
      <w:pPr>
        <w:widowControl w:val="0"/>
        <w:autoSpaceDE w:val="0"/>
        <w:autoSpaceDN w:val="0"/>
        <w:spacing w:before="7" w:after="0" w:line="240" w:lineRule="auto"/>
        <w:ind w:left="440" w:leftChars="200" w:right="0"/>
        <w:jc w:val="left"/>
        <w:rPr>
          <w:rFonts w:hint="eastAsia" w:ascii="宋体" w:hAnsi="宋体" w:eastAsia="宋体" w:cs="宋体"/>
          <w:smallCaps w:val="0"/>
          <w:color w:val="auto"/>
          <w:spacing w:val="0"/>
          <w:position w:val="0"/>
          <w:sz w:val="21"/>
          <w:szCs w:val="18"/>
          <w:highlight w:val="none"/>
          <w:lang w:val="zh-CN" w:eastAsia="zh-CN" w:bidi="zh-CN"/>
        </w:rPr>
      </w:pPr>
      <w:r>
        <w:rPr>
          <w:rFonts w:hint="eastAsia" w:ascii="宋体" w:hAnsi="宋体" w:eastAsia="宋体" w:cs="宋体"/>
          <w:smallCaps w:val="0"/>
          <w:color w:val="auto"/>
          <w:spacing w:val="0"/>
          <w:position w:val="0"/>
          <w:sz w:val="21"/>
          <w:szCs w:val="18"/>
          <w:highlight w:val="none"/>
          <w:lang w:val="zh-CN" w:eastAsia="zh-CN" w:bidi="zh-CN"/>
        </w:rPr>
        <w:t>2.本表必须按</w:t>
      </w:r>
      <w:r>
        <w:rPr>
          <w:rFonts w:hint="eastAsia" w:ascii="宋体" w:hAnsi="宋体" w:eastAsia="宋体" w:cs="宋体"/>
          <w:smallCaps w:val="0"/>
          <w:color w:val="auto"/>
          <w:spacing w:val="0"/>
          <w:position w:val="0"/>
          <w:sz w:val="21"/>
          <w:szCs w:val="18"/>
          <w:highlight w:val="none"/>
          <w:lang w:val="en-US" w:eastAsia="zh-CN" w:bidi="zh-CN"/>
        </w:rPr>
        <w:t>标项</w:t>
      </w:r>
      <w:r>
        <w:rPr>
          <w:rFonts w:hint="eastAsia" w:ascii="宋体" w:hAnsi="宋体" w:eastAsia="宋体" w:cs="宋体"/>
          <w:smallCaps w:val="0"/>
          <w:color w:val="auto"/>
          <w:spacing w:val="0"/>
          <w:position w:val="0"/>
          <w:sz w:val="21"/>
          <w:szCs w:val="18"/>
          <w:highlight w:val="none"/>
          <w:lang w:val="zh-CN" w:eastAsia="zh-CN" w:bidi="zh-CN"/>
        </w:rPr>
        <w:t>分别填写。</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color w:val="auto"/>
          <w:spacing w:val="0"/>
          <w:w w:val="100"/>
          <w:position w:val="0"/>
          <w:sz w:val="28"/>
          <w:szCs w:val="28"/>
          <w:highlight w:val="none"/>
          <w:lang w:val="en-US" w:eastAsia="zh-CN" w:bidi="zh-CN"/>
        </w:rPr>
      </w:pPr>
      <w:r>
        <w:rPr>
          <w:rFonts w:hint="eastAsia" w:ascii="宋体" w:hAnsi="宋体" w:eastAsia="宋体" w:cs="宋体"/>
          <w:b/>
          <w:color w:val="auto"/>
          <w:spacing w:val="0"/>
          <w:w w:val="100"/>
          <w:position w:val="0"/>
          <w:sz w:val="28"/>
          <w:szCs w:val="28"/>
          <w:highlight w:val="none"/>
          <w:lang w:val="en-US" w:eastAsia="zh-CN" w:bidi="zh-CN"/>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33" w:name="_Toc14393"/>
      <w:bookmarkStart w:id="134" w:name="_Toc388"/>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2 </w:t>
      </w:r>
      <w:r>
        <w:rPr>
          <w:rFonts w:hint="eastAsia" w:ascii="宋体" w:hAnsi="宋体" w:eastAsia="宋体" w:cs="宋体"/>
          <w:b/>
          <w:color w:val="auto"/>
          <w:spacing w:val="0"/>
          <w:w w:val="100"/>
          <w:position w:val="0"/>
          <w:sz w:val="28"/>
          <w:szCs w:val="28"/>
          <w:highlight w:val="none"/>
          <w:lang w:val="en-US" w:eastAsia="zh-CN" w:bidi="zh-CN"/>
        </w:rPr>
        <w:t>分项报价表</w:t>
      </w:r>
      <w:bookmarkEnd w:id="133"/>
      <w:bookmarkEnd w:id="134"/>
    </w:p>
    <w:p>
      <w:pPr>
        <w:widowControl w:val="0"/>
        <w:shd w:val="clear"/>
        <w:autoSpaceDE w:val="0"/>
        <w:autoSpaceDN w:val="0"/>
        <w:spacing w:before="159"/>
        <w:ind w:right="-90"/>
        <w:jc w:val="center"/>
        <w:outlineLvl w:val="9"/>
        <w:rPr>
          <w:rFonts w:hint="eastAsia" w:ascii="宋体" w:hAnsi="宋体" w:eastAsia="宋体" w:cs="宋体"/>
          <w:b/>
          <w:color w:val="auto"/>
          <w:spacing w:val="0"/>
          <w:w w:val="100"/>
          <w:position w:val="0"/>
          <w:sz w:val="28"/>
          <w:szCs w:val="28"/>
          <w:highlight w:val="none"/>
          <w:lang w:val="zh-CN" w:eastAsia="zh-CN" w:bidi="zh-CN"/>
        </w:rPr>
      </w:pPr>
      <w:r>
        <w:rPr>
          <w:rFonts w:hint="eastAsia" w:ascii="宋体" w:hAnsi="宋体" w:eastAsia="宋体" w:cs="宋体"/>
          <w:b/>
          <w:color w:val="auto"/>
          <w:spacing w:val="0"/>
          <w:w w:val="100"/>
          <w:position w:val="0"/>
          <w:sz w:val="28"/>
          <w:szCs w:val="28"/>
          <w:highlight w:val="none"/>
          <w:lang w:val="en-US" w:eastAsia="zh-CN" w:bidi="zh-CN"/>
        </w:rPr>
        <w:t>分项报价表</w:t>
      </w:r>
    </w:p>
    <w:p>
      <w:pPr>
        <w:widowControl w:val="0"/>
        <w:shd w:val="clear"/>
        <w:autoSpaceDE w:val="0"/>
        <w:autoSpaceDN w:val="0"/>
        <w:spacing w:before="159"/>
        <w:ind w:right="-90"/>
        <w:jc w:val="center"/>
        <w:outlineLvl w:val="9"/>
        <w:rPr>
          <w:rFonts w:hint="eastAsia" w:ascii="宋体" w:hAnsi="宋体" w:eastAsia="宋体" w:cs="宋体"/>
          <w:color w:val="auto"/>
          <w:spacing w:val="0"/>
          <w:w w:val="100"/>
          <w:position w:val="0"/>
          <w:sz w:val="22"/>
          <w:szCs w:val="22"/>
          <w:highlight w:val="none"/>
          <w:lang w:val="zh-CN" w:eastAsia="zh-CN" w:bidi="zh-CN"/>
        </w:rPr>
      </w:pP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项目编号：</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spacing w:before="1" w:after="0" w:line="240" w:lineRule="auto"/>
        <w:ind w:left="240" w:right="0"/>
        <w:jc w:val="righ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价格单位：人民币元</w:t>
      </w:r>
    </w:p>
    <w:tbl>
      <w:tblPr>
        <w:tblStyle w:val="45"/>
        <w:tblW w:w="97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4700"/>
        <w:gridCol w:w="1391"/>
        <w:gridCol w:w="1378"/>
        <w:gridCol w:w="1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707" w:type="dxa"/>
            <w:vAlign w:val="center"/>
          </w:tcPr>
          <w:p>
            <w:pPr>
              <w:widowControl/>
              <w:kinsoku w:val="0"/>
              <w:adjustRightInd w:val="0"/>
              <w:snapToGrid w:val="0"/>
              <w:spacing w:before="40" w:after="0" w:line="224" w:lineRule="auto"/>
              <w:ind w:left="0" w:leftChars="0" w:right="0" w:rightChars="0" w:firstLine="0" w:firstLineChars="0"/>
              <w:jc w:val="center"/>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序号</w:t>
            </w:r>
          </w:p>
        </w:tc>
        <w:tc>
          <w:tcPr>
            <w:tcW w:w="4700" w:type="dxa"/>
            <w:vAlign w:val="center"/>
          </w:tcPr>
          <w:p>
            <w:pPr>
              <w:widowControl/>
              <w:kinsoku w:val="0"/>
              <w:adjustRightInd w:val="0"/>
              <w:snapToGrid w:val="0"/>
              <w:spacing w:before="40" w:after="0" w:line="224" w:lineRule="auto"/>
              <w:ind w:left="0" w:leftChars="0" w:right="0" w:rightChars="0" w:firstLine="0" w:firstLineChars="0"/>
              <w:jc w:val="center"/>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分项名称</w:t>
            </w:r>
          </w:p>
        </w:tc>
        <w:tc>
          <w:tcPr>
            <w:tcW w:w="1391" w:type="dxa"/>
            <w:vAlign w:val="center"/>
          </w:tcPr>
          <w:p>
            <w:pPr>
              <w:widowControl/>
              <w:kinsoku w:val="0"/>
              <w:adjustRightInd w:val="0"/>
              <w:snapToGrid w:val="0"/>
              <w:spacing w:before="40" w:after="0" w:line="224" w:lineRule="auto"/>
              <w:ind w:left="0" w:leftChars="0" w:right="0" w:rightChars="0" w:firstLine="0" w:firstLineChars="0"/>
              <w:jc w:val="center"/>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单价</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rPr>
              <w:t>元</w:t>
            </w:r>
            <w:r>
              <w:rPr>
                <w:rFonts w:hint="eastAsia" w:ascii="宋体" w:hAnsi="宋体" w:eastAsia="宋体" w:cs="宋体"/>
                <w:smallCaps w:val="0"/>
                <w:snapToGrid w:val="0"/>
                <w:color w:val="auto"/>
                <w:spacing w:val="0"/>
                <w:kern w:val="0"/>
                <w:position w:val="0"/>
                <w:sz w:val="23"/>
                <w:szCs w:val="23"/>
                <w:lang w:eastAsia="zh-CN"/>
              </w:rPr>
              <w:t>）</w:t>
            </w:r>
          </w:p>
        </w:tc>
        <w:tc>
          <w:tcPr>
            <w:tcW w:w="1378" w:type="dxa"/>
            <w:vAlign w:val="center"/>
          </w:tcPr>
          <w:p>
            <w:pPr>
              <w:widowControl/>
              <w:kinsoku w:val="0"/>
              <w:adjustRightInd w:val="0"/>
              <w:snapToGrid w:val="0"/>
              <w:spacing w:before="40" w:after="0" w:line="224" w:lineRule="auto"/>
              <w:ind w:left="0" w:leftChars="0" w:right="0" w:rightChars="0" w:firstLine="0" w:firstLineChars="0"/>
              <w:jc w:val="center"/>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合价</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rPr>
              <w:t>元</w:t>
            </w:r>
            <w:r>
              <w:rPr>
                <w:rFonts w:hint="eastAsia" w:ascii="宋体" w:hAnsi="宋体" w:eastAsia="宋体" w:cs="宋体"/>
                <w:smallCaps w:val="0"/>
                <w:snapToGrid w:val="0"/>
                <w:color w:val="auto"/>
                <w:spacing w:val="0"/>
                <w:kern w:val="0"/>
                <w:position w:val="0"/>
                <w:sz w:val="23"/>
                <w:szCs w:val="23"/>
                <w:lang w:eastAsia="zh-CN"/>
              </w:rPr>
              <w:t>）</w:t>
            </w:r>
          </w:p>
        </w:tc>
        <w:tc>
          <w:tcPr>
            <w:tcW w:w="1527" w:type="dxa"/>
            <w:vAlign w:val="center"/>
          </w:tcPr>
          <w:p>
            <w:pPr>
              <w:widowControl/>
              <w:kinsoku w:val="0"/>
              <w:adjustRightInd w:val="0"/>
              <w:snapToGrid w:val="0"/>
              <w:spacing w:before="0" w:after="0" w:line="317" w:lineRule="exact"/>
              <w:ind w:left="0" w:leftChars="0" w:right="0" w:rightChars="0" w:firstLine="0" w:firstLineChars="0"/>
              <w:jc w:val="center"/>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备注</w:t>
            </w:r>
            <w:r>
              <w:rPr>
                <w:rFonts w:hint="eastAsia" w:ascii="宋体" w:hAnsi="宋体" w:eastAsia="宋体" w:cs="宋体"/>
                <w:b/>
                <w:bCs/>
                <w:smallCaps w:val="0"/>
                <w:snapToGrid w:val="0"/>
                <w:color w:val="auto"/>
                <w:spacing w:val="0"/>
                <w:kern w:val="0"/>
                <w:position w:val="0"/>
                <w:sz w:val="23"/>
                <w:szCs w:val="23"/>
              </w:rPr>
              <w:t>/</w:t>
            </w:r>
            <w:r>
              <w:rPr>
                <w:rFonts w:hint="eastAsia" w:ascii="宋体" w:hAnsi="宋体" w:eastAsia="宋体" w:cs="宋体"/>
                <w:smallCaps w:val="0"/>
                <w:snapToGrid w:val="0"/>
                <w:color w:val="auto"/>
                <w:spacing w:val="0"/>
                <w:kern w:val="0"/>
                <w:position w:val="0"/>
                <w:sz w:val="23"/>
                <w:szCs w:val="23"/>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707" w:type="dxa"/>
            <w:vAlign w:val="top"/>
          </w:tcPr>
          <w:p>
            <w:pPr>
              <w:widowControl/>
              <w:kinsoku w:val="0"/>
              <w:adjustRightInd w:val="0"/>
              <w:snapToGrid w:val="0"/>
              <w:spacing w:before="174" w:after="0" w:line="195" w:lineRule="auto"/>
              <w:ind w:left="318"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1</w:t>
            </w:r>
          </w:p>
        </w:tc>
        <w:tc>
          <w:tcPr>
            <w:tcW w:w="4700"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391"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378"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527"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707" w:type="dxa"/>
            <w:vAlign w:val="top"/>
          </w:tcPr>
          <w:p>
            <w:pPr>
              <w:widowControl/>
              <w:kinsoku w:val="0"/>
              <w:adjustRightInd w:val="0"/>
              <w:snapToGrid w:val="0"/>
              <w:spacing w:before="130" w:after="0" w:line="195" w:lineRule="auto"/>
              <w:ind w:left="295"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2</w:t>
            </w:r>
          </w:p>
        </w:tc>
        <w:tc>
          <w:tcPr>
            <w:tcW w:w="4700"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391"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378"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527"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707" w:type="dxa"/>
            <w:vAlign w:val="top"/>
          </w:tcPr>
          <w:p>
            <w:pPr>
              <w:widowControl/>
              <w:kinsoku w:val="0"/>
              <w:adjustRightInd w:val="0"/>
              <w:snapToGrid w:val="0"/>
              <w:spacing w:before="127" w:after="0" w:line="194" w:lineRule="auto"/>
              <w:ind w:left="300"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3</w:t>
            </w:r>
          </w:p>
        </w:tc>
        <w:tc>
          <w:tcPr>
            <w:tcW w:w="4700" w:type="dxa"/>
            <w:vAlign w:val="top"/>
          </w:tcPr>
          <w:p>
            <w:pPr>
              <w:widowControl/>
              <w:kinsoku w:val="0"/>
              <w:adjustRightInd w:val="0"/>
              <w:snapToGrid w:val="0"/>
              <w:spacing w:before="268" w:after="0" w:line="72" w:lineRule="exact"/>
              <w:ind w:left="131"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w:t>
            </w:r>
          </w:p>
        </w:tc>
        <w:tc>
          <w:tcPr>
            <w:tcW w:w="1391"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378"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527"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798" w:type="dxa"/>
            <w:gridSpan w:val="3"/>
            <w:vAlign w:val="top"/>
          </w:tcPr>
          <w:p>
            <w:pPr>
              <w:widowControl/>
              <w:kinsoku w:val="0"/>
              <w:adjustRightInd w:val="0"/>
              <w:snapToGrid w:val="0"/>
              <w:spacing w:before="86" w:after="0" w:line="227" w:lineRule="auto"/>
              <w:ind w:left="120"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 xml:space="preserve">总价 </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rPr>
              <w:t>元</w:t>
            </w:r>
            <w:r>
              <w:rPr>
                <w:rFonts w:hint="eastAsia" w:ascii="宋体" w:hAnsi="宋体" w:eastAsia="宋体" w:cs="宋体"/>
                <w:smallCaps w:val="0"/>
                <w:snapToGrid w:val="0"/>
                <w:color w:val="auto"/>
                <w:spacing w:val="0"/>
                <w:kern w:val="0"/>
                <w:position w:val="0"/>
                <w:sz w:val="23"/>
                <w:szCs w:val="23"/>
                <w:lang w:eastAsia="zh-CN"/>
              </w:rPr>
              <w:t>）</w:t>
            </w:r>
          </w:p>
        </w:tc>
        <w:tc>
          <w:tcPr>
            <w:tcW w:w="1378"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527"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r>
    </w:tbl>
    <w:p>
      <w:pPr>
        <w:widowControl w:val="0"/>
        <w:autoSpaceDE w:val="0"/>
        <w:autoSpaceDN w:val="0"/>
        <w:spacing w:before="4" w:after="0" w:line="240" w:lineRule="auto"/>
        <w:ind w:left="0" w:right="0"/>
        <w:jc w:val="left"/>
        <w:rPr>
          <w:rFonts w:hint="eastAsia" w:ascii="宋体" w:hAnsi="宋体" w:eastAsia="宋体" w:cs="宋体"/>
          <w:smallCaps w:val="0"/>
          <w:color w:val="auto"/>
          <w:spacing w:val="0"/>
          <w:position w:val="0"/>
          <w:sz w:val="10"/>
          <w:szCs w:val="21"/>
          <w:highlight w:val="none"/>
          <w:lang w:val="zh-CN" w:eastAsia="zh-CN" w:bidi="zh-CN"/>
        </w:rPr>
      </w:pPr>
    </w:p>
    <w:p>
      <w:pPr>
        <w:widowControl w:val="0"/>
        <w:spacing w:before="0" w:after="0" w:line="360" w:lineRule="auto"/>
        <w:ind w:left="0" w:right="0"/>
        <w:jc w:val="both"/>
        <w:rPr>
          <w:rFonts w:hint="eastAsia" w:ascii="宋体" w:hAnsi="宋体" w:eastAsia="宋体" w:cs="宋体"/>
          <w:color w:val="000000"/>
          <w:kern w:val="2"/>
          <w:sz w:val="21"/>
          <w:szCs w:val="20"/>
          <w:lang w:val="en-US" w:eastAsia="zh-CN" w:bidi="ar-SA"/>
        </w:rPr>
      </w:pPr>
      <w:r>
        <w:rPr>
          <w:rFonts w:hint="eastAsia" w:ascii="宋体" w:hAnsi="宋体" w:eastAsia="宋体" w:cs="宋体"/>
          <w:color w:val="000000"/>
          <w:kern w:val="2"/>
          <w:sz w:val="21"/>
          <w:szCs w:val="20"/>
          <w:lang w:val="en-US" w:eastAsia="zh-CN" w:bidi="ar-SA"/>
        </w:rPr>
        <w:t>附件：</w:t>
      </w:r>
    </w:p>
    <w:tbl>
      <w:tblPr>
        <w:tblStyle w:val="32"/>
        <w:tblW w:w="86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1575"/>
        <w:gridCol w:w="1260"/>
        <w:gridCol w:w="1245"/>
        <w:gridCol w:w="1538"/>
        <w:gridCol w:w="1170"/>
        <w:gridCol w:w="9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2" w:hRule="atLeast"/>
          <w:jc w:val="center"/>
        </w:trPr>
        <w:tc>
          <w:tcPr>
            <w:tcW w:w="85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序号</w:t>
            </w:r>
          </w:p>
        </w:tc>
        <w:tc>
          <w:tcPr>
            <w:tcW w:w="157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服务名称</w:t>
            </w:r>
          </w:p>
        </w:tc>
        <w:tc>
          <w:tcPr>
            <w:tcW w:w="1260"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服务范围</w:t>
            </w:r>
          </w:p>
        </w:tc>
        <w:tc>
          <w:tcPr>
            <w:tcW w:w="124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服务要求</w:t>
            </w:r>
          </w:p>
        </w:tc>
        <w:tc>
          <w:tcPr>
            <w:tcW w:w="1538"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smallCaps w:val="0"/>
                <w:color w:val="auto"/>
                <w:spacing w:val="0"/>
                <w:kern w:val="0"/>
                <w:position w:val="0"/>
                <w:sz w:val="21"/>
                <w:szCs w:val="21"/>
                <w:highlight w:val="none"/>
                <w:lang w:val="zh-CN" w:eastAsia="zh-CN" w:bidi="zh-CN"/>
              </w:rPr>
              <w:t>合同履行期限</w:t>
            </w:r>
          </w:p>
        </w:tc>
        <w:tc>
          <w:tcPr>
            <w:tcW w:w="1170"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服务标准</w:t>
            </w:r>
          </w:p>
        </w:tc>
        <w:tc>
          <w:tcPr>
            <w:tcW w:w="996"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1" w:hRule="atLeast"/>
          <w:jc w:val="center"/>
        </w:trPr>
        <w:tc>
          <w:tcPr>
            <w:tcW w:w="85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57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260"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24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538"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170"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996"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r>
    </w:tbl>
    <w:p>
      <w:pPr>
        <w:widowControl/>
        <w:kinsoku w:val="0"/>
        <w:adjustRightInd w:val="0"/>
        <w:snapToGrid w:val="0"/>
        <w:spacing w:before="74" w:after="0" w:line="227" w:lineRule="auto"/>
        <w:ind w:left="122" w:right="0"/>
        <w:jc w:val="left"/>
        <w:textAlignment w:val="baseline"/>
        <w:rPr>
          <w:rFonts w:hint="eastAsia" w:ascii="宋体" w:hAnsi="宋体" w:eastAsia="宋体" w:cs="宋体"/>
          <w:smallCaps w:val="0"/>
          <w:snapToGrid w:val="0"/>
          <w:color w:val="auto"/>
          <w:spacing w:val="0"/>
          <w:kern w:val="0"/>
          <w:position w:val="0"/>
          <w:sz w:val="23"/>
          <w:szCs w:val="23"/>
        </w:rPr>
      </w:pPr>
    </w:p>
    <w:p>
      <w:pPr>
        <w:widowControl/>
        <w:kinsoku w:val="0"/>
        <w:adjustRightInd w:val="0"/>
        <w:snapToGrid w:val="0"/>
        <w:spacing w:before="74" w:after="0" w:line="227" w:lineRule="auto"/>
        <w:ind w:left="122"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注：1.本表应按</w:t>
      </w:r>
      <w:r>
        <w:rPr>
          <w:rFonts w:hint="eastAsia" w:ascii="宋体" w:hAnsi="宋体" w:eastAsia="宋体" w:cs="宋体"/>
          <w:smallCaps w:val="0"/>
          <w:snapToGrid w:val="0"/>
          <w:color w:val="auto"/>
          <w:spacing w:val="0"/>
          <w:kern w:val="0"/>
          <w:position w:val="0"/>
          <w:sz w:val="23"/>
          <w:szCs w:val="23"/>
          <w:lang w:val="en-US" w:eastAsia="zh-CN"/>
        </w:rPr>
        <w:t>标项</w:t>
      </w:r>
      <w:r>
        <w:rPr>
          <w:rFonts w:hint="eastAsia" w:ascii="宋体" w:hAnsi="宋体" w:eastAsia="宋体" w:cs="宋体"/>
          <w:smallCaps w:val="0"/>
          <w:snapToGrid w:val="0"/>
          <w:color w:val="auto"/>
          <w:spacing w:val="0"/>
          <w:kern w:val="0"/>
          <w:position w:val="0"/>
          <w:sz w:val="23"/>
          <w:szCs w:val="23"/>
        </w:rPr>
        <w:t>分别填写。</w:t>
      </w:r>
    </w:p>
    <w:p>
      <w:pPr>
        <w:widowControl/>
        <w:kinsoku w:val="0"/>
        <w:adjustRightInd w:val="0"/>
        <w:snapToGrid w:val="0"/>
        <w:spacing w:before="29" w:after="0" w:line="309" w:lineRule="exact"/>
        <w:ind w:left="598"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2.如果不提供分项报价将视为没有实质性响应</w:t>
      </w:r>
      <w:r>
        <w:rPr>
          <w:rFonts w:hint="eastAsia" w:ascii="宋体" w:hAnsi="宋体" w:eastAsia="宋体" w:cs="宋体"/>
          <w:smallCaps w:val="0"/>
          <w:snapToGrid w:val="0"/>
          <w:color w:val="auto"/>
          <w:spacing w:val="0"/>
          <w:kern w:val="0"/>
          <w:position w:val="0"/>
          <w:sz w:val="23"/>
          <w:szCs w:val="23"/>
          <w:lang w:val="en-US" w:eastAsia="zh-CN"/>
        </w:rPr>
        <w:t>招标</w:t>
      </w:r>
      <w:r>
        <w:rPr>
          <w:rFonts w:hint="eastAsia" w:ascii="宋体" w:hAnsi="宋体" w:eastAsia="宋体" w:cs="宋体"/>
          <w:smallCaps w:val="0"/>
          <w:snapToGrid w:val="0"/>
          <w:color w:val="auto"/>
          <w:spacing w:val="0"/>
          <w:kern w:val="0"/>
          <w:position w:val="0"/>
          <w:sz w:val="23"/>
          <w:szCs w:val="23"/>
        </w:rPr>
        <w:t>文件。</w:t>
      </w:r>
    </w:p>
    <w:p>
      <w:pPr>
        <w:widowControl/>
        <w:kinsoku w:val="0"/>
        <w:adjustRightInd w:val="0"/>
        <w:snapToGrid w:val="0"/>
        <w:spacing w:before="0" w:after="0" w:line="228" w:lineRule="auto"/>
        <w:ind w:left="603"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3.上述各项的详细规格</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rPr>
        <w:t>如有</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rPr>
        <w:t>，可另页描述。</w:t>
      </w:r>
    </w:p>
    <w:p>
      <w:pPr>
        <w:widowControl/>
        <w:kinsoku w:val="0"/>
        <w:adjustRightInd w:val="0"/>
        <w:snapToGrid w:val="0"/>
        <w:spacing w:before="29" w:after="0" w:line="309" w:lineRule="exact"/>
        <w:ind w:left="598" w:right="0"/>
        <w:jc w:val="left"/>
        <w:textAlignment w:val="baseline"/>
        <w:rPr>
          <w:rFonts w:hint="eastAsia" w:ascii="宋体" w:hAnsi="宋体" w:eastAsia="宋体" w:cs="宋体"/>
          <w:smallCaps w:val="0"/>
          <w:snapToGrid w:val="0"/>
          <w:color w:val="auto"/>
          <w:spacing w:val="0"/>
          <w:kern w:val="0"/>
          <w:position w:val="0"/>
          <w:sz w:val="23"/>
          <w:szCs w:val="23"/>
          <w:lang w:val="en-US" w:eastAsia="zh-CN"/>
        </w:rPr>
      </w:pPr>
      <w:r>
        <w:rPr>
          <w:rFonts w:hint="eastAsia" w:ascii="宋体" w:hAnsi="宋体" w:eastAsia="宋体" w:cs="宋体"/>
          <w:smallCaps w:val="0"/>
          <w:snapToGrid w:val="0"/>
          <w:color w:val="auto"/>
          <w:spacing w:val="0"/>
          <w:kern w:val="0"/>
          <w:position w:val="0"/>
          <w:sz w:val="23"/>
          <w:szCs w:val="23"/>
        </w:rPr>
        <w:t>4、附件信息必须填写</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lang w:val="en-US" w:eastAsia="zh-CN"/>
        </w:rPr>
        <w:t>按项目整体填写。</w:t>
      </w:r>
    </w:p>
    <w:p>
      <w:pPr>
        <w:widowControl w:val="0"/>
        <w:shd w:val="clear"/>
        <w:autoSpaceDE w:val="0"/>
        <w:autoSpaceDN w:val="0"/>
        <w:spacing w:line="360" w:lineRule="auto"/>
        <w:outlineLvl w:val="9"/>
        <w:rPr>
          <w:rFonts w:hint="eastAsia" w:ascii="宋体" w:hAnsi="宋体" w:eastAsia="宋体" w:cs="宋体"/>
          <w:color w:val="auto"/>
          <w:spacing w:val="0"/>
          <w:w w:val="100"/>
          <w:position w:val="0"/>
          <w:sz w:val="22"/>
          <w:szCs w:val="22"/>
          <w:highlight w:val="none"/>
          <w:lang w:val="zh-CN" w:eastAsia="zh-CN" w:bidi="zh-CN"/>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color w:val="auto"/>
          <w:highlight w:val="none"/>
        </w:rPr>
      </w:pP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spacing w:before="43" w:after="0" w:line="240" w:lineRule="auto"/>
        <w:ind w:left="363" w:right="437"/>
        <w:jc w:val="center"/>
        <w:outlineLvl w:val="1"/>
        <w:rPr>
          <w:rFonts w:hint="eastAsia" w:ascii="宋体" w:hAnsi="宋体" w:eastAsia="宋体" w:cs="宋体"/>
          <w:b/>
          <w:bCs/>
          <w:smallCaps w:val="0"/>
          <w:color w:val="auto"/>
          <w:spacing w:val="0"/>
          <w:position w:val="0"/>
          <w:sz w:val="28"/>
          <w:szCs w:val="28"/>
          <w:highlight w:val="none"/>
          <w:lang w:val="en-US" w:eastAsia="zh-CN" w:bidi="zh-CN"/>
        </w:rPr>
      </w:pPr>
      <w:bookmarkStart w:id="135" w:name="_Toc17382"/>
      <w:bookmarkStart w:id="136" w:name="_Toc26651"/>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四</w:t>
      </w:r>
      <w:r>
        <w:rPr>
          <w:rFonts w:hint="eastAsia" w:ascii="宋体" w:hAnsi="宋体" w:eastAsia="宋体" w:cs="宋体"/>
          <w:b/>
          <w:bCs/>
          <w:smallCaps w:val="0"/>
          <w:color w:val="auto"/>
          <w:spacing w:val="0"/>
          <w:position w:val="0"/>
          <w:sz w:val="28"/>
          <w:szCs w:val="28"/>
          <w:highlight w:val="none"/>
          <w:lang w:val="zh-CN" w:eastAsia="zh-CN" w:bidi="zh-CN"/>
        </w:rPr>
        <w:t xml:space="preserve">节 </w:t>
      </w:r>
      <w:r>
        <w:rPr>
          <w:rFonts w:hint="eastAsia" w:ascii="宋体" w:hAnsi="宋体" w:eastAsia="宋体" w:cs="宋体"/>
          <w:b/>
          <w:bCs/>
          <w:smallCaps w:val="0"/>
          <w:color w:val="auto"/>
          <w:spacing w:val="0"/>
          <w:position w:val="0"/>
          <w:sz w:val="28"/>
          <w:szCs w:val="28"/>
          <w:highlight w:val="none"/>
          <w:lang w:val="en-US" w:eastAsia="zh-CN" w:bidi="zh-CN"/>
        </w:rPr>
        <w:t>政府采购政策的证明文件</w:t>
      </w:r>
      <w:bookmarkEnd w:id="135"/>
      <w:bookmarkEnd w:id="136"/>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37" w:name="_Toc29841"/>
      <w:bookmarkStart w:id="138" w:name="_Toc29157"/>
      <w:bookmarkStart w:id="139" w:name="_Toc24570"/>
      <w:r>
        <w:rPr>
          <w:rFonts w:hint="eastAsia" w:ascii="宋体" w:hAnsi="宋体" w:eastAsia="宋体" w:cs="宋体"/>
          <w:b/>
          <w:bCs/>
          <w:smallCaps w:val="0"/>
          <w:color w:val="auto"/>
          <w:spacing w:val="0"/>
          <w:position w:val="0"/>
          <w:sz w:val="28"/>
          <w:szCs w:val="28"/>
          <w:highlight w:val="none"/>
          <w:lang w:val="en-US" w:eastAsia="zh-CN" w:bidi="zh-CN"/>
        </w:rPr>
        <w:t>附件 1 中小企业声明函（服务）</w:t>
      </w:r>
      <w:bookmarkEnd w:id="137"/>
      <w:bookmarkEnd w:id="138"/>
      <w:bookmarkEnd w:id="139"/>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smallCaps w:val="0"/>
          <w:color w:val="auto"/>
          <w:spacing w:val="0"/>
          <w:w w:val="100"/>
          <w:kern w:val="0"/>
          <w:position w:val="0"/>
          <w:sz w:val="24"/>
          <w:szCs w:val="24"/>
          <w:highlight w:val="none"/>
          <w:lang w:val="zh-CN" w:bidi="zh-CN"/>
        </w:rPr>
      </w:pPr>
      <w:r>
        <w:rPr>
          <w:rFonts w:hint="eastAsia" w:ascii="宋体" w:hAnsi="宋体" w:eastAsia="宋体" w:cs="宋体"/>
          <w:b/>
          <w:smallCaps w:val="0"/>
          <w:color w:val="auto"/>
          <w:spacing w:val="0"/>
          <w:w w:val="100"/>
          <w:kern w:val="0"/>
          <w:position w:val="0"/>
          <w:sz w:val="24"/>
          <w:szCs w:val="24"/>
          <w:highlight w:val="none"/>
          <w:lang w:val="zh-CN" w:bidi="zh-CN"/>
        </w:rPr>
        <w:t>中小企业声明函（服务）</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本公司（联合体）郑重声明，根据《政府采购促进中小企业发展管理办法》（财库﹝2020﹞46 号）的规定，本公司</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（联合体）参加</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（单位名称）</w:t>
      </w: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的</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（项目名称）</w:t>
      </w: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采购活动，工程的施工单位全部为符合政策要求的中小企业（或者：服务全部由符合政策要求的中小企业承接）。相关企业（含联合 体中的中小企业、签订分包意向协议的中小企业）的具体情况如下：</w:t>
      </w:r>
    </w:p>
    <w:p>
      <w:pPr>
        <w:keepNext w:val="0"/>
        <w:keepLines w:val="0"/>
        <w:pageBreakBefore w:val="0"/>
        <w:widowControl w:val="0"/>
        <w:numPr>
          <w:ilvl w:val="0"/>
          <w:numId w:val="3"/>
        </w:numPr>
        <w:tabs>
          <w:tab w:val="left" w:pos="1143"/>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bidi="zh-CN"/>
        </w:rPr>
      </w:pP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（标的名称）</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，属于（</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采购文件中明确的所属行业）</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w:t>
      </w:r>
      <w:r>
        <w:rPr>
          <w:rFonts w:hint="eastAsia" w:ascii="宋体" w:hAnsi="宋体" w:eastAsia="宋体" w:cs="宋体"/>
          <w:i w:val="0"/>
          <w:iCs w:val="0"/>
          <w:smallCaps w:val="0"/>
          <w:color w:val="auto"/>
          <w:spacing w:val="0"/>
          <w:w w:val="100"/>
          <w:kern w:val="0"/>
          <w:position w:val="0"/>
          <w:sz w:val="21"/>
          <w:szCs w:val="21"/>
          <w:highlight w:val="none"/>
          <w:lang w:val="zh-CN" w:bidi="zh-CN"/>
        </w:rPr>
        <w:t>承建（承接）企业为</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（企业名称）</w:t>
      </w:r>
      <w:r>
        <w:rPr>
          <w:rFonts w:hint="eastAsia" w:ascii="宋体" w:hAnsi="宋体" w:eastAsia="宋体" w:cs="宋体"/>
          <w:i w:val="0"/>
          <w:iCs w:val="0"/>
          <w:smallCaps w:val="0"/>
          <w:color w:val="auto"/>
          <w:spacing w:val="0"/>
          <w:w w:val="100"/>
          <w:kern w:val="0"/>
          <w:position w:val="0"/>
          <w:sz w:val="21"/>
          <w:szCs w:val="21"/>
          <w:highlight w:val="none"/>
          <w:lang w:val="zh-CN" w:bidi="zh-CN"/>
        </w:rPr>
        <w:t>，从业人员</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ab/>
      </w:r>
      <w:r>
        <w:rPr>
          <w:rFonts w:hint="eastAsia" w:ascii="宋体" w:hAnsi="宋体" w:eastAsia="宋体" w:cs="宋体"/>
          <w:i w:val="0"/>
          <w:iCs w:val="0"/>
          <w:smallCaps w:val="0"/>
          <w:color w:val="auto"/>
          <w:spacing w:val="0"/>
          <w:w w:val="100"/>
          <w:kern w:val="0"/>
          <w:position w:val="0"/>
          <w:sz w:val="21"/>
          <w:szCs w:val="21"/>
          <w:highlight w:val="none"/>
          <w:lang w:val="zh-CN" w:bidi="zh-CN"/>
        </w:rPr>
        <w:t>人，营业收入为</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ab/>
      </w:r>
      <w:r>
        <w:rPr>
          <w:rFonts w:hint="eastAsia" w:ascii="宋体" w:hAnsi="宋体" w:eastAsia="宋体" w:cs="宋体"/>
          <w:i w:val="0"/>
          <w:iCs w:val="0"/>
          <w:smallCaps w:val="0"/>
          <w:color w:val="auto"/>
          <w:spacing w:val="0"/>
          <w:w w:val="100"/>
          <w:kern w:val="0"/>
          <w:position w:val="0"/>
          <w:sz w:val="21"/>
          <w:szCs w:val="21"/>
          <w:highlight w:val="none"/>
          <w:lang w:val="zh-CN" w:bidi="zh-CN"/>
        </w:rPr>
        <w:t>万元，资产总额为</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ab/>
      </w:r>
      <w:r>
        <w:rPr>
          <w:rFonts w:hint="eastAsia" w:ascii="宋体" w:hAnsi="宋体" w:eastAsia="宋体" w:cs="宋体"/>
          <w:i w:val="0"/>
          <w:iCs w:val="0"/>
          <w:smallCaps w:val="0"/>
          <w:color w:val="auto"/>
          <w:spacing w:val="0"/>
          <w:w w:val="100"/>
          <w:kern w:val="0"/>
          <w:position w:val="0"/>
          <w:sz w:val="21"/>
          <w:szCs w:val="21"/>
          <w:highlight w:val="none"/>
          <w:lang w:val="zh-CN" w:bidi="zh-CN"/>
        </w:rPr>
        <w:t>万元</w:t>
      </w:r>
      <w:r>
        <w:rPr>
          <w:rFonts w:hint="eastAsia" w:ascii="宋体" w:hAnsi="宋体" w:eastAsia="宋体" w:cs="宋体"/>
          <w:i w:val="0"/>
          <w:iCs w:val="0"/>
          <w:smallCaps w:val="0"/>
          <w:color w:val="auto"/>
          <w:spacing w:val="0"/>
          <w:w w:val="100"/>
          <w:kern w:val="0"/>
          <w:position w:val="0"/>
          <w:sz w:val="21"/>
          <w:szCs w:val="21"/>
          <w:highlight w:val="none"/>
          <w:lang w:val="zh-CN" w:bidi="zh-CN"/>
        </w:rPr>
        <w:fldChar w:fldCharType="begin"/>
      </w:r>
      <w:r>
        <w:rPr>
          <w:rFonts w:hint="eastAsia" w:ascii="宋体" w:hAnsi="宋体" w:eastAsia="宋体" w:cs="宋体"/>
          <w:i w:val="0"/>
          <w:iCs w:val="0"/>
          <w:smallCaps w:val="0"/>
          <w:color w:val="auto"/>
          <w:spacing w:val="0"/>
          <w:w w:val="100"/>
          <w:kern w:val="0"/>
          <w:position w:val="0"/>
          <w:sz w:val="21"/>
          <w:szCs w:val="21"/>
          <w:highlight w:val="none"/>
          <w:lang w:val="zh-CN" w:bidi="zh-CN"/>
        </w:rPr>
        <w:instrText xml:space="preserve"> HYPERLINK \l "_bookmark0" </w:instrText>
      </w:r>
      <w:r>
        <w:rPr>
          <w:rFonts w:hint="eastAsia" w:ascii="宋体" w:hAnsi="宋体" w:eastAsia="宋体" w:cs="宋体"/>
          <w:i w:val="0"/>
          <w:iCs w:val="0"/>
          <w:smallCaps w:val="0"/>
          <w:color w:val="auto"/>
          <w:spacing w:val="0"/>
          <w:w w:val="100"/>
          <w:kern w:val="0"/>
          <w:position w:val="0"/>
          <w:sz w:val="21"/>
          <w:szCs w:val="21"/>
          <w:highlight w:val="none"/>
          <w:lang w:val="zh-CN" w:bidi="zh-CN"/>
        </w:rPr>
        <w:fldChar w:fldCharType="separate"/>
      </w:r>
      <w:r>
        <w:rPr>
          <w:rFonts w:hint="eastAsia" w:ascii="宋体" w:hAnsi="宋体" w:eastAsia="宋体" w:cs="宋体"/>
          <w:i w:val="0"/>
          <w:iCs w:val="0"/>
          <w:smallCaps w:val="0"/>
          <w:color w:val="auto"/>
          <w:spacing w:val="0"/>
          <w:w w:val="100"/>
          <w:kern w:val="0"/>
          <w:position w:val="0"/>
          <w:sz w:val="21"/>
          <w:szCs w:val="21"/>
          <w:highlight w:val="none"/>
          <w:lang w:val="zh-CN" w:bidi="zh-CN"/>
        </w:rPr>
        <w:t>1</w:t>
      </w:r>
      <w:r>
        <w:rPr>
          <w:rFonts w:hint="eastAsia" w:ascii="宋体" w:hAnsi="宋体" w:eastAsia="宋体" w:cs="宋体"/>
          <w:i w:val="0"/>
          <w:iCs w:val="0"/>
          <w:smallCaps w:val="0"/>
          <w:color w:val="auto"/>
          <w:spacing w:val="0"/>
          <w:w w:val="100"/>
          <w:kern w:val="0"/>
          <w:position w:val="0"/>
          <w:sz w:val="21"/>
          <w:szCs w:val="21"/>
          <w:highlight w:val="none"/>
          <w:lang w:val="zh-CN" w:bidi="zh-CN"/>
        </w:rPr>
        <w:fldChar w:fldCharType="end"/>
      </w:r>
      <w:r>
        <w:rPr>
          <w:rFonts w:hint="eastAsia" w:ascii="宋体" w:hAnsi="宋体" w:eastAsia="宋体" w:cs="宋体"/>
          <w:i w:val="0"/>
          <w:iCs w:val="0"/>
          <w:smallCaps w:val="0"/>
          <w:color w:val="auto"/>
          <w:spacing w:val="0"/>
          <w:w w:val="100"/>
          <w:kern w:val="0"/>
          <w:position w:val="0"/>
          <w:sz w:val="21"/>
          <w:szCs w:val="21"/>
          <w:highlight w:val="none"/>
          <w:lang w:val="zh-CN" w:bidi="zh-CN"/>
        </w:rPr>
        <w:t>，属于</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（中型企业、小型企业、微型企业）</w:t>
      </w:r>
      <w:r>
        <w:rPr>
          <w:rFonts w:hint="eastAsia" w:ascii="宋体" w:hAnsi="宋体" w:eastAsia="宋体" w:cs="宋体"/>
          <w:i w:val="0"/>
          <w:iCs w:val="0"/>
          <w:smallCaps w:val="0"/>
          <w:color w:val="auto"/>
          <w:spacing w:val="0"/>
          <w:w w:val="100"/>
          <w:kern w:val="0"/>
          <w:position w:val="0"/>
          <w:sz w:val="21"/>
          <w:szCs w:val="21"/>
          <w:highlight w:val="none"/>
          <w:lang w:val="zh-CN" w:bidi="zh-CN"/>
        </w:rPr>
        <w:t>；</w:t>
      </w:r>
    </w:p>
    <w:p>
      <w:pPr>
        <w:keepNext w:val="0"/>
        <w:keepLines w:val="0"/>
        <w:pageBreakBefore w:val="0"/>
        <w:widowControl w:val="0"/>
        <w:numPr>
          <w:ilvl w:val="0"/>
          <w:numId w:val="3"/>
        </w:numPr>
        <w:tabs>
          <w:tab w:val="left" w:pos="1143"/>
          <w:tab w:val="left" w:pos="1706"/>
          <w:tab w:val="left" w:pos="4905"/>
          <w:tab w:val="left" w:pos="7113"/>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（标的名称）</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，属于（</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采购文件中明确的所属行业）</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；承建（承接）企业为</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（企业名称）</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，从业人员</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ab/>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人，营业收入为</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ab/>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万元，资产总额为</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ab/>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万元，属于</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（中型企业、小型企业、微型企业）</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企业名称（盖章）：</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日期：</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320" w:firstLineChars="200"/>
        <w:jc w:val="left"/>
        <w:textAlignment w:val="auto"/>
        <w:rPr>
          <w:rFonts w:hint="eastAsia" w:ascii="宋体" w:hAnsi="宋体" w:eastAsia="宋体" w:cs="宋体"/>
          <w:i w:val="0"/>
          <w:iCs w:val="0"/>
          <w:smallCaps w:val="0"/>
          <w:color w:val="auto"/>
          <w:spacing w:val="0"/>
          <w:w w:val="100"/>
          <w:kern w:val="0"/>
          <w:position w:val="0"/>
          <w:sz w:val="16"/>
          <w:szCs w:val="21"/>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320" w:firstLineChars="200"/>
        <w:jc w:val="left"/>
        <w:textAlignment w:val="auto"/>
        <w:rPr>
          <w:rFonts w:hint="eastAsia" w:ascii="宋体" w:hAnsi="宋体" w:eastAsia="宋体" w:cs="宋体"/>
          <w:i w:val="0"/>
          <w:iCs w:val="0"/>
          <w:smallCaps w:val="0"/>
          <w:color w:val="auto"/>
          <w:spacing w:val="0"/>
          <w:w w:val="100"/>
          <w:kern w:val="0"/>
          <w:position w:val="0"/>
          <w:sz w:val="16"/>
          <w:szCs w:val="21"/>
          <w:highlight w:val="none"/>
          <w:lang w:val="zh-CN" w:bidi="zh-CN"/>
        </w:rPr>
      </w:pPr>
      <w:r>
        <w:rPr>
          <w:rFonts w:hint="eastAsia" w:ascii="宋体" w:hAnsi="宋体" w:eastAsia="宋体" w:cs="宋体"/>
          <w:i w:val="0"/>
          <w:iCs w:val="0"/>
          <w:smallCaps w:val="0"/>
          <w:color w:val="auto"/>
          <w:spacing w:val="0"/>
          <w:w w:val="100"/>
          <w:kern w:val="0"/>
          <w:position w:val="0"/>
          <w:sz w:val="16"/>
          <w:szCs w:val="21"/>
          <w:highlight w:val="none"/>
          <w:lang w:val="en-US" w:eastAsia="zh-CN" w:bidi="zh-CN"/>
        </w:rPr>
        <w:t>注</w:t>
      </w:r>
      <w:r>
        <w:rPr>
          <w:rFonts w:hint="eastAsia" w:ascii="宋体" w:hAnsi="宋体" w:eastAsia="宋体" w:cs="宋体"/>
          <w:i w:val="0"/>
          <w:iCs w:val="0"/>
          <w:smallCaps w:val="0"/>
          <w:color w:val="auto"/>
          <w:spacing w:val="0"/>
          <w:w w:val="100"/>
          <w:kern w:val="0"/>
          <w:position w:val="0"/>
          <w:sz w:val="16"/>
          <w:szCs w:val="21"/>
          <w:highlight w:val="none"/>
          <w:lang w:val="zh-CN" w:eastAsia="zh-CN" w:bidi="zh-CN"/>
        </w:rPr>
        <w:t>1</w:t>
      </w:r>
      <w:bookmarkStart w:id="140" w:name="_bookmark0"/>
      <w:bookmarkEnd w:id="140"/>
      <w:r>
        <w:rPr>
          <w:rFonts w:hint="eastAsia" w:ascii="宋体" w:hAnsi="宋体" w:eastAsia="宋体" w:cs="宋体"/>
          <w:i w:val="0"/>
          <w:iCs w:val="0"/>
          <w:smallCaps w:val="0"/>
          <w:color w:val="auto"/>
          <w:spacing w:val="0"/>
          <w:w w:val="100"/>
          <w:kern w:val="0"/>
          <w:position w:val="0"/>
          <w:sz w:val="16"/>
          <w:szCs w:val="21"/>
          <w:highlight w:val="none"/>
          <w:lang w:val="zh-CN" w:eastAsia="zh-CN" w:bidi="zh-CN"/>
        </w:rPr>
        <w:t xml:space="preserve"> 从业人员、营业收入、资产总额</w:t>
      </w:r>
      <w:r>
        <w:rPr>
          <w:rFonts w:hint="eastAsia" w:ascii="宋体" w:hAnsi="宋体" w:eastAsia="宋体" w:cs="宋体"/>
          <w:i w:val="0"/>
          <w:iCs w:val="0"/>
          <w:smallCaps w:val="0"/>
          <w:color w:val="auto"/>
          <w:spacing w:val="0"/>
          <w:w w:val="100"/>
          <w:kern w:val="0"/>
          <w:position w:val="0"/>
          <w:sz w:val="16"/>
          <w:szCs w:val="21"/>
          <w:highlight w:val="none"/>
          <w:lang w:val="zh-CN" w:bidi="zh-CN"/>
        </w:rPr>
        <w:t>填报上一年度数据，无上一年度数据的新成立企业可不填报。</w:t>
      </w:r>
    </w:p>
    <w:p>
      <w:pPr>
        <w:spacing w:before="0" w:after="0" w:line="240" w:lineRule="auto"/>
        <w:ind w:left="0" w:right="0"/>
        <w:jc w:val="left"/>
        <w:rPr>
          <w:rFonts w:hint="eastAsia" w:ascii="宋体" w:hAnsi="宋体" w:eastAsia="宋体" w:cs="宋体"/>
          <w:b/>
          <w:smallCaps w:val="0"/>
          <w:color w:val="auto"/>
          <w:spacing w:val="0"/>
          <w:position w:val="0"/>
          <w:sz w:val="24"/>
          <w:szCs w:val="24"/>
          <w:highlight w:val="none"/>
        </w:rPr>
      </w:pPr>
      <w:r>
        <w:rPr>
          <w:rFonts w:hint="eastAsia" w:ascii="宋体" w:hAnsi="宋体" w:eastAsia="宋体" w:cs="宋体"/>
          <w:b/>
          <w:smallCaps w:val="0"/>
          <w:color w:val="auto"/>
          <w:spacing w:val="0"/>
          <w:position w:val="0"/>
          <w:sz w:val="24"/>
          <w:szCs w:val="24"/>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41" w:name="_Toc19978"/>
      <w:bookmarkStart w:id="142" w:name="_Toc13546"/>
      <w:bookmarkStart w:id="143" w:name="_Toc26991"/>
      <w:r>
        <w:rPr>
          <w:rFonts w:hint="eastAsia" w:ascii="宋体" w:hAnsi="宋体" w:eastAsia="宋体" w:cs="宋体"/>
          <w:b/>
          <w:bCs/>
          <w:smallCaps w:val="0"/>
          <w:color w:val="auto"/>
          <w:spacing w:val="0"/>
          <w:position w:val="0"/>
          <w:sz w:val="28"/>
          <w:szCs w:val="28"/>
          <w:highlight w:val="none"/>
          <w:lang w:val="en-US" w:eastAsia="zh-CN" w:bidi="zh-CN"/>
        </w:rPr>
        <w:t>附件 2 残疾人福利性单位声明函</w:t>
      </w:r>
      <w:bookmarkEnd w:id="141"/>
      <w:bookmarkEnd w:id="142"/>
      <w:bookmarkEnd w:id="143"/>
    </w:p>
    <w:p>
      <w:pPr>
        <w:spacing w:before="0" w:after="0" w:line="480" w:lineRule="exact"/>
        <w:ind w:left="0" w:right="0"/>
        <w:jc w:val="left"/>
        <w:rPr>
          <w:rFonts w:hint="eastAsia" w:ascii="宋体" w:hAnsi="宋体" w:eastAsia="宋体" w:cs="宋体"/>
          <w:b/>
          <w:smallCaps w:val="0"/>
          <w:color w:val="auto"/>
          <w:spacing w:val="0"/>
          <w:position w:val="0"/>
          <w:highlight w:val="none"/>
        </w:rPr>
      </w:pPr>
      <w:r>
        <w:rPr>
          <w:rFonts w:hint="eastAsia" w:ascii="宋体" w:hAnsi="宋体" w:eastAsia="宋体" w:cs="宋体"/>
          <w:b/>
          <w:smallCaps w:val="0"/>
          <w:color w:val="auto"/>
          <w:spacing w:val="0"/>
          <w:position w:val="0"/>
          <w:highlight w:val="none"/>
        </w:rPr>
        <w:t>残疾人福利性单位声明函（残疾人福利性单位适用，不符合的无需提供）</w:t>
      </w:r>
    </w:p>
    <w:p>
      <w:pPr>
        <w:widowControl w:val="0"/>
        <w:autoSpaceDE w:val="0"/>
        <w:autoSpaceDN w:val="0"/>
        <w:spacing w:before="161" w:after="0" w:line="240" w:lineRule="auto"/>
        <w:ind w:left="0" w:right="463"/>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供应商所报产品中有残疾人福利单位制造的货物的，应同时提交下列文件：</w:t>
      </w:r>
    </w:p>
    <w:p>
      <w:pPr>
        <w:widowControl w:val="0"/>
        <w:autoSpaceDE w:val="0"/>
        <w:autoSpaceDN w:val="0"/>
        <w:spacing w:before="158" w:after="0" w:line="240" w:lineRule="auto"/>
        <w:ind w:left="0" w:right="462"/>
        <w:jc w:val="righ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①供应商盖章的中小企业声明函，②产品制造商盖章的残疾人服务单位声明函。</w:t>
      </w:r>
    </w:p>
    <w:p>
      <w:pPr>
        <w:spacing w:before="0" w:after="0" w:line="364" w:lineRule="auto"/>
        <w:ind w:left="320" w:right="552" w:firstLine="482"/>
        <w:jc w:val="both"/>
        <w:rPr>
          <w:rFonts w:hint="eastAsia" w:ascii="宋体" w:hAnsi="宋体" w:eastAsia="宋体" w:cs="宋体"/>
          <w:b/>
          <w:smallCaps w:val="0"/>
          <w:color w:val="auto"/>
          <w:spacing w:val="0"/>
          <w:position w:val="0"/>
          <w:sz w:val="21"/>
          <w:szCs w:val="21"/>
          <w:highlight w:val="none"/>
        </w:rPr>
      </w:pPr>
      <w:r>
        <w:rPr>
          <w:rFonts w:hint="eastAsia" w:ascii="宋体" w:hAnsi="宋体" w:eastAsia="宋体" w:cs="宋体"/>
          <w:b/>
          <w:smallCaps w:val="0"/>
          <w:color w:val="auto"/>
          <w:spacing w:val="0"/>
          <w:position w:val="0"/>
          <w:sz w:val="21"/>
          <w:szCs w:val="21"/>
          <w:highlight w:val="none"/>
        </w:rPr>
        <w:t>根据《财政部 民政部 中国残疾人联合会关于促进残疾人就业政府采购政策的通知》提交的声明函</w:t>
      </w:r>
    </w:p>
    <w:p>
      <w:pPr>
        <w:spacing w:before="0" w:after="0" w:line="240" w:lineRule="auto"/>
        <w:ind w:left="0" w:right="0"/>
        <w:jc w:val="center"/>
        <w:rPr>
          <w:rFonts w:hint="eastAsia" w:ascii="宋体" w:hAnsi="宋体" w:eastAsia="宋体" w:cs="宋体"/>
          <w:b/>
          <w:bCs/>
          <w:smallCaps w:val="0"/>
          <w:color w:val="auto"/>
          <w:spacing w:val="0"/>
          <w:position w:val="0"/>
          <w:highlight w:val="none"/>
          <w:lang w:val="en-US"/>
        </w:rPr>
      </w:pPr>
      <w:r>
        <w:rPr>
          <w:rFonts w:hint="eastAsia" w:ascii="宋体" w:hAnsi="宋体" w:eastAsia="宋体" w:cs="宋体"/>
          <w:b/>
          <w:bCs/>
          <w:smallCaps w:val="0"/>
          <w:color w:val="auto"/>
          <w:spacing w:val="0"/>
          <w:position w:val="0"/>
          <w:highlight w:val="none"/>
          <w:lang w:val="en-US"/>
        </w:rPr>
        <w:t>残疾人福利性单位声明函</w:t>
      </w:r>
    </w:p>
    <w:p>
      <w:pPr>
        <w:spacing w:before="0" w:after="0" w:line="240" w:lineRule="auto"/>
        <w:ind w:left="0" w:right="0"/>
        <w:jc w:val="center"/>
        <w:rPr>
          <w:rFonts w:hint="eastAsia" w:ascii="宋体" w:hAnsi="宋体" w:eastAsia="宋体" w:cs="宋体"/>
          <w:b/>
          <w:bCs/>
          <w:smallCaps w:val="0"/>
          <w:color w:val="auto"/>
          <w:spacing w:val="0"/>
          <w:position w:val="0"/>
          <w:highlight w:val="none"/>
        </w:rPr>
      </w:pPr>
    </w:p>
    <w:p>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smallCaps w:val="0"/>
          <w:color w:val="auto"/>
          <w:spacing w:val="0"/>
          <w:position w:val="0"/>
          <w:sz w:val="21"/>
          <w:szCs w:val="21"/>
          <w:highlight w:val="none"/>
          <w:u w:val="single"/>
          <w:lang w:val="zh-CN" w:eastAsia="zh-CN" w:bidi="zh-CN"/>
        </w:rPr>
        <w:t xml:space="preserve"> 【采购人】</w:t>
      </w:r>
      <w:r>
        <w:rPr>
          <w:rFonts w:hint="eastAsia" w:ascii="宋体" w:hAnsi="宋体" w:eastAsia="宋体" w:cs="宋体"/>
          <w:smallCaps w:val="0"/>
          <w:color w:val="auto"/>
          <w:spacing w:val="0"/>
          <w:position w:val="0"/>
          <w:sz w:val="21"/>
          <w:szCs w:val="21"/>
          <w:highlight w:val="none"/>
          <w:lang w:val="zh-CN" w:eastAsia="zh-CN" w:bidi="zh-CN"/>
        </w:rPr>
        <w:t>_单位的</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【项目名称】 </w:t>
      </w:r>
      <w:r>
        <w:rPr>
          <w:rFonts w:hint="eastAsia" w:ascii="宋体" w:hAnsi="宋体" w:eastAsia="宋体" w:cs="宋体"/>
          <w:smallCaps w:val="0"/>
          <w:color w:val="auto"/>
          <w:spacing w:val="0"/>
          <w:position w:val="0"/>
          <w:sz w:val="21"/>
          <w:szCs w:val="21"/>
          <w:highlight w:val="none"/>
          <w:lang w:val="zh-CN" w:eastAsia="zh-CN" w:bidi="zh-CN"/>
        </w:rPr>
        <w:t>项目采购活动【按投标实际情况在下方选择，在□中划勾或涂黑】：</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□提供本单位制造的货物</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□由本单位提供服务</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□提供其他残疾人福利性单位制造的货物（不包括使用非残疾人福利性单位注册商标的货物）。</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本单位对上述声明的真实性负责。如有虚假，将依法承担相应责任。</w:t>
      </w:r>
    </w:p>
    <w:p>
      <w:pPr>
        <w:widowControl w:val="0"/>
        <w:autoSpaceDE w:val="0"/>
        <w:autoSpaceDN w:val="0"/>
        <w:spacing w:before="0" w:after="0" w:line="560" w:lineRule="exact"/>
        <w:ind w:left="0" w:right="0" w:firstLine="320" w:firstLineChars="200"/>
        <w:jc w:val="left"/>
        <w:rPr>
          <w:rFonts w:hint="eastAsia" w:ascii="宋体" w:hAnsi="宋体" w:eastAsia="宋体" w:cs="宋体"/>
          <w:smallCaps w:val="0"/>
          <w:color w:val="auto"/>
          <w:spacing w:val="0"/>
          <w:position w:val="0"/>
          <w:sz w:val="16"/>
          <w:szCs w:val="21"/>
          <w:highlight w:val="none"/>
          <w:lang w:val="zh-CN" w:eastAsia="zh-CN" w:bidi="zh-CN"/>
        </w:rPr>
      </w:pPr>
    </w:p>
    <w:p>
      <w:pPr>
        <w:widowControl w:val="0"/>
        <w:tabs>
          <w:tab w:val="left" w:pos="4620"/>
        </w:tabs>
        <w:autoSpaceDE w:val="0"/>
        <w:autoSpaceDN w:val="0"/>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单位名称（盖章）：</w:t>
      </w:r>
    </w:p>
    <w:p>
      <w:pPr>
        <w:widowControl w:val="0"/>
        <w:tabs>
          <w:tab w:val="left" w:pos="4620"/>
        </w:tabs>
        <w:autoSpaceDE w:val="0"/>
        <w:autoSpaceDN w:val="0"/>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日期：</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注：</w:t>
      </w:r>
    </w:p>
    <w:p>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1、符合（财库〔2017〕141 号）规定条件的残疾人福利性单位在参加政府采购活动时， 应当提供此格式文件。投标不涉及残疾人福利性单位的，无需填写此也无需提交此格式文件。</w:t>
      </w:r>
    </w:p>
    <w:p>
      <w:pPr>
        <w:widowControl w:val="0"/>
        <w:autoSpaceDE w:val="0"/>
        <w:autoSpaceDN w:val="0"/>
        <w:spacing w:before="0" w:after="0" w:line="560" w:lineRule="exact"/>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2、此表如未正确填写，评审时将不予承认。</w:t>
      </w:r>
    </w:p>
    <w:p>
      <w:pPr>
        <w:spacing w:before="0" w:after="0" w:line="560" w:lineRule="exact"/>
        <w:ind w:left="0" w:right="0" w:firstLine="420" w:firstLineChars="200"/>
        <w:jc w:val="left"/>
        <w:outlineLvl w:val="9"/>
        <w:rPr>
          <w:rFonts w:hint="eastAsia" w:ascii="宋体" w:hAnsi="宋体" w:eastAsia="宋体" w:cs="宋体"/>
          <w:b/>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3、</w:t>
      </w:r>
      <w:r>
        <w:rPr>
          <w:rFonts w:hint="eastAsia" w:cs="宋体"/>
          <w:smallCaps w:val="0"/>
          <w:color w:val="auto"/>
          <w:spacing w:val="0"/>
          <w:position w:val="0"/>
          <w:sz w:val="21"/>
          <w:szCs w:val="20"/>
          <w:highlight w:val="none"/>
          <w:lang w:eastAsia="zh-CN"/>
        </w:rPr>
        <w:t>成交</w:t>
      </w:r>
      <w:r>
        <w:rPr>
          <w:rFonts w:hint="eastAsia" w:ascii="宋体" w:hAnsi="宋体" w:eastAsia="宋体" w:cs="宋体"/>
          <w:smallCaps w:val="0"/>
          <w:color w:val="auto"/>
          <w:spacing w:val="0"/>
          <w:position w:val="0"/>
          <w:sz w:val="21"/>
          <w:szCs w:val="20"/>
          <w:highlight w:val="none"/>
        </w:rPr>
        <w:t>人享受了本</w:t>
      </w:r>
      <w:r>
        <w:rPr>
          <w:rFonts w:hint="eastAsia" w:cs="宋体"/>
          <w:smallCaps w:val="0"/>
          <w:color w:val="auto"/>
          <w:spacing w:val="0"/>
          <w:position w:val="0"/>
          <w:sz w:val="21"/>
          <w:szCs w:val="20"/>
          <w:highlight w:val="none"/>
          <w:lang w:eastAsia="zh-CN"/>
        </w:rPr>
        <w:t>采购文件</w:t>
      </w:r>
      <w:r>
        <w:rPr>
          <w:rFonts w:hint="eastAsia" w:ascii="宋体" w:hAnsi="宋体" w:eastAsia="宋体" w:cs="宋体"/>
          <w:smallCaps w:val="0"/>
          <w:color w:val="auto"/>
          <w:spacing w:val="0"/>
          <w:position w:val="0"/>
          <w:sz w:val="21"/>
          <w:szCs w:val="20"/>
          <w:highlight w:val="none"/>
        </w:rPr>
        <w:t>规定的残疾人福利性单位促进政策的，其</w:t>
      </w:r>
      <w:r>
        <w:rPr>
          <w:rFonts w:hint="eastAsia" w:ascii="宋体" w:hAnsi="宋体" w:eastAsia="宋体" w:cs="宋体"/>
          <w:b/>
          <w:smallCaps w:val="0"/>
          <w:color w:val="auto"/>
          <w:spacing w:val="0"/>
          <w:position w:val="0"/>
          <w:sz w:val="21"/>
          <w:szCs w:val="20"/>
          <w:highlight w:val="none"/>
        </w:rPr>
        <w:t>残疾人福利性单位声明函将按规定进行公告。</w:t>
      </w:r>
    </w:p>
    <w:p>
      <w:pPr>
        <w:spacing w:before="0" w:after="0" w:line="240"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44" w:name="_Toc27455"/>
      <w:bookmarkStart w:id="145" w:name="_Toc15267"/>
      <w:bookmarkStart w:id="146" w:name="_Toc4180"/>
      <w:r>
        <w:rPr>
          <w:rFonts w:hint="eastAsia" w:ascii="宋体" w:hAnsi="宋体" w:eastAsia="宋体" w:cs="宋体"/>
          <w:b/>
          <w:bCs/>
          <w:smallCaps w:val="0"/>
          <w:color w:val="auto"/>
          <w:spacing w:val="0"/>
          <w:position w:val="0"/>
          <w:sz w:val="28"/>
          <w:szCs w:val="28"/>
          <w:highlight w:val="none"/>
          <w:lang w:val="en-US" w:eastAsia="zh-CN" w:bidi="zh-CN"/>
        </w:rPr>
        <w:t>附件 3 监狱企业证明材料</w:t>
      </w:r>
      <w:bookmarkEnd w:id="144"/>
      <w:bookmarkEnd w:id="145"/>
      <w:bookmarkEnd w:id="146"/>
    </w:p>
    <w:p>
      <w:pPr>
        <w:spacing w:before="0" w:after="0" w:line="480" w:lineRule="exact"/>
        <w:ind w:left="0" w:right="0"/>
        <w:jc w:val="center"/>
        <w:outlineLvl w:val="9"/>
        <w:rPr>
          <w:rFonts w:hint="eastAsia" w:ascii="宋体" w:hAnsi="宋体" w:eastAsia="宋体" w:cs="宋体"/>
          <w:b/>
          <w:smallCaps w:val="0"/>
          <w:color w:val="auto"/>
          <w:spacing w:val="0"/>
          <w:position w:val="0"/>
          <w:highlight w:val="none"/>
        </w:rPr>
      </w:pPr>
      <w:r>
        <w:rPr>
          <w:rFonts w:hint="eastAsia" w:ascii="宋体" w:hAnsi="宋体" w:eastAsia="宋体" w:cs="宋体"/>
          <w:b/>
          <w:smallCaps w:val="0"/>
          <w:color w:val="auto"/>
          <w:spacing w:val="0"/>
          <w:position w:val="0"/>
          <w:highlight w:val="none"/>
          <w:lang w:val="en-US"/>
        </w:rPr>
        <w:t>监狱企业证明材料</w:t>
      </w:r>
      <w:r>
        <w:rPr>
          <w:rFonts w:hint="eastAsia" w:ascii="宋体" w:hAnsi="宋体" w:eastAsia="宋体" w:cs="宋体"/>
          <w:b/>
          <w:smallCaps w:val="0"/>
          <w:color w:val="auto"/>
          <w:spacing w:val="0"/>
          <w:position w:val="0"/>
          <w:highlight w:val="none"/>
        </w:rPr>
        <w:t>（不符合的无需提供）</w:t>
      </w:r>
    </w:p>
    <w:p>
      <w:pPr>
        <w:widowControl w:val="0"/>
        <w:autoSpaceDE w:val="0"/>
        <w:autoSpaceDN w:val="0"/>
        <w:spacing w:before="161" w:after="0" w:line="362" w:lineRule="auto"/>
        <w:ind w:left="0" w:right="558"/>
        <w:jc w:val="left"/>
        <w:outlineLvl w:val="9"/>
        <w:rPr>
          <w:rFonts w:hint="eastAsia" w:ascii="宋体" w:hAnsi="宋体" w:eastAsia="宋体" w:cs="宋体"/>
          <w:smallCaps w:val="0"/>
          <w:color w:val="auto"/>
          <w:spacing w:val="0"/>
          <w:position w:val="0"/>
          <w:sz w:val="21"/>
          <w:szCs w:val="21"/>
          <w:highlight w:val="none"/>
          <w:lang w:val="zh-CN" w:eastAsia="zh-CN" w:bidi="zh-CN"/>
        </w:rPr>
      </w:pPr>
      <w:bookmarkStart w:id="147" w:name="附件18_评审现场原件备查证明材料汇总表（若招标文件未要求的，可不交此表格）"/>
      <w:bookmarkEnd w:id="147"/>
      <w:r>
        <w:rPr>
          <w:rFonts w:hint="eastAsia" w:ascii="宋体" w:hAnsi="宋体" w:eastAsia="宋体" w:cs="宋体"/>
          <w:smallCaps w:val="0"/>
          <w:color w:val="auto"/>
          <w:spacing w:val="0"/>
          <w:position w:val="0"/>
          <w:sz w:val="21"/>
          <w:szCs w:val="21"/>
          <w:highlight w:val="none"/>
          <w:lang w:val="zh-CN" w:eastAsia="zh-CN" w:bidi="zh-CN"/>
        </w:rPr>
        <w:t>供应商所报产品中有监狱企业制造的货物的，应同时提交下列文件：</w:t>
      </w:r>
    </w:p>
    <w:p>
      <w:pPr>
        <w:widowControl w:val="0"/>
        <w:autoSpaceDE w:val="0"/>
        <w:autoSpaceDN w:val="0"/>
        <w:spacing w:before="161" w:after="0" w:line="362" w:lineRule="auto"/>
        <w:ind w:left="320" w:right="558" w:firstLine="479"/>
        <w:jc w:val="left"/>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①供应商盖章的中小企业声明函，②产品制造商盖章的监狱企业证明材料。</w:t>
      </w:r>
    </w:p>
    <w:p>
      <w:pPr>
        <w:widowControl w:val="0"/>
        <w:autoSpaceDE w:val="0"/>
        <w:autoSpaceDN w:val="0"/>
        <w:spacing w:before="7" w:after="0" w:line="240" w:lineRule="auto"/>
        <w:ind w:left="0" w:right="0"/>
        <w:jc w:val="left"/>
        <w:outlineLvl w:val="9"/>
        <w:rPr>
          <w:rFonts w:hint="eastAsia" w:ascii="宋体" w:hAnsi="宋体" w:eastAsia="宋体" w:cs="宋体"/>
          <w:smallCaps w:val="0"/>
          <w:color w:val="auto"/>
          <w:spacing w:val="0"/>
          <w:position w:val="0"/>
          <w:sz w:val="21"/>
          <w:szCs w:val="21"/>
          <w:highlight w:val="none"/>
          <w:lang w:val="zh-CN" w:eastAsia="zh-CN" w:bidi="zh-CN"/>
        </w:rPr>
      </w:pPr>
    </w:p>
    <w:p>
      <w:pPr>
        <w:widowControl w:val="0"/>
        <w:autoSpaceDE w:val="0"/>
        <w:autoSpaceDN w:val="0"/>
        <w:spacing w:before="0" w:after="0" w:line="364" w:lineRule="auto"/>
        <w:ind w:left="320" w:right="563" w:firstLine="479"/>
        <w:jc w:val="left"/>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根据《财政部 司法部关于政府采购支持监狱企业发展有关问题的通知（财库[2014]68 号）》的规定提交有关部门出具的证明材料。</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48" w:name="_Toc30466"/>
      <w:bookmarkStart w:id="149" w:name="_Toc3948"/>
      <w:bookmarkStart w:id="150" w:name="_Toc24405"/>
      <w:r>
        <w:rPr>
          <w:rFonts w:hint="eastAsia" w:ascii="宋体" w:hAnsi="宋体" w:eastAsia="宋体" w:cs="宋体"/>
          <w:b/>
          <w:bCs/>
          <w:smallCaps w:val="0"/>
          <w:color w:val="auto"/>
          <w:spacing w:val="0"/>
          <w:position w:val="0"/>
          <w:sz w:val="28"/>
          <w:szCs w:val="28"/>
          <w:highlight w:val="none"/>
          <w:lang w:val="en-US" w:eastAsia="zh-CN" w:bidi="zh-CN"/>
        </w:rPr>
        <w:t>附件 4 节能、环境标志产品证明材料（符合填写）</w:t>
      </w:r>
      <w:bookmarkEnd w:id="148"/>
      <w:bookmarkEnd w:id="149"/>
      <w:bookmarkEnd w:id="150"/>
    </w:p>
    <w:p>
      <w:pPr>
        <w:spacing w:before="0" w:after="0" w:line="480" w:lineRule="exact"/>
        <w:ind w:left="0" w:right="0"/>
        <w:jc w:val="center"/>
        <w:outlineLvl w:val="9"/>
        <w:rPr>
          <w:rFonts w:hint="eastAsia" w:ascii="宋体" w:hAnsi="宋体" w:eastAsia="宋体" w:cs="宋体"/>
          <w:b/>
          <w:smallCaps w:val="0"/>
          <w:color w:val="auto"/>
          <w:spacing w:val="0"/>
          <w:position w:val="0"/>
          <w:highlight w:val="none"/>
          <w:lang w:val="en-US"/>
        </w:rPr>
      </w:pPr>
      <w:r>
        <w:rPr>
          <w:rFonts w:hint="eastAsia" w:ascii="宋体" w:hAnsi="宋体" w:eastAsia="宋体" w:cs="宋体"/>
          <w:b/>
          <w:smallCaps w:val="0"/>
          <w:color w:val="auto"/>
          <w:spacing w:val="0"/>
          <w:position w:val="0"/>
          <w:highlight w:val="none"/>
          <w:lang w:val="en-US"/>
        </w:rPr>
        <w:t>节能、环境标志产品证明材料（符合填写）</w:t>
      </w:r>
    </w:p>
    <w:p>
      <w:pPr>
        <w:widowControl w:val="0"/>
        <w:autoSpaceDE w:val="0"/>
        <w:autoSpaceDN w:val="0"/>
        <w:adjustRightInd w:val="0"/>
        <w:spacing w:before="0" w:after="0" w:line="240" w:lineRule="auto"/>
        <w:ind w:left="0" w:right="0"/>
        <w:jc w:val="left"/>
        <w:outlineLvl w:val="9"/>
        <w:rPr>
          <w:rFonts w:hint="eastAsia" w:ascii="宋体" w:hAnsi="宋体" w:eastAsia="宋体" w:cs="宋体"/>
          <w:smallCaps w:val="0"/>
          <w:color w:val="auto"/>
          <w:spacing w:val="0"/>
          <w:position w:val="0"/>
          <w:sz w:val="21"/>
          <w:szCs w:val="21"/>
          <w:highlight w:val="none"/>
          <w:lang w:val="en-US" w:eastAsia="zh-CN" w:bidi="ar-SA"/>
        </w:rPr>
      </w:pP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 xml:space="preserve">（1）鼓励节能政策：在性能、技术、服务等指标同等条件下，优先采购国家确定的认证机构出具的、处于有效期之内的节能产品认证证书标志产品。投标涉及上述产品的， </w:t>
      </w:r>
      <w:r>
        <w:rPr>
          <w:rFonts w:hint="eastAsia" w:cs="宋体"/>
          <w:smallCaps w:val="0"/>
          <w:color w:val="auto"/>
          <w:spacing w:val="0"/>
          <w:position w:val="0"/>
          <w:sz w:val="21"/>
          <w:szCs w:val="21"/>
          <w:highlight w:val="none"/>
          <w:lang w:val="en-US" w:eastAsia="zh-CN"/>
        </w:rPr>
        <w:t>供应商</w:t>
      </w:r>
      <w:r>
        <w:rPr>
          <w:rFonts w:hint="eastAsia" w:ascii="宋体" w:hAnsi="宋体" w:eastAsia="宋体" w:cs="宋体"/>
          <w:smallCaps w:val="0"/>
          <w:color w:val="auto"/>
          <w:spacing w:val="0"/>
          <w:position w:val="0"/>
          <w:sz w:val="21"/>
          <w:szCs w:val="21"/>
          <w:highlight w:val="none"/>
          <w:lang w:val="en-US"/>
        </w:rPr>
        <w:t>应提供带有投标产品型号的节能产品认证证书复印件作为证明。</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（2）鼓励环保政策：在性能、技术、服务等指标同等条件下，优先采购国家确定的认证机构出具的、处于有效期之内的环境标志产品认证证书标志产品。投标涉及上述产品的，</w:t>
      </w:r>
      <w:r>
        <w:rPr>
          <w:rFonts w:hint="eastAsia" w:cs="宋体"/>
          <w:smallCaps w:val="0"/>
          <w:color w:val="auto"/>
          <w:spacing w:val="0"/>
          <w:position w:val="0"/>
          <w:sz w:val="21"/>
          <w:szCs w:val="21"/>
          <w:highlight w:val="none"/>
          <w:lang w:val="en-US" w:eastAsia="zh-CN"/>
        </w:rPr>
        <w:t>供应商</w:t>
      </w:r>
      <w:r>
        <w:rPr>
          <w:rFonts w:hint="eastAsia" w:ascii="宋体" w:hAnsi="宋体" w:eastAsia="宋体" w:cs="宋体"/>
          <w:smallCaps w:val="0"/>
          <w:color w:val="auto"/>
          <w:spacing w:val="0"/>
          <w:position w:val="0"/>
          <w:sz w:val="21"/>
          <w:szCs w:val="21"/>
          <w:highlight w:val="none"/>
          <w:lang w:val="en-US"/>
        </w:rPr>
        <w:t>应提供带有投标产品型号的环境标志产品认证证书复印件作为证明。</w:t>
      </w:r>
    </w:p>
    <w:p>
      <w:pPr>
        <w:rPr>
          <w:rFonts w:hint="eastAsia" w:ascii="宋体" w:hAnsi="宋体" w:eastAsia="宋体" w:cs="宋体"/>
          <w:b/>
          <w:color w:val="auto"/>
          <w:spacing w:val="0"/>
          <w:w w:val="100"/>
          <w:position w:val="0"/>
          <w:sz w:val="28"/>
          <w:szCs w:val="28"/>
          <w:highlight w:val="none"/>
          <w:lang w:val="en-US" w:eastAsia="zh-CN" w:bidi="zh-CN"/>
        </w:rPr>
      </w:pPr>
      <w:bookmarkStart w:id="151" w:name="_bookmark126"/>
      <w:bookmarkEnd w:id="151"/>
      <w:bookmarkStart w:id="152" w:name="_bookmark127"/>
      <w:bookmarkEnd w:id="152"/>
      <w:bookmarkStart w:id="153" w:name="_bookmark128"/>
      <w:bookmarkEnd w:id="153"/>
      <w:r>
        <w:rPr>
          <w:rFonts w:hint="eastAsia" w:ascii="宋体" w:hAnsi="宋体" w:eastAsia="宋体" w:cs="宋体"/>
          <w:b/>
          <w:color w:val="auto"/>
          <w:spacing w:val="0"/>
          <w:w w:val="100"/>
          <w:position w:val="0"/>
          <w:sz w:val="28"/>
          <w:szCs w:val="28"/>
          <w:highlight w:val="none"/>
          <w:lang w:val="en-US" w:eastAsia="zh-CN" w:bidi="zh-CN"/>
        </w:rPr>
        <w:br w:type="page"/>
      </w:r>
    </w:p>
    <w:p>
      <w:pPr>
        <w:spacing w:before="27" w:after="0" w:line="240" w:lineRule="auto"/>
        <w:ind w:left="0" w:leftChars="0" w:right="60" w:rightChars="0" w:firstLine="0" w:firstLineChars="0"/>
        <w:jc w:val="center"/>
        <w:rPr>
          <w:rFonts w:ascii="仿宋" w:hAnsi="仿宋" w:eastAsia="仿宋" w:cs="仿宋"/>
          <w:sz w:val="29"/>
        </w:rPr>
      </w:pPr>
      <w:r>
        <w:rPr>
          <w:rFonts w:ascii="仿宋" w:hAnsi="仿宋" w:eastAsia="仿宋" w:cs="仿宋"/>
          <w:b/>
          <w:bCs/>
          <w:sz w:val="28"/>
          <w:szCs w:val="28"/>
        </w:rPr>
        <w:t>政府采购活动现场确认声明书</w:t>
      </w:r>
    </w:p>
    <w:p>
      <w:pPr>
        <w:widowControl w:val="0"/>
        <w:autoSpaceDE w:val="0"/>
        <w:autoSpaceDN w:val="0"/>
        <w:spacing w:before="4" w:after="0" w:line="240" w:lineRule="auto"/>
        <w:ind w:left="0" w:right="0"/>
        <w:jc w:val="left"/>
        <w:rPr>
          <w:rFonts w:ascii="仿宋" w:hAnsi="仿宋" w:eastAsia="仿宋" w:cs="仿宋"/>
          <w:sz w:val="32"/>
          <w:szCs w:val="19"/>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新疆拓远工程管理服务有限公司：</w:t>
      </w:r>
    </w:p>
    <w:p>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本人</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（授权代表姓名），经</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（单位）</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（法定代表人姓名）合法授权参加</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（编号：</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）政府采购活动．经与本单位法人代表（负责人）联系确认，现就有关公平竞争事项郑重声明如下：</w:t>
      </w:r>
    </w:p>
    <w:p>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一、本单位与采购人之间</w:t>
      </w:r>
      <w:r>
        <w:rPr>
          <w:rFonts w:hint="eastAsia" w:ascii="宋体" w:hAnsi="宋体" w:eastAsia="宋体" w:cs="宋体"/>
          <w:sz w:val="21"/>
          <w:szCs w:val="21"/>
          <w:lang w:val="en-US" w:eastAsia="zh-CN" w:bidi="zh-CN"/>
        </w:rPr>
        <w:t xml:space="preserve"> </w:t>
      </w:r>
      <w:r>
        <w:rPr>
          <w:rFonts w:hint="eastAsia" w:ascii="宋体" w:hAnsi="宋体" w:eastAsia="宋体" w:cs="宋体"/>
          <w:sz w:val="21"/>
          <w:szCs w:val="21"/>
          <w:lang w:val="zh-CN" w:eastAsia="zh-CN" w:bidi="zh-CN"/>
        </w:rPr>
        <w:sym w:font="Wingdings" w:char="00A8"/>
      </w:r>
      <w:r>
        <w:rPr>
          <w:rFonts w:hint="eastAsia" w:ascii="宋体" w:hAnsi="宋体" w:eastAsia="宋体" w:cs="宋体"/>
          <w:sz w:val="21"/>
          <w:szCs w:val="21"/>
          <w:lang w:val="zh-CN" w:eastAsia="zh-CN" w:bidi="zh-CN"/>
        </w:rPr>
        <w:t>不存在利害关系</w:t>
      </w:r>
      <w:r>
        <w:rPr>
          <w:rFonts w:hint="eastAsia" w:ascii="宋体" w:hAnsi="宋体" w:eastAsia="宋体" w:cs="宋体"/>
          <w:sz w:val="21"/>
          <w:szCs w:val="21"/>
          <w:lang w:val="en-US" w:eastAsia="zh-CN" w:bidi="zh-CN"/>
        </w:rPr>
        <w:t xml:space="preserve"> </w:t>
      </w:r>
      <w:r>
        <w:rPr>
          <w:rFonts w:hint="eastAsia" w:ascii="宋体" w:hAnsi="宋体" w:eastAsia="宋体" w:cs="宋体"/>
          <w:sz w:val="21"/>
          <w:szCs w:val="21"/>
          <w:lang w:val="zh-CN" w:eastAsia="zh-CN" w:bidi="zh-CN"/>
        </w:rPr>
        <w:sym w:font="Wingdings" w:char="00A8"/>
      </w:r>
      <w:r>
        <w:rPr>
          <w:rFonts w:hint="eastAsia" w:ascii="宋体" w:hAnsi="宋体" w:eastAsia="宋体" w:cs="宋体"/>
          <w:sz w:val="21"/>
          <w:szCs w:val="21"/>
          <w:lang w:val="zh-CN" w:eastAsia="zh-CN" w:bidi="zh-CN"/>
        </w:rPr>
        <w:t>存在下列利害关系:</w:t>
      </w:r>
    </w:p>
    <w:p>
      <w:pPr>
        <w:keepNext w:val="0"/>
        <w:keepLines w:val="0"/>
        <w:pageBreakBefore w:val="0"/>
        <w:widowControl w:val="0"/>
        <w:tabs>
          <w:tab w:val="left" w:pos="1903"/>
          <w:tab w:val="left" w:pos="369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A．投资关系</w:t>
      </w:r>
      <w:r>
        <w:rPr>
          <w:rFonts w:hint="eastAsia" w:ascii="宋体" w:hAnsi="宋体" w:eastAsia="宋体" w:cs="宋体"/>
          <w:sz w:val="21"/>
          <w:szCs w:val="21"/>
          <w:lang w:val="en-US" w:eastAsia="zh-CN" w:bidi="zh-CN"/>
        </w:rPr>
        <w:t xml:space="preserve">  </w:t>
      </w:r>
      <w:r>
        <w:rPr>
          <w:rFonts w:hint="eastAsia" w:ascii="宋体" w:hAnsi="宋体" w:eastAsia="宋体" w:cs="宋体"/>
          <w:sz w:val="21"/>
          <w:szCs w:val="21"/>
          <w:lang w:val="zh-CN" w:eastAsia="zh-CN" w:bidi="zh-CN"/>
        </w:rPr>
        <w:t>B．行政隶属关系</w:t>
      </w:r>
      <w:r>
        <w:rPr>
          <w:rFonts w:hint="eastAsia" w:ascii="宋体" w:hAnsi="宋体" w:eastAsia="宋体" w:cs="宋体"/>
          <w:sz w:val="21"/>
          <w:szCs w:val="21"/>
          <w:lang w:val="en-US" w:eastAsia="zh-CN" w:bidi="zh-CN"/>
        </w:rPr>
        <w:t xml:space="preserve">  </w:t>
      </w:r>
      <w:r>
        <w:rPr>
          <w:rFonts w:hint="eastAsia" w:ascii="宋体" w:hAnsi="宋体" w:eastAsia="宋体" w:cs="宋体"/>
          <w:sz w:val="21"/>
          <w:szCs w:val="21"/>
          <w:lang w:val="zh-CN" w:eastAsia="zh-CN" w:bidi="zh-CN"/>
        </w:rPr>
        <w:t>C．业务指导关系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D．其他可能影响采购公正的利害关系（如有，请如实说明）。</w:t>
      </w:r>
    </w:p>
    <w:p>
      <w:pPr>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二、现</w:t>
      </w:r>
      <w:r>
        <w:rPr>
          <w:rFonts w:hint="eastAsia" w:cs="宋体"/>
          <w:sz w:val="21"/>
          <w:szCs w:val="21"/>
          <w:lang w:val="zh-CN" w:eastAsia="zh-CN" w:bidi="zh-CN"/>
        </w:rPr>
        <w:t>已</w:t>
      </w:r>
      <w:r>
        <w:rPr>
          <w:rFonts w:hint="eastAsia" w:ascii="宋体" w:hAnsi="宋体" w:eastAsia="宋体" w:cs="宋体"/>
          <w:sz w:val="21"/>
          <w:szCs w:val="21"/>
          <w:lang w:val="zh-CN" w:eastAsia="zh-CN" w:bidi="zh-CN"/>
        </w:rPr>
        <w:t>清楚知道参加本项目采购活动的其他所有供应商名称，本单位</w:t>
      </w:r>
      <w:r>
        <w:rPr>
          <w:rFonts w:hint="eastAsia" w:ascii="宋体" w:hAnsi="宋体" w:eastAsia="宋体" w:cs="宋体"/>
          <w:spacing w:val="3"/>
          <w:sz w:val="21"/>
          <w:szCs w:val="21"/>
          <w:lang w:val="zh-CN" w:eastAsia="zh-CN" w:bidi="zh-CN"/>
        </w:rPr>
        <w:t xml:space="preserve"> </w:t>
      </w:r>
      <w:r>
        <w:rPr>
          <w:rFonts w:hint="eastAsia" w:ascii="宋体" w:hAnsi="宋体" w:eastAsia="宋体" w:cs="宋体"/>
          <w:sz w:val="21"/>
          <w:szCs w:val="21"/>
          <w:lang w:val="zh-CN" w:eastAsia="zh-CN" w:bidi="zh-CN"/>
        </w:rPr>
        <w:sym w:font="Wingdings" w:char="00A8"/>
      </w:r>
      <w:r>
        <w:rPr>
          <w:rFonts w:hint="eastAsia" w:ascii="宋体" w:hAnsi="宋体" w:eastAsia="宋体" w:cs="宋体"/>
          <w:sz w:val="21"/>
          <w:szCs w:val="21"/>
          <w:lang w:val="zh-CN" w:eastAsia="zh-CN" w:bidi="zh-CN"/>
        </w:rPr>
        <w:t>与其他所有供应商之间均不存在利害关系</w:t>
      </w:r>
      <w:r>
        <w:rPr>
          <w:rFonts w:hint="eastAsia" w:ascii="宋体" w:hAnsi="宋体" w:eastAsia="宋体" w:cs="宋体"/>
          <w:spacing w:val="3"/>
          <w:sz w:val="21"/>
          <w:szCs w:val="21"/>
          <w:lang w:val="zh-CN" w:eastAsia="zh-CN" w:bidi="zh-CN"/>
        </w:rPr>
        <w:t xml:space="preserve"> </w:t>
      </w:r>
      <w:r>
        <w:rPr>
          <w:rFonts w:hint="eastAsia" w:ascii="宋体" w:hAnsi="宋体" w:eastAsia="宋体" w:cs="宋体"/>
          <w:sz w:val="21"/>
          <w:szCs w:val="21"/>
          <w:lang w:val="zh-CN" w:eastAsia="zh-CN" w:bidi="zh-CN"/>
        </w:rPr>
        <w:sym w:font="Wingdings" w:char="00A8"/>
      </w:r>
      <w:r>
        <w:rPr>
          <w:rFonts w:hint="eastAsia" w:ascii="宋体" w:hAnsi="宋体" w:eastAsia="宋体" w:cs="宋体"/>
          <w:sz w:val="21"/>
          <w:szCs w:val="21"/>
          <w:lang w:val="zh-CN" w:eastAsia="zh-CN" w:bidi="zh-CN"/>
        </w:rPr>
        <w:t>与</w:t>
      </w:r>
      <w:r>
        <w:rPr>
          <w:rFonts w:hint="eastAsia" w:ascii="宋体" w:hAnsi="宋体" w:eastAsia="宋体" w:cs="宋体"/>
          <w:sz w:val="21"/>
          <w:szCs w:val="21"/>
          <w:u w:val="single"/>
          <w:lang w:val="zh-CN" w:eastAsia="zh-CN" w:bidi="zh-CN"/>
        </w:rPr>
        <w:t xml:space="preserve"> </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（供应商名称）之间存在下列利害关系: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A．法定代表人或负责人或实际控制人是同一人</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B．法定代表人或负责人或实际控制人是夫妻关系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C</w:t>
      </w:r>
      <w:r>
        <w:rPr>
          <w:rFonts w:hint="eastAsia" w:ascii="宋体" w:hAnsi="宋体" w:eastAsia="宋体" w:cs="宋体"/>
          <w:sz w:val="21"/>
          <w:szCs w:val="21"/>
          <w:lang w:val="zh-CN" w:eastAsia="zh-CN" w:bidi="zh-CN"/>
        </w:rPr>
        <w:t>．法定代表人或负责人或实际控制人是直系血亲关系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D</w:t>
      </w:r>
      <w:r>
        <w:rPr>
          <w:rFonts w:hint="eastAsia" w:ascii="宋体" w:hAnsi="宋体" w:eastAsia="宋体" w:cs="宋体"/>
          <w:sz w:val="21"/>
          <w:szCs w:val="21"/>
          <w:lang w:val="zh-CN" w:eastAsia="zh-CN" w:bidi="zh-CN"/>
        </w:rPr>
        <w:t>．法定代表人或负责人或实际控制人存在三代以内旁系血亲关系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E．法定代表人或负责人或实际控制人存在近姻亲关系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F</w:t>
      </w:r>
      <w:r>
        <w:rPr>
          <w:rFonts w:hint="eastAsia" w:ascii="宋体" w:hAnsi="宋体" w:eastAsia="宋体" w:cs="宋体"/>
          <w:sz w:val="21"/>
          <w:szCs w:val="21"/>
          <w:lang w:val="zh-CN" w:eastAsia="zh-CN" w:bidi="zh-CN"/>
        </w:rPr>
        <w:t>．法定代表人或负责人或实际控制人存在股份控制或实际控制关系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G．存在共同直接或间接投资设立子公司、联营企业和合营企业情况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8" w:leftChars="190" w:right="0" w:firstLine="0" w:firstLineChars="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H</w:t>
      </w:r>
      <w:r>
        <w:rPr>
          <w:rFonts w:hint="eastAsia" w:ascii="宋体" w:hAnsi="宋体" w:eastAsia="宋体" w:cs="宋体"/>
          <w:sz w:val="21"/>
          <w:szCs w:val="21"/>
          <w:lang w:val="zh-CN" w:eastAsia="zh-CN" w:bidi="zh-CN"/>
        </w:rPr>
        <w:t>．存在分级代理或代销关系、同一生产制造商关系、管理关系、重要业务（占主营业务收入 50 ％以上）或重要财务往来关系（如融资）等其他实质性控制关系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I</w:t>
      </w:r>
      <w:r>
        <w:rPr>
          <w:rFonts w:hint="eastAsia" w:ascii="宋体" w:hAnsi="宋体" w:eastAsia="宋体" w:cs="宋体"/>
          <w:sz w:val="21"/>
          <w:szCs w:val="21"/>
          <w:lang w:val="zh-CN" w:eastAsia="zh-CN" w:bidi="zh-CN"/>
        </w:rPr>
        <w:t>．其他利害关系情况</w:t>
      </w:r>
      <w:r>
        <w:rPr>
          <w:rFonts w:hint="eastAsia" w:ascii="宋体" w:hAnsi="宋体" w:eastAsia="宋体" w:cs="宋体"/>
          <w:sz w:val="21"/>
          <w:szCs w:val="21"/>
          <w:u w:val="single"/>
          <w:lang w:val="zh-CN" w:eastAsia="zh-CN" w:bidi="zh-CN"/>
        </w:rPr>
        <w:t xml:space="preserve"> </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三、现</w:t>
      </w:r>
      <w:r>
        <w:rPr>
          <w:rFonts w:hint="eastAsia" w:cs="宋体"/>
          <w:sz w:val="21"/>
          <w:szCs w:val="21"/>
          <w:lang w:val="zh-CN" w:eastAsia="zh-CN" w:bidi="zh-CN"/>
        </w:rPr>
        <w:t>已</w:t>
      </w:r>
      <w:r>
        <w:rPr>
          <w:rFonts w:hint="eastAsia" w:ascii="宋体" w:hAnsi="宋体" w:eastAsia="宋体" w:cs="宋体"/>
          <w:sz w:val="21"/>
          <w:szCs w:val="21"/>
          <w:lang w:val="zh-CN" w:eastAsia="zh-CN" w:bidi="zh-CN"/>
        </w:rPr>
        <w:t>清楚知道并严格遵守政府采购法律法规和现场纪律。</w:t>
      </w:r>
    </w:p>
    <w:p>
      <w:pPr>
        <w:keepNext w:val="0"/>
        <w:keepLines w:val="0"/>
        <w:pageBreakBefore w:val="0"/>
        <w:widowControl w:val="0"/>
        <w:tabs>
          <w:tab w:val="left" w:pos="3643"/>
          <w:tab w:val="left" w:pos="843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四、我发现</w:t>
      </w:r>
      <w:r>
        <w:rPr>
          <w:rFonts w:hint="eastAsia" w:ascii="宋体" w:hAnsi="宋体" w:eastAsia="宋体" w:cs="宋体"/>
          <w:sz w:val="21"/>
          <w:szCs w:val="21"/>
          <w:u w:val="single"/>
          <w:lang w:val="zh-CN" w:eastAsia="zh-CN" w:bidi="zh-CN"/>
        </w:rPr>
        <w:t xml:space="preserve"> </w:t>
      </w:r>
      <w:r>
        <w:rPr>
          <w:rFonts w:hint="eastAsia" w:ascii="宋体" w:hAnsi="宋体" w:eastAsia="宋体" w:cs="宋体"/>
          <w:sz w:val="21"/>
          <w:szCs w:val="21"/>
          <w:u w:val="single"/>
          <w:lang w:val="en-US" w:eastAsia="zh-CN" w:bidi="zh-CN"/>
        </w:rPr>
        <w:t xml:space="preserve">     /       </w:t>
      </w:r>
      <w:r>
        <w:rPr>
          <w:rFonts w:hint="eastAsia" w:ascii="宋体" w:hAnsi="宋体" w:eastAsia="宋体" w:cs="宋体"/>
          <w:sz w:val="21"/>
          <w:szCs w:val="21"/>
          <w:lang w:val="zh-CN" w:eastAsia="zh-CN" w:bidi="zh-CN"/>
        </w:rPr>
        <w:t>供应商之间存在或可能存在上述第二条第</w:t>
      </w:r>
      <w:r>
        <w:rPr>
          <w:rFonts w:hint="eastAsia" w:ascii="宋体" w:hAnsi="宋体" w:eastAsia="宋体" w:cs="宋体"/>
          <w:sz w:val="21"/>
          <w:szCs w:val="21"/>
          <w:u w:val="single"/>
          <w:lang w:val="zh-CN" w:eastAsia="zh-CN" w:bidi="zh-CN"/>
        </w:rPr>
        <w:t xml:space="preserve"> </w:t>
      </w:r>
      <w:r>
        <w:rPr>
          <w:rFonts w:hint="eastAsia" w:ascii="宋体" w:hAnsi="宋体" w:eastAsia="宋体" w:cs="宋体"/>
          <w:sz w:val="21"/>
          <w:szCs w:val="21"/>
          <w:u w:val="single"/>
          <w:lang w:val="en-US" w:eastAsia="zh-CN" w:bidi="zh-CN"/>
        </w:rPr>
        <w:t xml:space="preserve">    /      </w:t>
      </w:r>
      <w:r>
        <w:rPr>
          <w:rFonts w:hint="eastAsia" w:ascii="宋体" w:hAnsi="宋体" w:eastAsia="宋体" w:cs="宋体"/>
          <w:sz w:val="21"/>
          <w:szCs w:val="21"/>
          <w:lang w:val="zh-CN" w:eastAsia="zh-CN" w:bidi="zh-CN"/>
        </w:rPr>
        <w:t>项利害关系。</w:t>
      </w:r>
    </w:p>
    <w:p>
      <w:pPr>
        <w:widowControl w:val="0"/>
        <w:autoSpaceDE w:val="0"/>
        <w:autoSpaceDN w:val="0"/>
        <w:spacing w:before="0" w:after="0" w:line="360" w:lineRule="auto"/>
        <w:ind w:left="0" w:right="0"/>
        <w:jc w:val="left"/>
        <w:rPr>
          <w:rFonts w:ascii="仿宋" w:hAnsi="仿宋" w:eastAsia="仿宋" w:cs="仿宋"/>
          <w:sz w:val="21"/>
          <w:szCs w:val="21"/>
          <w:lang w:val="zh-CN" w:eastAsia="zh-CN" w:bidi="zh-CN"/>
        </w:rPr>
      </w:pPr>
    </w:p>
    <w:p>
      <w:pPr>
        <w:widowControl w:val="0"/>
        <w:autoSpaceDE w:val="0"/>
        <w:autoSpaceDN w:val="0"/>
        <w:spacing w:before="2" w:after="0" w:line="360" w:lineRule="auto"/>
        <w:ind w:left="0" w:right="0"/>
        <w:jc w:val="left"/>
        <w:rPr>
          <w:rFonts w:ascii="仿宋" w:hAnsi="仿宋" w:eastAsia="仿宋" w:cs="仿宋"/>
          <w:sz w:val="21"/>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5940" w:leftChars="270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 xml:space="preserve">（供应商代表签名）: </w:t>
      </w:r>
    </w:p>
    <w:p>
      <w:pPr>
        <w:widowControl w:val="0"/>
        <w:autoSpaceDE w:val="0"/>
        <w:autoSpaceDN w:val="0"/>
        <w:adjustRightInd w:val="0"/>
        <w:spacing w:line="312" w:lineRule="atLeast"/>
        <w:ind w:left="858" w:leftChars="390" w:firstLine="6090" w:firstLineChars="2900"/>
        <w:textAlignment w:val="baseline"/>
        <w:rPr>
          <w:rFonts w:hint="eastAsia" w:ascii="宋体" w:hAnsi="宋体" w:eastAsia="仿宋" w:cs="宋体"/>
          <w:kern w:val="0"/>
          <w:sz w:val="32"/>
          <w:szCs w:val="20"/>
          <w:lang w:val="en-US" w:eastAsia="zh-CN" w:bidi="zh-CN"/>
        </w:rPr>
      </w:pPr>
      <w:r>
        <w:rPr>
          <w:rFonts w:hint="eastAsia" w:ascii="宋体" w:hAnsi="宋体" w:eastAsia="宋体" w:cs="宋体"/>
          <w:kern w:val="0"/>
          <w:sz w:val="21"/>
          <w:szCs w:val="21"/>
          <w:lang w:val="zh-CN" w:eastAsia="zh-CN" w:bidi="zh-CN"/>
        </w:rPr>
        <w:t>202</w:t>
      </w:r>
      <w:r>
        <w:rPr>
          <w:rFonts w:hint="eastAsia" w:ascii="宋体" w:hAnsi="宋体" w:eastAsia="宋体" w:cs="宋体"/>
          <w:kern w:val="0"/>
          <w:sz w:val="21"/>
          <w:szCs w:val="21"/>
          <w:lang w:val="en-US" w:eastAsia="zh-CN" w:bidi="zh-CN"/>
        </w:rPr>
        <w:t>3</w:t>
      </w:r>
      <w:r>
        <w:rPr>
          <w:rFonts w:hint="eastAsia" w:ascii="宋体" w:hAnsi="宋体" w:eastAsia="宋体" w:cs="宋体"/>
          <w:kern w:val="0"/>
          <w:sz w:val="21"/>
          <w:szCs w:val="21"/>
          <w:lang w:val="zh-CN" w:eastAsia="zh-CN" w:bidi="zh-CN"/>
        </w:rPr>
        <w:t>年</w:t>
      </w:r>
      <w:r>
        <w:rPr>
          <w:rFonts w:hint="eastAsia" w:ascii="宋体" w:hAnsi="宋体" w:eastAsia="宋体" w:cs="宋体"/>
          <w:kern w:val="0"/>
          <w:sz w:val="21"/>
          <w:szCs w:val="21"/>
          <w:lang w:val="en-US" w:eastAsia="zh-CN" w:bidi="zh-CN"/>
        </w:rPr>
        <w:t xml:space="preserve">  </w:t>
      </w:r>
      <w:r>
        <w:rPr>
          <w:rFonts w:hint="eastAsia" w:ascii="宋体" w:hAnsi="宋体" w:eastAsia="宋体" w:cs="宋体"/>
          <w:kern w:val="0"/>
          <w:sz w:val="21"/>
          <w:szCs w:val="21"/>
          <w:lang w:val="zh-CN" w:eastAsia="zh-CN" w:bidi="zh-CN"/>
        </w:rPr>
        <w:t>月</w:t>
      </w:r>
      <w:r>
        <w:rPr>
          <w:rFonts w:hint="eastAsia" w:ascii="宋体" w:hAnsi="宋体" w:eastAsia="宋体" w:cs="宋体"/>
          <w:kern w:val="0"/>
          <w:sz w:val="21"/>
          <w:szCs w:val="21"/>
          <w:lang w:val="en-US" w:eastAsia="zh-CN" w:bidi="zh-CN"/>
        </w:rPr>
        <w:t xml:space="preserve">  </w:t>
      </w:r>
      <w:r>
        <w:rPr>
          <w:rFonts w:hint="eastAsia" w:ascii="宋体" w:hAnsi="宋体" w:eastAsia="宋体" w:cs="宋体"/>
          <w:kern w:val="0"/>
          <w:sz w:val="21"/>
          <w:szCs w:val="21"/>
          <w:lang w:val="zh-CN" w:eastAsia="zh-CN" w:bidi="zh-CN"/>
        </w:rPr>
        <w:t>日</w:t>
      </w:r>
    </w:p>
    <w:p>
      <w:pPr>
        <w:pStyle w:val="16"/>
        <w:rPr>
          <w:rFonts w:hint="eastAsia"/>
          <w:lang w:val="en-US" w:eastAsia="zh-CN"/>
        </w:rPr>
      </w:pPr>
    </w:p>
    <w:sectPr>
      <w:footerReference r:id="rId6" w:type="default"/>
      <w:pgSz w:w="11910" w:h="16840"/>
      <w:pgMar w:top="1440" w:right="1080" w:bottom="1440" w:left="1080" w:header="850" w:footer="975" w:gutter="0"/>
      <w:pgBorders>
        <w:top w:val="none" w:sz="0" w:space="0"/>
        <w:left w:val="none" w:sz="0" w:space="0"/>
        <w:bottom w:val="none" w:sz="0" w:space="0"/>
        <w:right w:val="none" w:sz="0" w:space="0"/>
      </w:pgBorders>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val="0"/>
      <w:pBdr>
        <w:top w:val="none" w:color="auto" w:sz="0" w:space="1"/>
        <w:left w:val="none" w:color="auto" w:sz="0" w:space="4"/>
        <w:bottom w:val="none" w:color="auto" w:sz="0" w:space="1"/>
        <w:right w:val="none" w:color="auto" w:sz="0" w:space="4"/>
        <w:between w:val="none" w:color="auto" w:sz="0" w:space="0"/>
      </w:pBdr>
      <w:autoSpaceDE w:val="0"/>
      <w:autoSpaceDN w:val="0"/>
      <w:spacing w:line="240"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double" w:color="auto" w:sz="4" w:space="0"/>
        <w:left w:val="none" w:color="auto" w:sz="0" w:space="4"/>
        <w:bottom w:val="none" w:color="auto" w:sz="0" w:space="1"/>
        <w:right w:val="none" w:color="auto" w:sz="0" w:space="4"/>
        <w:between w:val="none" w:color="auto" w:sz="0" w:space="0"/>
      </w:pBdr>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double" w:color="auto" w:sz="4" w:space="0"/>
        <w:left w:val="none" w:color="auto" w:sz="0" w:space="4"/>
        <w:bottom w:val="none" w:color="auto" w:sz="0" w:space="1"/>
        <w:right w:val="none" w:color="auto" w:sz="0" w:space="4"/>
        <w:between w:val="none" w:color="auto" w:sz="0" w:space="0"/>
      </w:pBdr>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double" w:color="auto" w:sz="8" w:space="1"/>
      </w:pBdr>
      <w:ind w:left="0" w:leftChars="0" w:right="0" w:rightChars="0" w:firstLine="0" w:firstLineChars="0"/>
      <w:jc w:val="center"/>
      <w:rPr>
        <w:rFonts w:hint="eastAsia" w:ascii="宋体" w:hAnsi="宋体" w:eastAsia="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142" w:hanging="382"/>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1898" w:hanging="382"/>
      </w:pPr>
      <w:rPr>
        <w:rFonts w:hint="default"/>
        <w:lang w:val="zh-CN" w:eastAsia="zh-CN" w:bidi="zh-CN"/>
      </w:rPr>
    </w:lvl>
    <w:lvl w:ilvl="2" w:tentative="0">
      <w:start w:val="0"/>
      <w:numFmt w:val="bullet"/>
      <w:lvlText w:val="•"/>
      <w:lvlJc w:val="left"/>
      <w:pPr>
        <w:ind w:left="2657" w:hanging="382"/>
      </w:pPr>
      <w:rPr>
        <w:rFonts w:hint="default"/>
        <w:lang w:val="zh-CN" w:eastAsia="zh-CN" w:bidi="zh-CN"/>
      </w:rPr>
    </w:lvl>
    <w:lvl w:ilvl="3" w:tentative="0">
      <w:start w:val="0"/>
      <w:numFmt w:val="bullet"/>
      <w:lvlText w:val="•"/>
      <w:lvlJc w:val="left"/>
      <w:pPr>
        <w:ind w:left="3415" w:hanging="382"/>
      </w:pPr>
      <w:rPr>
        <w:rFonts w:hint="default"/>
        <w:lang w:val="zh-CN" w:eastAsia="zh-CN" w:bidi="zh-CN"/>
      </w:rPr>
    </w:lvl>
    <w:lvl w:ilvl="4" w:tentative="0">
      <w:start w:val="0"/>
      <w:numFmt w:val="bullet"/>
      <w:lvlText w:val="•"/>
      <w:lvlJc w:val="left"/>
      <w:pPr>
        <w:ind w:left="4174" w:hanging="382"/>
      </w:pPr>
      <w:rPr>
        <w:rFonts w:hint="default"/>
        <w:lang w:val="zh-CN" w:eastAsia="zh-CN" w:bidi="zh-CN"/>
      </w:rPr>
    </w:lvl>
    <w:lvl w:ilvl="5" w:tentative="0">
      <w:start w:val="0"/>
      <w:numFmt w:val="bullet"/>
      <w:lvlText w:val="•"/>
      <w:lvlJc w:val="left"/>
      <w:pPr>
        <w:ind w:left="4933" w:hanging="382"/>
      </w:pPr>
      <w:rPr>
        <w:rFonts w:hint="default"/>
        <w:lang w:val="zh-CN" w:eastAsia="zh-CN" w:bidi="zh-CN"/>
      </w:rPr>
    </w:lvl>
    <w:lvl w:ilvl="6" w:tentative="0">
      <w:start w:val="0"/>
      <w:numFmt w:val="bullet"/>
      <w:lvlText w:val="•"/>
      <w:lvlJc w:val="left"/>
      <w:pPr>
        <w:ind w:left="5691" w:hanging="382"/>
      </w:pPr>
      <w:rPr>
        <w:rFonts w:hint="default"/>
        <w:lang w:val="zh-CN" w:eastAsia="zh-CN" w:bidi="zh-CN"/>
      </w:rPr>
    </w:lvl>
    <w:lvl w:ilvl="7" w:tentative="0">
      <w:start w:val="0"/>
      <w:numFmt w:val="bullet"/>
      <w:lvlText w:val="•"/>
      <w:lvlJc w:val="left"/>
      <w:pPr>
        <w:ind w:left="6450" w:hanging="382"/>
      </w:pPr>
      <w:rPr>
        <w:rFonts w:hint="default"/>
        <w:lang w:val="zh-CN" w:eastAsia="zh-CN" w:bidi="zh-CN"/>
      </w:rPr>
    </w:lvl>
    <w:lvl w:ilvl="8" w:tentative="0">
      <w:start w:val="0"/>
      <w:numFmt w:val="bullet"/>
      <w:lvlText w:val="•"/>
      <w:lvlJc w:val="left"/>
      <w:pPr>
        <w:ind w:left="7208" w:hanging="382"/>
      </w:pPr>
      <w:rPr>
        <w:rFonts w:hint="default"/>
        <w:lang w:val="zh-CN" w:eastAsia="zh-CN" w:bidi="zh-CN"/>
      </w:rPr>
    </w:lvl>
  </w:abstractNum>
  <w:abstractNum w:abstractNumId="1">
    <w:nsid w:val="252BF6AB"/>
    <w:multiLevelType w:val="multilevel"/>
    <w:tmpl w:val="252BF6AB"/>
    <w:lvl w:ilvl="0" w:tentative="0">
      <w:start w:val="0"/>
      <w:numFmt w:val="bullet"/>
      <w:lvlText w:val=""/>
      <w:lvlJc w:val="left"/>
      <w:pPr>
        <w:ind w:left="528" w:hanging="421"/>
      </w:pPr>
      <w:rPr>
        <w:rFonts w:hint="default" w:ascii="Wingdings" w:hAnsi="Wingdings" w:eastAsia="Wingdings" w:cs="Wingdings"/>
        <w:w w:val="100"/>
        <w:sz w:val="24"/>
        <w:szCs w:val="24"/>
        <w:lang w:val="zh-CN" w:eastAsia="zh-CN" w:bidi="zh-CN"/>
      </w:rPr>
    </w:lvl>
    <w:lvl w:ilvl="1" w:tentative="0">
      <w:start w:val="0"/>
      <w:numFmt w:val="bullet"/>
      <w:lvlText w:val="•"/>
      <w:lvlJc w:val="left"/>
      <w:pPr>
        <w:ind w:left="1003" w:hanging="421"/>
      </w:pPr>
      <w:rPr>
        <w:rFonts w:hint="default"/>
        <w:lang w:val="zh-CN" w:eastAsia="zh-CN" w:bidi="zh-CN"/>
      </w:rPr>
    </w:lvl>
    <w:lvl w:ilvl="2" w:tentative="0">
      <w:start w:val="0"/>
      <w:numFmt w:val="bullet"/>
      <w:lvlText w:val="•"/>
      <w:lvlJc w:val="left"/>
      <w:pPr>
        <w:ind w:left="1486" w:hanging="421"/>
      </w:pPr>
      <w:rPr>
        <w:rFonts w:hint="default"/>
        <w:lang w:val="zh-CN" w:eastAsia="zh-CN" w:bidi="zh-CN"/>
      </w:rPr>
    </w:lvl>
    <w:lvl w:ilvl="3" w:tentative="0">
      <w:start w:val="0"/>
      <w:numFmt w:val="bullet"/>
      <w:lvlText w:val="•"/>
      <w:lvlJc w:val="left"/>
      <w:pPr>
        <w:ind w:left="1969" w:hanging="421"/>
      </w:pPr>
      <w:rPr>
        <w:rFonts w:hint="default"/>
        <w:lang w:val="zh-CN" w:eastAsia="zh-CN" w:bidi="zh-CN"/>
      </w:rPr>
    </w:lvl>
    <w:lvl w:ilvl="4" w:tentative="0">
      <w:start w:val="0"/>
      <w:numFmt w:val="bullet"/>
      <w:lvlText w:val="•"/>
      <w:lvlJc w:val="left"/>
      <w:pPr>
        <w:ind w:left="2453" w:hanging="421"/>
      </w:pPr>
      <w:rPr>
        <w:rFonts w:hint="default"/>
        <w:lang w:val="zh-CN" w:eastAsia="zh-CN" w:bidi="zh-CN"/>
      </w:rPr>
    </w:lvl>
    <w:lvl w:ilvl="5" w:tentative="0">
      <w:start w:val="0"/>
      <w:numFmt w:val="bullet"/>
      <w:lvlText w:val="•"/>
      <w:lvlJc w:val="left"/>
      <w:pPr>
        <w:ind w:left="2936" w:hanging="421"/>
      </w:pPr>
      <w:rPr>
        <w:rFonts w:hint="default"/>
        <w:lang w:val="zh-CN" w:eastAsia="zh-CN" w:bidi="zh-CN"/>
      </w:rPr>
    </w:lvl>
    <w:lvl w:ilvl="6" w:tentative="0">
      <w:start w:val="0"/>
      <w:numFmt w:val="bullet"/>
      <w:lvlText w:val="•"/>
      <w:lvlJc w:val="left"/>
      <w:pPr>
        <w:ind w:left="3419" w:hanging="421"/>
      </w:pPr>
      <w:rPr>
        <w:rFonts w:hint="default"/>
        <w:lang w:val="zh-CN" w:eastAsia="zh-CN" w:bidi="zh-CN"/>
      </w:rPr>
    </w:lvl>
    <w:lvl w:ilvl="7" w:tentative="0">
      <w:start w:val="0"/>
      <w:numFmt w:val="bullet"/>
      <w:lvlText w:val="•"/>
      <w:lvlJc w:val="left"/>
      <w:pPr>
        <w:ind w:left="3903" w:hanging="421"/>
      </w:pPr>
      <w:rPr>
        <w:rFonts w:hint="default"/>
        <w:lang w:val="zh-CN" w:eastAsia="zh-CN" w:bidi="zh-CN"/>
      </w:rPr>
    </w:lvl>
    <w:lvl w:ilvl="8" w:tentative="0">
      <w:start w:val="0"/>
      <w:numFmt w:val="bullet"/>
      <w:lvlText w:val="•"/>
      <w:lvlJc w:val="left"/>
      <w:pPr>
        <w:ind w:left="4386" w:hanging="421"/>
      </w:pPr>
      <w:rPr>
        <w:rFonts w:hint="default"/>
        <w:lang w:val="zh-CN" w:eastAsia="zh-CN" w:bidi="zh-CN"/>
      </w:rPr>
    </w:lvl>
  </w:abstractNum>
  <w:abstractNum w:abstractNumId="2">
    <w:nsid w:val="2FF91D0A"/>
    <w:multiLevelType w:val="multilevel"/>
    <w:tmpl w:val="2FF91D0A"/>
    <w:lvl w:ilvl="0" w:tentative="0">
      <w:start w:val="1"/>
      <w:numFmt w:val="chineseCountingThousand"/>
      <w:lvlText w:val="第%1部分"/>
      <w:lvlJc w:val="left"/>
      <w:pPr>
        <w:tabs>
          <w:tab w:val="left" w:pos="1800"/>
        </w:tabs>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pStyle w:val="5"/>
      <w:isLgl/>
      <w:lvlText w:val="%1.%2.%3.%4.%5"/>
      <w:lvlJc w:val="left"/>
      <w:pPr>
        <w:tabs>
          <w:tab w:val="left" w:pos="108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MTE5YmZhZWQwMDJlNTU4NGI0OWE5ODdkNzYxY2MifQ=="/>
  </w:docVars>
  <w:rsids>
    <w:rsidRoot w:val="00172A27"/>
    <w:rsid w:val="00191D1B"/>
    <w:rsid w:val="00247343"/>
    <w:rsid w:val="002C6D59"/>
    <w:rsid w:val="00391F6D"/>
    <w:rsid w:val="005F2623"/>
    <w:rsid w:val="00815F16"/>
    <w:rsid w:val="00923D48"/>
    <w:rsid w:val="00953D9C"/>
    <w:rsid w:val="00B34B3D"/>
    <w:rsid w:val="00C621A8"/>
    <w:rsid w:val="00E04EF4"/>
    <w:rsid w:val="00F16A52"/>
    <w:rsid w:val="00F50229"/>
    <w:rsid w:val="00F52A8D"/>
    <w:rsid w:val="00FF15D3"/>
    <w:rsid w:val="01016C58"/>
    <w:rsid w:val="011469F4"/>
    <w:rsid w:val="011E13B6"/>
    <w:rsid w:val="014A2B98"/>
    <w:rsid w:val="01502406"/>
    <w:rsid w:val="0167783B"/>
    <w:rsid w:val="01A13789"/>
    <w:rsid w:val="01C64F9D"/>
    <w:rsid w:val="01C77236"/>
    <w:rsid w:val="01CF07F7"/>
    <w:rsid w:val="01EB3AD2"/>
    <w:rsid w:val="01EC3288"/>
    <w:rsid w:val="01EE7C08"/>
    <w:rsid w:val="01F33470"/>
    <w:rsid w:val="01F55459"/>
    <w:rsid w:val="020D2BB1"/>
    <w:rsid w:val="024077BB"/>
    <w:rsid w:val="027169A6"/>
    <w:rsid w:val="02963DFC"/>
    <w:rsid w:val="02A24DBB"/>
    <w:rsid w:val="02BA3F8E"/>
    <w:rsid w:val="02BD7840"/>
    <w:rsid w:val="02CC2AF3"/>
    <w:rsid w:val="02DA1F3A"/>
    <w:rsid w:val="030374C3"/>
    <w:rsid w:val="03450828"/>
    <w:rsid w:val="034F222C"/>
    <w:rsid w:val="036068E4"/>
    <w:rsid w:val="036E7AD4"/>
    <w:rsid w:val="036F19F7"/>
    <w:rsid w:val="03A13F31"/>
    <w:rsid w:val="03AD735B"/>
    <w:rsid w:val="03DB41BC"/>
    <w:rsid w:val="03DF1EFE"/>
    <w:rsid w:val="03E823F0"/>
    <w:rsid w:val="03EC461B"/>
    <w:rsid w:val="040041CB"/>
    <w:rsid w:val="04672C75"/>
    <w:rsid w:val="04787F26"/>
    <w:rsid w:val="04AB4024"/>
    <w:rsid w:val="04DA01F9"/>
    <w:rsid w:val="051E7C51"/>
    <w:rsid w:val="052A5231"/>
    <w:rsid w:val="05382349"/>
    <w:rsid w:val="058F3BFB"/>
    <w:rsid w:val="05A243C5"/>
    <w:rsid w:val="05BB24F7"/>
    <w:rsid w:val="05BC7FAC"/>
    <w:rsid w:val="05D14BAB"/>
    <w:rsid w:val="05F33623"/>
    <w:rsid w:val="05F94865"/>
    <w:rsid w:val="062F5D80"/>
    <w:rsid w:val="064B35FA"/>
    <w:rsid w:val="0656729E"/>
    <w:rsid w:val="06594ED7"/>
    <w:rsid w:val="067B29C9"/>
    <w:rsid w:val="068A12B8"/>
    <w:rsid w:val="06A64E52"/>
    <w:rsid w:val="06AE5BB8"/>
    <w:rsid w:val="06C8586B"/>
    <w:rsid w:val="06E35D98"/>
    <w:rsid w:val="06FD4543"/>
    <w:rsid w:val="06FE205F"/>
    <w:rsid w:val="07464042"/>
    <w:rsid w:val="078D5577"/>
    <w:rsid w:val="078F1396"/>
    <w:rsid w:val="07A5520D"/>
    <w:rsid w:val="07B02294"/>
    <w:rsid w:val="07C1191B"/>
    <w:rsid w:val="080635AD"/>
    <w:rsid w:val="080D4CD5"/>
    <w:rsid w:val="082C1681"/>
    <w:rsid w:val="084F112E"/>
    <w:rsid w:val="08697386"/>
    <w:rsid w:val="086E3851"/>
    <w:rsid w:val="0881384D"/>
    <w:rsid w:val="08A3171D"/>
    <w:rsid w:val="08C416C3"/>
    <w:rsid w:val="08E41D65"/>
    <w:rsid w:val="0902043D"/>
    <w:rsid w:val="090F5FDF"/>
    <w:rsid w:val="09390057"/>
    <w:rsid w:val="094D6820"/>
    <w:rsid w:val="09862E1C"/>
    <w:rsid w:val="098E427A"/>
    <w:rsid w:val="09911A5B"/>
    <w:rsid w:val="09A3577C"/>
    <w:rsid w:val="09D208C2"/>
    <w:rsid w:val="09D63670"/>
    <w:rsid w:val="09E65371"/>
    <w:rsid w:val="09E77A51"/>
    <w:rsid w:val="0A6A44EC"/>
    <w:rsid w:val="0A874887"/>
    <w:rsid w:val="0A913826"/>
    <w:rsid w:val="0ADF4FE4"/>
    <w:rsid w:val="0AF10769"/>
    <w:rsid w:val="0AFB3396"/>
    <w:rsid w:val="0B33063C"/>
    <w:rsid w:val="0B4B57B7"/>
    <w:rsid w:val="0B62708C"/>
    <w:rsid w:val="0B645117"/>
    <w:rsid w:val="0B6D704B"/>
    <w:rsid w:val="0B7218AA"/>
    <w:rsid w:val="0B79368E"/>
    <w:rsid w:val="0B93537C"/>
    <w:rsid w:val="0BA6185D"/>
    <w:rsid w:val="0BDB2972"/>
    <w:rsid w:val="0C16127E"/>
    <w:rsid w:val="0C34716A"/>
    <w:rsid w:val="0C4043DF"/>
    <w:rsid w:val="0C4072B2"/>
    <w:rsid w:val="0C4A7B35"/>
    <w:rsid w:val="0C5409B0"/>
    <w:rsid w:val="0C551D19"/>
    <w:rsid w:val="0C795C55"/>
    <w:rsid w:val="0C7C1F41"/>
    <w:rsid w:val="0C840468"/>
    <w:rsid w:val="0CE45F64"/>
    <w:rsid w:val="0CEB0256"/>
    <w:rsid w:val="0CEC7D6C"/>
    <w:rsid w:val="0D002EE5"/>
    <w:rsid w:val="0D0C7C66"/>
    <w:rsid w:val="0D105F7E"/>
    <w:rsid w:val="0D2423F3"/>
    <w:rsid w:val="0D5010E1"/>
    <w:rsid w:val="0D643184"/>
    <w:rsid w:val="0D703BC7"/>
    <w:rsid w:val="0DBA24B0"/>
    <w:rsid w:val="0DDE30D7"/>
    <w:rsid w:val="0DF9022C"/>
    <w:rsid w:val="0E3837AB"/>
    <w:rsid w:val="0E714FCF"/>
    <w:rsid w:val="0E872AC3"/>
    <w:rsid w:val="0E8F4521"/>
    <w:rsid w:val="0E9A1130"/>
    <w:rsid w:val="0EBD0C56"/>
    <w:rsid w:val="0EF1454A"/>
    <w:rsid w:val="0EF22C57"/>
    <w:rsid w:val="0EF55A09"/>
    <w:rsid w:val="0EF835F7"/>
    <w:rsid w:val="0F281FDF"/>
    <w:rsid w:val="0F2F6775"/>
    <w:rsid w:val="0F3A1724"/>
    <w:rsid w:val="0F4B669A"/>
    <w:rsid w:val="0F89047B"/>
    <w:rsid w:val="0FC8053D"/>
    <w:rsid w:val="1000485C"/>
    <w:rsid w:val="1001144E"/>
    <w:rsid w:val="100910F7"/>
    <w:rsid w:val="1032785A"/>
    <w:rsid w:val="105F5D30"/>
    <w:rsid w:val="1068375D"/>
    <w:rsid w:val="108928D1"/>
    <w:rsid w:val="108A0FB8"/>
    <w:rsid w:val="108D1336"/>
    <w:rsid w:val="10A43400"/>
    <w:rsid w:val="10C079DD"/>
    <w:rsid w:val="10C95912"/>
    <w:rsid w:val="110F7AB9"/>
    <w:rsid w:val="1111746F"/>
    <w:rsid w:val="113C6E99"/>
    <w:rsid w:val="113E4CBE"/>
    <w:rsid w:val="114B4BFE"/>
    <w:rsid w:val="115C2CBB"/>
    <w:rsid w:val="119414E9"/>
    <w:rsid w:val="11AF7DB6"/>
    <w:rsid w:val="11B85B3D"/>
    <w:rsid w:val="11BD2FE3"/>
    <w:rsid w:val="11D268A1"/>
    <w:rsid w:val="11DA2994"/>
    <w:rsid w:val="11E55D47"/>
    <w:rsid w:val="12531C72"/>
    <w:rsid w:val="129430D4"/>
    <w:rsid w:val="12B87865"/>
    <w:rsid w:val="12DB706A"/>
    <w:rsid w:val="13031039"/>
    <w:rsid w:val="1317710E"/>
    <w:rsid w:val="1323767D"/>
    <w:rsid w:val="139D57FD"/>
    <w:rsid w:val="13E46EF2"/>
    <w:rsid w:val="13EB2643"/>
    <w:rsid w:val="141512C5"/>
    <w:rsid w:val="142B4CEC"/>
    <w:rsid w:val="142C233C"/>
    <w:rsid w:val="1460539F"/>
    <w:rsid w:val="14832247"/>
    <w:rsid w:val="14994CC1"/>
    <w:rsid w:val="149D20BA"/>
    <w:rsid w:val="14AA2906"/>
    <w:rsid w:val="14DF1632"/>
    <w:rsid w:val="152403E0"/>
    <w:rsid w:val="155F2D8B"/>
    <w:rsid w:val="15664C75"/>
    <w:rsid w:val="15AF2989"/>
    <w:rsid w:val="15DA6363"/>
    <w:rsid w:val="160C50A6"/>
    <w:rsid w:val="1615708D"/>
    <w:rsid w:val="163E5980"/>
    <w:rsid w:val="16432846"/>
    <w:rsid w:val="165A5B5C"/>
    <w:rsid w:val="165B5B9E"/>
    <w:rsid w:val="166E10EB"/>
    <w:rsid w:val="16774F30"/>
    <w:rsid w:val="16901E4C"/>
    <w:rsid w:val="16923636"/>
    <w:rsid w:val="16A455C8"/>
    <w:rsid w:val="16C108F3"/>
    <w:rsid w:val="17057DAB"/>
    <w:rsid w:val="17597D84"/>
    <w:rsid w:val="17604AFF"/>
    <w:rsid w:val="17AA6EC0"/>
    <w:rsid w:val="17B33B8E"/>
    <w:rsid w:val="17BD1D4B"/>
    <w:rsid w:val="17CB551F"/>
    <w:rsid w:val="17E82CA2"/>
    <w:rsid w:val="17ED3738"/>
    <w:rsid w:val="18057602"/>
    <w:rsid w:val="181C3517"/>
    <w:rsid w:val="181F6915"/>
    <w:rsid w:val="182444FB"/>
    <w:rsid w:val="183954E7"/>
    <w:rsid w:val="18581DEC"/>
    <w:rsid w:val="18A67734"/>
    <w:rsid w:val="18A72CDE"/>
    <w:rsid w:val="18A82C9A"/>
    <w:rsid w:val="18B32A58"/>
    <w:rsid w:val="18CA2E04"/>
    <w:rsid w:val="18CF1ECE"/>
    <w:rsid w:val="18F76D4D"/>
    <w:rsid w:val="19504BC4"/>
    <w:rsid w:val="196B6F5D"/>
    <w:rsid w:val="19E51499"/>
    <w:rsid w:val="1A1934E5"/>
    <w:rsid w:val="1A8C2C67"/>
    <w:rsid w:val="1B241F12"/>
    <w:rsid w:val="1B32617F"/>
    <w:rsid w:val="1B3A0805"/>
    <w:rsid w:val="1B585AC1"/>
    <w:rsid w:val="1BA818AF"/>
    <w:rsid w:val="1BAE55C1"/>
    <w:rsid w:val="1BB509C4"/>
    <w:rsid w:val="1BC11F07"/>
    <w:rsid w:val="1BC83EF3"/>
    <w:rsid w:val="1BE53608"/>
    <w:rsid w:val="1C0555F0"/>
    <w:rsid w:val="1C123AE8"/>
    <w:rsid w:val="1C33473D"/>
    <w:rsid w:val="1C3D1C07"/>
    <w:rsid w:val="1C53767B"/>
    <w:rsid w:val="1C5A616E"/>
    <w:rsid w:val="1CB86ED0"/>
    <w:rsid w:val="1CC63804"/>
    <w:rsid w:val="1CD23060"/>
    <w:rsid w:val="1CE4061A"/>
    <w:rsid w:val="1D10133B"/>
    <w:rsid w:val="1D1E53EE"/>
    <w:rsid w:val="1D3F2A03"/>
    <w:rsid w:val="1D4C468D"/>
    <w:rsid w:val="1D556936"/>
    <w:rsid w:val="1D684461"/>
    <w:rsid w:val="1D6D3486"/>
    <w:rsid w:val="1D6D4FA8"/>
    <w:rsid w:val="1D70376F"/>
    <w:rsid w:val="1DAD1939"/>
    <w:rsid w:val="1DC034B9"/>
    <w:rsid w:val="1DEA11A3"/>
    <w:rsid w:val="1E0813CE"/>
    <w:rsid w:val="1E262657"/>
    <w:rsid w:val="1E503A36"/>
    <w:rsid w:val="1E566482"/>
    <w:rsid w:val="1E5953A1"/>
    <w:rsid w:val="1E6C7289"/>
    <w:rsid w:val="1E7022E9"/>
    <w:rsid w:val="1E8C3750"/>
    <w:rsid w:val="1EA20220"/>
    <w:rsid w:val="1EA53B24"/>
    <w:rsid w:val="1EAE446F"/>
    <w:rsid w:val="1EB34BDE"/>
    <w:rsid w:val="1EDB5DF2"/>
    <w:rsid w:val="1EDD21E1"/>
    <w:rsid w:val="1EFA3E00"/>
    <w:rsid w:val="1F021EE1"/>
    <w:rsid w:val="1F0A2048"/>
    <w:rsid w:val="1F117A7B"/>
    <w:rsid w:val="1F304A88"/>
    <w:rsid w:val="1F3907D7"/>
    <w:rsid w:val="1F4D49CA"/>
    <w:rsid w:val="1FC61443"/>
    <w:rsid w:val="1FDD0A21"/>
    <w:rsid w:val="20033EA9"/>
    <w:rsid w:val="203969AD"/>
    <w:rsid w:val="209F2ED4"/>
    <w:rsid w:val="20F163EC"/>
    <w:rsid w:val="21112E99"/>
    <w:rsid w:val="211C6EF5"/>
    <w:rsid w:val="212F7F40"/>
    <w:rsid w:val="215C64E4"/>
    <w:rsid w:val="21C978F2"/>
    <w:rsid w:val="21D96191"/>
    <w:rsid w:val="21EE7E3B"/>
    <w:rsid w:val="21EF3C27"/>
    <w:rsid w:val="21FB74DB"/>
    <w:rsid w:val="224A27E1"/>
    <w:rsid w:val="224D17D5"/>
    <w:rsid w:val="225F7678"/>
    <w:rsid w:val="227A3EE0"/>
    <w:rsid w:val="22802DB7"/>
    <w:rsid w:val="22A546C5"/>
    <w:rsid w:val="22AE5A6F"/>
    <w:rsid w:val="22CC3917"/>
    <w:rsid w:val="22DD30F3"/>
    <w:rsid w:val="22F65758"/>
    <w:rsid w:val="230A2FB0"/>
    <w:rsid w:val="230B2E21"/>
    <w:rsid w:val="231440DD"/>
    <w:rsid w:val="23254F4A"/>
    <w:rsid w:val="23386ADD"/>
    <w:rsid w:val="23583210"/>
    <w:rsid w:val="23666610"/>
    <w:rsid w:val="23702A92"/>
    <w:rsid w:val="237815D0"/>
    <w:rsid w:val="23A71A3B"/>
    <w:rsid w:val="23C46255"/>
    <w:rsid w:val="24033C27"/>
    <w:rsid w:val="24116AAB"/>
    <w:rsid w:val="24287B3E"/>
    <w:rsid w:val="244A7C7D"/>
    <w:rsid w:val="2460787A"/>
    <w:rsid w:val="24620C60"/>
    <w:rsid w:val="24743B45"/>
    <w:rsid w:val="24782F5D"/>
    <w:rsid w:val="24855C4F"/>
    <w:rsid w:val="249A4DA6"/>
    <w:rsid w:val="24A64188"/>
    <w:rsid w:val="24CD3982"/>
    <w:rsid w:val="24DF0BCC"/>
    <w:rsid w:val="24EA6CA4"/>
    <w:rsid w:val="24F565B2"/>
    <w:rsid w:val="25274BBA"/>
    <w:rsid w:val="25422C06"/>
    <w:rsid w:val="25945D32"/>
    <w:rsid w:val="261B6E19"/>
    <w:rsid w:val="262D5466"/>
    <w:rsid w:val="262F025E"/>
    <w:rsid w:val="26675FE4"/>
    <w:rsid w:val="26747E2C"/>
    <w:rsid w:val="268442FD"/>
    <w:rsid w:val="268822AF"/>
    <w:rsid w:val="26C90797"/>
    <w:rsid w:val="26D62895"/>
    <w:rsid w:val="2742674D"/>
    <w:rsid w:val="27465824"/>
    <w:rsid w:val="278E2C4A"/>
    <w:rsid w:val="279528D0"/>
    <w:rsid w:val="279F3BFB"/>
    <w:rsid w:val="27AF38A3"/>
    <w:rsid w:val="27C3151C"/>
    <w:rsid w:val="27C622F2"/>
    <w:rsid w:val="27C70430"/>
    <w:rsid w:val="27D51034"/>
    <w:rsid w:val="27D8088F"/>
    <w:rsid w:val="27DF5779"/>
    <w:rsid w:val="283316D1"/>
    <w:rsid w:val="28424DEA"/>
    <w:rsid w:val="286346C0"/>
    <w:rsid w:val="287C44CA"/>
    <w:rsid w:val="28CB17DC"/>
    <w:rsid w:val="292A6EC8"/>
    <w:rsid w:val="29376617"/>
    <w:rsid w:val="29737199"/>
    <w:rsid w:val="297B2A06"/>
    <w:rsid w:val="2996177C"/>
    <w:rsid w:val="29BD1BDE"/>
    <w:rsid w:val="29C309BE"/>
    <w:rsid w:val="29CB53B3"/>
    <w:rsid w:val="29D90840"/>
    <w:rsid w:val="2A0070CB"/>
    <w:rsid w:val="2A0A57BD"/>
    <w:rsid w:val="2A2C2AC9"/>
    <w:rsid w:val="2A4E16E3"/>
    <w:rsid w:val="2A6C2662"/>
    <w:rsid w:val="2A810803"/>
    <w:rsid w:val="2A8A2314"/>
    <w:rsid w:val="2AA42B61"/>
    <w:rsid w:val="2AB0164F"/>
    <w:rsid w:val="2AFC55AC"/>
    <w:rsid w:val="2AFE685E"/>
    <w:rsid w:val="2B0D718F"/>
    <w:rsid w:val="2B375D67"/>
    <w:rsid w:val="2B592698"/>
    <w:rsid w:val="2B732F3F"/>
    <w:rsid w:val="2B7A1D63"/>
    <w:rsid w:val="2B834D0D"/>
    <w:rsid w:val="2B88437A"/>
    <w:rsid w:val="2B9131C1"/>
    <w:rsid w:val="2BAB468A"/>
    <w:rsid w:val="2BAE507D"/>
    <w:rsid w:val="2BC50B59"/>
    <w:rsid w:val="2BCA178F"/>
    <w:rsid w:val="2BEF61A7"/>
    <w:rsid w:val="2C0408BB"/>
    <w:rsid w:val="2C131E96"/>
    <w:rsid w:val="2C17640B"/>
    <w:rsid w:val="2C1A7A54"/>
    <w:rsid w:val="2C2C635C"/>
    <w:rsid w:val="2C2E4F21"/>
    <w:rsid w:val="2C3E0F7D"/>
    <w:rsid w:val="2C475FD8"/>
    <w:rsid w:val="2C526E62"/>
    <w:rsid w:val="2C644101"/>
    <w:rsid w:val="2CB431B9"/>
    <w:rsid w:val="2CD07DA8"/>
    <w:rsid w:val="2CE34AF1"/>
    <w:rsid w:val="2D0B213D"/>
    <w:rsid w:val="2D251D21"/>
    <w:rsid w:val="2D2817C9"/>
    <w:rsid w:val="2D776F5F"/>
    <w:rsid w:val="2D8B4D8D"/>
    <w:rsid w:val="2DE10978"/>
    <w:rsid w:val="2DF45D7F"/>
    <w:rsid w:val="2E031065"/>
    <w:rsid w:val="2E077C93"/>
    <w:rsid w:val="2E0E6DB8"/>
    <w:rsid w:val="2E212A6C"/>
    <w:rsid w:val="2E4639BA"/>
    <w:rsid w:val="2E67109D"/>
    <w:rsid w:val="2E6D12BC"/>
    <w:rsid w:val="2E775C36"/>
    <w:rsid w:val="2E817C7F"/>
    <w:rsid w:val="2E963FAB"/>
    <w:rsid w:val="2E9838EE"/>
    <w:rsid w:val="2EA519E8"/>
    <w:rsid w:val="2EC87366"/>
    <w:rsid w:val="2ED1233F"/>
    <w:rsid w:val="2ED62DF9"/>
    <w:rsid w:val="2EE56E6C"/>
    <w:rsid w:val="2EE77AA1"/>
    <w:rsid w:val="2EE8585B"/>
    <w:rsid w:val="2F0C2A48"/>
    <w:rsid w:val="2F3A598B"/>
    <w:rsid w:val="2F474BDC"/>
    <w:rsid w:val="2F843E14"/>
    <w:rsid w:val="2FA82267"/>
    <w:rsid w:val="2FA84B4C"/>
    <w:rsid w:val="2FBB793B"/>
    <w:rsid w:val="2FD758A9"/>
    <w:rsid w:val="30337070"/>
    <w:rsid w:val="308570DA"/>
    <w:rsid w:val="30E63798"/>
    <w:rsid w:val="31077AEF"/>
    <w:rsid w:val="31422ACC"/>
    <w:rsid w:val="3150593A"/>
    <w:rsid w:val="317F1D7B"/>
    <w:rsid w:val="318F691A"/>
    <w:rsid w:val="31A35241"/>
    <w:rsid w:val="31C1163C"/>
    <w:rsid w:val="31EB21BE"/>
    <w:rsid w:val="320D2C1E"/>
    <w:rsid w:val="32574900"/>
    <w:rsid w:val="3263654A"/>
    <w:rsid w:val="32B06C61"/>
    <w:rsid w:val="32E371EF"/>
    <w:rsid w:val="32F318E1"/>
    <w:rsid w:val="332901F1"/>
    <w:rsid w:val="338C4524"/>
    <w:rsid w:val="33CD06B4"/>
    <w:rsid w:val="33E2478D"/>
    <w:rsid w:val="33E6508D"/>
    <w:rsid w:val="341B7014"/>
    <w:rsid w:val="34382614"/>
    <w:rsid w:val="34482B13"/>
    <w:rsid w:val="344E7CCF"/>
    <w:rsid w:val="34567134"/>
    <w:rsid w:val="34BA274A"/>
    <w:rsid w:val="34CF7924"/>
    <w:rsid w:val="34D729BB"/>
    <w:rsid w:val="34E32B12"/>
    <w:rsid w:val="34F31422"/>
    <w:rsid w:val="350C46FB"/>
    <w:rsid w:val="350D224A"/>
    <w:rsid w:val="35101668"/>
    <w:rsid w:val="35337323"/>
    <w:rsid w:val="35390152"/>
    <w:rsid w:val="355F5754"/>
    <w:rsid w:val="35AA12F6"/>
    <w:rsid w:val="35AC4643"/>
    <w:rsid w:val="35C44201"/>
    <w:rsid w:val="361372D3"/>
    <w:rsid w:val="362A49AB"/>
    <w:rsid w:val="363267CB"/>
    <w:rsid w:val="36340618"/>
    <w:rsid w:val="363451D1"/>
    <w:rsid w:val="36372E73"/>
    <w:rsid w:val="365E6090"/>
    <w:rsid w:val="366D32CD"/>
    <w:rsid w:val="36965A7B"/>
    <w:rsid w:val="36A14500"/>
    <w:rsid w:val="36BC606A"/>
    <w:rsid w:val="36CB0F82"/>
    <w:rsid w:val="36ED5F79"/>
    <w:rsid w:val="36F43F1A"/>
    <w:rsid w:val="36F914EE"/>
    <w:rsid w:val="3736315D"/>
    <w:rsid w:val="376D439E"/>
    <w:rsid w:val="37757B22"/>
    <w:rsid w:val="37CA5B07"/>
    <w:rsid w:val="38187A22"/>
    <w:rsid w:val="382A26EE"/>
    <w:rsid w:val="383039AB"/>
    <w:rsid w:val="384C4620"/>
    <w:rsid w:val="38B34A5A"/>
    <w:rsid w:val="38C83928"/>
    <w:rsid w:val="38D67AE9"/>
    <w:rsid w:val="391D1B40"/>
    <w:rsid w:val="392C0633"/>
    <w:rsid w:val="39392A8C"/>
    <w:rsid w:val="395F2BBE"/>
    <w:rsid w:val="39F057E5"/>
    <w:rsid w:val="39F3315D"/>
    <w:rsid w:val="39F36E55"/>
    <w:rsid w:val="39F66ADF"/>
    <w:rsid w:val="39F94929"/>
    <w:rsid w:val="3A59585F"/>
    <w:rsid w:val="3AA7281E"/>
    <w:rsid w:val="3ACC4CE8"/>
    <w:rsid w:val="3AF3151E"/>
    <w:rsid w:val="3B011D23"/>
    <w:rsid w:val="3B931CD9"/>
    <w:rsid w:val="3B934DA1"/>
    <w:rsid w:val="3BBB7A8A"/>
    <w:rsid w:val="3BED47AD"/>
    <w:rsid w:val="3C027831"/>
    <w:rsid w:val="3C282694"/>
    <w:rsid w:val="3C460065"/>
    <w:rsid w:val="3C503C36"/>
    <w:rsid w:val="3C52023A"/>
    <w:rsid w:val="3C561A5C"/>
    <w:rsid w:val="3C650A77"/>
    <w:rsid w:val="3C6D114E"/>
    <w:rsid w:val="3C743498"/>
    <w:rsid w:val="3C925F0B"/>
    <w:rsid w:val="3C9544C9"/>
    <w:rsid w:val="3CB047CF"/>
    <w:rsid w:val="3CC0115D"/>
    <w:rsid w:val="3CE25928"/>
    <w:rsid w:val="3CF72B5F"/>
    <w:rsid w:val="3D233F03"/>
    <w:rsid w:val="3D403ABF"/>
    <w:rsid w:val="3D6A1DD7"/>
    <w:rsid w:val="3D6C11DD"/>
    <w:rsid w:val="3D74754E"/>
    <w:rsid w:val="3DC54FBA"/>
    <w:rsid w:val="3DF530B2"/>
    <w:rsid w:val="3E03620E"/>
    <w:rsid w:val="3E1073EE"/>
    <w:rsid w:val="3E18333B"/>
    <w:rsid w:val="3E300685"/>
    <w:rsid w:val="3E371A94"/>
    <w:rsid w:val="3E542F80"/>
    <w:rsid w:val="3EB10D44"/>
    <w:rsid w:val="3EE956B8"/>
    <w:rsid w:val="3EEE1272"/>
    <w:rsid w:val="3F1168EC"/>
    <w:rsid w:val="3F340649"/>
    <w:rsid w:val="3F460161"/>
    <w:rsid w:val="3F4A2E22"/>
    <w:rsid w:val="3F614818"/>
    <w:rsid w:val="3F8D564C"/>
    <w:rsid w:val="3FA65425"/>
    <w:rsid w:val="3FAE412E"/>
    <w:rsid w:val="3FC64373"/>
    <w:rsid w:val="3FC92118"/>
    <w:rsid w:val="3FCE6ABE"/>
    <w:rsid w:val="3FF2227B"/>
    <w:rsid w:val="3FFC330D"/>
    <w:rsid w:val="40006428"/>
    <w:rsid w:val="40110B5B"/>
    <w:rsid w:val="40366730"/>
    <w:rsid w:val="40454764"/>
    <w:rsid w:val="40501387"/>
    <w:rsid w:val="406E3AE6"/>
    <w:rsid w:val="409A4DCC"/>
    <w:rsid w:val="40DA0B7A"/>
    <w:rsid w:val="40E82922"/>
    <w:rsid w:val="40EF2A79"/>
    <w:rsid w:val="40F151C3"/>
    <w:rsid w:val="41065159"/>
    <w:rsid w:val="41253AF4"/>
    <w:rsid w:val="413C0F01"/>
    <w:rsid w:val="41605725"/>
    <w:rsid w:val="41622B6B"/>
    <w:rsid w:val="41A344AA"/>
    <w:rsid w:val="41CD6F90"/>
    <w:rsid w:val="41EC520B"/>
    <w:rsid w:val="41ED15CC"/>
    <w:rsid w:val="42072045"/>
    <w:rsid w:val="421F1292"/>
    <w:rsid w:val="42212B7E"/>
    <w:rsid w:val="422A1E03"/>
    <w:rsid w:val="423B3780"/>
    <w:rsid w:val="424B7407"/>
    <w:rsid w:val="425D3A13"/>
    <w:rsid w:val="425D63ED"/>
    <w:rsid w:val="427C677E"/>
    <w:rsid w:val="42872C3E"/>
    <w:rsid w:val="42E37DBE"/>
    <w:rsid w:val="430F6DD0"/>
    <w:rsid w:val="431E7646"/>
    <w:rsid w:val="43210B52"/>
    <w:rsid w:val="43244531"/>
    <w:rsid w:val="432513E3"/>
    <w:rsid w:val="43257488"/>
    <w:rsid w:val="43317379"/>
    <w:rsid w:val="43343502"/>
    <w:rsid w:val="4335274E"/>
    <w:rsid w:val="433E3F7D"/>
    <w:rsid w:val="434F4ECF"/>
    <w:rsid w:val="435117C9"/>
    <w:rsid w:val="43851473"/>
    <w:rsid w:val="43AC3016"/>
    <w:rsid w:val="43BC3595"/>
    <w:rsid w:val="43DC36E8"/>
    <w:rsid w:val="43FE2A1A"/>
    <w:rsid w:val="440C2553"/>
    <w:rsid w:val="442E1A11"/>
    <w:rsid w:val="445B4CE5"/>
    <w:rsid w:val="446328A7"/>
    <w:rsid w:val="44942EDA"/>
    <w:rsid w:val="44A1052F"/>
    <w:rsid w:val="44A309C5"/>
    <w:rsid w:val="44C51F6D"/>
    <w:rsid w:val="44C55957"/>
    <w:rsid w:val="44C93BF6"/>
    <w:rsid w:val="44D97CC8"/>
    <w:rsid w:val="44E02B1F"/>
    <w:rsid w:val="44F53117"/>
    <w:rsid w:val="451778F2"/>
    <w:rsid w:val="4531366C"/>
    <w:rsid w:val="45392444"/>
    <w:rsid w:val="45643A19"/>
    <w:rsid w:val="456513DC"/>
    <w:rsid w:val="4565330A"/>
    <w:rsid w:val="458D209A"/>
    <w:rsid w:val="45967968"/>
    <w:rsid w:val="45B829C9"/>
    <w:rsid w:val="45C21642"/>
    <w:rsid w:val="45DC1AF6"/>
    <w:rsid w:val="45DD372B"/>
    <w:rsid w:val="46045951"/>
    <w:rsid w:val="461A37EA"/>
    <w:rsid w:val="461F10FF"/>
    <w:rsid w:val="46681644"/>
    <w:rsid w:val="467C43C4"/>
    <w:rsid w:val="46860215"/>
    <w:rsid w:val="46B9177E"/>
    <w:rsid w:val="46C74595"/>
    <w:rsid w:val="46D43CE3"/>
    <w:rsid w:val="46DE0CEF"/>
    <w:rsid w:val="46E027E6"/>
    <w:rsid w:val="46E60B36"/>
    <w:rsid w:val="46EF3FEE"/>
    <w:rsid w:val="47095DDE"/>
    <w:rsid w:val="471E0906"/>
    <w:rsid w:val="472A3249"/>
    <w:rsid w:val="472B23A9"/>
    <w:rsid w:val="475F1C0D"/>
    <w:rsid w:val="47965CA4"/>
    <w:rsid w:val="479D0D23"/>
    <w:rsid w:val="47AC5480"/>
    <w:rsid w:val="47B77A42"/>
    <w:rsid w:val="47D05816"/>
    <w:rsid w:val="47F66028"/>
    <w:rsid w:val="480350D6"/>
    <w:rsid w:val="482F1BEA"/>
    <w:rsid w:val="485A1120"/>
    <w:rsid w:val="489F6B33"/>
    <w:rsid w:val="48AC5A6A"/>
    <w:rsid w:val="48FC3F85"/>
    <w:rsid w:val="490A7EAF"/>
    <w:rsid w:val="49170DBF"/>
    <w:rsid w:val="4923651D"/>
    <w:rsid w:val="49471B37"/>
    <w:rsid w:val="497003A2"/>
    <w:rsid w:val="49AC3462"/>
    <w:rsid w:val="49B455E9"/>
    <w:rsid w:val="49D93703"/>
    <w:rsid w:val="49ED7D72"/>
    <w:rsid w:val="49F97D6A"/>
    <w:rsid w:val="4A346E6B"/>
    <w:rsid w:val="4A351A82"/>
    <w:rsid w:val="4A7E3196"/>
    <w:rsid w:val="4A950E2F"/>
    <w:rsid w:val="4ABC6C25"/>
    <w:rsid w:val="4ADA2E79"/>
    <w:rsid w:val="4ADC0C65"/>
    <w:rsid w:val="4AFB36BD"/>
    <w:rsid w:val="4B09298A"/>
    <w:rsid w:val="4B0C130D"/>
    <w:rsid w:val="4B2257F9"/>
    <w:rsid w:val="4B375AE8"/>
    <w:rsid w:val="4B3D426F"/>
    <w:rsid w:val="4B6C3795"/>
    <w:rsid w:val="4B8C1A37"/>
    <w:rsid w:val="4B95369E"/>
    <w:rsid w:val="4BA41F70"/>
    <w:rsid w:val="4BD05255"/>
    <w:rsid w:val="4BD40E87"/>
    <w:rsid w:val="4BD8136C"/>
    <w:rsid w:val="4C0971D2"/>
    <w:rsid w:val="4C577725"/>
    <w:rsid w:val="4C67288A"/>
    <w:rsid w:val="4C7A60F2"/>
    <w:rsid w:val="4C9C31B1"/>
    <w:rsid w:val="4CAC4CB6"/>
    <w:rsid w:val="4D00272F"/>
    <w:rsid w:val="4D023B34"/>
    <w:rsid w:val="4D2B4E39"/>
    <w:rsid w:val="4D440BF3"/>
    <w:rsid w:val="4D963A62"/>
    <w:rsid w:val="4DAD6A16"/>
    <w:rsid w:val="4E076DE0"/>
    <w:rsid w:val="4E1A42EE"/>
    <w:rsid w:val="4E2B4203"/>
    <w:rsid w:val="4E604D76"/>
    <w:rsid w:val="4E75544A"/>
    <w:rsid w:val="4E924DAA"/>
    <w:rsid w:val="4ED11A10"/>
    <w:rsid w:val="4EF72E9B"/>
    <w:rsid w:val="4EF80446"/>
    <w:rsid w:val="4F027D5E"/>
    <w:rsid w:val="4F0722AA"/>
    <w:rsid w:val="4F3846B2"/>
    <w:rsid w:val="4F562EDB"/>
    <w:rsid w:val="4F5C4C9C"/>
    <w:rsid w:val="4F6D556D"/>
    <w:rsid w:val="4F7D56F4"/>
    <w:rsid w:val="4F9F1EE8"/>
    <w:rsid w:val="4FAD4335"/>
    <w:rsid w:val="4FB9722D"/>
    <w:rsid w:val="4FBD405B"/>
    <w:rsid w:val="4FEA6D37"/>
    <w:rsid w:val="4FF12AE6"/>
    <w:rsid w:val="4FFC486B"/>
    <w:rsid w:val="50007FDC"/>
    <w:rsid w:val="50125E3D"/>
    <w:rsid w:val="50212524"/>
    <w:rsid w:val="505A7727"/>
    <w:rsid w:val="505F4DFA"/>
    <w:rsid w:val="50667606"/>
    <w:rsid w:val="50C843F3"/>
    <w:rsid w:val="50D852D8"/>
    <w:rsid w:val="50E96211"/>
    <w:rsid w:val="50F421B5"/>
    <w:rsid w:val="512A1E11"/>
    <w:rsid w:val="512E4689"/>
    <w:rsid w:val="513C0B98"/>
    <w:rsid w:val="515C5019"/>
    <w:rsid w:val="5168330D"/>
    <w:rsid w:val="517D6AEE"/>
    <w:rsid w:val="518014CC"/>
    <w:rsid w:val="5197339C"/>
    <w:rsid w:val="51AC6706"/>
    <w:rsid w:val="51B11685"/>
    <w:rsid w:val="51D3240E"/>
    <w:rsid w:val="51F223CA"/>
    <w:rsid w:val="52127980"/>
    <w:rsid w:val="521508F5"/>
    <w:rsid w:val="521D7747"/>
    <w:rsid w:val="52344790"/>
    <w:rsid w:val="524A1938"/>
    <w:rsid w:val="52666914"/>
    <w:rsid w:val="526D0088"/>
    <w:rsid w:val="52707BDA"/>
    <w:rsid w:val="527962D3"/>
    <w:rsid w:val="52807165"/>
    <w:rsid w:val="52860D64"/>
    <w:rsid w:val="529A1531"/>
    <w:rsid w:val="52AF2069"/>
    <w:rsid w:val="52E13B74"/>
    <w:rsid w:val="52EC3A00"/>
    <w:rsid w:val="5326474E"/>
    <w:rsid w:val="538434F5"/>
    <w:rsid w:val="539F3E8B"/>
    <w:rsid w:val="53A2397B"/>
    <w:rsid w:val="53A45945"/>
    <w:rsid w:val="53C52D94"/>
    <w:rsid w:val="53EF37E2"/>
    <w:rsid w:val="54195782"/>
    <w:rsid w:val="54382BD6"/>
    <w:rsid w:val="54613836"/>
    <w:rsid w:val="546E671C"/>
    <w:rsid w:val="547B30D9"/>
    <w:rsid w:val="548C143E"/>
    <w:rsid w:val="54994D7E"/>
    <w:rsid w:val="55032DA2"/>
    <w:rsid w:val="55082460"/>
    <w:rsid w:val="552D54C7"/>
    <w:rsid w:val="55474959"/>
    <w:rsid w:val="5549410A"/>
    <w:rsid w:val="554A4758"/>
    <w:rsid w:val="554A6449"/>
    <w:rsid w:val="55852F63"/>
    <w:rsid w:val="55A83F38"/>
    <w:rsid w:val="55C555DE"/>
    <w:rsid w:val="55CD23BA"/>
    <w:rsid w:val="55CD5F67"/>
    <w:rsid w:val="55E00181"/>
    <w:rsid w:val="56007604"/>
    <w:rsid w:val="56113C15"/>
    <w:rsid w:val="561671A4"/>
    <w:rsid w:val="56223EBB"/>
    <w:rsid w:val="56550A77"/>
    <w:rsid w:val="567970CB"/>
    <w:rsid w:val="567A0BDF"/>
    <w:rsid w:val="56B03E12"/>
    <w:rsid w:val="56B21144"/>
    <w:rsid w:val="56BC646B"/>
    <w:rsid w:val="56C22086"/>
    <w:rsid w:val="56CA641E"/>
    <w:rsid w:val="56F7741B"/>
    <w:rsid w:val="56FE4544"/>
    <w:rsid w:val="57623F96"/>
    <w:rsid w:val="576C5FC3"/>
    <w:rsid w:val="5774060F"/>
    <w:rsid w:val="577D0987"/>
    <w:rsid w:val="57831D16"/>
    <w:rsid w:val="578321B3"/>
    <w:rsid w:val="57874621"/>
    <w:rsid w:val="579147AD"/>
    <w:rsid w:val="57A005F9"/>
    <w:rsid w:val="57A25480"/>
    <w:rsid w:val="57BD7DDC"/>
    <w:rsid w:val="57ED31CE"/>
    <w:rsid w:val="58530828"/>
    <w:rsid w:val="585C7EA5"/>
    <w:rsid w:val="586E71F4"/>
    <w:rsid w:val="5877674A"/>
    <w:rsid w:val="58AD3E47"/>
    <w:rsid w:val="58AD7B78"/>
    <w:rsid w:val="58C63C68"/>
    <w:rsid w:val="58D82A8C"/>
    <w:rsid w:val="59492213"/>
    <w:rsid w:val="59DA7B15"/>
    <w:rsid w:val="59DB1224"/>
    <w:rsid w:val="59F857F8"/>
    <w:rsid w:val="5A00764E"/>
    <w:rsid w:val="5A0232F7"/>
    <w:rsid w:val="5A180589"/>
    <w:rsid w:val="5A204414"/>
    <w:rsid w:val="5A4B64D3"/>
    <w:rsid w:val="5A4E4182"/>
    <w:rsid w:val="5A4E4531"/>
    <w:rsid w:val="5A66533D"/>
    <w:rsid w:val="5A6660D2"/>
    <w:rsid w:val="5A6F6D99"/>
    <w:rsid w:val="5A871B1D"/>
    <w:rsid w:val="5A9B7868"/>
    <w:rsid w:val="5AA239FE"/>
    <w:rsid w:val="5ADC3431"/>
    <w:rsid w:val="5ADF25F6"/>
    <w:rsid w:val="5B104234"/>
    <w:rsid w:val="5B1E2E04"/>
    <w:rsid w:val="5B2B5E2B"/>
    <w:rsid w:val="5B49125D"/>
    <w:rsid w:val="5B771D0D"/>
    <w:rsid w:val="5B8A3632"/>
    <w:rsid w:val="5B914FF7"/>
    <w:rsid w:val="5BC4185F"/>
    <w:rsid w:val="5BD347B1"/>
    <w:rsid w:val="5C313B0B"/>
    <w:rsid w:val="5C5B274E"/>
    <w:rsid w:val="5C822300"/>
    <w:rsid w:val="5C9C73E3"/>
    <w:rsid w:val="5CC42B0C"/>
    <w:rsid w:val="5CC6692D"/>
    <w:rsid w:val="5CEE7C31"/>
    <w:rsid w:val="5CF90ED0"/>
    <w:rsid w:val="5CFA27ED"/>
    <w:rsid w:val="5D24742B"/>
    <w:rsid w:val="5D333896"/>
    <w:rsid w:val="5D5853A3"/>
    <w:rsid w:val="5D683540"/>
    <w:rsid w:val="5D797461"/>
    <w:rsid w:val="5DAE5B99"/>
    <w:rsid w:val="5DC421E6"/>
    <w:rsid w:val="5DD45079"/>
    <w:rsid w:val="5DD723F7"/>
    <w:rsid w:val="5DDF2157"/>
    <w:rsid w:val="5DEC0CDE"/>
    <w:rsid w:val="5E0A788B"/>
    <w:rsid w:val="5E120D6E"/>
    <w:rsid w:val="5E6E102A"/>
    <w:rsid w:val="5E735BD9"/>
    <w:rsid w:val="5E7E5767"/>
    <w:rsid w:val="5E8C5954"/>
    <w:rsid w:val="5EB30B62"/>
    <w:rsid w:val="5EE83F9A"/>
    <w:rsid w:val="5EFE305C"/>
    <w:rsid w:val="5F1542AB"/>
    <w:rsid w:val="5F1E5F60"/>
    <w:rsid w:val="5F5A7A08"/>
    <w:rsid w:val="5F93686E"/>
    <w:rsid w:val="5FA004A7"/>
    <w:rsid w:val="5FA742D2"/>
    <w:rsid w:val="5FA840C8"/>
    <w:rsid w:val="5FBC460A"/>
    <w:rsid w:val="5FD039A2"/>
    <w:rsid w:val="5FD566CB"/>
    <w:rsid w:val="602E669F"/>
    <w:rsid w:val="6041621C"/>
    <w:rsid w:val="60584298"/>
    <w:rsid w:val="60830691"/>
    <w:rsid w:val="6097151C"/>
    <w:rsid w:val="60C25E1E"/>
    <w:rsid w:val="60E82885"/>
    <w:rsid w:val="61004390"/>
    <w:rsid w:val="61020A90"/>
    <w:rsid w:val="611D2893"/>
    <w:rsid w:val="61227EAA"/>
    <w:rsid w:val="614610F4"/>
    <w:rsid w:val="61490A5A"/>
    <w:rsid w:val="6160093D"/>
    <w:rsid w:val="6161193C"/>
    <w:rsid w:val="618E1E5A"/>
    <w:rsid w:val="61931743"/>
    <w:rsid w:val="61987143"/>
    <w:rsid w:val="61C04641"/>
    <w:rsid w:val="61C40F61"/>
    <w:rsid w:val="61EE4B59"/>
    <w:rsid w:val="62060013"/>
    <w:rsid w:val="62112765"/>
    <w:rsid w:val="62200D3F"/>
    <w:rsid w:val="622E1A4B"/>
    <w:rsid w:val="623B7475"/>
    <w:rsid w:val="624B3430"/>
    <w:rsid w:val="624F6E0C"/>
    <w:rsid w:val="625B71F9"/>
    <w:rsid w:val="625F48ED"/>
    <w:rsid w:val="626E0956"/>
    <w:rsid w:val="62880EB7"/>
    <w:rsid w:val="62964C00"/>
    <w:rsid w:val="629F4D2F"/>
    <w:rsid w:val="62C27B96"/>
    <w:rsid w:val="63092C6E"/>
    <w:rsid w:val="630F26B0"/>
    <w:rsid w:val="63242E5B"/>
    <w:rsid w:val="63406ADD"/>
    <w:rsid w:val="63474D9C"/>
    <w:rsid w:val="63620DB5"/>
    <w:rsid w:val="63621233"/>
    <w:rsid w:val="636447A9"/>
    <w:rsid w:val="63954932"/>
    <w:rsid w:val="63B672DF"/>
    <w:rsid w:val="63B868A3"/>
    <w:rsid w:val="63F60B61"/>
    <w:rsid w:val="63FC0E86"/>
    <w:rsid w:val="64274938"/>
    <w:rsid w:val="64276F94"/>
    <w:rsid w:val="642F0ED7"/>
    <w:rsid w:val="64555349"/>
    <w:rsid w:val="64862C4A"/>
    <w:rsid w:val="648E3CD2"/>
    <w:rsid w:val="64CC51FE"/>
    <w:rsid w:val="64DF4A2F"/>
    <w:rsid w:val="6501105B"/>
    <w:rsid w:val="65510D5D"/>
    <w:rsid w:val="655423CD"/>
    <w:rsid w:val="6556303D"/>
    <w:rsid w:val="656C7B86"/>
    <w:rsid w:val="659D0447"/>
    <w:rsid w:val="65BC4A40"/>
    <w:rsid w:val="65C80E3D"/>
    <w:rsid w:val="65D80516"/>
    <w:rsid w:val="660F56D8"/>
    <w:rsid w:val="66246F5B"/>
    <w:rsid w:val="66342AD9"/>
    <w:rsid w:val="665054B9"/>
    <w:rsid w:val="666777CC"/>
    <w:rsid w:val="66764EE4"/>
    <w:rsid w:val="66866297"/>
    <w:rsid w:val="66BF7318"/>
    <w:rsid w:val="66C74FFD"/>
    <w:rsid w:val="66CC2611"/>
    <w:rsid w:val="66E02C70"/>
    <w:rsid w:val="66F2031E"/>
    <w:rsid w:val="671D552C"/>
    <w:rsid w:val="67332E10"/>
    <w:rsid w:val="67551E8A"/>
    <w:rsid w:val="67574F4E"/>
    <w:rsid w:val="67917B37"/>
    <w:rsid w:val="67AD0F16"/>
    <w:rsid w:val="67C855BF"/>
    <w:rsid w:val="67CC3603"/>
    <w:rsid w:val="67EA5FD6"/>
    <w:rsid w:val="67F42AD0"/>
    <w:rsid w:val="681E490A"/>
    <w:rsid w:val="68260326"/>
    <w:rsid w:val="68285861"/>
    <w:rsid w:val="685C1131"/>
    <w:rsid w:val="686F1F08"/>
    <w:rsid w:val="688D54C3"/>
    <w:rsid w:val="68A044D6"/>
    <w:rsid w:val="68A17D5B"/>
    <w:rsid w:val="68A35467"/>
    <w:rsid w:val="68B910F3"/>
    <w:rsid w:val="68E26D41"/>
    <w:rsid w:val="68FF7FC5"/>
    <w:rsid w:val="69035A7B"/>
    <w:rsid w:val="69280C21"/>
    <w:rsid w:val="693E34DA"/>
    <w:rsid w:val="69560508"/>
    <w:rsid w:val="69777794"/>
    <w:rsid w:val="699531EE"/>
    <w:rsid w:val="69992CD3"/>
    <w:rsid w:val="69C647F3"/>
    <w:rsid w:val="6A193DF4"/>
    <w:rsid w:val="6A24656A"/>
    <w:rsid w:val="6A5D01A4"/>
    <w:rsid w:val="6A5D5DD5"/>
    <w:rsid w:val="6A71059E"/>
    <w:rsid w:val="6A974E2E"/>
    <w:rsid w:val="6A980FE8"/>
    <w:rsid w:val="6A9812A5"/>
    <w:rsid w:val="6AA535B7"/>
    <w:rsid w:val="6ADC731B"/>
    <w:rsid w:val="6B0979A8"/>
    <w:rsid w:val="6B22204A"/>
    <w:rsid w:val="6B2D13C4"/>
    <w:rsid w:val="6B2F4BB1"/>
    <w:rsid w:val="6B340F05"/>
    <w:rsid w:val="6B4C4FC6"/>
    <w:rsid w:val="6B553309"/>
    <w:rsid w:val="6B8C4D54"/>
    <w:rsid w:val="6B9B2D32"/>
    <w:rsid w:val="6BDB092E"/>
    <w:rsid w:val="6BF678D0"/>
    <w:rsid w:val="6BFC78D8"/>
    <w:rsid w:val="6C022DB1"/>
    <w:rsid w:val="6C28153E"/>
    <w:rsid w:val="6C4E4249"/>
    <w:rsid w:val="6CC22A7B"/>
    <w:rsid w:val="6CFF301D"/>
    <w:rsid w:val="6D146008"/>
    <w:rsid w:val="6D1A4B1C"/>
    <w:rsid w:val="6D1C3CDF"/>
    <w:rsid w:val="6D411CFA"/>
    <w:rsid w:val="6D4C5CAB"/>
    <w:rsid w:val="6D5D0BE7"/>
    <w:rsid w:val="6D6358BB"/>
    <w:rsid w:val="6DAD4F9F"/>
    <w:rsid w:val="6DDA55B7"/>
    <w:rsid w:val="6DF10515"/>
    <w:rsid w:val="6DF332FA"/>
    <w:rsid w:val="6E03564D"/>
    <w:rsid w:val="6E445DB1"/>
    <w:rsid w:val="6E450D7E"/>
    <w:rsid w:val="6E510E51"/>
    <w:rsid w:val="6E8C2E06"/>
    <w:rsid w:val="6EB90F60"/>
    <w:rsid w:val="6ED1759D"/>
    <w:rsid w:val="6F0F5F11"/>
    <w:rsid w:val="6F4831D1"/>
    <w:rsid w:val="6F571DB9"/>
    <w:rsid w:val="6F724FB9"/>
    <w:rsid w:val="6FF03A90"/>
    <w:rsid w:val="701D465E"/>
    <w:rsid w:val="70485B31"/>
    <w:rsid w:val="704D192E"/>
    <w:rsid w:val="705028DA"/>
    <w:rsid w:val="70614476"/>
    <w:rsid w:val="70732767"/>
    <w:rsid w:val="70D11447"/>
    <w:rsid w:val="71357984"/>
    <w:rsid w:val="714D3EFB"/>
    <w:rsid w:val="71515ECC"/>
    <w:rsid w:val="71596A66"/>
    <w:rsid w:val="71702AC2"/>
    <w:rsid w:val="71722787"/>
    <w:rsid w:val="71765662"/>
    <w:rsid w:val="71B473C7"/>
    <w:rsid w:val="71C54FAD"/>
    <w:rsid w:val="72385509"/>
    <w:rsid w:val="72711862"/>
    <w:rsid w:val="728133F8"/>
    <w:rsid w:val="729F135A"/>
    <w:rsid w:val="72B868C0"/>
    <w:rsid w:val="72BF263D"/>
    <w:rsid w:val="72C07522"/>
    <w:rsid w:val="72CD505D"/>
    <w:rsid w:val="72D728DA"/>
    <w:rsid w:val="72F76306"/>
    <w:rsid w:val="73083FF0"/>
    <w:rsid w:val="731E5B5A"/>
    <w:rsid w:val="73344551"/>
    <w:rsid w:val="734238E3"/>
    <w:rsid w:val="735437C6"/>
    <w:rsid w:val="737D5C61"/>
    <w:rsid w:val="73BA2913"/>
    <w:rsid w:val="73BE6D8F"/>
    <w:rsid w:val="73EE56E2"/>
    <w:rsid w:val="741B7106"/>
    <w:rsid w:val="7432050E"/>
    <w:rsid w:val="7486472E"/>
    <w:rsid w:val="74DD37CB"/>
    <w:rsid w:val="74DE07D3"/>
    <w:rsid w:val="750000AA"/>
    <w:rsid w:val="750758DC"/>
    <w:rsid w:val="751F41C9"/>
    <w:rsid w:val="75210DC6"/>
    <w:rsid w:val="752C65E9"/>
    <w:rsid w:val="755C436C"/>
    <w:rsid w:val="75C22A92"/>
    <w:rsid w:val="75D107AB"/>
    <w:rsid w:val="75E31EA6"/>
    <w:rsid w:val="7614205F"/>
    <w:rsid w:val="762D4ECF"/>
    <w:rsid w:val="762D5ADA"/>
    <w:rsid w:val="76516E0F"/>
    <w:rsid w:val="76C25ACB"/>
    <w:rsid w:val="76D359B0"/>
    <w:rsid w:val="76D637B8"/>
    <w:rsid w:val="770D1E4E"/>
    <w:rsid w:val="777004B1"/>
    <w:rsid w:val="77A5586D"/>
    <w:rsid w:val="77A80B64"/>
    <w:rsid w:val="77B23B6D"/>
    <w:rsid w:val="77EB3293"/>
    <w:rsid w:val="78434E7D"/>
    <w:rsid w:val="78533A73"/>
    <w:rsid w:val="787735AE"/>
    <w:rsid w:val="78C637F0"/>
    <w:rsid w:val="790E179A"/>
    <w:rsid w:val="79202AC9"/>
    <w:rsid w:val="79463331"/>
    <w:rsid w:val="79491952"/>
    <w:rsid w:val="7966038B"/>
    <w:rsid w:val="79766B8D"/>
    <w:rsid w:val="797A315A"/>
    <w:rsid w:val="798412AA"/>
    <w:rsid w:val="79867467"/>
    <w:rsid w:val="79A42464"/>
    <w:rsid w:val="79C93CCA"/>
    <w:rsid w:val="79D94C5A"/>
    <w:rsid w:val="7A2F19A6"/>
    <w:rsid w:val="7A3C5021"/>
    <w:rsid w:val="7A5F6F26"/>
    <w:rsid w:val="7A7E3CBB"/>
    <w:rsid w:val="7AC26DB5"/>
    <w:rsid w:val="7AC70977"/>
    <w:rsid w:val="7AE91D0C"/>
    <w:rsid w:val="7AF45644"/>
    <w:rsid w:val="7B1C32AF"/>
    <w:rsid w:val="7B3B59C2"/>
    <w:rsid w:val="7B476A33"/>
    <w:rsid w:val="7B4B046A"/>
    <w:rsid w:val="7B526A95"/>
    <w:rsid w:val="7B7961B8"/>
    <w:rsid w:val="7B7E4B68"/>
    <w:rsid w:val="7BA2010D"/>
    <w:rsid w:val="7C1A6BA8"/>
    <w:rsid w:val="7C1C48C9"/>
    <w:rsid w:val="7C4972C9"/>
    <w:rsid w:val="7C6D363A"/>
    <w:rsid w:val="7C767E6B"/>
    <w:rsid w:val="7C7C5100"/>
    <w:rsid w:val="7C8D1D9F"/>
    <w:rsid w:val="7C8F59D5"/>
    <w:rsid w:val="7C940558"/>
    <w:rsid w:val="7CAC36BD"/>
    <w:rsid w:val="7CAD084D"/>
    <w:rsid w:val="7CEF1129"/>
    <w:rsid w:val="7CFA0260"/>
    <w:rsid w:val="7D0A08A1"/>
    <w:rsid w:val="7D1A2956"/>
    <w:rsid w:val="7D1E78FF"/>
    <w:rsid w:val="7D413846"/>
    <w:rsid w:val="7D4F109A"/>
    <w:rsid w:val="7D613AA9"/>
    <w:rsid w:val="7D841228"/>
    <w:rsid w:val="7D927013"/>
    <w:rsid w:val="7DC97F86"/>
    <w:rsid w:val="7DF51A30"/>
    <w:rsid w:val="7E055B21"/>
    <w:rsid w:val="7E535F8B"/>
    <w:rsid w:val="7E5A0332"/>
    <w:rsid w:val="7E7B227F"/>
    <w:rsid w:val="7E96466E"/>
    <w:rsid w:val="7EB70FC4"/>
    <w:rsid w:val="7EE24F72"/>
    <w:rsid w:val="7EFE4002"/>
    <w:rsid w:val="7F060F50"/>
    <w:rsid w:val="7F361BCE"/>
    <w:rsid w:val="7F68258B"/>
    <w:rsid w:val="7F841392"/>
    <w:rsid w:val="7FB81CAD"/>
    <w:rsid w:val="7FDA715F"/>
    <w:rsid w:val="7FE96BE4"/>
    <w:rsid w:val="7FEA5BDF"/>
    <w:rsid w:val="AAA26966"/>
    <w:rsid w:val="B7FF79E9"/>
    <w:rsid w:val="BEFBD4D8"/>
    <w:rsid w:val="ED562EE8"/>
    <w:rsid w:val="FE7DC4DA"/>
    <w:rsid w:val="FFBB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35"/>
      <w:ind w:left="202" w:right="203"/>
      <w:jc w:val="center"/>
      <w:outlineLvl w:val="0"/>
    </w:pPr>
    <w:rPr>
      <w:b/>
      <w:bCs/>
      <w:sz w:val="28"/>
      <w:szCs w:val="28"/>
    </w:rPr>
  </w:style>
  <w:style w:type="paragraph" w:styleId="4">
    <w:name w:val="heading 2"/>
    <w:basedOn w:val="1"/>
    <w:next w:val="1"/>
    <w:qFormat/>
    <w:uiPriority w:val="1"/>
    <w:pPr>
      <w:ind w:left="202" w:right="193"/>
      <w:jc w:val="center"/>
      <w:outlineLvl w:val="1"/>
    </w:pPr>
    <w:rPr>
      <w:b/>
      <w:bCs/>
      <w:sz w:val="24"/>
      <w:szCs w:val="24"/>
    </w:rPr>
  </w:style>
  <w:style w:type="paragraph" w:styleId="2">
    <w:name w:val="heading 3"/>
    <w:basedOn w:val="1"/>
    <w:next w:val="1"/>
    <w:qFormat/>
    <w:uiPriority w:val="1"/>
    <w:pPr>
      <w:ind w:left="220"/>
      <w:outlineLvl w:val="2"/>
    </w:pPr>
    <w:rPr>
      <w:b/>
      <w:bCs/>
      <w:sz w:val="21"/>
      <w:szCs w:val="21"/>
    </w:rPr>
  </w:style>
  <w:style w:type="paragraph" w:styleId="5">
    <w:name w:val="heading 4"/>
    <w:basedOn w:val="1"/>
    <w:next w:val="1"/>
    <w:qFormat/>
    <w:uiPriority w:val="0"/>
    <w:pPr>
      <w:keepNext/>
      <w:keepLines/>
      <w:widowControl w:val="0"/>
      <w:numPr>
        <w:ilvl w:val="4"/>
        <w:numId w:val="1"/>
      </w:numPr>
      <w:spacing w:before="280" w:beforeLines="0" w:after="290" w:afterLines="0" w:line="376" w:lineRule="auto"/>
      <w:jc w:val="both"/>
      <w:outlineLvl w:val="3"/>
    </w:pPr>
    <w:rPr>
      <w:rFonts w:ascii="Arial" w:hAnsi="Arial" w:eastAsia="黑体" w:cs="Times New Roman"/>
      <w:b/>
      <w:bCs/>
      <w:kern w:val="2"/>
      <w:sz w:val="28"/>
      <w:szCs w:val="28"/>
      <w:lang w:val="en-US" w:eastAsia="zh-CN" w:bidi="ar-SA"/>
    </w:rPr>
  </w:style>
  <w:style w:type="paragraph" w:styleId="6">
    <w:name w:val="heading 6"/>
    <w:basedOn w:val="1"/>
    <w:next w:val="1"/>
    <w:qFormat/>
    <w:uiPriority w:val="1"/>
    <w:pPr>
      <w:ind w:left="296"/>
      <w:outlineLvl w:val="6"/>
    </w:pPr>
    <w:rPr>
      <w:rFonts w:ascii="宋体" w:hAnsi="宋体" w:eastAsia="宋体" w:cs="宋体"/>
      <w:b/>
      <w:bCs/>
      <w:sz w:val="24"/>
      <w:szCs w:val="24"/>
      <w:lang w:val="zh-CN" w:eastAsia="zh-CN" w:bidi="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3920" w:leftChars="1400"/>
    </w:pPr>
  </w:style>
  <w:style w:type="paragraph" w:styleId="8">
    <w:name w:val="Normal Indent"/>
    <w:basedOn w:val="1"/>
    <w:next w:val="1"/>
    <w:qFormat/>
    <w:uiPriority w:val="0"/>
    <w:pPr>
      <w:ind w:firstLine="420"/>
    </w:pPr>
    <w:rPr>
      <w:sz w:val="20"/>
    </w:rPr>
  </w:style>
  <w:style w:type="paragraph" w:styleId="9">
    <w:name w:val="Document Map"/>
    <w:semiHidden/>
    <w:qFormat/>
    <w:uiPriority w:val="0"/>
    <w:pPr>
      <w:widowControl w:val="0"/>
      <w:shd w:val="clear" w:color="auto" w:fill="000080"/>
      <w:jc w:val="both"/>
    </w:pPr>
    <w:rPr>
      <w:rFonts w:ascii="Times New Roman" w:hAnsi="Times New Roman" w:eastAsia="宋体" w:cs="Times New Roman"/>
      <w:kern w:val="2"/>
      <w:sz w:val="21"/>
      <w:szCs w:val="24"/>
      <w:lang w:val="en-US" w:eastAsia="zh-CN" w:bidi="ar-SA"/>
    </w:rPr>
  </w:style>
  <w:style w:type="paragraph" w:styleId="10">
    <w:name w:val="toa heading"/>
    <w:basedOn w:val="1"/>
    <w:next w:val="1"/>
    <w:qFormat/>
    <w:uiPriority w:val="0"/>
    <w:pPr>
      <w:spacing w:before="120"/>
    </w:pPr>
    <w:rPr>
      <w:rFonts w:ascii="Cambria" w:hAnsi="Cambria" w:cs="Times New Roman"/>
      <w:sz w:val="24"/>
    </w:rPr>
  </w:style>
  <w:style w:type="paragraph" w:styleId="11">
    <w:name w:val="annotation text"/>
    <w:basedOn w:val="1"/>
    <w:qFormat/>
    <w:uiPriority w:val="99"/>
    <w:pPr>
      <w:jc w:val="left"/>
    </w:pPr>
  </w:style>
  <w:style w:type="paragraph" w:styleId="12">
    <w:name w:val="Body Text"/>
    <w:basedOn w:val="1"/>
    <w:next w:val="13"/>
    <w:qFormat/>
    <w:uiPriority w:val="1"/>
    <w:rPr>
      <w:sz w:val="21"/>
      <w:szCs w:val="21"/>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Body Text Indent"/>
    <w:basedOn w:val="1"/>
    <w:next w:val="15"/>
    <w:qFormat/>
    <w:uiPriority w:val="0"/>
    <w:pPr>
      <w:spacing w:before="0" w:after="0" w:line="360" w:lineRule="exact"/>
      <w:ind w:left="420" w:firstLine="1188"/>
      <w:outlineLvl w:val="0"/>
    </w:pPr>
    <w:rPr>
      <w:rFonts w:ascii="Calibri" w:hAnsi="Calibri" w:eastAsia="宋体" w:cs="Times New Roman"/>
      <w:lang w:val="en-US" w:eastAsia="zh-CN" w:bidi="ar-SA"/>
    </w:rPr>
  </w:style>
  <w:style w:type="paragraph" w:styleId="15">
    <w:name w:val="toc 5"/>
    <w:basedOn w:val="1"/>
    <w:next w:val="1"/>
    <w:qFormat/>
    <w:uiPriority w:val="0"/>
    <w:pPr>
      <w:ind w:left="840"/>
      <w:jc w:val="left"/>
    </w:pPr>
    <w:rPr>
      <w:rFonts w:ascii="Calibri" w:hAnsi="Calibri"/>
      <w:sz w:val="18"/>
      <w:szCs w:val="18"/>
    </w:rPr>
  </w:style>
  <w:style w:type="paragraph" w:styleId="16">
    <w:name w:val="List 2"/>
    <w:basedOn w:val="1"/>
    <w:next w:val="17"/>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17">
    <w:name w:val="Plain Text"/>
    <w:basedOn w:val="1"/>
    <w:qFormat/>
    <w:uiPriority w:val="0"/>
    <w:rPr>
      <w:rFonts w:hAnsi="Courier New"/>
      <w:szCs w:val="20"/>
    </w:rPr>
  </w:style>
  <w:style w:type="paragraph" w:styleId="18">
    <w:name w:val="Block Text"/>
    <w:qFormat/>
    <w:uiPriority w:val="0"/>
    <w:pPr>
      <w:widowControl w:val="0"/>
      <w:autoSpaceDE w:val="0"/>
      <w:autoSpaceDN w:val="0"/>
      <w:adjustRightInd w:val="0"/>
      <w:spacing w:line="240" w:lineRule="atLeast"/>
      <w:ind w:left="1797" w:right="857" w:rightChars="857" w:firstLine="226" w:firstLineChars="226"/>
      <w:jc w:val="left"/>
    </w:pPr>
    <w:rPr>
      <w:rFonts w:ascii="宋体" w:hAnsi="Calibri" w:eastAsia="宋体" w:cs="Times New Roman"/>
      <w:color w:val="000000"/>
      <w:kern w:val="0"/>
      <w:sz w:val="24"/>
      <w:szCs w:val="24"/>
      <w:lang w:val="en-US" w:eastAsia="zh-CN" w:bidi="ar-SA"/>
    </w:rPr>
  </w:style>
  <w:style w:type="paragraph" w:styleId="19">
    <w:name w:val="index 4"/>
    <w:next w:val="1"/>
    <w:unhideWhenUsed/>
    <w:qFormat/>
    <w:uiPriority w:val="0"/>
    <w:pPr>
      <w:widowControl w:val="0"/>
      <w:ind w:left="600" w:leftChars="600"/>
      <w:jc w:val="both"/>
    </w:pPr>
    <w:rPr>
      <w:rFonts w:ascii="Calibri" w:hAnsi="Calibri" w:eastAsia="宋体" w:cs="Times New Roman"/>
      <w:kern w:val="2"/>
      <w:sz w:val="21"/>
      <w:szCs w:val="24"/>
      <w:lang w:val="en-US" w:eastAsia="zh-CN" w:bidi="ar-SA"/>
    </w:rPr>
  </w:style>
  <w:style w:type="paragraph" w:styleId="20">
    <w:name w:val="toc 3"/>
    <w:basedOn w:val="1"/>
    <w:next w:val="1"/>
    <w:qFormat/>
    <w:uiPriority w:val="0"/>
    <w:pPr>
      <w:ind w:left="840" w:leftChars="400"/>
    </w:pPr>
  </w:style>
  <w:style w:type="paragraph" w:styleId="21">
    <w:name w:val="footer"/>
    <w:basedOn w:val="1"/>
    <w:qFormat/>
    <w:uiPriority w:val="0"/>
    <w:pPr>
      <w:tabs>
        <w:tab w:val="center" w:pos="4153"/>
        <w:tab w:val="right" w:pos="8306"/>
      </w:tabs>
      <w:snapToGrid w:val="0"/>
    </w:pPr>
    <w:rPr>
      <w:sz w:val="18"/>
    </w:rPr>
  </w:style>
  <w:style w:type="paragraph" w:styleId="22">
    <w:name w:val="envelope return"/>
    <w:qFormat/>
    <w:uiPriority w:val="99"/>
    <w:pPr>
      <w:widowControl w:val="0"/>
      <w:snapToGrid w:val="0"/>
      <w:jc w:val="both"/>
    </w:pPr>
    <w:rPr>
      <w:rFonts w:ascii="Arial" w:hAnsi="Arial" w:eastAsia="宋体" w:cs="Times New Roman"/>
      <w:kern w:val="2"/>
      <w:sz w:val="21"/>
      <w:szCs w:val="24"/>
      <w:lang w:val="en-US" w:eastAsia="zh-CN" w:bidi="ar-SA"/>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4">
    <w:name w:val="toc 1"/>
    <w:basedOn w:val="1"/>
    <w:next w:val="1"/>
    <w:qFormat/>
    <w:uiPriority w:val="1"/>
    <w:pPr>
      <w:spacing w:before="214"/>
      <w:ind w:left="220"/>
    </w:pPr>
    <w:rPr>
      <w:b/>
      <w:bCs/>
      <w:sz w:val="32"/>
      <w:szCs w:val="32"/>
    </w:rPr>
  </w:style>
  <w:style w:type="paragraph" w:styleId="25">
    <w:name w:val="footnote text"/>
    <w:basedOn w:val="1"/>
    <w:unhideWhenUsed/>
    <w:qFormat/>
    <w:uiPriority w:val="99"/>
    <w:pPr>
      <w:snapToGrid w:val="0"/>
      <w:jc w:val="left"/>
    </w:pPr>
    <w:rPr>
      <w:sz w:val="18"/>
    </w:rPr>
  </w:style>
  <w:style w:type="paragraph" w:styleId="26">
    <w:name w:val="toc 6"/>
    <w:next w:val="1"/>
    <w:semiHidden/>
    <w:qFormat/>
    <w:uiPriority w:val="0"/>
    <w:pPr>
      <w:widowControl w:val="0"/>
      <w:autoSpaceDE w:val="0"/>
      <w:autoSpaceDN w:val="0"/>
      <w:spacing w:before="0" w:after="0" w:line="240" w:lineRule="auto"/>
      <w:ind w:left="1050" w:right="0"/>
      <w:jc w:val="left"/>
    </w:pPr>
    <w:rPr>
      <w:rFonts w:ascii="宋体" w:hAnsi="宋体" w:eastAsia="宋体" w:cs="宋体"/>
      <w:sz w:val="18"/>
      <w:szCs w:val="18"/>
      <w:lang w:val="zh-CN" w:eastAsia="zh-CN" w:bidi="zh-CN"/>
    </w:rPr>
  </w:style>
  <w:style w:type="paragraph" w:styleId="27">
    <w:name w:val="toc 2"/>
    <w:basedOn w:val="1"/>
    <w:next w:val="1"/>
    <w:qFormat/>
    <w:uiPriority w:val="0"/>
    <w:pPr>
      <w:ind w:left="420" w:leftChars="200"/>
    </w:pPr>
  </w:style>
  <w:style w:type="paragraph" w:styleId="28">
    <w:name w:val="Body Text 2"/>
    <w:qFormat/>
    <w:uiPriority w:val="0"/>
    <w:pPr>
      <w:widowControl w:val="0"/>
      <w:adjustRightInd w:val="0"/>
      <w:spacing w:after="20" w:afterLines="0" w:line="720" w:lineRule="auto"/>
      <w:ind w:firstLine="420"/>
      <w:jc w:val="both"/>
      <w:textAlignment w:val="baseline"/>
    </w:pPr>
    <w:rPr>
      <w:rFonts w:ascii="Times New Roman" w:hAnsi="Calibri" w:eastAsia="宋体" w:cs="Times New Roman"/>
      <w:kern w:val="2"/>
      <w:sz w:val="30"/>
      <w:szCs w:val="24"/>
      <w:lang w:val="en-US" w:eastAsia="zh-CN" w:bidi="ar-SA"/>
    </w:rPr>
  </w:style>
  <w:style w:type="paragraph" w:styleId="29">
    <w:name w:val="Normal (Web)"/>
    <w:basedOn w:val="1"/>
    <w:qFormat/>
    <w:uiPriority w:val="99"/>
    <w:pPr>
      <w:widowControl/>
    </w:pPr>
    <w:rPr>
      <w:sz w:val="24"/>
      <w:szCs w:val="24"/>
    </w:rPr>
  </w:style>
  <w:style w:type="paragraph" w:styleId="30">
    <w:name w:val="Body Text First Indent"/>
    <w:basedOn w:val="12"/>
    <w:next w:val="26"/>
    <w:unhideWhenUsed/>
    <w:qFormat/>
    <w:uiPriority w:val="99"/>
    <w:pPr>
      <w:ind w:firstLine="420" w:firstLineChars="100"/>
    </w:pPr>
  </w:style>
  <w:style w:type="paragraph" w:styleId="31">
    <w:name w:val="Body Text First Indent 2"/>
    <w:basedOn w:val="14"/>
    <w:next w:val="1"/>
    <w:unhideWhenUsed/>
    <w:qFormat/>
    <w:uiPriority w:val="99"/>
    <w:pPr>
      <w:widowControl w:val="0"/>
      <w:spacing w:before="0" w:after="120" w:line="360" w:lineRule="exact"/>
      <w:ind w:left="420" w:leftChars="200" w:firstLine="420" w:firstLineChars="200"/>
      <w:jc w:val="both"/>
      <w:outlineLvl w:val="0"/>
    </w:pPr>
    <w:rPr>
      <w:rFonts w:ascii="Calibri" w:hAnsi="Calibri" w:eastAsia="宋体" w:cs="Times New Roman"/>
      <w:kern w:val="2"/>
      <w:sz w:val="21"/>
      <w:lang w:val="en-US" w:eastAsia="zh-CN" w:bidi="ar-SA"/>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page number"/>
    <w:qFormat/>
    <w:uiPriority w:val="0"/>
    <w:rPr>
      <w:rFonts w:hAnsi="宋体"/>
      <w:sz w:val="28"/>
      <w:szCs w:val="24"/>
    </w:rPr>
  </w:style>
  <w:style w:type="character" w:styleId="37">
    <w:name w:val="Emphasis"/>
    <w:basedOn w:val="34"/>
    <w:qFormat/>
    <w:uiPriority w:val="0"/>
    <w:rPr>
      <w:i/>
    </w:rPr>
  </w:style>
  <w:style w:type="character" w:styleId="38">
    <w:name w:val="Hyperlink"/>
    <w:basedOn w:val="34"/>
    <w:qFormat/>
    <w:uiPriority w:val="0"/>
    <w:rPr>
      <w:color w:val="0000FF"/>
      <w:u w:val="single"/>
    </w:rPr>
  </w:style>
  <w:style w:type="character" w:styleId="39">
    <w:name w:val="HTML Sample"/>
    <w:basedOn w:val="34"/>
    <w:qFormat/>
    <w:uiPriority w:val="0"/>
    <w:rPr>
      <w:rFonts w:ascii="Courier New" w:hAnsi="Courier New"/>
    </w:rPr>
  </w:style>
  <w:style w:type="paragraph" w:customStyle="1" w:styleId="40">
    <w:name w:val="正文缩进1"/>
    <w:basedOn w:val="1"/>
    <w:next w:val="14"/>
    <w:qFormat/>
    <w:uiPriority w:val="0"/>
    <w:pPr>
      <w:ind w:firstLine="420" w:firstLineChars="200"/>
    </w:pPr>
  </w:style>
  <w:style w:type="paragraph" w:customStyle="1" w:styleId="41">
    <w:name w:val="样式1"/>
    <w:next w:val="42"/>
    <w:qFormat/>
    <w:uiPriority w:val="0"/>
    <w:pPr>
      <w:widowControl/>
      <w:shd w:val="clear" w:color="auto" w:fill="FFFFFF"/>
      <w:autoSpaceDE w:val="0"/>
      <w:autoSpaceDN w:val="0"/>
      <w:spacing w:after="300" w:line="0" w:lineRule="atLeast"/>
      <w:jc w:val="left"/>
    </w:pPr>
    <w:rPr>
      <w:rFonts w:ascii="MingLiU" w:hAnsi="MingLiU" w:eastAsia="MingLiU" w:cs="MingLiU"/>
      <w:sz w:val="27"/>
      <w:szCs w:val="27"/>
      <w:lang w:val="zh-CN" w:eastAsia="zh-CN" w:bidi="zh-CN"/>
    </w:rPr>
  </w:style>
  <w:style w:type="paragraph" w:customStyle="1" w:styleId="42">
    <w:name w:val="样式2"/>
    <w:qFormat/>
    <w:uiPriority w:val="0"/>
    <w:pPr>
      <w:widowControl w:val="0"/>
      <w:autoSpaceDE w:val="0"/>
      <w:autoSpaceDN w:val="0"/>
    </w:pPr>
    <w:rPr>
      <w:rFonts w:ascii="Calibri" w:hAnsi="Calibri" w:eastAsia="宋体" w:cs="宋体"/>
      <w:sz w:val="22"/>
      <w:szCs w:val="22"/>
      <w:lang w:val="zh-CN" w:eastAsia="zh-CN" w:bidi="zh-CN"/>
    </w:rPr>
  </w:style>
  <w:style w:type="paragraph" w:customStyle="1" w:styleId="43">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4">
    <w:name w:val="正文1"/>
    <w:qFormat/>
    <w:uiPriority w:val="0"/>
    <w:rPr>
      <w:rFonts w:ascii="Times New Roman" w:hAnsi="Times New Roman" w:eastAsia="Times New Roman" w:cs="Times New Roman"/>
      <w:sz w:val="24"/>
      <w:szCs w:val="24"/>
      <w:lang w:val="en-US" w:eastAsia="zh-CN" w:bidi="ar-SA"/>
    </w:rPr>
  </w:style>
  <w:style w:type="table" w:customStyle="1" w:styleId="45">
    <w:name w:val="Table Normal"/>
    <w:semiHidden/>
    <w:unhideWhenUsed/>
    <w:qFormat/>
    <w:uiPriority w:val="2"/>
    <w:tblPr>
      <w:tblCellMar>
        <w:top w:w="0" w:type="dxa"/>
        <w:left w:w="0" w:type="dxa"/>
        <w:bottom w:w="0" w:type="dxa"/>
        <w:right w:w="0" w:type="dxa"/>
      </w:tblCellMar>
    </w:tblPr>
  </w:style>
  <w:style w:type="paragraph" w:styleId="46">
    <w:name w:val="List Paragraph"/>
    <w:basedOn w:val="1"/>
    <w:qFormat/>
    <w:uiPriority w:val="1"/>
    <w:pPr>
      <w:ind w:left="220"/>
    </w:pPr>
  </w:style>
  <w:style w:type="paragraph" w:customStyle="1" w:styleId="47">
    <w:name w:val="Table Paragraph"/>
    <w:basedOn w:val="1"/>
    <w:qFormat/>
    <w:uiPriority w:val="1"/>
  </w:style>
  <w:style w:type="paragraph" w:customStyle="1" w:styleId="48">
    <w:name w:val="_Style 2"/>
    <w:basedOn w:val="3"/>
    <w:next w:val="1"/>
    <w:qFormat/>
    <w:uiPriority w:val="39"/>
    <w:pPr>
      <w:keepLines/>
      <w:widowControl/>
      <w:spacing w:before="480" w:line="276" w:lineRule="auto"/>
      <w:jc w:val="left"/>
      <w:outlineLvl w:val="9"/>
    </w:pPr>
    <w:rPr>
      <w:rFonts w:ascii="Cambria" w:hAnsi="Cambria"/>
      <w:color w:val="365F91"/>
    </w:rPr>
  </w:style>
  <w:style w:type="paragraph" w:customStyle="1" w:styleId="4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customStyle="1" w:styleId="52">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5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font01"/>
    <w:basedOn w:val="34"/>
    <w:qFormat/>
    <w:uiPriority w:val="0"/>
    <w:rPr>
      <w:rFonts w:hint="eastAsia" w:ascii="宋体" w:hAnsi="宋体" w:eastAsia="宋体" w:cs="宋体"/>
      <w:b/>
      <w:color w:val="000000"/>
      <w:sz w:val="28"/>
      <w:szCs w:val="28"/>
      <w:u w:val="none"/>
    </w:rPr>
  </w:style>
  <w:style w:type="character" w:customStyle="1" w:styleId="55">
    <w:name w:val="font91"/>
    <w:basedOn w:val="34"/>
    <w:qFormat/>
    <w:uiPriority w:val="0"/>
    <w:rPr>
      <w:rFonts w:hint="default" w:ascii="Times New Roman" w:hAnsi="Times New Roman" w:cs="Times New Roman"/>
      <w:b/>
      <w:color w:val="000000"/>
      <w:sz w:val="28"/>
      <w:szCs w:val="28"/>
      <w:u w:val="none"/>
    </w:rPr>
  </w:style>
  <w:style w:type="character" w:customStyle="1" w:styleId="56">
    <w:name w:val="font141"/>
    <w:basedOn w:val="34"/>
    <w:qFormat/>
    <w:uiPriority w:val="0"/>
    <w:rPr>
      <w:rFonts w:hint="eastAsia" w:ascii="宋体" w:hAnsi="宋体" w:eastAsia="宋体" w:cs="宋体"/>
      <w:b/>
      <w:color w:val="000000"/>
      <w:sz w:val="20"/>
      <w:szCs w:val="20"/>
      <w:u w:val="none"/>
    </w:rPr>
  </w:style>
  <w:style w:type="character" w:customStyle="1" w:styleId="57">
    <w:name w:val="font31"/>
    <w:basedOn w:val="34"/>
    <w:qFormat/>
    <w:uiPriority w:val="0"/>
    <w:rPr>
      <w:rFonts w:hint="default" w:ascii="Times New Roman" w:hAnsi="Times New Roman" w:cs="Times New Roman"/>
      <w:b/>
      <w:color w:val="000000"/>
      <w:sz w:val="20"/>
      <w:szCs w:val="20"/>
      <w:u w:val="none"/>
    </w:rPr>
  </w:style>
  <w:style w:type="character" w:customStyle="1" w:styleId="58">
    <w:name w:val="font101"/>
    <w:basedOn w:val="34"/>
    <w:qFormat/>
    <w:uiPriority w:val="0"/>
    <w:rPr>
      <w:rFonts w:hint="default" w:ascii="Times New Roman" w:hAnsi="Times New Roman" w:cs="Times New Roman"/>
      <w:b/>
      <w:color w:val="000000"/>
      <w:sz w:val="20"/>
      <w:szCs w:val="20"/>
      <w:u w:val="none"/>
    </w:rPr>
  </w:style>
  <w:style w:type="character" w:customStyle="1" w:styleId="59">
    <w:name w:val="font112"/>
    <w:basedOn w:val="34"/>
    <w:qFormat/>
    <w:uiPriority w:val="0"/>
    <w:rPr>
      <w:rFonts w:hint="eastAsia" w:ascii="宋体" w:hAnsi="宋体" w:eastAsia="宋体" w:cs="宋体"/>
      <w:color w:val="000000"/>
      <w:sz w:val="18"/>
      <w:szCs w:val="18"/>
      <w:u w:val="none"/>
    </w:rPr>
  </w:style>
  <w:style w:type="character" w:customStyle="1" w:styleId="60">
    <w:name w:val="font121"/>
    <w:basedOn w:val="34"/>
    <w:qFormat/>
    <w:uiPriority w:val="0"/>
    <w:rPr>
      <w:rFonts w:hint="default" w:ascii="Times New Roman" w:hAnsi="Times New Roman" w:cs="Times New Roman"/>
      <w:color w:val="000000"/>
      <w:sz w:val="18"/>
      <w:szCs w:val="18"/>
      <w:u w:val="none"/>
    </w:rPr>
  </w:style>
  <w:style w:type="character" w:customStyle="1" w:styleId="61">
    <w:name w:val="font51"/>
    <w:basedOn w:val="34"/>
    <w:qFormat/>
    <w:uiPriority w:val="0"/>
    <w:rPr>
      <w:rFonts w:hint="default" w:ascii="Times New Roman" w:hAnsi="Times New Roman" w:cs="Times New Roman"/>
      <w:color w:val="000000"/>
      <w:sz w:val="18"/>
      <w:szCs w:val="18"/>
      <w:u w:val="none"/>
    </w:rPr>
  </w:style>
  <w:style w:type="character" w:customStyle="1" w:styleId="62">
    <w:name w:val="font161"/>
    <w:basedOn w:val="34"/>
    <w:qFormat/>
    <w:uiPriority w:val="0"/>
    <w:rPr>
      <w:rFonts w:hint="default" w:ascii="Times New Roman" w:hAnsi="Times New Roman" w:cs="Times New Roman"/>
      <w:color w:val="000000"/>
      <w:sz w:val="18"/>
      <w:szCs w:val="18"/>
      <w:u w:val="none"/>
      <w:vertAlign w:val="subscript"/>
    </w:rPr>
  </w:style>
  <w:style w:type="character" w:customStyle="1" w:styleId="63">
    <w:name w:val="font171"/>
    <w:basedOn w:val="34"/>
    <w:qFormat/>
    <w:uiPriority w:val="0"/>
    <w:rPr>
      <w:rFonts w:hint="default" w:ascii="Times New Roman" w:hAnsi="Times New Roman" w:cs="Times New Roman"/>
      <w:color w:val="000000"/>
      <w:sz w:val="18"/>
      <w:szCs w:val="18"/>
      <w:u w:val="none"/>
      <w:vertAlign w:val="subscript"/>
    </w:rPr>
  </w:style>
  <w:style w:type="character" w:customStyle="1" w:styleId="64">
    <w:name w:val="font151"/>
    <w:basedOn w:val="34"/>
    <w:qFormat/>
    <w:uiPriority w:val="0"/>
    <w:rPr>
      <w:rFonts w:ascii="宋体" w:hAnsi="宋体" w:eastAsia="宋体" w:cs="宋体"/>
      <w:color w:val="000000"/>
      <w:sz w:val="18"/>
      <w:szCs w:val="18"/>
      <w:u w:val="none"/>
    </w:rPr>
  </w:style>
  <w:style w:type="paragraph" w:customStyle="1" w:styleId="65">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66">
    <w:name w:val="font41"/>
    <w:basedOn w:val="34"/>
    <w:qFormat/>
    <w:uiPriority w:val="0"/>
    <w:rPr>
      <w:rFonts w:hint="default" w:ascii="Times New Roman" w:hAnsi="Times New Roman" w:cs="Times New Roman"/>
      <w:b/>
      <w:color w:val="000000"/>
      <w:sz w:val="20"/>
      <w:szCs w:val="20"/>
      <w:u w:val="none"/>
    </w:rPr>
  </w:style>
  <w:style w:type="character" w:customStyle="1" w:styleId="67">
    <w:name w:val="font61"/>
    <w:basedOn w:val="34"/>
    <w:qFormat/>
    <w:uiPriority w:val="0"/>
    <w:rPr>
      <w:rFonts w:hint="default" w:ascii="Times New Roman" w:hAnsi="Times New Roman" w:cs="Times New Roman"/>
      <w:b/>
      <w:color w:val="000000"/>
      <w:sz w:val="20"/>
      <w:szCs w:val="20"/>
      <w:u w:val="none"/>
    </w:rPr>
  </w:style>
  <w:style w:type="character" w:customStyle="1" w:styleId="68">
    <w:name w:val="font131"/>
    <w:basedOn w:val="34"/>
    <w:qFormat/>
    <w:uiPriority w:val="0"/>
    <w:rPr>
      <w:rFonts w:hint="eastAsia" w:ascii="宋体" w:hAnsi="宋体" w:eastAsia="宋体" w:cs="宋体"/>
      <w:color w:val="000000"/>
      <w:sz w:val="18"/>
      <w:szCs w:val="18"/>
      <w:u w:val="none"/>
    </w:rPr>
  </w:style>
  <w:style w:type="character" w:customStyle="1" w:styleId="69">
    <w:name w:val="font71"/>
    <w:basedOn w:val="34"/>
    <w:qFormat/>
    <w:uiPriority w:val="0"/>
    <w:rPr>
      <w:rFonts w:hint="default" w:ascii="Times New Roman" w:hAnsi="Times New Roman" w:cs="Times New Roman"/>
      <w:color w:val="000000"/>
      <w:sz w:val="18"/>
      <w:szCs w:val="18"/>
      <w:u w:val="none"/>
    </w:rPr>
  </w:style>
  <w:style w:type="character" w:customStyle="1" w:styleId="70">
    <w:name w:val="font81"/>
    <w:basedOn w:val="34"/>
    <w:qFormat/>
    <w:uiPriority w:val="0"/>
    <w:rPr>
      <w:rFonts w:hint="default" w:ascii="Times New Roman" w:hAnsi="Times New Roman" w:cs="Times New Roman"/>
      <w:color w:val="000000"/>
      <w:sz w:val="18"/>
      <w:szCs w:val="18"/>
      <w:u w:val="none"/>
    </w:rPr>
  </w:style>
  <w:style w:type="character" w:customStyle="1" w:styleId="71">
    <w:name w:val="font181"/>
    <w:basedOn w:val="34"/>
    <w:qFormat/>
    <w:uiPriority w:val="0"/>
    <w:rPr>
      <w:rFonts w:hint="eastAsia" w:ascii="宋体" w:hAnsi="宋体" w:eastAsia="宋体" w:cs="宋体"/>
      <w:b/>
      <w:color w:val="000000"/>
      <w:sz w:val="24"/>
      <w:szCs w:val="24"/>
      <w:u w:val="none"/>
    </w:rPr>
  </w:style>
  <w:style w:type="character" w:customStyle="1" w:styleId="72">
    <w:name w:val="font191"/>
    <w:basedOn w:val="34"/>
    <w:qFormat/>
    <w:uiPriority w:val="0"/>
    <w:rPr>
      <w:rFonts w:hint="default" w:ascii="Times New Roman" w:hAnsi="Times New Roman" w:cs="Times New Roman"/>
      <w:color w:val="000000"/>
      <w:sz w:val="18"/>
      <w:szCs w:val="18"/>
      <w:u w:val="none"/>
      <w:vertAlign w:val="subscript"/>
    </w:rPr>
  </w:style>
  <w:style w:type="character" w:customStyle="1" w:styleId="73">
    <w:name w:val="font211"/>
    <w:basedOn w:val="34"/>
    <w:qFormat/>
    <w:uiPriority w:val="0"/>
    <w:rPr>
      <w:rFonts w:hint="eastAsia" w:ascii="宋体" w:hAnsi="宋体" w:eastAsia="宋体" w:cs="宋体"/>
      <w:b/>
      <w:color w:val="000000"/>
      <w:sz w:val="24"/>
      <w:szCs w:val="24"/>
      <w:u w:val="none"/>
    </w:rPr>
  </w:style>
  <w:style w:type="character" w:customStyle="1" w:styleId="74">
    <w:name w:val="font11"/>
    <w:basedOn w:val="34"/>
    <w:qFormat/>
    <w:uiPriority w:val="0"/>
    <w:rPr>
      <w:rFonts w:hint="default" w:ascii="Times New Roman" w:hAnsi="Times New Roman" w:cs="Times New Roman"/>
      <w:color w:val="000000"/>
      <w:sz w:val="18"/>
      <w:szCs w:val="18"/>
      <w:u w:val="none"/>
    </w:rPr>
  </w:style>
  <w:style w:type="paragraph" w:customStyle="1" w:styleId="75">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styleId="7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7">
    <w:name w:val=" Char"/>
    <w:qFormat/>
    <w:uiPriority w:val="0"/>
    <w:pPr>
      <w:widowControl w:val="0"/>
      <w:shd w:val="clear" w:color="auto" w:fill="000080"/>
      <w:spacing w:before="240" w:after="240"/>
      <w:ind w:leftChars="100" w:rightChars="100"/>
      <w:jc w:val="both"/>
    </w:pPr>
    <w:rPr>
      <w:rFonts w:ascii="Times New Roman" w:hAnsi="宋体" w:eastAsia="宋体" w:cs="Times New Roman"/>
      <w:kern w:val="2"/>
      <w:sz w:val="28"/>
      <w:szCs w:val="24"/>
      <w:lang w:val="en-US" w:eastAsia="zh-CN" w:bidi="ar-SA"/>
    </w:rPr>
  </w:style>
  <w:style w:type="paragraph" w:customStyle="1" w:styleId="78">
    <w:name w:val="msolistparagraph"/>
    <w:basedOn w:val="1"/>
    <w:qFormat/>
    <w:uiPriority w:val="0"/>
    <w:pPr>
      <w:ind w:firstLine="420" w:firstLineChars="200"/>
    </w:pPr>
    <w:rPr>
      <w:rFonts w:ascii="Calibri" w:hAnsi="Calibri" w:eastAsia="宋体" w:cs="Times New Roman"/>
    </w:rPr>
  </w:style>
  <w:style w:type="paragraph" w:customStyle="1" w:styleId="79">
    <w:name w:val="正文文本1"/>
    <w:qFormat/>
    <w:uiPriority w:val="0"/>
    <w:pPr>
      <w:widowControl/>
      <w:shd w:val="clear" w:color="auto" w:fill="FFFFFF"/>
      <w:autoSpaceDE w:val="0"/>
      <w:autoSpaceDN w:val="0"/>
      <w:spacing w:after="300" w:line="0" w:lineRule="atLeast"/>
      <w:jc w:val="left"/>
    </w:pPr>
    <w:rPr>
      <w:rFonts w:ascii="MingLiU" w:hAnsi="MingLiU" w:eastAsia="MingLiU" w:cs="MingLiU"/>
      <w:sz w:val="27"/>
      <w:szCs w:val="27"/>
      <w:lang w:val="zh-CN" w:eastAsia="zh-CN" w:bidi="zh-CN"/>
    </w:rPr>
  </w:style>
  <w:style w:type="paragraph" w:customStyle="1" w:styleId="80">
    <w:name w:val="ZCF正文"/>
    <w:basedOn w:val="1"/>
    <w:qFormat/>
    <w:uiPriority w:val="0"/>
    <w:pPr>
      <w:widowControl/>
      <w:spacing w:line="360" w:lineRule="auto"/>
      <w:ind w:firstLine="881" w:firstLineChars="200"/>
    </w:pPr>
    <w:rPr>
      <w:rFonts w:ascii="华文仿宋" w:hAnsi="华文仿宋" w:eastAsia="仿宋" w:cs="Calibri"/>
      <w:kern w:val="0"/>
      <w:sz w:val="30"/>
    </w:rPr>
  </w:style>
  <w:style w:type="paragraph" w:customStyle="1" w:styleId="81">
    <w:name w:val="Table Text"/>
    <w:basedOn w:val="1"/>
    <w:semiHidden/>
    <w:qFormat/>
    <w:uiPriority w:val="0"/>
    <w:rPr>
      <w:rFonts w:ascii="宋体" w:hAnsi="宋体" w:eastAsia="宋体" w:cs="宋体"/>
      <w:sz w:val="21"/>
      <w:szCs w:val="21"/>
      <w:lang w:val="en-US" w:eastAsia="en-US" w:bidi="ar-SA"/>
    </w:rPr>
  </w:style>
  <w:style w:type="paragraph" w:customStyle="1" w:styleId="82">
    <w:name w:val="xl32"/>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lang w:val="en-US" w:eastAsia="zh-CN" w:bidi="ar-SA"/>
    </w:rPr>
  </w:style>
  <w:style w:type="paragraph" w:customStyle="1" w:styleId="83">
    <w:name w:val="Body Text First Indent 2"/>
    <w:qFormat/>
    <w:uiPriority w:val="0"/>
    <w:pPr>
      <w:widowControl w:val="0"/>
      <w:adjustRightInd w:val="0"/>
      <w:spacing w:after="120" w:afterLines="0" w:line="240" w:lineRule="auto"/>
      <w:ind w:left="420" w:leftChars="200" w:firstLine="420"/>
      <w:jc w:val="both"/>
    </w:pPr>
    <w:rPr>
      <w:rFonts w:ascii="Times New Roman" w:hAnsi="Times New Roman" w:eastAsia="宋体" w:cs="宋体"/>
      <w:color w:val="000000"/>
      <w:kern w:val="2"/>
      <w:sz w:val="21"/>
      <w:szCs w:val="21"/>
      <w:lang w:val="en-US" w:eastAsia="zh-CN" w:bidi="ar-SA"/>
    </w:rPr>
  </w:style>
  <w:style w:type="paragraph" w:customStyle="1" w:styleId="84">
    <w:name w:val="Body Text Indent"/>
    <w:next w:val="1"/>
    <w:qFormat/>
    <w:uiPriority w:val="0"/>
    <w:pPr>
      <w:widowControl w:val="0"/>
      <w:adjustRightInd w:val="0"/>
      <w:spacing w:after="120" w:afterLines="0"/>
      <w:ind w:left="420" w:leftChars="200"/>
      <w:jc w:val="both"/>
    </w:pPr>
    <w:rPr>
      <w:rFonts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52062</Words>
  <Characters>55160</Characters>
  <Lines>197</Lines>
  <Paragraphs>55</Paragraphs>
  <TotalTime>39</TotalTime>
  <ScaleCrop>false</ScaleCrop>
  <LinksUpToDate>false</LinksUpToDate>
  <CharactersWithSpaces>57113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2020-07-05T09:24:00Z</dcterms:created>
  <dc:creator>llsxx</dc:creator>
  <cp:lastModifiedBy>风 雨 同 路</cp:lastModifiedBy>
  <cp:lastPrinted>2023-05-19T07:47:00Z</cp:lastPrinted>
  <dcterms:modified xsi:type="dcterms:W3CDTF">2023-08-15T09:16:37Z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WPS 文字</vt:lpwstr>
  </property>
  <property fmtid="{D5CDD505-2E9C-101B-9397-08002B2CF9AE}" pid="4" name="LastSaved">
    <vt:filetime>2020-05-12T00:00:00Z</vt:filetime>
  </property>
  <property fmtid="{D5CDD505-2E9C-101B-9397-08002B2CF9AE}" pid="5" name="KSOProductBuildVer">
    <vt:lpwstr>2052-11.1.0.14309</vt:lpwstr>
  </property>
  <property fmtid="{D5CDD505-2E9C-101B-9397-08002B2CF9AE}" pid="6" name="ICV">
    <vt:lpwstr>009905B445CC408FAB0E3A5A156B5F66_13</vt:lpwstr>
  </property>
</Properties>
</file>