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adjustRightInd w:val="0"/>
        <w:snapToGrid w:val="0"/>
        <w:spacing w:line="360" w:lineRule="auto"/>
        <w:rPr>
          <w:rFonts w:hAnsi="宋体"/>
          <w:b/>
          <w:color w:val="000000" w:themeColor="text1"/>
          <w:sz w:val="44"/>
          <w:szCs w:val="44"/>
          <w14:textFill>
            <w14:solidFill>
              <w14:schemeClr w14:val="tx1"/>
            </w14:solidFill>
          </w14:textFill>
        </w:rPr>
      </w:pPr>
      <w:bookmarkStart w:id="0" w:name="第二部分第六章"/>
    </w:p>
    <w:p>
      <w:pPr>
        <w:pStyle w:val="25"/>
        <w:adjustRightInd w:val="0"/>
        <w:snapToGrid w:val="0"/>
        <w:spacing w:line="360" w:lineRule="auto"/>
        <w:jc w:val="center"/>
        <w:rPr>
          <w:rFonts w:hint="eastAsia" w:hAnsi="宋体" w:eastAsia="宋体"/>
          <w:b/>
          <w:color w:val="000000" w:themeColor="text1"/>
          <w:sz w:val="44"/>
          <w:szCs w:val="44"/>
          <w:lang w:eastAsia="zh-CN"/>
          <w14:textFill>
            <w14:solidFill>
              <w14:schemeClr w14:val="tx1"/>
            </w14:solidFill>
          </w14:textFill>
        </w:rPr>
      </w:pPr>
      <w:r>
        <w:rPr>
          <w:rFonts w:hint="eastAsia" w:ascii="微软雅黑" w:hAnsi="微软雅黑" w:eastAsia="微软雅黑" w:cs="微软雅黑"/>
          <w:color w:val="000000"/>
          <w:kern w:val="0"/>
          <w:sz w:val="44"/>
          <w:szCs w:val="44"/>
          <w:lang w:eastAsia="zh-CN"/>
        </w:rPr>
        <w:t>霍尔果斯市</w:t>
      </w:r>
      <w:r>
        <w:rPr>
          <w:rFonts w:hint="eastAsia" w:ascii="微软雅黑" w:hAnsi="微软雅黑" w:eastAsia="微软雅黑" w:cs="微软雅黑"/>
          <w:color w:val="000000"/>
          <w:kern w:val="0"/>
          <w:sz w:val="44"/>
          <w:szCs w:val="44"/>
          <w:lang w:val="en-US" w:eastAsia="zh-CN"/>
        </w:rPr>
        <w:t>技工学校实训设备</w:t>
      </w:r>
      <w:r>
        <w:rPr>
          <w:rFonts w:hint="eastAsia" w:ascii="微软雅黑" w:hAnsi="微软雅黑" w:eastAsia="微软雅黑" w:cs="微软雅黑"/>
          <w:color w:val="000000"/>
          <w:kern w:val="0"/>
          <w:sz w:val="44"/>
          <w:szCs w:val="44"/>
          <w:lang w:eastAsia="zh-CN"/>
        </w:rPr>
        <w:t>采购项目</w:t>
      </w:r>
    </w:p>
    <w:p>
      <w:pPr>
        <w:pStyle w:val="25"/>
        <w:adjustRightInd w:val="0"/>
        <w:snapToGrid w:val="0"/>
        <w:spacing w:line="360" w:lineRule="auto"/>
        <w:jc w:val="center"/>
        <w:rPr>
          <w:rFonts w:hint="eastAsia" w:ascii="微软雅黑" w:hAnsi="微软雅黑" w:eastAsia="微软雅黑" w:cs="微软雅黑"/>
          <w:color w:val="000000"/>
          <w:kern w:val="0"/>
          <w:sz w:val="44"/>
          <w:szCs w:val="44"/>
          <w:lang w:val="en-US" w:eastAsia="zh-CN"/>
        </w:rPr>
      </w:pPr>
      <w:r>
        <w:rPr>
          <w:rFonts w:hint="eastAsia" w:ascii="微软雅黑" w:hAnsi="微软雅黑" w:eastAsia="微软雅黑" w:cs="微软雅黑"/>
          <w:color w:val="000000"/>
          <w:kern w:val="0"/>
          <w:sz w:val="44"/>
          <w:szCs w:val="44"/>
          <w:lang w:val="en-US" w:eastAsia="zh-CN"/>
        </w:rPr>
        <w:t>（标段三）</w:t>
      </w:r>
    </w:p>
    <w:p>
      <w:pPr>
        <w:pStyle w:val="25"/>
        <w:adjustRightInd w:val="0"/>
        <w:snapToGrid w:val="0"/>
        <w:spacing w:line="360" w:lineRule="auto"/>
        <w:jc w:val="center"/>
        <w:rPr>
          <w:rFonts w:hAnsi="宋体"/>
          <w:b/>
          <w:color w:val="000000" w:themeColor="text1"/>
          <w:sz w:val="62"/>
          <w:szCs w:val="84"/>
          <w14:textFill>
            <w14:solidFill>
              <w14:schemeClr w14:val="tx1"/>
            </w14:solidFill>
          </w14:textFill>
        </w:rPr>
      </w:pPr>
      <w:r>
        <w:rPr>
          <w:rFonts w:hint="eastAsia" w:hAnsi="宋体"/>
          <w:b/>
          <w:color w:val="000000" w:themeColor="text1"/>
          <w:sz w:val="62"/>
          <w:szCs w:val="84"/>
          <w14:textFill>
            <w14:solidFill>
              <w14:schemeClr w14:val="tx1"/>
            </w14:solidFill>
          </w14:textFill>
        </w:rPr>
        <w:t>招 标 文 件</w:t>
      </w:r>
    </w:p>
    <w:p>
      <w:pPr>
        <w:pStyle w:val="25"/>
        <w:adjustRightInd w:val="0"/>
        <w:snapToGrid w:val="0"/>
        <w:spacing w:before="156" w:beforeLines="50" w:line="360" w:lineRule="auto"/>
        <w:ind w:left="846" w:leftChars="403" w:firstLine="157" w:firstLineChars="49"/>
        <w:rPr>
          <w:rFonts w:hAnsi="宋体"/>
          <w:b/>
          <w:color w:val="000000" w:themeColor="text1"/>
          <w:sz w:val="32"/>
          <w:szCs w:val="32"/>
          <w14:textFill>
            <w14:solidFill>
              <w14:schemeClr w14:val="tx1"/>
            </w14:solidFill>
          </w14:textFill>
        </w:rPr>
      </w:pPr>
    </w:p>
    <w:p>
      <w:pPr>
        <w:pStyle w:val="25"/>
        <w:adjustRightInd w:val="0"/>
        <w:snapToGrid w:val="0"/>
        <w:spacing w:before="156" w:beforeLines="50" w:line="360" w:lineRule="auto"/>
        <w:ind w:left="846" w:leftChars="403" w:firstLine="157" w:firstLineChars="49"/>
        <w:rPr>
          <w:rFonts w:hAnsi="宋体"/>
          <w:b/>
          <w:color w:val="000000" w:themeColor="text1"/>
          <w:sz w:val="32"/>
          <w:szCs w:val="32"/>
          <w14:textFill>
            <w14:solidFill>
              <w14:schemeClr w14:val="tx1"/>
            </w14:solidFill>
          </w14:textFill>
        </w:rPr>
      </w:pPr>
    </w:p>
    <w:p>
      <w:pPr>
        <w:pStyle w:val="25"/>
        <w:adjustRightInd w:val="0"/>
        <w:snapToGrid w:val="0"/>
        <w:spacing w:before="156" w:beforeLines="50" w:line="360" w:lineRule="auto"/>
        <w:ind w:left="846" w:leftChars="403" w:firstLine="157" w:firstLineChars="49"/>
        <w:rPr>
          <w:rFonts w:hAnsi="宋体"/>
          <w:b/>
          <w:color w:val="000000" w:themeColor="text1"/>
          <w:sz w:val="32"/>
          <w:szCs w:val="32"/>
          <w14:textFill>
            <w14:solidFill>
              <w14:schemeClr w14:val="tx1"/>
            </w14:solidFill>
          </w14:textFill>
        </w:rPr>
      </w:pPr>
    </w:p>
    <w:p>
      <w:pPr>
        <w:pStyle w:val="25"/>
        <w:adjustRightInd w:val="0"/>
        <w:snapToGrid w:val="0"/>
        <w:spacing w:line="360" w:lineRule="auto"/>
        <w:rPr>
          <w:rFonts w:hAnsi="宋体"/>
          <w:b/>
          <w:color w:val="000000" w:themeColor="text1"/>
          <w:sz w:val="32"/>
          <w:szCs w:val="32"/>
          <w14:textFill>
            <w14:solidFill>
              <w14:schemeClr w14:val="tx1"/>
            </w14:solidFill>
          </w14:textFill>
        </w:rPr>
      </w:pPr>
    </w:p>
    <w:p>
      <w:pPr>
        <w:pStyle w:val="25"/>
        <w:adjustRightInd w:val="0"/>
        <w:snapToGrid w:val="0"/>
        <w:spacing w:line="360" w:lineRule="auto"/>
        <w:rPr>
          <w:rFonts w:hAnsi="宋体"/>
          <w:b/>
          <w:color w:val="000000" w:themeColor="text1"/>
          <w:sz w:val="32"/>
          <w:szCs w:val="32"/>
          <w14:textFill>
            <w14:solidFill>
              <w14:schemeClr w14:val="tx1"/>
            </w14:solidFill>
          </w14:textFill>
        </w:rPr>
      </w:pPr>
    </w:p>
    <w:p>
      <w:pPr>
        <w:pStyle w:val="25"/>
        <w:adjustRightInd w:val="0"/>
        <w:snapToGrid w:val="0"/>
        <w:spacing w:line="360" w:lineRule="auto"/>
        <w:rPr>
          <w:rFonts w:hAnsi="宋体"/>
          <w:b/>
          <w:color w:val="000000" w:themeColor="text1"/>
          <w:sz w:val="32"/>
          <w:szCs w:val="32"/>
          <w14:textFill>
            <w14:solidFill>
              <w14:schemeClr w14:val="tx1"/>
            </w14:solidFill>
          </w14:textFill>
        </w:rPr>
      </w:pPr>
    </w:p>
    <w:p>
      <w:pPr>
        <w:pStyle w:val="25"/>
        <w:adjustRightInd w:val="0"/>
        <w:snapToGrid w:val="0"/>
        <w:spacing w:line="360" w:lineRule="auto"/>
        <w:rPr>
          <w:rFonts w:hAnsi="宋体"/>
          <w:b/>
          <w:color w:val="000000" w:themeColor="text1"/>
          <w:sz w:val="32"/>
          <w:szCs w:val="32"/>
          <w14:textFill>
            <w14:solidFill>
              <w14:schemeClr w14:val="tx1"/>
            </w14:solidFill>
          </w14:textFill>
        </w:rPr>
      </w:pPr>
    </w:p>
    <w:p>
      <w:pPr>
        <w:pStyle w:val="25"/>
        <w:adjustRightInd w:val="0"/>
        <w:snapToGrid w:val="0"/>
        <w:spacing w:line="360" w:lineRule="auto"/>
        <w:ind w:firstLine="948" w:firstLineChars="295"/>
        <w:rPr>
          <w:rFonts w:hAnsi="宋体"/>
          <w:b/>
          <w:color w:val="000000" w:themeColor="text1"/>
          <w:sz w:val="32"/>
          <w:szCs w:val="32"/>
          <w14:textFill>
            <w14:solidFill>
              <w14:schemeClr w14:val="tx1"/>
            </w14:solidFill>
          </w14:textFill>
        </w:rPr>
      </w:pPr>
    </w:p>
    <w:p>
      <w:pPr>
        <w:pStyle w:val="25"/>
        <w:adjustRightInd w:val="0"/>
        <w:snapToGrid w:val="0"/>
        <w:spacing w:line="360" w:lineRule="auto"/>
        <w:ind w:left="1801" w:leftChars="284" w:hanging="1205" w:hangingChars="400"/>
        <w:rPr>
          <w:rFonts w:hint="default" w:hAnsi="宋体" w:eastAsia="宋体"/>
          <w:b/>
          <w:color w:val="000000" w:themeColor="text1"/>
          <w:spacing w:val="-16"/>
          <w:sz w:val="30"/>
          <w:szCs w:val="30"/>
          <w:lang w:val="en-US" w:eastAsia="zh-CN"/>
          <w14:textFill>
            <w14:solidFill>
              <w14:schemeClr w14:val="tx1"/>
            </w14:solidFill>
          </w14:textFill>
        </w:rPr>
      </w:pPr>
      <w:r>
        <w:rPr>
          <w:rFonts w:hint="eastAsia" w:hAnsi="宋体"/>
          <w:b/>
          <w:color w:val="000000" w:themeColor="text1"/>
          <w:sz w:val="30"/>
          <w:szCs w:val="30"/>
          <w14:textFill>
            <w14:solidFill>
              <w14:schemeClr w14:val="tx1"/>
            </w14:solidFill>
          </w14:textFill>
        </w:rPr>
        <w:t>招标人：</w:t>
      </w:r>
      <w:r>
        <w:rPr>
          <w:rFonts w:hint="eastAsia" w:hAnsi="宋体"/>
          <w:b/>
          <w:color w:val="000000" w:themeColor="text1"/>
          <w:sz w:val="30"/>
          <w:szCs w:val="30"/>
          <w:lang w:eastAsia="zh-CN"/>
          <w14:textFill>
            <w14:solidFill>
              <w14:schemeClr w14:val="tx1"/>
            </w14:solidFill>
          </w14:textFill>
        </w:rPr>
        <w:t>霍尔果斯市</w:t>
      </w:r>
      <w:r>
        <w:rPr>
          <w:rFonts w:hint="eastAsia" w:hAnsi="宋体"/>
          <w:b/>
          <w:color w:val="000000" w:themeColor="text1"/>
          <w:sz w:val="30"/>
          <w:szCs w:val="30"/>
          <w:lang w:val="en-US" w:eastAsia="zh-CN"/>
          <w14:textFill>
            <w14:solidFill>
              <w14:schemeClr w14:val="tx1"/>
            </w14:solidFill>
          </w14:textFill>
        </w:rPr>
        <w:t>技工学校</w:t>
      </w:r>
    </w:p>
    <w:p>
      <w:pPr>
        <w:pStyle w:val="25"/>
        <w:adjustRightInd w:val="0"/>
        <w:snapToGrid w:val="0"/>
        <w:spacing w:line="360" w:lineRule="auto"/>
        <w:ind w:firstLine="596" w:firstLineChars="198"/>
        <w:rPr>
          <w:rFonts w:hAnsi="宋体"/>
          <w:b/>
          <w:color w:val="000000" w:themeColor="text1"/>
          <w:sz w:val="30"/>
          <w:szCs w:val="30"/>
          <w14:textFill>
            <w14:solidFill>
              <w14:schemeClr w14:val="tx1"/>
            </w14:solidFill>
          </w14:textFill>
        </w:rPr>
      </w:pPr>
      <w:r>
        <w:rPr>
          <w:rFonts w:hint="eastAsia" w:hAnsi="宋体"/>
          <w:b/>
          <w:color w:val="000000" w:themeColor="text1"/>
          <w:sz w:val="30"/>
          <w:szCs w:val="30"/>
          <w14:textFill>
            <w14:solidFill>
              <w14:schemeClr w14:val="tx1"/>
            </w14:solidFill>
          </w14:textFill>
        </w:rPr>
        <w:t>采购代理机构: 霍尔果斯经济开发区政府采购中心</w:t>
      </w:r>
    </w:p>
    <w:p>
      <w:pPr>
        <w:pStyle w:val="25"/>
        <w:adjustRightInd w:val="0"/>
        <w:snapToGrid w:val="0"/>
        <w:spacing w:line="360" w:lineRule="auto"/>
        <w:ind w:left="592" w:leftChars="282"/>
        <w:rPr>
          <w:rFonts w:hint="default" w:hAnsi="宋体" w:eastAsia="宋体"/>
          <w:b/>
          <w:color w:val="000000" w:themeColor="text1"/>
          <w:sz w:val="30"/>
          <w:szCs w:val="30"/>
          <w:lang w:val="en-US" w:eastAsia="zh-CN"/>
          <w14:textFill>
            <w14:solidFill>
              <w14:schemeClr w14:val="tx1"/>
            </w14:solidFill>
          </w14:textFill>
        </w:rPr>
      </w:pPr>
      <w:r>
        <w:rPr>
          <w:rFonts w:hint="eastAsia" w:hAnsi="宋体"/>
          <w:b/>
          <w:color w:val="000000" w:themeColor="text1"/>
          <w:sz w:val="30"/>
          <w:szCs w:val="30"/>
          <w14:textFill>
            <w14:solidFill>
              <w14:schemeClr w14:val="tx1"/>
            </w14:solidFill>
          </w14:textFill>
        </w:rPr>
        <w:t>项目编号：</w:t>
      </w:r>
      <w:r>
        <w:rPr>
          <w:rFonts w:hint="eastAsia" w:hAnsi="宋体"/>
          <w:b/>
          <w:color w:val="000000" w:themeColor="text1"/>
          <w:sz w:val="30"/>
          <w:szCs w:val="30"/>
          <w:lang w:eastAsia="zh-CN"/>
          <w14:textFill>
            <w14:solidFill>
              <w14:schemeClr w14:val="tx1"/>
            </w14:solidFill>
          </w14:textFill>
        </w:rPr>
        <w:t>HEGSCG-2023GK-</w:t>
      </w:r>
      <w:r>
        <w:rPr>
          <w:rFonts w:hint="eastAsia" w:hAnsi="宋体"/>
          <w:b/>
          <w:color w:val="000000" w:themeColor="text1"/>
          <w:sz w:val="30"/>
          <w:szCs w:val="30"/>
          <w:lang w:val="en-US" w:eastAsia="zh-CN"/>
          <w14:textFill>
            <w14:solidFill>
              <w14:schemeClr w14:val="tx1"/>
            </w14:solidFill>
          </w14:textFill>
        </w:rPr>
        <w:t>25</w:t>
      </w:r>
      <w:r>
        <w:rPr>
          <w:rFonts w:hint="eastAsia" w:hAnsi="宋体"/>
          <w:b/>
          <w:color w:val="000000" w:themeColor="text1"/>
          <w:sz w:val="30"/>
          <w:szCs w:val="30"/>
          <w:lang w:eastAsia="zh-CN"/>
          <w14:textFill>
            <w14:solidFill>
              <w14:schemeClr w14:val="tx1"/>
            </w14:solidFill>
          </w14:textFill>
        </w:rPr>
        <w:t>号（</w:t>
      </w:r>
      <w:r>
        <w:rPr>
          <w:rFonts w:hint="eastAsia" w:hAnsi="宋体"/>
          <w:b/>
          <w:color w:val="000000" w:themeColor="text1"/>
          <w:sz w:val="30"/>
          <w:szCs w:val="30"/>
          <w:lang w:val="en-US" w:eastAsia="zh-CN"/>
          <w14:textFill>
            <w14:solidFill>
              <w14:schemeClr w14:val="tx1"/>
            </w14:solidFill>
          </w14:textFill>
        </w:rPr>
        <w:t>标段三）</w:t>
      </w:r>
    </w:p>
    <w:p>
      <w:pPr>
        <w:pStyle w:val="25"/>
        <w:adjustRightInd w:val="0"/>
        <w:snapToGrid w:val="0"/>
        <w:spacing w:line="360" w:lineRule="auto"/>
        <w:jc w:val="center"/>
        <w:rPr>
          <w:rFonts w:hAnsi="宋体"/>
          <w:b/>
          <w:color w:val="000000" w:themeColor="text1"/>
          <w:spacing w:val="160"/>
          <w:sz w:val="36"/>
          <w:szCs w:val="36"/>
          <w14:textFill>
            <w14:solidFill>
              <w14:schemeClr w14:val="tx1"/>
            </w14:solidFill>
          </w14:textFill>
        </w:rPr>
      </w:pPr>
    </w:p>
    <w:p>
      <w:pPr>
        <w:pStyle w:val="25"/>
        <w:spacing w:before="120" w:after="120" w:line="360" w:lineRule="auto"/>
        <w:jc w:val="center"/>
        <w:rPr>
          <w:rFonts w:hAnsi="宋体"/>
          <w:b/>
          <w:color w:val="000000" w:themeColor="text1"/>
          <w:spacing w:val="160"/>
          <w:sz w:val="36"/>
          <w:szCs w:val="36"/>
          <w14:textFill>
            <w14:solidFill>
              <w14:schemeClr w14:val="tx1"/>
            </w14:solidFill>
          </w14:textFill>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25"/>
        <w:spacing w:before="120" w:after="120" w:line="360" w:lineRule="auto"/>
        <w:jc w:val="center"/>
        <w:rPr>
          <w:rFonts w:hAnsi="宋体"/>
          <w:b/>
          <w:color w:val="000000" w:themeColor="text1"/>
          <w:spacing w:val="160"/>
          <w:sz w:val="36"/>
          <w:szCs w:val="36"/>
          <w14:textFill>
            <w14:solidFill>
              <w14:schemeClr w14:val="tx1"/>
            </w14:solidFill>
          </w14:textFill>
        </w:rPr>
      </w:pPr>
      <w:r>
        <w:rPr>
          <w:rFonts w:hint="eastAsia" w:hAnsi="宋体"/>
          <w:b/>
          <w:color w:val="000000" w:themeColor="text1"/>
          <w:spacing w:val="160"/>
          <w:sz w:val="36"/>
          <w:szCs w:val="36"/>
          <w14:textFill>
            <w14:solidFill>
              <w14:schemeClr w14:val="tx1"/>
            </w14:solidFill>
          </w14:textFill>
        </w:rPr>
        <w:t>目录</w:t>
      </w:r>
    </w:p>
    <w:p>
      <w:pPr>
        <w:pStyle w:val="25"/>
        <w:adjustRightInd w:val="0"/>
        <w:snapToGrid w:val="0"/>
        <w:spacing w:line="360" w:lineRule="auto"/>
        <w:rPr>
          <w:rFonts w:hAnsi="宋体"/>
          <w:b/>
          <w:color w:val="000000" w:themeColor="text1"/>
          <w:szCs w:val="24"/>
          <w14:textFill>
            <w14:solidFill>
              <w14:schemeClr w14:val="tx1"/>
            </w14:solidFill>
          </w14:textFill>
        </w:rPr>
      </w:pPr>
    </w:p>
    <w:tbl>
      <w:tblPr>
        <w:tblStyle w:val="48"/>
        <w:tblW w:w="75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32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ind w:firstLine="3360" w:firstLineChars="1600"/>
              <w:rPr>
                <w:b/>
                <w:bCs/>
              </w:rPr>
            </w:pPr>
            <w:r>
              <w:fldChar w:fldCharType="begin"/>
            </w:r>
            <w:r>
              <w:instrText xml:space="preserve"> HYPERLINK \l "_Toc474235940" </w:instrText>
            </w:r>
            <w:r>
              <w:fldChar w:fldCharType="separate"/>
            </w:r>
            <w:r>
              <w:rPr>
                <w:rFonts w:hint="eastAsia"/>
                <w:b/>
                <w:bCs/>
              </w:rPr>
              <w:t>第一章</w:t>
            </w:r>
            <w:r>
              <w:rPr>
                <w:rFonts w:hint="eastAsia"/>
                <w:b/>
                <w:bCs/>
              </w:rPr>
              <w:fldChar w:fldCharType="end"/>
            </w:r>
            <w:r>
              <w:rPr>
                <w:rFonts w:hint="eastAsia"/>
                <w:b/>
                <w:bCs/>
              </w:rPr>
              <w:t xml:space="preserve">   </w:t>
            </w:r>
          </w:p>
        </w:tc>
        <w:tc>
          <w:tcPr>
            <w:tcW w:w="3256" w:type="dxa"/>
          </w:tcPr>
          <w:p>
            <w:pPr>
              <w:rPr>
                <w:b/>
                <w:bCs/>
              </w:rPr>
            </w:pPr>
            <w:r>
              <w:rPr>
                <w:rFonts w:hint="eastAsia"/>
                <w:b/>
                <w:bCs/>
              </w:rPr>
              <w:t>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ind w:firstLine="3360" w:firstLineChars="1600"/>
              <w:rPr>
                <w:b/>
                <w:bCs/>
              </w:rPr>
            </w:pPr>
            <w:r>
              <w:fldChar w:fldCharType="begin"/>
            </w:r>
            <w:r>
              <w:instrText xml:space="preserve"> HYPERLINK \l "_Toc474235941" </w:instrText>
            </w:r>
            <w:r>
              <w:fldChar w:fldCharType="separate"/>
            </w:r>
            <w:r>
              <w:rPr>
                <w:rFonts w:hint="eastAsia"/>
                <w:b/>
                <w:bCs/>
              </w:rPr>
              <w:t>第二章</w:t>
            </w:r>
            <w:r>
              <w:rPr>
                <w:rFonts w:hint="eastAsia"/>
                <w:b/>
                <w:bCs/>
              </w:rPr>
              <w:fldChar w:fldCharType="end"/>
            </w:r>
          </w:p>
        </w:tc>
        <w:tc>
          <w:tcPr>
            <w:tcW w:w="3256" w:type="dxa"/>
          </w:tcPr>
          <w:p>
            <w:pPr>
              <w:rPr>
                <w:b/>
                <w:bCs/>
              </w:rPr>
            </w:pPr>
            <w:r>
              <w:rPr>
                <w:rFonts w:hint="eastAsia"/>
                <w:b/>
                <w:bCs/>
              </w:rPr>
              <w:t>投标须知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rPr>
                <w:b/>
                <w:bCs/>
              </w:rPr>
            </w:pPr>
          </w:p>
        </w:tc>
        <w:tc>
          <w:tcPr>
            <w:tcW w:w="3256" w:type="dxa"/>
          </w:tcPr>
          <w:p>
            <w:pPr>
              <w:rPr>
                <w:b/>
                <w:bCs/>
              </w:rPr>
            </w:pPr>
            <w:r>
              <w:fldChar w:fldCharType="begin"/>
            </w:r>
            <w:r>
              <w:instrText xml:space="preserve"> HYPERLINK \l "_Toc474235942" </w:instrText>
            </w:r>
            <w:r>
              <w:fldChar w:fldCharType="separate"/>
            </w:r>
            <w:r>
              <w:rPr>
                <w:rFonts w:hint="eastAsia"/>
                <w:b/>
                <w:bCs/>
              </w:rPr>
              <w:t>投标须知前附表</w:t>
            </w:r>
            <w:r>
              <w:rPr>
                <w:rFonts w:hint="eastAsia"/>
                <w:b/>
                <w:bC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rPr>
                <w:b/>
                <w:bCs/>
              </w:rPr>
            </w:pPr>
          </w:p>
        </w:tc>
        <w:tc>
          <w:tcPr>
            <w:tcW w:w="3256" w:type="dxa"/>
          </w:tcPr>
          <w:p>
            <w:pPr>
              <w:rPr>
                <w:b/>
                <w:bCs/>
              </w:rPr>
            </w:pPr>
            <w:r>
              <w:fldChar w:fldCharType="begin"/>
            </w:r>
            <w:r>
              <w:instrText xml:space="preserve"> HYPERLINK \l "_Toc474235943" </w:instrText>
            </w:r>
            <w:r>
              <w:fldChar w:fldCharType="separate"/>
            </w:r>
            <w:r>
              <w:rPr>
                <w:rFonts w:hint="eastAsia"/>
                <w:b/>
                <w:bCs/>
              </w:rPr>
              <w:t>投标须知正文</w:t>
            </w:r>
            <w:r>
              <w:rPr>
                <w:rFonts w:hint="eastAsia"/>
                <w:b/>
                <w:bC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"_Toc474235944" </w:instrText>
            </w:r>
            <w:r>
              <w:fldChar w:fldCharType="separate"/>
            </w:r>
            <w:r>
              <w:rPr>
                <w:rFonts w:hint="eastAsia"/>
                <w:b/>
                <w:bCs/>
              </w:rPr>
              <w:t>一</w:t>
            </w:r>
            <w:r>
              <w:rPr>
                <w:rFonts w:hint="eastAsia"/>
                <w:b/>
                <w:bCs/>
              </w:rPr>
              <w:fldChar w:fldCharType="end"/>
            </w:r>
          </w:p>
        </w:tc>
        <w:tc>
          <w:tcPr>
            <w:tcW w:w="3256" w:type="dxa"/>
          </w:tcPr>
          <w:p>
            <w:pPr>
              <w:rPr>
                <w:b/>
                <w:bCs/>
              </w:rPr>
            </w:pPr>
            <w:r>
              <w:rPr>
                <w:rFonts w:hint="eastAsia"/>
                <w:b/>
                <w:bCs/>
              </w:rPr>
              <w:t>总则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"_Toc474235945" </w:instrText>
            </w:r>
            <w:r>
              <w:fldChar w:fldCharType="separate"/>
            </w:r>
            <w:r>
              <w:rPr>
                <w:rFonts w:hint="eastAsia"/>
                <w:b/>
                <w:bCs/>
              </w:rPr>
              <w:t>二</w:t>
            </w:r>
            <w:r>
              <w:rPr>
                <w:rFonts w:hint="eastAsia"/>
                <w:b/>
                <w:bCs/>
              </w:rPr>
              <w:fldChar w:fldCharType="end"/>
            </w:r>
          </w:p>
        </w:tc>
        <w:tc>
          <w:tcPr>
            <w:tcW w:w="3256" w:type="dxa"/>
          </w:tcPr>
          <w:p>
            <w:pPr>
              <w:rPr>
                <w:b/>
                <w:bCs/>
              </w:rPr>
            </w:pPr>
            <w:r>
              <w:rPr>
                <w:rFonts w:hint="eastAsia"/>
                <w:b/>
                <w:bCs/>
              </w:rPr>
              <w:t>招标文件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"_Toc474235946" </w:instrText>
            </w:r>
            <w:r>
              <w:fldChar w:fldCharType="separate"/>
            </w:r>
            <w:r>
              <w:rPr>
                <w:rFonts w:hint="eastAsia"/>
                <w:b/>
                <w:bCs/>
              </w:rPr>
              <w:t xml:space="preserve">三 </w:t>
            </w:r>
            <w:r>
              <w:rPr>
                <w:rFonts w:hint="eastAsia"/>
                <w:b/>
                <w:bCs/>
              </w:rPr>
              <w:fldChar w:fldCharType="end"/>
            </w:r>
          </w:p>
        </w:tc>
        <w:tc>
          <w:tcPr>
            <w:tcW w:w="3256" w:type="dxa"/>
          </w:tcPr>
          <w:p>
            <w:pPr>
              <w:rPr>
                <w:b/>
                <w:bCs/>
              </w:rPr>
            </w:pPr>
            <w:r>
              <w:rPr>
                <w:rFonts w:hint="eastAsia"/>
                <w:b/>
                <w:bCs/>
              </w:rPr>
              <w:t>投标文件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"_Toc474235947" </w:instrText>
            </w:r>
            <w:r>
              <w:fldChar w:fldCharType="separate"/>
            </w:r>
            <w:r>
              <w:rPr>
                <w:rFonts w:hint="eastAsia"/>
                <w:b/>
                <w:bCs/>
              </w:rPr>
              <w:t xml:space="preserve">四 </w:t>
            </w:r>
            <w:r>
              <w:rPr>
                <w:rFonts w:hint="eastAsia"/>
                <w:b/>
                <w:bCs/>
              </w:rPr>
              <w:fldChar w:fldCharType="end"/>
            </w:r>
          </w:p>
        </w:tc>
        <w:tc>
          <w:tcPr>
            <w:tcW w:w="3256" w:type="dxa"/>
          </w:tcPr>
          <w:p>
            <w:pPr>
              <w:rPr>
                <w:b/>
                <w:bCs/>
              </w:rPr>
            </w:pPr>
            <w:r>
              <w:rPr>
                <w:rFonts w:hint="eastAsia"/>
                <w:b/>
                <w:bCs/>
              </w:rPr>
              <w:t>投标文件的递交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"_Toc474235948" </w:instrText>
            </w:r>
            <w:r>
              <w:fldChar w:fldCharType="separate"/>
            </w:r>
            <w:r>
              <w:rPr>
                <w:rFonts w:hint="eastAsia"/>
                <w:b/>
                <w:bCs/>
              </w:rPr>
              <w:t xml:space="preserve">五 </w:t>
            </w:r>
            <w:r>
              <w:rPr>
                <w:rFonts w:hint="eastAsia"/>
                <w:b/>
                <w:bCs/>
              </w:rPr>
              <w:fldChar w:fldCharType="end"/>
            </w:r>
          </w:p>
        </w:tc>
        <w:tc>
          <w:tcPr>
            <w:tcW w:w="3256" w:type="dxa"/>
          </w:tcPr>
          <w:p>
            <w:pPr>
              <w:rPr>
                <w:b/>
                <w:bCs/>
              </w:rPr>
            </w:pPr>
            <w:r>
              <w:rPr>
                <w:rFonts w:hint="eastAsia"/>
                <w:b/>
                <w:bCs/>
              </w:rPr>
              <w:t>开标和评标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ind w:firstLine="3360" w:firstLineChars="1600"/>
              <w:rPr>
                <w:b/>
                <w:bCs/>
              </w:rPr>
            </w:pPr>
            <w:r>
              <w:fldChar w:fldCharType="begin"/>
            </w:r>
            <w:r>
              <w:instrText xml:space="preserve"> HYPERLINK \l "_Toc474235949" </w:instrText>
            </w:r>
            <w:r>
              <w:fldChar w:fldCharType="separate"/>
            </w:r>
            <w:r>
              <w:rPr>
                <w:rFonts w:hint="eastAsia"/>
                <w:b/>
                <w:bCs/>
              </w:rPr>
              <w:t>第三章</w:t>
            </w:r>
            <w:r>
              <w:rPr>
                <w:rFonts w:hint="eastAsia"/>
                <w:b/>
                <w:bCs/>
              </w:rPr>
              <w:fldChar w:fldCharType="end"/>
            </w:r>
          </w:p>
        </w:tc>
        <w:tc>
          <w:tcPr>
            <w:tcW w:w="3256" w:type="dxa"/>
          </w:tcPr>
          <w:p>
            <w:pPr>
              <w:rPr>
                <w:b/>
                <w:bCs/>
              </w:rPr>
            </w:pPr>
            <w:r>
              <w:rPr>
                <w:rFonts w:hint="eastAsia"/>
                <w:b/>
                <w:bCs/>
              </w:rPr>
              <w:t>评标方法及标准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ind w:firstLine="3360" w:firstLineChars="1600"/>
              <w:rPr>
                <w:b/>
                <w:bCs/>
              </w:rPr>
            </w:pPr>
            <w:r>
              <w:fldChar w:fldCharType="begin"/>
            </w:r>
            <w:r>
              <w:instrText xml:space="preserve"> HYPERLINK \l "_Toc474235950" </w:instrText>
            </w:r>
            <w:r>
              <w:fldChar w:fldCharType="separate"/>
            </w:r>
            <w:r>
              <w:rPr>
                <w:rFonts w:hint="eastAsia"/>
                <w:b/>
                <w:bCs/>
              </w:rPr>
              <w:t>第四章</w:t>
            </w:r>
            <w:r>
              <w:rPr>
                <w:rFonts w:hint="eastAsia"/>
                <w:b/>
                <w:bCs/>
              </w:rPr>
              <w:fldChar w:fldCharType="end"/>
            </w:r>
          </w:p>
        </w:tc>
        <w:tc>
          <w:tcPr>
            <w:tcW w:w="3256" w:type="dxa"/>
          </w:tcPr>
          <w:p>
            <w:pPr>
              <w:rPr>
                <w:b/>
                <w:bCs/>
              </w:rPr>
            </w:pPr>
            <w:r>
              <w:rPr>
                <w:rFonts w:hint="eastAsia"/>
                <w:b/>
                <w:bCs/>
              </w:rPr>
              <w:t>政府采购合同格式、验收书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"_Toc474235951" </w:instrText>
            </w:r>
            <w:r>
              <w:fldChar w:fldCharType="separate"/>
            </w:r>
            <w:r>
              <w:rPr>
                <w:rFonts w:hint="eastAsia"/>
                <w:b/>
                <w:bCs/>
              </w:rPr>
              <w:t xml:space="preserve">一 </w:t>
            </w:r>
            <w:r>
              <w:rPr>
                <w:rFonts w:hint="eastAsia"/>
                <w:b/>
                <w:bCs/>
              </w:rPr>
              <w:fldChar w:fldCharType="end"/>
            </w:r>
          </w:p>
        </w:tc>
        <w:tc>
          <w:tcPr>
            <w:tcW w:w="3256" w:type="dxa"/>
          </w:tcPr>
          <w:p>
            <w:pPr>
              <w:rPr>
                <w:b/>
                <w:bCs/>
              </w:rPr>
            </w:pPr>
            <w:r>
              <w:rPr>
                <w:rFonts w:hint="eastAsia"/>
                <w:b/>
                <w:bCs/>
              </w:rPr>
              <w:t>政府采购合同协议书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"_Toc474235952" </w:instrText>
            </w:r>
            <w:r>
              <w:fldChar w:fldCharType="separate"/>
            </w:r>
            <w:r>
              <w:rPr>
                <w:rFonts w:hint="eastAsia"/>
                <w:b/>
                <w:bCs/>
              </w:rPr>
              <w:t xml:space="preserve">二 </w:t>
            </w:r>
            <w:r>
              <w:rPr>
                <w:rFonts w:hint="eastAsia"/>
                <w:b/>
                <w:bCs/>
              </w:rPr>
              <w:fldChar w:fldCharType="end"/>
            </w:r>
          </w:p>
        </w:tc>
        <w:tc>
          <w:tcPr>
            <w:tcW w:w="3256" w:type="dxa"/>
          </w:tcPr>
          <w:p>
            <w:pPr>
              <w:rPr>
                <w:b/>
                <w:bCs/>
              </w:rPr>
            </w:pPr>
            <w:r>
              <w:rPr>
                <w:rFonts w:hint="eastAsia"/>
                <w:b/>
                <w:bCs/>
              </w:rPr>
              <w:t>政府采购合同通用条款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"_Toc474235953" </w:instrText>
            </w:r>
            <w:r>
              <w:fldChar w:fldCharType="separate"/>
            </w:r>
            <w:r>
              <w:rPr>
                <w:rFonts w:hint="eastAsia"/>
                <w:b/>
                <w:bCs/>
              </w:rPr>
              <w:t xml:space="preserve">三 </w:t>
            </w:r>
            <w:r>
              <w:rPr>
                <w:rFonts w:hint="eastAsia"/>
                <w:b/>
                <w:bCs/>
              </w:rPr>
              <w:fldChar w:fldCharType="end"/>
            </w:r>
          </w:p>
        </w:tc>
        <w:tc>
          <w:tcPr>
            <w:tcW w:w="3256" w:type="dxa"/>
          </w:tcPr>
          <w:p>
            <w:pPr>
              <w:rPr>
                <w:b/>
                <w:bCs/>
              </w:rPr>
            </w:pPr>
            <w:r>
              <w:rPr>
                <w:rFonts w:hint="eastAsia"/>
                <w:b/>
                <w:bCs/>
              </w:rPr>
              <w:t>政府采购合同专用条款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ind w:firstLine="3795" w:firstLineChars="1800"/>
              <w:rPr>
                <w:b/>
                <w:bCs/>
              </w:rPr>
            </w:pPr>
            <w:r>
              <w:rPr>
                <w:rFonts w:hint="eastAsia"/>
                <w:b/>
                <w:bCs/>
              </w:rPr>
              <w:t xml:space="preserve">四 </w:t>
            </w:r>
          </w:p>
        </w:tc>
        <w:tc>
          <w:tcPr>
            <w:tcW w:w="3256" w:type="dxa"/>
          </w:tcPr>
          <w:p>
            <w:pPr>
              <w:rPr>
                <w:b/>
                <w:bCs/>
              </w:rPr>
            </w:pPr>
            <w:r>
              <w:rPr>
                <w:rFonts w:hint="eastAsia"/>
                <w:b/>
                <w:bCs/>
              </w:rPr>
              <w:t>验收书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ind w:firstLine="3360" w:firstLineChars="1600"/>
              <w:rPr>
                <w:b/>
                <w:bCs/>
              </w:rPr>
            </w:pPr>
            <w:r>
              <w:fldChar w:fldCharType="begin"/>
            </w:r>
            <w:r>
              <w:instrText xml:space="preserve"> HYPERLINK \l "_Toc474235954" </w:instrText>
            </w:r>
            <w:r>
              <w:fldChar w:fldCharType="separate"/>
            </w:r>
            <w:r>
              <w:rPr>
                <w:rFonts w:hint="eastAsia"/>
                <w:b/>
                <w:bCs/>
              </w:rPr>
              <w:t>第五章</w:t>
            </w:r>
            <w:r>
              <w:rPr>
                <w:rFonts w:hint="eastAsia"/>
                <w:b/>
                <w:bCs/>
              </w:rPr>
              <w:fldChar w:fldCharType="end"/>
            </w:r>
          </w:p>
        </w:tc>
        <w:tc>
          <w:tcPr>
            <w:tcW w:w="3256" w:type="dxa"/>
          </w:tcPr>
          <w:p>
            <w:pPr>
              <w:rPr>
                <w:b/>
                <w:bCs/>
              </w:rPr>
            </w:pPr>
            <w:r>
              <w:rPr>
                <w:rFonts w:hint="eastAsia"/>
                <w:b/>
                <w:bCs/>
              </w:rPr>
              <w:t>采购需求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ind w:firstLine="3360" w:firstLineChars="1600"/>
              <w:rPr>
                <w:b/>
                <w:bCs/>
              </w:rPr>
            </w:pPr>
            <w:r>
              <w:fldChar w:fldCharType="begin"/>
            </w:r>
            <w:r>
              <w:instrText xml:space="preserve"> HYPERLINK \l "_Toc474235955" </w:instrText>
            </w:r>
            <w:r>
              <w:fldChar w:fldCharType="separate"/>
            </w:r>
            <w:r>
              <w:rPr>
                <w:rFonts w:hint="eastAsia"/>
                <w:b/>
                <w:bCs/>
              </w:rPr>
              <w:t>第六章</w:t>
            </w:r>
            <w:r>
              <w:rPr>
                <w:rFonts w:hint="eastAsia"/>
                <w:b/>
                <w:bCs/>
              </w:rPr>
              <w:fldChar w:fldCharType="end"/>
            </w:r>
          </w:p>
        </w:tc>
        <w:tc>
          <w:tcPr>
            <w:tcW w:w="3256" w:type="dxa"/>
          </w:tcPr>
          <w:p>
            <w:pPr>
              <w:rPr>
                <w:b/>
                <w:bCs/>
              </w:rPr>
            </w:pPr>
            <w:r>
              <w:rPr>
                <w:rFonts w:hint="eastAsia"/>
                <w:b/>
                <w:bCs/>
              </w:rPr>
              <w:t>投标文件格式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"_Toc474235956" </w:instrText>
            </w:r>
            <w:r>
              <w:fldChar w:fldCharType="separate"/>
            </w:r>
            <w:r>
              <w:rPr>
                <w:rFonts w:hint="eastAsia"/>
                <w:b/>
                <w:bCs/>
              </w:rPr>
              <w:t xml:space="preserve">一 </w:t>
            </w:r>
            <w:r>
              <w:rPr>
                <w:rFonts w:hint="eastAsia"/>
                <w:b/>
                <w:bCs/>
              </w:rPr>
              <w:fldChar w:fldCharType="end"/>
            </w:r>
          </w:p>
        </w:tc>
        <w:tc>
          <w:tcPr>
            <w:tcW w:w="3256" w:type="dxa"/>
          </w:tcPr>
          <w:p>
            <w:pPr>
              <w:rPr>
                <w:b/>
                <w:bCs/>
              </w:rPr>
            </w:pPr>
            <w:r>
              <w:rPr>
                <w:rFonts w:hint="eastAsia"/>
                <w:b/>
                <w:bCs/>
              </w:rPr>
              <w:t>投标函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"_Toc474235957" </w:instrText>
            </w:r>
            <w:r>
              <w:fldChar w:fldCharType="separate"/>
            </w:r>
            <w:r>
              <w:rPr>
                <w:rFonts w:hint="eastAsia"/>
                <w:b/>
                <w:bCs/>
              </w:rPr>
              <w:t xml:space="preserve">二 </w:t>
            </w:r>
            <w:r>
              <w:rPr>
                <w:rFonts w:hint="eastAsia"/>
                <w:b/>
                <w:bCs/>
              </w:rPr>
              <w:fldChar w:fldCharType="end"/>
            </w:r>
          </w:p>
        </w:tc>
        <w:tc>
          <w:tcPr>
            <w:tcW w:w="3256" w:type="dxa"/>
          </w:tcPr>
          <w:p>
            <w:pPr>
              <w:rPr>
                <w:b/>
                <w:bCs/>
              </w:rPr>
            </w:pPr>
            <w:r>
              <w:rPr>
                <w:rFonts w:hint="eastAsia"/>
                <w:b/>
                <w:bCs/>
              </w:rPr>
              <w:t>投标保证金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"_Toc474235958" </w:instrText>
            </w:r>
            <w:r>
              <w:fldChar w:fldCharType="separate"/>
            </w:r>
            <w:r>
              <w:rPr>
                <w:rFonts w:hint="eastAsia"/>
                <w:b/>
                <w:bCs/>
              </w:rPr>
              <w:t xml:space="preserve">三 </w:t>
            </w:r>
            <w:r>
              <w:rPr>
                <w:rFonts w:hint="eastAsia"/>
                <w:b/>
                <w:bCs/>
              </w:rPr>
              <w:fldChar w:fldCharType="end"/>
            </w:r>
          </w:p>
        </w:tc>
        <w:tc>
          <w:tcPr>
            <w:tcW w:w="3256" w:type="dxa"/>
          </w:tcPr>
          <w:p>
            <w:pPr>
              <w:rPr>
                <w:b/>
                <w:bCs/>
              </w:rPr>
            </w:pPr>
            <w:r>
              <w:rPr>
                <w:rFonts w:hint="eastAsia"/>
                <w:b/>
                <w:bCs/>
              </w:rPr>
              <w:t>开标一览表及投标报价明细表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"_Toc474235959" </w:instrText>
            </w:r>
            <w:r>
              <w:fldChar w:fldCharType="separate"/>
            </w:r>
            <w:r>
              <w:rPr>
                <w:rFonts w:hint="eastAsia"/>
                <w:b/>
                <w:bCs/>
              </w:rPr>
              <w:t xml:space="preserve">四 </w:t>
            </w:r>
            <w:r>
              <w:rPr>
                <w:rFonts w:hint="eastAsia"/>
                <w:b/>
                <w:bCs/>
              </w:rPr>
              <w:fldChar w:fldCharType="end"/>
            </w:r>
          </w:p>
        </w:tc>
        <w:tc>
          <w:tcPr>
            <w:tcW w:w="3256" w:type="dxa"/>
          </w:tcPr>
          <w:p>
            <w:pPr>
              <w:rPr>
                <w:b/>
                <w:bCs/>
              </w:rPr>
            </w:pPr>
            <w:r>
              <w:rPr>
                <w:rFonts w:hint="eastAsia"/>
                <w:b/>
                <w:bCs/>
              </w:rPr>
              <w:t>投标人的资格证明材料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"_Toc474235960" </w:instrText>
            </w:r>
            <w:r>
              <w:fldChar w:fldCharType="separate"/>
            </w:r>
            <w:r>
              <w:rPr>
                <w:rFonts w:hint="eastAsia"/>
                <w:b/>
                <w:bCs/>
              </w:rPr>
              <w:t xml:space="preserve">五 </w:t>
            </w:r>
            <w:r>
              <w:rPr>
                <w:rFonts w:hint="eastAsia"/>
                <w:b/>
                <w:bCs/>
              </w:rPr>
              <w:fldChar w:fldCharType="end"/>
            </w:r>
          </w:p>
        </w:tc>
        <w:tc>
          <w:tcPr>
            <w:tcW w:w="3256" w:type="dxa"/>
          </w:tcPr>
          <w:p>
            <w:pPr>
              <w:rPr>
                <w:b/>
                <w:bCs/>
              </w:rPr>
            </w:pPr>
            <w:r>
              <w:rPr>
                <w:rFonts w:hint="eastAsia"/>
                <w:b/>
                <w:bCs/>
              </w:rPr>
              <w:t>货物说明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"_Toc474235961" </w:instrText>
            </w:r>
            <w:r>
              <w:fldChar w:fldCharType="separate"/>
            </w:r>
            <w:r>
              <w:rPr>
                <w:rFonts w:hint="eastAsia"/>
                <w:b/>
                <w:bCs/>
              </w:rPr>
              <w:t xml:space="preserve">六 </w:t>
            </w:r>
            <w:r>
              <w:rPr>
                <w:rFonts w:hint="eastAsia"/>
                <w:b/>
                <w:bCs/>
              </w:rPr>
              <w:fldChar w:fldCharType="end"/>
            </w:r>
          </w:p>
        </w:tc>
        <w:tc>
          <w:tcPr>
            <w:tcW w:w="3256" w:type="dxa"/>
          </w:tcPr>
          <w:p>
            <w:pPr>
              <w:rPr>
                <w:b/>
                <w:bCs/>
              </w:rPr>
            </w:pPr>
            <w:r>
              <w:rPr>
                <w:rFonts w:hint="eastAsia"/>
                <w:b/>
                <w:bCs/>
              </w:rPr>
              <w:t>实施方案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"_Toc474235962" </w:instrText>
            </w:r>
            <w:r>
              <w:fldChar w:fldCharType="separate"/>
            </w:r>
            <w:r>
              <w:rPr>
                <w:rFonts w:hint="eastAsia"/>
                <w:b/>
                <w:bCs/>
              </w:rPr>
              <w:t xml:space="preserve">七 </w:t>
            </w:r>
            <w:r>
              <w:rPr>
                <w:rFonts w:hint="eastAsia"/>
                <w:b/>
                <w:bCs/>
              </w:rPr>
              <w:fldChar w:fldCharType="end"/>
            </w:r>
          </w:p>
        </w:tc>
        <w:tc>
          <w:tcPr>
            <w:tcW w:w="3256" w:type="dxa"/>
          </w:tcPr>
          <w:p>
            <w:pPr>
              <w:rPr>
                <w:b/>
                <w:bCs/>
              </w:rPr>
            </w:pPr>
            <w:r>
              <w:rPr>
                <w:rFonts w:hint="eastAsia"/>
                <w:b/>
                <w:bCs/>
              </w:rPr>
              <w:t>商务响应与偏离表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ind w:firstLine="3584" w:firstLineChars="1700"/>
              <w:jc w:val="center"/>
              <w:rPr>
                <w:b/>
                <w:bCs/>
              </w:rPr>
            </w:pPr>
            <w:r>
              <w:rPr>
                <w:rFonts w:hint="eastAsia"/>
                <w:b/>
                <w:bCs/>
              </w:rPr>
              <w:t xml:space="preserve"> </w:t>
            </w:r>
            <w:r>
              <w:fldChar w:fldCharType="begin"/>
            </w:r>
            <w:r>
              <w:instrText xml:space="preserve"> HYPERLINK \l "_Toc474235963" </w:instrText>
            </w:r>
            <w:r>
              <w:fldChar w:fldCharType="separate"/>
            </w:r>
            <w:r>
              <w:rPr>
                <w:rFonts w:hint="eastAsia"/>
                <w:b/>
                <w:bCs/>
              </w:rPr>
              <w:t xml:space="preserve">八 </w:t>
            </w:r>
            <w:r>
              <w:rPr>
                <w:rFonts w:hint="eastAsia"/>
                <w:b/>
                <w:bCs/>
              </w:rPr>
              <w:fldChar w:fldCharType="end"/>
            </w:r>
          </w:p>
        </w:tc>
        <w:tc>
          <w:tcPr>
            <w:tcW w:w="3256" w:type="dxa"/>
          </w:tcPr>
          <w:p>
            <w:pPr>
              <w:rPr>
                <w:b/>
                <w:bCs/>
              </w:rPr>
            </w:pPr>
            <w:r>
              <w:rPr>
                <w:rFonts w:hint="eastAsia"/>
                <w:b/>
                <w:bCs/>
              </w:rPr>
              <w:t>投标人认为需要提供的其它资料</w:t>
            </w:r>
          </w:p>
        </w:tc>
      </w:tr>
    </w:tbl>
    <w:p>
      <w:pPr>
        <w:pStyle w:val="32"/>
        <w:tabs>
          <w:tab w:val="right" w:leader="hyphen" w:pos="8834"/>
        </w:tabs>
        <w:rPr>
          <w:b w:val="0"/>
          <w:bCs w:val="0"/>
          <w:caps w:val="0"/>
          <w:color w:val="000000" w:themeColor="text1"/>
          <w:sz w:val="21"/>
          <w:szCs w:val="24"/>
          <w14:textFill>
            <w14:solidFill>
              <w14:schemeClr w14:val="tx1"/>
            </w14:solidFill>
          </w14:textFill>
        </w:rPr>
      </w:pP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TOC \o "1-3" \h \z \u </w:instrText>
      </w:r>
      <w:r>
        <w:rPr>
          <w:rFonts w:ascii="宋体" w:hAnsi="宋体"/>
          <w:color w:val="000000" w:themeColor="text1"/>
          <w:szCs w:val="21"/>
          <w14:textFill>
            <w14:solidFill>
              <w14:schemeClr w14:val="tx1"/>
            </w14:solidFill>
          </w14:textFill>
        </w:rPr>
        <w:fldChar w:fldCharType="separate"/>
      </w:r>
    </w:p>
    <w:p>
      <w:pPr>
        <w:pStyle w:val="32"/>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Cs w:val="21"/>
          <w14:textFill>
            <w14:solidFill>
              <w14:schemeClr w14:val="tx1"/>
            </w14:solidFill>
          </w14:textFill>
        </w:rPr>
        <w:fldChar w:fldCharType="end"/>
      </w:r>
    </w:p>
    <w:p>
      <w:pPr>
        <w:spacing w:line="360" w:lineRule="exact"/>
        <w:jc w:val="center"/>
        <w:outlineLvl w:val="0"/>
        <w:rPr>
          <w:rFonts w:ascii="宋体" w:hAnsi="宋体"/>
          <w:b/>
          <w:color w:val="000000" w:themeColor="text1"/>
          <w:sz w:val="32"/>
          <w:szCs w:val="32"/>
          <w14:textFill>
            <w14:solidFill>
              <w14:schemeClr w14:val="tx1"/>
            </w14:solidFill>
          </w14:textFill>
        </w:rPr>
      </w:pPr>
      <w:bookmarkStart w:id="1" w:name="_Toc419219645"/>
      <w:bookmarkStart w:id="2" w:name="_Toc420948005"/>
      <w:bookmarkStart w:id="3" w:name="_Toc419219410"/>
      <w:bookmarkStart w:id="4" w:name="_Toc419219491"/>
    </w:p>
    <w:p>
      <w:pPr>
        <w:spacing w:line="360" w:lineRule="exact"/>
        <w:jc w:val="center"/>
        <w:outlineLvl w:val="0"/>
        <w:rPr>
          <w:rFonts w:ascii="宋体" w:hAnsi="宋体"/>
          <w:b/>
          <w:color w:val="000000" w:themeColor="text1"/>
          <w:sz w:val="32"/>
          <w:szCs w:val="32"/>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line="360" w:lineRule="exact"/>
        <w:jc w:val="center"/>
        <w:outlineLvl w:val="0"/>
        <w:rPr>
          <w:rFonts w:ascii="宋体" w:hAnsi="宋体"/>
          <w:b/>
          <w:color w:val="000000" w:themeColor="text1"/>
          <w:sz w:val="32"/>
          <w:szCs w:val="32"/>
          <w14:textFill>
            <w14:solidFill>
              <w14:schemeClr w14:val="tx1"/>
            </w14:solidFill>
          </w14:textFill>
        </w:rPr>
      </w:pPr>
      <w:bookmarkStart w:id="5" w:name="_Toc474235940"/>
      <w:r>
        <w:rPr>
          <w:rFonts w:hint="eastAsia" w:ascii="宋体" w:hAnsi="宋体"/>
          <w:b/>
          <w:color w:val="000000" w:themeColor="text1"/>
          <w:sz w:val="32"/>
          <w:szCs w:val="32"/>
          <w14:textFill>
            <w14:solidFill>
              <w14:schemeClr w14:val="tx1"/>
            </w14:solidFill>
          </w14:textFill>
        </w:rPr>
        <w:t>第一</w:t>
      </w:r>
      <w:r>
        <w:rPr>
          <w:rFonts w:ascii="宋体" w:hAnsi="宋体"/>
          <w:b/>
          <w:color w:val="000000" w:themeColor="text1"/>
          <w:sz w:val="32"/>
          <w:szCs w:val="32"/>
          <w14:textFill>
            <w14:solidFill>
              <w14:schemeClr w14:val="tx1"/>
            </w14:solidFill>
          </w14:textFill>
        </w:rPr>
        <w:t xml:space="preserve">章  </w:t>
      </w:r>
      <w:r>
        <w:rPr>
          <w:rFonts w:hint="eastAsia" w:ascii="宋体" w:hAnsi="宋体"/>
          <w:b/>
          <w:color w:val="000000" w:themeColor="text1"/>
          <w:sz w:val="32"/>
          <w:szCs w:val="32"/>
          <w14:textFill>
            <w14:solidFill>
              <w14:schemeClr w14:val="tx1"/>
            </w14:solidFill>
          </w14:textFill>
        </w:rPr>
        <w:t>招标公告</w:t>
      </w:r>
      <w:bookmarkEnd w:id="1"/>
      <w:bookmarkEnd w:id="2"/>
      <w:bookmarkEnd w:id="3"/>
      <w:bookmarkEnd w:id="4"/>
      <w:bookmarkEnd w:id="5"/>
      <w:bookmarkStart w:id="6" w:name="OLE_LINK1"/>
      <w:bookmarkStart w:id="7" w:name="OLE_LINK4"/>
      <w:bookmarkStart w:id="8" w:name="OLE_LINK3"/>
      <w:bookmarkStart w:id="9" w:name="OLE_LINK2"/>
    </w:p>
    <w:bookmarkEnd w:id="6"/>
    <w:bookmarkEnd w:id="7"/>
    <w:bookmarkEnd w:id="8"/>
    <w:bookmarkEnd w:id="9"/>
    <w:p>
      <w:pPr>
        <w:widowControl/>
        <w:spacing w:line="380" w:lineRule="exact"/>
        <w:ind w:firstLine="420" w:firstLineChars="200"/>
        <w:jc w:val="left"/>
        <w:rPr>
          <w:rFonts w:ascii="宋体" w:cs="Arial"/>
          <w:color w:val="000000" w:themeColor="text1"/>
          <w:kern w:val="0"/>
          <w:szCs w:val="21"/>
          <w14:textFill>
            <w14:solidFill>
              <w14:schemeClr w14:val="tx1"/>
            </w14:solidFill>
          </w14:textFill>
        </w:rPr>
      </w:pPr>
      <w:bookmarkStart w:id="10" w:name="_Toc474235941"/>
      <w:bookmarkStart w:id="11" w:name="_Toc420948006"/>
      <w:r>
        <w:rPr>
          <w:rFonts w:hint="eastAsia" w:ascii="宋体" w:hAnsi="宋体" w:cs="Arial"/>
          <w:color w:val="000000" w:themeColor="text1"/>
          <w:kern w:val="0"/>
          <w:szCs w:val="21"/>
          <w:highlight w:val="none"/>
          <w14:textFill>
            <w14:solidFill>
              <w14:schemeClr w14:val="tx1"/>
            </w14:solidFill>
          </w14:textFill>
        </w:rPr>
        <w:t>受</w:t>
      </w:r>
      <w:r>
        <w:rPr>
          <w:rFonts w:hint="eastAsia" w:ascii="宋体" w:hAnsi="宋体" w:cs="Arial"/>
          <w:b/>
          <w:bCs/>
          <w:color w:val="000000" w:themeColor="text1"/>
          <w:kern w:val="0"/>
          <w:szCs w:val="21"/>
          <w:highlight w:val="none"/>
          <w:lang w:eastAsia="zh-CN"/>
          <w14:textFill>
            <w14:solidFill>
              <w14:schemeClr w14:val="tx1"/>
            </w14:solidFill>
          </w14:textFill>
        </w:rPr>
        <w:t>霍尔果斯市技工学校</w:t>
      </w:r>
      <w:r>
        <w:rPr>
          <w:rFonts w:hint="eastAsia" w:ascii="宋体" w:hAnsi="宋体" w:cs="Arial"/>
          <w:color w:val="000000" w:themeColor="text1"/>
          <w:kern w:val="0"/>
          <w:szCs w:val="21"/>
          <w:highlight w:val="none"/>
          <w14:textFill>
            <w14:solidFill>
              <w14:schemeClr w14:val="tx1"/>
            </w14:solidFill>
          </w14:textFill>
        </w:rPr>
        <w:t>的委托，</w:t>
      </w:r>
      <w:r>
        <w:rPr>
          <w:rFonts w:hint="eastAsia" w:ascii="宋体" w:hAnsi="宋体" w:cs="Arial"/>
          <w:b/>
          <w:bCs/>
          <w:color w:val="000000" w:themeColor="text1"/>
          <w:kern w:val="0"/>
          <w:szCs w:val="21"/>
          <w:highlight w:val="none"/>
          <w14:textFill>
            <w14:solidFill>
              <w14:schemeClr w14:val="tx1"/>
            </w14:solidFill>
          </w14:textFill>
        </w:rPr>
        <w:t>霍尔果斯经济开发区政府采购中心</w:t>
      </w:r>
      <w:r>
        <w:rPr>
          <w:rFonts w:hint="eastAsia" w:ascii="宋体" w:hAnsi="宋体" w:cs="Arial"/>
          <w:color w:val="000000" w:themeColor="text1"/>
          <w:kern w:val="0"/>
          <w:szCs w:val="21"/>
          <w:highlight w:val="none"/>
          <w14:textFill>
            <w14:solidFill>
              <w14:schemeClr w14:val="tx1"/>
            </w14:solidFill>
          </w14:textFill>
        </w:rPr>
        <w:t>对</w:t>
      </w:r>
      <w:r>
        <w:rPr>
          <w:rFonts w:hint="eastAsia" w:ascii="宋体" w:hAnsi="宋体" w:cs="Arial"/>
          <w:b/>
          <w:bCs/>
          <w:color w:val="000000" w:themeColor="text1"/>
          <w:kern w:val="0"/>
          <w:szCs w:val="21"/>
          <w:highlight w:val="none"/>
          <w:lang w:eastAsia="zh-CN"/>
          <w14:textFill>
            <w14:solidFill>
              <w14:schemeClr w14:val="tx1"/>
            </w14:solidFill>
          </w14:textFill>
        </w:rPr>
        <w:t>霍尔果斯市技工学校实训设备采购项目（标段三）</w:t>
      </w:r>
      <w:r>
        <w:rPr>
          <w:rFonts w:hint="eastAsia" w:ascii="宋体" w:hAnsi="宋体" w:cs="Arial"/>
          <w:color w:val="000000" w:themeColor="text1"/>
          <w:kern w:val="0"/>
          <w:szCs w:val="21"/>
          <w:highlight w:val="none"/>
          <w14:textFill>
            <w14:solidFill>
              <w14:schemeClr w14:val="tx1"/>
            </w14:solidFill>
          </w14:textFill>
        </w:rPr>
        <w:t>进行</w:t>
      </w:r>
      <w:r>
        <w:rPr>
          <w:rFonts w:hint="eastAsia" w:ascii="宋体" w:hAnsi="宋体" w:cs="Arial"/>
          <w:b/>
          <w:bCs/>
          <w:color w:val="000000" w:themeColor="text1"/>
          <w:kern w:val="0"/>
          <w:szCs w:val="21"/>
          <w:highlight w:val="none"/>
          <w14:textFill>
            <w14:solidFill>
              <w14:schemeClr w14:val="tx1"/>
            </w14:solidFill>
          </w14:textFill>
        </w:rPr>
        <w:t>公开</w:t>
      </w:r>
      <w:r>
        <w:rPr>
          <w:rFonts w:hint="eastAsia" w:ascii="宋体" w:hAnsi="宋体" w:cs="Arial"/>
          <w:b/>
          <w:bCs/>
          <w:color w:val="000000" w:themeColor="text1"/>
          <w:kern w:val="0"/>
          <w:szCs w:val="21"/>
          <w14:textFill>
            <w14:solidFill>
              <w14:schemeClr w14:val="tx1"/>
            </w14:solidFill>
          </w14:textFill>
        </w:rPr>
        <w:t>招标</w:t>
      </w:r>
      <w:r>
        <w:rPr>
          <w:rFonts w:hint="eastAsia" w:ascii="宋体" w:hAnsi="宋体" w:cs="Arial"/>
          <w:color w:val="000000" w:themeColor="text1"/>
          <w:kern w:val="0"/>
          <w:szCs w:val="21"/>
          <w14:textFill>
            <w14:solidFill>
              <w14:schemeClr w14:val="tx1"/>
            </w14:solidFill>
          </w14:textFill>
        </w:rPr>
        <w:t>采购，欢迎符合资格条件的投标人参加投标。</w:t>
      </w:r>
    </w:p>
    <w:p>
      <w:pPr>
        <w:widowControl/>
        <w:numPr>
          <w:ilvl w:val="0"/>
          <w:numId w:val="4"/>
        </w:numPr>
        <w:spacing w:line="380" w:lineRule="exact"/>
        <w:ind w:firstLine="420" w:firstLineChars="200"/>
        <w:jc w:val="left"/>
        <w:rPr>
          <w:rFonts w:ascii="宋体" w:hAnsi="宋体" w:cs="Arial"/>
          <w:color w:val="000000" w:themeColor="text1"/>
          <w:kern w:val="0"/>
          <w:szCs w:val="21"/>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招标编号：</w:t>
      </w:r>
      <w:r>
        <w:rPr>
          <w:rFonts w:hint="eastAsia" w:ascii="宋体" w:hAnsi="宋体" w:cs="Arial"/>
          <w:b/>
          <w:bCs/>
          <w:color w:val="000000" w:themeColor="text1"/>
          <w:kern w:val="0"/>
          <w:szCs w:val="21"/>
          <w:lang w:eastAsia="zh-CN"/>
          <w14:textFill>
            <w14:solidFill>
              <w14:schemeClr w14:val="tx1"/>
            </w14:solidFill>
          </w14:textFill>
        </w:rPr>
        <w:t>HEGSCG-2023GK-25号（标段三）</w:t>
      </w:r>
    </w:p>
    <w:p>
      <w:pPr>
        <w:widowControl/>
        <w:spacing w:line="380" w:lineRule="exact"/>
        <w:ind w:firstLine="420" w:firstLineChars="200"/>
        <w:jc w:val="left"/>
        <w:rPr>
          <w:rFonts w:hint="default" w:ascii="宋体" w:hAnsi="宋体" w:eastAsia="宋体" w:cs="Arial"/>
          <w:color w:val="000000" w:themeColor="text1"/>
          <w:kern w:val="0"/>
          <w:szCs w:val="21"/>
          <w:highlight w:val="darkMagenta"/>
          <w:lang w:val="en-US" w:eastAsia="zh-CN"/>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2、项目名称：</w:t>
      </w:r>
      <w:r>
        <w:rPr>
          <w:rFonts w:hint="eastAsia" w:ascii="宋体" w:hAnsi="宋体" w:cs="Arial"/>
          <w:b/>
          <w:bCs/>
          <w:color w:val="000000" w:themeColor="text1"/>
          <w:kern w:val="0"/>
          <w:szCs w:val="21"/>
          <w:lang w:eastAsia="zh-CN"/>
          <w14:textFill>
            <w14:solidFill>
              <w14:schemeClr w14:val="tx1"/>
            </w14:solidFill>
          </w14:textFill>
        </w:rPr>
        <w:t>霍尔果斯市技工学校实训设备采购项目（标段三）</w:t>
      </w:r>
    </w:p>
    <w:p>
      <w:pPr>
        <w:widowControl/>
        <w:spacing w:line="380" w:lineRule="exact"/>
        <w:ind w:left="420" w:leftChars="200"/>
        <w:jc w:val="left"/>
        <w:rPr>
          <w:rFonts w:ascii="宋体" w:hAnsi="宋体" w:cs="Arial"/>
          <w:color w:val="000000" w:themeColor="text1"/>
          <w:kern w:val="0"/>
          <w:szCs w:val="21"/>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3、招标内容及要求</w:t>
      </w:r>
    </w:p>
    <w:p>
      <w:pPr>
        <w:widowControl/>
        <w:spacing w:line="380" w:lineRule="exact"/>
        <w:ind w:firstLine="422" w:firstLineChars="200"/>
        <w:jc w:val="left"/>
        <w:rPr>
          <w:color w:val="000000" w:themeColor="text1"/>
          <w14:textFill>
            <w14:solidFill>
              <w14:schemeClr w14:val="tx1"/>
            </w14:solidFill>
          </w14:textFill>
        </w:rPr>
      </w:pPr>
      <w:r>
        <w:rPr>
          <w:rFonts w:hint="eastAsia" w:ascii="宋体" w:hAnsi="宋体" w:cs="Arial"/>
          <w:b/>
          <w:bCs/>
          <w:color w:val="000000" w:themeColor="text1"/>
          <w:kern w:val="0"/>
          <w:szCs w:val="21"/>
          <w14:textFill>
            <w14:solidFill>
              <w14:schemeClr w14:val="tx1"/>
            </w14:solidFill>
          </w14:textFill>
        </w:rPr>
        <w:t>3.1 标项：</w:t>
      </w:r>
    </w:p>
    <w:tbl>
      <w:tblPr>
        <w:tblStyle w:val="47"/>
        <w:tblW w:w="8843" w:type="dxa"/>
        <w:tblInd w:w="11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365"/>
        <w:gridCol w:w="5417"/>
        <w:gridCol w:w="690"/>
        <w:gridCol w:w="690"/>
        <w:gridCol w:w="68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843" w:type="dxa"/>
            <w:gridSpan w:val="5"/>
            <w:tcBorders>
              <w:tl2br w:val="nil"/>
              <w:tr2bl w:val="nil"/>
            </w:tcBorders>
            <w:shd w:val="clear" w:color="auto" w:fill="auto"/>
            <w:noWrap/>
            <w:vAlign w:val="center"/>
          </w:tcPr>
          <w:p>
            <w:pPr>
              <w:widowControl/>
              <w:jc w:val="left"/>
              <w:textAlignment w:val="center"/>
              <w:rPr>
                <w:rFonts w:hint="eastAsia" w:ascii="黑体" w:hAnsi="黑体" w:eastAsia="黑体" w:cs="黑体"/>
                <w:color w:val="000000"/>
                <w:kern w:val="0"/>
                <w:sz w:val="20"/>
                <w:szCs w:val="20"/>
                <w:lang w:eastAsia="zh-CN" w:bidi="ar"/>
              </w:rPr>
            </w:pPr>
            <w:r>
              <w:rPr>
                <w:rFonts w:hint="eastAsia" w:ascii="黑体" w:hAnsi="黑体" w:eastAsia="黑体" w:cs="黑体"/>
                <w:color w:val="000000" w:themeColor="text1"/>
                <w:kern w:val="0"/>
                <w:sz w:val="20"/>
                <w:szCs w:val="20"/>
                <w14:textFill>
                  <w14:solidFill>
                    <w14:schemeClr w14:val="tx1"/>
                  </w14:solidFill>
                </w14:textFill>
              </w:rPr>
              <w:t>标项：</w:t>
            </w:r>
            <w:r>
              <w:rPr>
                <w:rFonts w:hint="eastAsia" w:eastAsia="黑体"/>
                <w:color w:val="000000"/>
                <w:kern w:val="0"/>
                <w:sz w:val="20"/>
                <w:szCs w:val="20"/>
                <w:lang w:eastAsia="zh-CN" w:bidi="ar"/>
              </w:rPr>
              <w:t>霍尔果斯市技工学校实训设备采购项目（标段三）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365" w:type="dxa"/>
            <w:tcBorders>
              <w:tl2br w:val="nil"/>
              <w:tr2bl w:val="nil"/>
            </w:tcBorders>
            <w:shd w:val="clear" w:color="auto" w:fill="auto"/>
            <w:noWrap/>
            <w:vAlign w:val="center"/>
          </w:tcPr>
          <w:p>
            <w:pPr>
              <w:widowControl/>
              <w:jc w:val="center"/>
              <w:textAlignment w:val="center"/>
              <w:rPr>
                <w:rFonts w:ascii="黑体" w:hAnsi="黑体" w:eastAsia="黑体" w:cs="黑体"/>
                <w:color w:val="000000"/>
                <w:sz w:val="20"/>
                <w:szCs w:val="20"/>
              </w:rPr>
            </w:pPr>
            <w:r>
              <w:rPr>
                <w:rFonts w:hint="eastAsia" w:ascii="黑体" w:hAnsi="黑体" w:eastAsia="黑体" w:cs="黑体"/>
                <w:kern w:val="0"/>
                <w:sz w:val="20"/>
                <w:szCs w:val="20"/>
              </w:rPr>
              <w:t>名称</w:t>
            </w:r>
          </w:p>
        </w:tc>
        <w:tc>
          <w:tcPr>
            <w:tcW w:w="5417" w:type="dxa"/>
            <w:tcBorders>
              <w:tl2br w:val="nil"/>
              <w:tr2bl w:val="nil"/>
            </w:tcBorders>
            <w:shd w:val="clear" w:color="auto" w:fill="auto"/>
            <w:vAlign w:val="center"/>
          </w:tcPr>
          <w:p>
            <w:pPr>
              <w:widowControl/>
              <w:jc w:val="center"/>
              <w:textAlignment w:val="center"/>
              <w:rPr>
                <w:rFonts w:ascii="黑体" w:hAnsi="黑体" w:eastAsia="黑体" w:cs="黑体"/>
                <w:color w:val="000000"/>
                <w:sz w:val="20"/>
                <w:szCs w:val="20"/>
              </w:rPr>
            </w:pPr>
            <w:r>
              <w:rPr>
                <w:rFonts w:hint="eastAsia" w:ascii="黑体" w:hAnsi="黑体" w:eastAsia="黑体" w:cs="黑体"/>
                <w:kern w:val="0"/>
                <w:sz w:val="20"/>
                <w:szCs w:val="20"/>
              </w:rPr>
              <w:t>简要规格描述或项目基本概况</w:t>
            </w:r>
          </w:p>
        </w:tc>
        <w:tc>
          <w:tcPr>
            <w:tcW w:w="690" w:type="dxa"/>
            <w:tcBorders>
              <w:right w:val="single" w:color="auto" w:sz="4" w:space="0"/>
              <w:tl2br w:val="nil"/>
              <w:tr2bl w:val="nil"/>
            </w:tcBorders>
            <w:shd w:val="clear" w:color="auto" w:fill="auto"/>
            <w:noWrap/>
            <w:vAlign w:val="center"/>
          </w:tcPr>
          <w:p>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单位</w:t>
            </w:r>
          </w:p>
        </w:tc>
        <w:tc>
          <w:tcPr>
            <w:tcW w:w="690" w:type="dxa"/>
            <w:tcBorders>
              <w:left w:val="single" w:color="auto" w:sz="4" w:space="0"/>
              <w:tl2br w:val="nil"/>
              <w:tr2bl w:val="nil"/>
            </w:tcBorders>
            <w:shd w:val="clear" w:color="auto" w:fill="auto"/>
            <w:noWrap/>
            <w:vAlign w:val="center"/>
          </w:tcPr>
          <w:p>
            <w:pPr>
              <w:widowControl/>
              <w:jc w:val="center"/>
              <w:textAlignment w:val="center"/>
              <w:rPr>
                <w:rFonts w:hint="eastAsia" w:ascii="黑体" w:hAnsi="黑体" w:eastAsia="黑体" w:cs="黑体"/>
                <w:color w:val="000000"/>
                <w:kern w:val="0"/>
                <w:sz w:val="20"/>
                <w:szCs w:val="20"/>
                <w:lang w:eastAsia="zh-CN" w:bidi="ar"/>
              </w:rPr>
            </w:pPr>
            <w:r>
              <w:rPr>
                <w:rFonts w:hint="eastAsia" w:ascii="黑体" w:hAnsi="黑体" w:eastAsia="黑体" w:cs="黑体"/>
                <w:color w:val="000000"/>
                <w:kern w:val="0"/>
                <w:sz w:val="20"/>
                <w:szCs w:val="20"/>
                <w:lang w:eastAsia="zh-CN" w:bidi="ar"/>
              </w:rPr>
              <w:t>数量</w:t>
            </w:r>
          </w:p>
        </w:tc>
        <w:tc>
          <w:tcPr>
            <w:tcW w:w="681" w:type="dxa"/>
            <w:tcBorders>
              <w:tl2br w:val="nil"/>
              <w:tr2bl w:val="nil"/>
            </w:tcBorders>
            <w:shd w:val="clear" w:color="auto" w:fill="auto"/>
            <w:vAlign w:val="center"/>
          </w:tcPr>
          <w:p>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365" w:type="dxa"/>
            <w:tcBorders>
              <w:tl2br w:val="nil"/>
              <w:tr2bl w:val="nil"/>
            </w:tcBorders>
            <w:shd w:val="clear" w:color="auto" w:fill="auto"/>
            <w:noWrap/>
            <w:vAlign w:val="center"/>
          </w:tcPr>
          <w:p>
            <w:pPr>
              <w:widowControl/>
              <w:jc w:val="center"/>
              <w:textAlignment w:val="center"/>
              <w:rPr>
                <w:rFonts w:hint="eastAsia" w:ascii="黑体" w:hAnsi="黑体" w:eastAsia="黑体" w:cs="黑体"/>
                <w:color w:val="000000"/>
                <w:sz w:val="20"/>
                <w:szCs w:val="20"/>
                <w:lang w:eastAsia="zh-CN"/>
              </w:rPr>
            </w:pPr>
            <w:r>
              <w:rPr>
                <w:rFonts w:hint="eastAsia" w:eastAsia="黑体"/>
                <w:color w:val="000000"/>
                <w:kern w:val="0"/>
                <w:sz w:val="20"/>
                <w:szCs w:val="20"/>
                <w:lang w:eastAsia="zh-CN" w:bidi="ar"/>
              </w:rPr>
              <w:t>技工学校实训设备</w:t>
            </w:r>
            <w:r>
              <w:rPr>
                <w:rFonts w:hint="eastAsia" w:eastAsia="黑体"/>
                <w:color w:val="000000"/>
                <w:kern w:val="0"/>
                <w:sz w:val="20"/>
                <w:szCs w:val="20"/>
                <w:lang w:val="en-US" w:eastAsia="zh-CN" w:bidi="ar"/>
              </w:rPr>
              <w:t xml:space="preserve">   </w:t>
            </w:r>
            <w:r>
              <w:rPr>
                <w:rFonts w:hint="eastAsia" w:eastAsia="黑体"/>
                <w:color w:val="000000"/>
                <w:kern w:val="0"/>
                <w:sz w:val="20"/>
                <w:szCs w:val="20"/>
                <w:lang w:eastAsia="zh-CN" w:bidi="ar"/>
              </w:rPr>
              <w:t>（标段三）</w:t>
            </w:r>
          </w:p>
        </w:tc>
        <w:tc>
          <w:tcPr>
            <w:tcW w:w="5417" w:type="dxa"/>
            <w:tcBorders>
              <w:tl2br w:val="nil"/>
              <w:tr2bl w:val="nil"/>
            </w:tcBorders>
            <w:shd w:val="clear" w:color="auto" w:fill="auto"/>
            <w:vAlign w:val="center"/>
          </w:tcPr>
          <w:p>
            <w:pPr>
              <w:widowControl/>
              <w:jc w:val="center"/>
              <w:textAlignment w:val="center"/>
              <w:rPr>
                <w:rFonts w:ascii="黑体" w:hAnsi="黑体" w:eastAsia="黑体" w:cs="黑体"/>
                <w:color w:val="000000"/>
                <w:sz w:val="20"/>
                <w:szCs w:val="20"/>
              </w:rPr>
            </w:pPr>
            <w:r>
              <w:rPr>
                <w:rFonts w:hint="eastAsia" w:ascii="黑体" w:hAnsi="黑体" w:eastAsia="黑体" w:cs="黑体"/>
                <w:color w:val="000000"/>
                <w:sz w:val="20"/>
                <w:szCs w:val="20"/>
                <w:lang w:eastAsia="zh-CN" w:bidi="ar"/>
              </w:rPr>
              <w:t>无线RF手持终端、无线AP、托盘货架、流利式货架、电子标签、无动力辊筒链</w:t>
            </w:r>
            <w:r>
              <w:rPr>
                <w:rFonts w:hint="eastAsia" w:ascii="黑体" w:hAnsi="黑体" w:eastAsia="黑体" w:cs="黑体"/>
                <w:color w:val="000000"/>
                <w:sz w:val="20"/>
                <w:szCs w:val="20"/>
                <w:lang w:val="en-US" w:eastAsia="zh-CN" w:bidi="ar"/>
              </w:rPr>
              <w:t>等</w:t>
            </w:r>
            <w:r>
              <w:rPr>
                <w:rFonts w:hint="eastAsia" w:eastAsia="黑体"/>
                <w:color w:val="000000"/>
                <w:kern w:val="0"/>
                <w:sz w:val="20"/>
                <w:szCs w:val="20"/>
                <w:lang w:bidi="ar"/>
              </w:rPr>
              <w:t>，具体明细详见采购文件</w:t>
            </w:r>
            <w:r>
              <w:rPr>
                <w:rFonts w:hint="eastAsia" w:eastAsia="黑体"/>
                <w:sz w:val="20"/>
                <w:szCs w:val="20"/>
              </w:rPr>
              <w:t>“第五章 采购需求”。</w:t>
            </w:r>
          </w:p>
        </w:tc>
        <w:tc>
          <w:tcPr>
            <w:tcW w:w="690" w:type="dxa"/>
            <w:tcBorders>
              <w:right w:val="single" w:color="auto" w:sz="4" w:space="0"/>
              <w:tl2br w:val="nil"/>
              <w:tr2bl w:val="nil"/>
            </w:tcBorders>
            <w:shd w:val="clear" w:color="auto" w:fill="auto"/>
            <w:noWrap/>
            <w:vAlign w:val="center"/>
          </w:tcPr>
          <w:p>
            <w:pPr>
              <w:widowControl/>
              <w:jc w:val="center"/>
              <w:textAlignment w:val="center"/>
              <w:rPr>
                <w:rFonts w:ascii="黑体" w:hAnsi="黑体" w:eastAsia="黑体" w:cs="黑体"/>
                <w:color w:val="000000"/>
                <w:sz w:val="20"/>
                <w:szCs w:val="20"/>
              </w:rPr>
            </w:pPr>
            <w:r>
              <w:rPr>
                <w:rFonts w:hint="eastAsia" w:ascii="黑体" w:hAnsi="黑体" w:eastAsia="黑体" w:cs="黑体"/>
                <w:color w:val="000000"/>
                <w:sz w:val="20"/>
                <w:szCs w:val="20"/>
              </w:rPr>
              <w:t>批</w:t>
            </w:r>
          </w:p>
        </w:tc>
        <w:tc>
          <w:tcPr>
            <w:tcW w:w="690" w:type="dxa"/>
            <w:tcBorders>
              <w:left w:val="single" w:color="auto" w:sz="4" w:space="0"/>
              <w:tl2br w:val="nil"/>
              <w:tr2bl w:val="nil"/>
            </w:tcBorders>
            <w:shd w:val="clear" w:color="auto" w:fill="auto"/>
            <w:noWrap/>
            <w:vAlign w:val="center"/>
          </w:tcPr>
          <w:p>
            <w:pPr>
              <w:widowControl/>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1</w:t>
            </w:r>
          </w:p>
        </w:tc>
        <w:tc>
          <w:tcPr>
            <w:tcW w:w="681" w:type="dxa"/>
            <w:tcBorders>
              <w:tl2br w:val="nil"/>
              <w:tr2bl w:val="nil"/>
            </w:tcBorders>
            <w:shd w:val="clear" w:color="auto" w:fill="auto"/>
            <w:vAlign w:val="center"/>
          </w:tcPr>
          <w:p>
            <w:pPr>
              <w:jc w:val="center"/>
              <w:rPr>
                <w:rFonts w:ascii="黑体" w:hAnsi="黑体" w:eastAsia="黑体" w:cs="黑体"/>
                <w:color w:val="000000"/>
                <w:sz w:val="20"/>
                <w:szCs w:val="20"/>
              </w:rPr>
            </w:pPr>
          </w:p>
        </w:tc>
      </w:tr>
    </w:tbl>
    <w:p>
      <w:pPr>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、采购项目需要落实的政府采购政策：</w:t>
      </w:r>
      <w:r>
        <w:rPr>
          <w:color w:val="000000" w:themeColor="text1"/>
          <w14:textFill>
            <w14:solidFill>
              <w14:schemeClr w14:val="tx1"/>
            </w14:solidFill>
          </w14:textFill>
        </w:rPr>
        <w:t xml:space="preserve"> </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（1）财政部、国家发展改革委、生态环境部、市场监管总局《关于调整优化节能产品、环境标志产品政府采购执行机制的通知》（财库[2019]9号文）；</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（2）财政部、生态环境部《关于印发环境标志产品政府采购品目清单的通知》（财库[2019]18号文）；</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（3）财政部、发展改革委《关于印发节能产品政府采购品目清单的通知》（财库[2019]19号文）；</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（4）市场监管总局《市场监管总局关于发布参与实施政府采购节能产品、环境标志产品认证机构名录的公告》（2019年第16号）</w:t>
      </w:r>
      <w:r>
        <w:rPr>
          <w:rFonts w:ascii="宋体" w:hAnsi="宋体" w:cs="Arial"/>
          <w:kern w:val="0"/>
          <w:szCs w:val="21"/>
        </w:rPr>
        <w:t>；</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（5）财政部、工业和信息化部</w:t>
      </w:r>
      <w:r>
        <w:rPr>
          <w:rFonts w:hint="eastAsia" w:ascii="宋体" w:hAnsi="宋体"/>
          <w:color w:val="000000" w:themeColor="text1"/>
          <w:szCs w:val="21"/>
          <w14:textFill>
            <w14:solidFill>
              <w14:schemeClr w14:val="tx1"/>
            </w14:solidFill>
          </w14:textFill>
        </w:rPr>
        <w:t>《政府采购促进中小企业发展管理办法》（财库[2020]46号）</w:t>
      </w:r>
      <w:r>
        <w:rPr>
          <w:rFonts w:hint="eastAsia" w:ascii="宋体" w:hAnsi="宋体" w:cs="Arial"/>
          <w:kern w:val="0"/>
          <w:szCs w:val="21"/>
        </w:rPr>
        <w:t>；财政部《关于进一步加大政府采购支持中小企业力度的通知》（财库[2022]19号）</w:t>
      </w:r>
      <w:r>
        <w:rPr>
          <w:rFonts w:ascii="宋体" w:hAnsi="宋体" w:cs="Arial"/>
          <w:kern w:val="0"/>
          <w:szCs w:val="21"/>
        </w:rPr>
        <w:t>；</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（6）财政部、民政部、中国残疾人联合会《关于促进残疾人就业政府采购政策的通知》（财库[2017]141号）；</w:t>
      </w:r>
    </w:p>
    <w:p>
      <w:pPr>
        <w:ind w:firstLine="420" w:firstLineChars="200"/>
        <w:rPr>
          <w:rFonts w:ascii="宋体" w:hAnsi="宋体" w:cs="Arial"/>
          <w:kern w:val="0"/>
          <w:szCs w:val="21"/>
        </w:rPr>
      </w:pPr>
      <w:r>
        <w:rPr>
          <w:rFonts w:hint="eastAsia" w:ascii="宋体" w:hAnsi="宋体" w:cs="Arial"/>
          <w:kern w:val="0"/>
          <w:szCs w:val="21"/>
        </w:rPr>
        <w:t>（7）财政部、司法部《关于政府采购支持监狱企业发展有关问题的通知》（财库[2014]68号文）；</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（8）根据工业和信息化部、国家统计局、国家发展改革委、财政部《关于印发中小企业划型标准规定的通知》(工信部联企业〔2011〕300号)。</w:t>
      </w:r>
    </w:p>
    <w:p>
      <w:pPr>
        <w:widowControl/>
        <w:spacing w:line="380" w:lineRule="exact"/>
        <w:ind w:left="420" w:hanging="420" w:hangingChars="200"/>
        <w:jc w:val="left"/>
        <w:rPr>
          <w:rFonts w:ascii="宋体" w:hAnsi="宋体" w:cs="Arial"/>
          <w:kern w:val="0"/>
          <w:szCs w:val="21"/>
        </w:rPr>
      </w:pPr>
      <w:r>
        <w:rPr>
          <w:rFonts w:hint="eastAsia" w:ascii="宋体" w:hAnsi="宋体" w:cs="Arial"/>
          <w:kern w:val="0"/>
          <w:szCs w:val="21"/>
        </w:rPr>
        <w:t>5、投标人的资格要求：</w:t>
      </w:r>
      <w:r>
        <w:rPr>
          <w:rFonts w:hint="eastAsia" w:ascii="宋体" w:hAnsi="宋体" w:cs="Arial"/>
          <w:kern w:val="0"/>
          <w:szCs w:val="21"/>
        </w:rPr>
        <w:br w:type="textWrapping"/>
      </w:r>
      <w:r>
        <w:rPr>
          <w:rFonts w:hint="eastAsia" w:ascii="宋体" w:hAnsi="宋体" w:cs="Arial"/>
          <w:kern w:val="0"/>
          <w:szCs w:val="21"/>
        </w:rPr>
        <w:t>（1）符合《中华人民共和国政府采购法》第二十二条规定条件；</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（2）投标人在“信用中国”（www.creditchina.gov.cn）和中国政府采购网（www.ccgp.gov.cn）网站上未被列入失信被执行人、重大税收违法案件当事人名单以及政府采购严重违法失信行为记录名单；</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（3）本项目不接受联合体，分公司参与投标需提供总公司营业执照及授权。</w:t>
      </w:r>
    </w:p>
    <w:p>
      <w:pPr>
        <w:widowControl/>
        <w:spacing w:line="380" w:lineRule="exact"/>
        <w:jc w:val="left"/>
        <w:rPr>
          <w:rFonts w:ascii="宋体" w:hAnsi="宋体" w:cs="Arial"/>
          <w:kern w:val="0"/>
          <w:szCs w:val="21"/>
        </w:rPr>
      </w:pPr>
      <w:r>
        <w:rPr>
          <w:rFonts w:hint="eastAsia" w:ascii="宋体" w:hAnsi="宋体" w:cs="Arial"/>
          <w:kern w:val="0"/>
          <w:szCs w:val="21"/>
        </w:rPr>
        <w:t>6、获取招标文件时间、地点、方式或事项：</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（1）供应商登陆政采云平台http://www.zcygov.cn/，在线申请获取采购文件（登录政府采购云平台 → 项目采购 → 获取采购文件 → 申请，审核通过后可下载招标文件，如有操作性问题，可与政采云在线客服进行咨询，咨询电话：95763）。</w:t>
      </w:r>
    </w:p>
    <w:p>
      <w:pPr>
        <w:widowControl/>
        <w:spacing w:line="380" w:lineRule="exact"/>
        <w:ind w:firstLine="420" w:firstLineChars="200"/>
        <w:jc w:val="left"/>
        <w:rPr>
          <w:rFonts w:hint="eastAsia" w:ascii="宋体" w:hAnsi="宋体" w:eastAsia="宋体" w:cs="Arial"/>
          <w:kern w:val="0"/>
          <w:szCs w:val="21"/>
          <w:lang w:eastAsia="zh-CN"/>
        </w:rPr>
      </w:pPr>
      <w:r>
        <w:rPr>
          <w:rFonts w:hint="eastAsia" w:ascii="宋体" w:hAnsi="宋体" w:cs="Arial"/>
          <w:kern w:val="0"/>
          <w:szCs w:val="21"/>
        </w:rPr>
        <w:t>（2）获取文件时间：</w:t>
      </w:r>
      <w:r>
        <w:rPr>
          <w:rFonts w:hint="eastAsia"/>
          <w:b/>
          <w:bCs/>
          <w:color w:val="000000" w:themeColor="text1"/>
          <w:lang w:eastAsia="zh-CN"/>
          <w14:textFill>
            <w14:solidFill>
              <w14:schemeClr w14:val="tx1"/>
            </w14:solidFill>
          </w14:textFill>
        </w:rPr>
        <w:t>2023年8月</w:t>
      </w:r>
      <w:r>
        <w:rPr>
          <w:rFonts w:hint="eastAsia"/>
          <w:b/>
          <w:bCs/>
          <w:color w:val="000000" w:themeColor="text1"/>
          <w:lang w:val="en-US" w:eastAsia="zh-CN"/>
          <w14:textFill>
            <w14:solidFill>
              <w14:schemeClr w14:val="tx1"/>
            </w14:solidFill>
          </w14:textFill>
        </w:rPr>
        <w:t>11</w:t>
      </w:r>
      <w:r>
        <w:rPr>
          <w:rFonts w:hint="eastAsia"/>
          <w:b/>
          <w:bCs/>
          <w:color w:val="000000" w:themeColor="text1"/>
          <w:lang w:eastAsia="zh-CN"/>
          <w14:textFill>
            <w14:solidFill>
              <w14:schemeClr w14:val="tx1"/>
            </w14:solidFill>
          </w14:textFill>
        </w:rPr>
        <w:t>日</w:t>
      </w:r>
      <w:r>
        <w:rPr>
          <w:rFonts w:hint="eastAsia"/>
          <w:b/>
          <w:bCs/>
          <w:color w:val="000000" w:themeColor="text1"/>
          <w14:textFill>
            <w14:solidFill>
              <w14:schemeClr w14:val="tx1"/>
            </w14:solidFill>
          </w14:textFill>
        </w:rPr>
        <w:t>至</w:t>
      </w:r>
      <w:r>
        <w:rPr>
          <w:rFonts w:hint="eastAsia"/>
          <w:b/>
          <w:bCs/>
          <w:color w:val="000000" w:themeColor="text1"/>
          <w:lang w:eastAsia="zh-CN"/>
          <w14:textFill>
            <w14:solidFill>
              <w14:schemeClr w14:val="tx1"/>
            </w14:solidFill>
          </w14:textFill>
        </w:rPr>
        <w:t>2023年8月</w:t>
      </w:r>
      <w:r>
        <w:rPr>
          <w:rFonts w:hint="eastAsia"/>
          <w:b/>
          <w:bCs/>
          <w:color w:val="000000" w:themeColor="text1"/>
          <w:lang w:val="en-US" w:eastAsia="zh-CN"/>
          <w14:textFill>
            <w14:solidFill>
              <w14:schemeClr w14:val="tx1"/>
            </w14:solidFill>
          </w14:textFill>
        </w:rPr>
        <w:t>21</w:t>
      </w:r>
      <w:r>
        <w:rPr>
          <w:rFonts w:hint="eastAsia"/>
          <w:b/>
          <w:bCs/>
          <w:color w:val="000000" w:themeColor="text1"/>
          <w:lang w:eastAsia="zh-CN"/>
          <w14:textFill>
            <w14:solidFill>
              <w14:schemeClr w14:val="tx1"/>
            </w14:solidFill>
          </w14:textFill>
        </w:rPr>
        <w:t>日</w:t>
      </w:r>
    </w:p>
    <w:p>
      <w:pPr>
        <w:widowControl/>
        <w:spacing w:line="380" w:lineRule="exact"/>
        <w:jc w:val="left"/>
        <w:rPr>
          <w:rFonts w:ascii="宋体" w:hAnsi="宋体" w:cs="Arial"/>
          <w:kern w:val="0"/>
          <w:szCs w:val="21"/>
        </w:rPr>
      </w:pPr>
      <w:r>
        <w:rPr>
          <w:rFonts w:hint="eastAsia" w:ascii="宋体" w:hAnsi="宋体" w:cs="Arial"/>
          <w:kern w:val="0"/>
          <w:szCs w:val="21"/>
        </w:rPr>
        <w:t>7、招标文件售价：免费</w:t>
      </w:r>
      <w:r>
        <w:rPr>
          <w:rFonts w:hint="eastAsia" w:ascii="宋体" w:hAnsi="宋体" w:cs="Arial"/>
          <w:kern w:val="0"/>
          <w:szCs w:val="21"/>
        </w:rPr>
        <w:br w:type="textWrapping"/>
      </w:r>
      <w:r>
        <w:rPr>
          <w:rFonts w:hint="eastAsia" w:ascii="宋体" w:hAnsi="宋体" w:cs="Arial"/>
          <w:kern w:val="0"/>
          <w:szCs w:val="21"/>
        </w:rPr>
        <w:t>8、报名开始时间：</w:t>
      </w:r>
      <w:r>
        <w:rPr>
          <w:rFonts w:hint="eastAsia"/>
          <w:b/>
          <w:bCs/>
          <w:color w:val="000000" w:themeColor="text1"/>
          <w:lang w:eastAsia="zh-CN"/>
          <w14:textFill>
            <w14:solidFill>
              <w14:schemeClr w14:val="tx1"/>
            </w14:solidFill>
          </w14:textFill>
        </w:rPr>
        <w:t>2023年8月</w:t>
      </w:r>
      <w:r>
        <w:rPr>
          <w:rFonts w:hint="eastAsia"/>
          <w:b/>
          <w:bCs/>
          <w:color w:val="000000" w:themeColor="text1"/>
          <w:lang w:val="en-US" w:eastAsia="zh-CN"/>
          <w14:textFill>
            <w14:solidFill>
              <w14:schemeClr w14:val="tx1"/>
            </w14:solidFill>
          </w14:textFill>
        </w:rPr>
        <w:t>11</w:t>
      </w:r>
      <w:r>
        <w:rPr>
          <w:rFonts w:hint="eastAsia"/>
          <w:b/>
          <w:bCs/>
          <w:color w:val="000000" w:themeColor="text1"/>
          <w:lang w:eastAsia="zh-CN"/>
          <w14:textFill>
            <w14:solidFill>
              <w14:schemeClr w14:val="tx1"/>
            </w14:solidFill>
          </w14:textFill>
        </w:rPr>
        <w:t>日</w:t>
      </w:r>
      <w:r>
        <w:rPr>
          <w:rFonts w:hint="eastAsia" w:ascii="宋体" w:hAnsi="宋体" w:cs="Arial"/>
          <w:b/>
          <w:bCs/>
          <w:kern w:val="0"/>
          <w:szCs w:val="21"/>
        </w:rPr>
        <w:t>10点00分</w:t>
      </w:r>
    </w:p>
    <w:p>
      <w:pPr>
        <w:widowControl/>
        <w:spacing w:line="380" w:lineRule="exact"/>
        <w:ind w:firstLine="218" w:firstLineChars="104"/>
        <w:jc w:val="left"/>
        <w:rPr>
          <w:rFonts w:ascii="宋体" w:hAnsi="宋体" w:cs="Arial"/>
          <w:kern w:val="0"/>
          <w:szCs w:val="21"/>
        </w:rPr>
      </w:pPr>
      <w:r>
        <w:rPr>
          <w:rFonts w:hint="eastAsia" w:ascii="宋体" w:hAnsi="宋体" w:cs="Arial"/>
          <w:kern w:val="0"/>
          <w:szCs w:val="21"/>
        </w:rPr>
        <w:t>报名截止时间：</w:t>
      </w:r>
      <w:r>
        <w:rPr>
          <w:rFonts w:hint="eastAsia"/>
          <w:b/>
          <w:bCs/>
          <w:color w:val="000000" w:themeColor="text1"/>
          <w:lang w:eastAsia="zh-CN"/>
          <w14:textFill>
            <w14:solidFill>
              <w14:schemeClr w14:val="tx1"/>
            </w14:solidFill>
          </w14:textFill>
        </w:rPr>
        <w:t>2023年8月</w:t>
      </w:r>
      <w:r>
        <w:rPr>
          <w:rFonts w:hint="eastAsia"/>
          <w:b/>
          <w:bCs/>
          <w:color w:val="000000" w:themeColor="text1"/>
          <w:lang w:val="en-US" w:eastAsia="zh-CN"/>
          <w14:textFill>
            <w14:solidFill>
              <w14:schemeClr w14:val="tx1"/>
            </w14:solidFill>
          </w14:textFill>
        </w:rPr>
        <w:t>21</w:t>
      </w:r>
      <w:r>
        <w:rPr>
          <w:rFonts w:hint="eastAsia"/>
          <w:b/>
          <w:bCs/>
          <w:color w:val="000000" w:themeColor="text1"/>
          <w:lang w:eastAsia="zh-CN"/>
          <w14:textFill>
            <w14:solidFill>
              <w14:schemeClr w14:val="tx1"/>
            </w14:solidFill>
          </w14:textFill>
        </w:rPr>
        <w:t>日</w:t>
      </w:r>
      <w:r>
        <w:rPr>
          <w:rFonts w:hint="eastAsia" w:ascii="宋体" w:hAnsi="宋体" w:cs="Arial"/>
          <w:b/>
          <w:bCs/>
          <w:kern w:val="0"/>
          <w:szCs w:val="21"/>
        </w:rPr>
        <w:t>20点00分</w:t>
      </w:r>
    </w:p>
    <w:p>
      <w:pPr>
        <w:widowControl/>
        <w:spacing w:line="380" w:lineRule="exact"/>
        <w:jc w:val="left"/>
        <w:rPr>
          <w:rFonts w:ascii="宋体" w:hAnsi="宋体" w:cs="Arial"/>
          <w:kern w:val="0"/>
          <w:szCs w:val="21"/>
        </w:rPr>
      </w:pPr>
      <w:r>
        <w:rPr>
          <w:rFonts w:hint="eastAsia" w:ascii="宋体" w:hAnsi="宋体" w:cs="Arial"/>
          <w:kern w:val="0"/>
          <w:szCs w:val="21"/>
        </w:rPr>
        <w:t>9、投标截止时间：投标人应于</w:t>
      </w:r>
      <w:r>
        <w:rPr>
          <w:rFonts w:hint="eastAsia"/>
          <w:b/>
          <w:bCs/>
          <w:color w:val="000000" w:themeColor="text1"/>
          <w:lang w:eastAsia="zh-CN"/>
          <w14:textFill>
            <w14:solidFill>
              <w14:schemeClr w14:val="tx1"/>
            </w14:solidFill>
          </w14:textFill>
        </w:rPr>
        <w:t>2023年</w:t>
      </w:r>
      <w:r>
        <w:rPr>
          <w:rFonts w:hint="eastAsia"/>
          <w:b/>
          <w:bCs/>
          <w:color w:val="000000" w:themeColor="text1"/>
          <w:lang w:val="en-US" w:eastAsia="zh-CN"/>
          <w14:textFill>
            <w14:solidFill>
              <w14:schemeClr w14:val="tx1"/>
            </w14:solidFill>
          </w14:textFill>
        </w:rPr>
        <w:t>9</w:t>
      </w:r>
      <w:r>
        <w:rPr>
          <w:rFonts w:hint="eastAsia"/>
          <w:b/>
          <w:bCs/>
          <w:color w:val="000000" w:themeColor="text1"/>
          <w:lang w:eastAsia="zh-CN"/>
          <w14:textFill>
            <w14:solidFill>
              <w14:schemeClr w14:val="tx1"/>
            </w14:solidFill>
          </w14:textFill>
        </w:rPr>
        <w:t>月</w:t>
      </w:r>
      <w:r>
        <w:rPr>
          <w:rFonts w:hint="eastAsia"/>
          <w:b/>
          <w:bCs/>
          <w:color w:val="000000" w:themeColor="text1"/>
          <w:lang w:val="en-US" w:eastAsia="zh-CN"/>
          <w14:textFill>
            <w14:solidFill>
              <w14:schemeClr w14:val="tx1"/>
            </w14:solidFill>
          </w14:textFill>
        </w:rPr>
        <w:t>1</w:t>
      </w:r>
      <w:r>
        <w:rPr>
          <w:rFonts w:hint="eastAsia"/>
          <w:b/>
          <w:bCs/>
          <w:color w:val="000000" w:themeColor="text1"/>
          <w:lang w:eastAsia="zh-CN"/>
          <w14:textFill>
            <w14:solidFill>
              <w14:schemeClr w14:val="tx1"/>
            </w14:solidFill>
          </w14:textFill>
        </w:rPr>
        <w:t>日</w:t>
      </w:r>
      <w:r>
        <w:rPr>
          <w:rFonts w:hint="eastAsia"/>
          <w:b/>
          <w:bCs/>
          <w:color w:val="000000" w:themeColor="text1"/>
          <w14:textFill>
            <w14:solidFill>
              <w14:schemeClr w14:val="tx1"/>
            </w14:solidFill>
          </w14:textFill>
        </w:rPr>
        <w:t>1</w:t>
      </w:r>
      <w:r>
        <w:rPr>
          <w:rFonts w:hint="eastAsia"/>
          <w:b/>
          <w:bCs/>
          <w:color w:val="000000" w:themeColor="text1"/>
          <w:lang w:val="en-US" w:eastAsia="zh-CN"/>
          <w14:textFill>
            <w14:solidFill>
              <w14:schemeClr w14:val="tx1"/>
            </w14:solidFill>
          </w14:textFill>
        </w:rPr>
        <w:t>6</w:t>
      </w:r>
      <w:r>
        <w:rPr>
          <w:rFonts w:hint="eastAsia"/>
          <w:b/>
          <w:bCs/>
          <w:color w:val="000000" w:themeColor="text1"/>
          <w14:textFill>
            <w14:solidFill>
              <w14:schemeClr w14:val="tx1"/>
            </w14:solidFill>
          </w14:textFill>
        </w:rPr>
        <w:t>：30</w:t>
      </w:r>
      <w:r>
        <w:rPr>
          <w:rFonts w:hint="eastAsia" w:ascii="宋体" w:hAnsi="宋体" w:cs="Arial"/>
          <w:kern w:val="0"/>
          <w:szCs w:val="21"/>
        </w:rPr>
        <w:t>之前将电子投标文件上传到“政采云”平台。应按照本项目招标文件和政采云平台的要求编制、加密传输投标文件。供应商在使用系统进行投标的过程中遇到涉及平台使用的任何问题，</w:t>
      </w:r>
      <w:r>
        <w:rPr>
          <w:rFonts w:ascii="宋体" w:hAnsi="宋体" w:cs="Arial"/>
          <w:kern w:val="0"/>
          <w:szCs w:val="21"/>
        </w:rPr>
        <w:t>可通过</w:t>
      </w:r>
      <w:r>
        <w:rPr>
          <w:rFonts w:hint="eastAsia" w:ascii="宋体" w:hAnsi="宋体" w:cs="Arial"/>
          <w:kern w:val="0"/>
          <w:szCs w:val="21"/>
        </w:rPr>
        <w:t>政采云平台自助查询、</w:t>
      </w:r>
      <w:r>
        <w:rPr>
          <w:rFonts w:ascii="宋体" w:hAnsi="宋体" w:cs="Arial"/>
          <w:kern w:val="0"/>
          <w:szCs w:val="21"/>
        </w:rPr>
        <w:t>钉钉群及政采云在线客服</w:t>
      </w:r>
      <w:r>
        <w:rPr>
          <w:rFonts w:hint="eastAsia" w:ascii="宋体" w:hAnsi="宋体" w:cs="Arial"/>
          <w:kern w:val="0"/>
          <w:szCs w:val="21"/>
        </w:rPr>
        <w:t>、或致电政采云平台技术支持热线咨询，联系方式：95763。</w:t>
      </w:r>
    </w:p>
    <w:p>
      <w:pPr>
        <w:widowControl/>
        <w:spacing w:line="380" w:lineRule="exact"/>
        <w:jc w:val="left"/>
        <w:rPr>
          <w:rFonts w:ascii="宋体" w:hAnsi="宋体" w:cs="Arial"/>
          <w:kern w:val="0"/>
          <w:szCs w:val="21"/>
        </w:rPr>
      </w:pPr>
      <w:r>
        <w:rPr>
          <w:rFonts w:hint="eastAsia" w:ascii="宋体" w:hAnsi="宋体" w:cs="Arial"/>
          <w:kern w:val="0"/>
          <w:szCs w:val="21"/>
        </w:rPr>
        <w:t>10、开标、评标时间及地点（网址）：</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（1）开标时间：</w:t>
      </w:r>
      <w:r>
        <w:rPr>
          <w:rFonts w:hint="eastAsia"/>
          <w:b/>
          <w:bCs/>
          <w:color w:val="000000" w:themeColor="text1"/>
          <w:lang w:eastAsia="zh-CN"/>
          <w14:textFill>
            <w14:solidFill>
              <w14:schemeClr w14:val="tx1"/>
            </w14:solidFill>
          </w14:textFill>
        </w:rPr>
        <w:t>2023年</w:t>
      </w:r>
      <w:r>
        <w:rPr>
          <w:rFonts w:hint="eastAsia"/>
          <w:b/>
          <w:bCs/>
          <w:color w:val="000000" w:themeColor="text1"/>
          <w:lang w:val="en-US" w:eastAsia="zh-CN"/>
          <w14:textFill>
            <w14:solidFill>
              <w14:schemeClr w14:val="tx1"/>
            </w14:solidFill>
          </w14:textFill>
        </w:rPr>
        <w:t>9</w:t>
      </w:r>
      <w:r>
        <w:rPr>
          <w:rFonts w:hint="eastAsia"/>
          <w:b/>
          <w:bCs/>
          <w:color w:val="000000" w:themeColor="text1"/>
          <w:lang w:eastAsia="zh-CN"/>
          <w14:textFill>
            <w14:solidFill>
              <w14:schemeClr w14:val="tx1"/>
            </w14:solidFill>
          </w14:textFill>
        </w:rPr>
        <w:t>月</w:t>
      </w:r>
      <w:r>
        <w:rPr>
          <w:rFonts w:hint="eastAsia"/>
          <w:b/>
          <w:bCs/>
          <w:color w:val="000000" w:themeColor="text1"/>
          <w:lang w:val="en-US" w:eastAsia="zh-CN"/>
          <w14:textFill>
            <w14:solidFill>
              <w14:schemeClr w14:val="tx1"/>
            </w14:solidFill>
          </w14:textFill>
        </w:rPr>
        <w:t>1</w:t>
      </w:r>
      <w:r>
        <w:rPr>
          <w:rFonts w:hint="eastAsia"/>
          <w:b/>
          <w:bCs/>
          <w:color w:val="000000" w:themeColor="text1"/>
          <w:lang w:eastAsia="zh-CN"/>
          <w14:textFill>
            <w14:solidFill>
              <w14:schemeClr w14:val="tx1"/>
            </w14:solidFill>
          </w14:textFill>
        </w:rPr>
        <w:t>日</w:t>
      </w:r>
      <w:r>
        <w:rPr>
          <w:rFonts w:hint="eastAsia"/>
          <w:b/>
          <w:bCs/>
          <w:color w:val="000000" w:themeColor="text1"/>
          <w14:textFill>
            <w14:solidFill>
              <w14:schemeClr w14:val="tx1"/>
            </w14:solidFill>
          </w14:textFill>
        </w:rPr>
        <w:t>1</w:t>
      </w:r>
      <w:r>
        <w:rPr>
          <w:rFonts w:hint="eastAsia"/>
          <w:b/>
          <w:bCs/>
          <w:color w:val="000000" w:themeColor="text1"/>
          <w:lang w:val="en-US" w:eastAsia="zh-CN"/>
          <w14:textFill>
            <w14:solidFill>
              <w14:schemeClr w14:val="tx1"/>
            </w14:solidFill>
          </w14:textFill>
        </w:rPr>
        <w:t>6</w:t>
      </w:r>
      <w:r>
        <w:rPr>
          <w:rFonts w:hint="eastAsia"/>
          <w:b/>
          <w:bCs/>
          <w:color w:val="000000" w:themeColor="text1"/>
          <w14:textFill>
            <w14:solidFill>
              <w14:schemeClr w14:val="tx1"/>
            </w14:solidFill>
          </w14:textFill>
        </w:rPr>
        <w:t>：30</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（2）开标地点（网址）：</w:t>
      </w:r>
      <w:r>
        <w:fldChar w:fldCharType="begin"/>
      </w:r>
      <w:r>
        <w:instrText xml:space="preserve"> HYPERLINK "https://www.zcygov.cn，投标供应商无需到达评标现场。" </w:instrText>
      </w:r>
      <w:r>
        <w:fldChar w:fldCharType="separate"/>
      </w:r>
      <w:r>
        <w:rPr>
          <w:rFonts w:hint="eastAsia" w:ascii="宋体" w:hAnsi="宋体" w:cs="Arial"/>
          <w:kern w:val="0"/>
          <w:szCs w:val="21"/>
        </w:rPr>
        <w:t>https://www.zcygov.cn</w:t>
      </w:r>
      <w:r>
        <w:rPr>
          <w:rFonts w:hint="eastAsia" w:ascii="宋体" w:hAnsi="宋体" w:cs="Arial"/>
          <w:kern w:val="0"/>
          <w:szCs w:val="21"/>
        </w:rPr>
        <w:fldChar w:fldCharType="end"/>
      </w:r>
      <w:r>
        <w:rPr>
          <w:rFonts w:hint="eastAsia" w:ascii="宋体" w:hAnsi="宋体" w:cs="Arial"/>
          <w:kern w:val="0"/>
          <w:szCs w:val="21"/>
        </w:rPr>
        <w:t>政采云电子开标大厅</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（3）评标时间：电子投标文件解密后</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（4）评标地点：霍尔果斯市政务服务中心三楼公共资源交易中心电子评标室，投标人无需到达评标地点。</w:t>
      </w:r>
    </w:p>
    <w:p>
      <w:pPr>
        <w:widowControl/>
        <w:spacing w:line="380" w:lineRule="exact"/>
        <w:jc w:val="left"/>
        <w:rPr>
          <w:rFonts w:hint="default" w:ascii="Times New Roman" w:hAnsi="Times New Roman" w:eastAsia="宋体" w:cs="Times New Roman"/>
          <w:kern w:val="0"/>
          <w:szCs w:val="21"/>
          <w:lang w:eastAsia="zh-CN"/>
        </w:rPr>
      </w:pPr>
      <w:r>
        <w:rPr>
          <w:rFonts w:hint="eastAsia" w:ascii="宋体" w:hAnsi="宋体" w:cs="Arial"/>
          <w:kern w:val="0"/>
          <w:szCs w:val="21"/>
        </w:rPr>
        <w:t>11、</w:t>
      </w:r>
      <w:r>
        <w:rPr>
          <w:rFonts w:hint="default" w:ascii="Times New Roman" w:hAnsi="Times New Roman" w:cs="Times New Roman"/>
          <w:kern w:val="0"/>
          <w:szCs w:val="21"/>
        </w:rPr>
        <w:t>本项目采购人：</w:t>
      </w:r>
      <w:r>
        <w:rPr>
          <w:rFonts w:hint="default" w:ascii="Times New Roman" w:hAnsi="Times New Roman" w:cs="Times New Roman"/>
          <w:kern w:val="0"/>
          <w:szCs w:val="21"/>
          <w:lang w:eastAsia="zh-CN"/>
        </w:rPr>
        <w:t>霍尔果斯市技工学校</w:t>
      </w:r>
    </w:p>
    <w:p>
      <w:pPr>
        <w:pStyle w:val="15"/>
        <w:ind w:firstLine="420" w:firstLineChars="200"/>
        <w:rPr>
          <w:rFonts w:hint="default" w:ascii="Times New Roman" w:hAnsi="Times New Roman" w:eastAsia="宋体" w:cs="Times New Roman"/>
          <w:lang w:val="en-US" w:eastAsia="zh-CN"/>
        </w:rPr>
      </w:pPr>
      <w:r>
        <w:rPr>
          <w:rFonts w:hint="default" w:ascii="Times New Roman" w:hAnsi="Times New Roman" w:cs="Times New Roman"/>
          <w:kern w:val="0"/>
          <w:szCs w:val="21"/>
        </w:rPr>
        <w:t>地  址：</w:t>
      </w:r>
      <w:r>
        <w:rPr>
          <w:rFonts w:hint="default" w:ascii="Times New Roman" w:hAnsi="Times New Roman" w:cs="Times New Roman"/>
          <w:lang w:eastAsia="zh-CN"/>
        </w:rPr>
        <w:t>霍尔果斯市</w:t>
      </w:r>
      <w:r>
        <w:rPr>
          <w:rFonts w:hint="default" w:ascii="Times New Roman" w:hAnsi="Times New Roman" w:cs="Times New Roman"/>
          <w:lang w:val="en-US" w:eastAsia="zh-CN"/>
        </w:rPr>
        <w:t>技工学校</w:t>
      </w:r>
    </w:p>
    <w:p>
      <w:pPr>
        <w:pStyle w:val="15"/>
        <w:ind w:firstLine="420" w:firstLineChars="200"/>
        <w:rPr>
          <w:rFonts w:hint="default" w:ascii="Times New Roman" w:hAnsi="Times New Roman" w:eastAsia="宋体" w:cs="Times New Roman"/>
          <w:lang w:val="en-US" w:eastAsia="zh-CN"/>
        </w:rPr>
      </w:pPr>
      <w:r>
        <w:rPr>
          <w:rFonts w:hint="default" w:ascii="Times New Roman" w:hAnsi="Times New Roman" w:cs="Times New Roman"/>
          <w:kern w:val="0"/>
          <w:szCs w:val="21"/>
        </w:rPr>
        <w:t>联系人：</w:t>
      </w:r>
      <w:r>
        <w:rPr>
          <w:rFonts w:hint="default" w:ascii="Times New Roman" w:hAnsi="Times New Roman" w:cs="Times New Roman"/>
          <w:lang w:val="en-US" w:eastAsia="zh-CN"/>
        </w:rPr>
        <w:t>陈龙</w:t>
      </w:r>
    </w:p>
    <w:p>
      <w:pPr>
        <w:pStyle w:val="15"/>
        <w:ind w:firstLine="420" w:firstLineChars="200"/>
        <w:rPr>
          <w:rFonts w:hint="default" w:ascii="Times New Roman" w:hAnsi="Times New Roman" w:eastAsia="宋体" w:cs="Times New Roman"/>
          <w:lang w:val="en-US" w:eastAsia="zh-CN"/>
        </w:rPr>
      </w:pPr>
      <w:r>
        <w:rPr>
          <w:rFonts w:hint="default" w:ascii="Times New Roman" w:hAnsi="Times New Roman" w:cs="Times New Roman"/>
          <w:kern w:val="0"/>
          <w:szCs w:val="21"/>
        </w:rPr>
        <w:t>联系电话：</w:t>
      </w:r>
      <w:r>
        <w:rPr>
          <w:rFonts w:hint="default" w:ascii="Times New Roman" w:hAnsi="Times New Roman" w:cs="Times New Roman"/>
          <w:lang w:val="en-US" w:eastAsia="zh-CN"/>
        </w:rPr>
        <w:t>16622972448</w:t>
      </w:r>
    </w:p>
    <w:p>
      <w:pPr>
        <w:widowControl/>
        <w:spacing w:line="380" w:lineRule="exact"/>
        <w:ind w:firstLine="420" w:firstLineChars="200"/>
        <w:jc w:val="left"/>
        <w:rPr>
          <w:rFonts w:hint="default" w:ascii="Times New Roman" w:hAnsi="Times New Roman" w:cs="Times New Roman"/>
          <w:kern w:val="0"/>
          <w:szCs w:val="21"/>
        </w:rPr>
      </w:pPr>
    </w:p>
    <w:p>
      <w:pPr>
        <w:widowControl/>
        <w:spacing w:line="380" w:lineRule="exact"/>
        <w:ind w:firstLine="420" w:firstLineChars="200"/>
        <w:jc w:val="left"/>
        <w:rPr>
          <w:rFonts w:hint="default" w:ascii="Times New Roman" w:hAnsi="Times New Roman" w:cs="Times New Roman"/>
          <w:kern w:val="0"/>
          <w:szCs w:val="21"/>
        </w:rPr>
      </w:pPr>
      <w:r>
        <w:rPr>
          <w:rFonts w:hint="default" w:ascii="Times New Roman" w:hAnsi="Times New Roman" w:cs="Times New Roman"/>
          <w:kern w:val="0"/>
          <w:szCs w:val="21"/>
        </w:rPr>
        <w:t>采购代理机构：霍尔果斯经济开发区政府采购中心</w:t>
      </w:r>
    </w:p>
    <w:p>
      <w:pPr>
        <w:widowControl/>
        <w:spacing w:line="380" w:lineRule="exact"/>
        <w:ind w:firstLine="420" w:firstLineChars="200"/>
        <w:jc w:val="left"/>
        <w:rPr>
          <w:rFonts w:hint="default" w:ascii="Times New Roman" w:hAnsi="Times New Roman" w:cs="Times New Roman"/>
          <w:kern w:val="0"/>
          <w:szCs w:val="21"/>
        </w:rPr>
      </w:pPr>
      <w:r>
        <w:rPr>
          <w:rFonts w:hint="default" w:ascii="Times New Roman" w:hAnsi="Times New Roman" w:cs="Times New Roman"/>
          <w:kern w:val="0"/>
          <w:szCs w:val="21"/>
        </w:rPr>
        <w:t>地  址：霍尔果斯市政务服务中心225办公室</w:t>
      </w:r>
    </w:p>
    <w:p>
      <w:pPr>
        <w:widowControl/>
        <w:spacing w:line="380" w:lineRule="exact"/>
        <w:ind w:firstLine="420" w:firstLineChars="200"/>
        <w:jc w:val="left"/>
        <w:rPr>
          <w:rFonts w:hint="default" w:ascii="Times New Roman" w:hAnsi="Times New Roman" w:eastAsia="宋体" w:cs="Times New Roman"/>
          <w:kern w:val="0"/>
          <w:szCs w:val="21"/>
          <w:lang w:eastAsia="zh-CN"/>
        </w:rPr>
      </w:pPr>
      <w:r>
        <w:rPr>
          <w:rFonts w:hint="default" w:ascii="Times New Roman" w:hAnsi="Times New Roman" w:cs="Times New Roman"/>
          <w:kern w:val="0"/>
          <w:szCs w:val="21"/>
        </w:rPr>
        <w:t>联系人：</w:t>
      </w:r>
      <w:r>
        <w:rPr>
          <w:rFonts w:hint="default" w:ascii="Times New Roman" w:hAnsi="Times New Roman" w:cs="Times New Roman"/>
          <w:kern w:val="0"/>
          <w:szCs w:val="21"/>
          <w:lang w:val="en-US" w:eastAsia="zh-CN"/>
        </w:rPr>
        <w:t>祖力</w:t>
      </w:r>
    </w:p>
    <w:p>
      <w:pPr>
        <w:widowControl/>
        <w:spacing w:line="380" w:lineRule="exact"/>
        <w:ind w:firstLine="420" w:firstLineChars="200"/>
        <w:jc w:val="left"/>
        <w:rPr>
          <w:rFonts w:ascii="宋体" w:hAnsi="宋体" w:cs="Arial"/>
          <w:kern w:val="0"/>
          <w:szCs w:val="21"/>
        </w:rPr>
      </w:pPr>
      <w:r>
        <w:rPr>
          <w:rFonts w:hint="default" w:ascii="Times New Roman" w:hAnsi="Times New Roman" w:cs="Times New Roman"/>
          <w:kern w:val="0"/>
          <w:szCs w:val="21"/>
        </w:rPr>
        <w:t>联系电话：0999-8797331</w:t>
      </w:r>
    </w:p>
    <w:p>
      <w:pPr>
        <w:widowControl/>
        <w:spacing w:line="380" w:lineRule="exact"/>
        <w:ind w:firstLine="840" w:firstLineChars="400"/>
        <w:jc w:val="left"/>
        <w:rPr>
          <w:rFonts w:ascii="宋体" w:cs="Arial"/>
          <w:color w:val="000000" w:themeColor="text1"/>
          <w:kern w:val="0"/>
          <w:szCs w:val="21"/>
          <w14:textFill>
            <w14:solidFill>
              <w14:schemeClr w14:val="tx1"/>
            </w14:solidFill>
          </w14:textFill>
        </w:rPr>
      </w:pPr>
    </w:p>
    <w:p>
      <w:pPr>
        <w:spacing w:line="400" w:lineRule="exact"/>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14:textFill>
            <w14:solidFill>
              <w14:schemeClr w14:val="tx1"/>
            </w14:solidFill>
          </w14:textFill>
        </w:rPr>
        <w:t>注：本项目采购公告发布截止日后，请持续关注本项目后续网上发布变更、答疑澄清等内容。</w:t>
      </w:r>
    </w:p>
    <w:p>
      <w:pPr>
        <w:widowControl/>
        <w:spacing w:line="400" w:lineRule="exact"/>
        <w:jc w:val="center"/>
        <w:outlineLvl w:val="0"/>
        <w:rPr>
          <w:rFonts w:ascii="宋体" w:hAnsi="宋体"/>
          <w:b/>
          <w:color w:val="000000" w:themeColor="text1"/>
          <w:sz w:val="32"/>
          <w:szCs w:val="32"/>
          <w14:textFill>
            <w14:solidFill>
              <w14:schemeClr w14:val="tx1"/>
            </w14:solidFill>
          </w14:textFill>
        </w:rPr>
      </w:pPr>
    </w:p>
    <w:p>
      <w:pPr>
        <w:widowControl/>
        <w:spacing w:line="400" w:lineRule="exact"/>
        <w:jc w:val="center"/>
        <w:outlineLvl w:val="0"/>
        <w:rPr>
          <w:rFonts w:ascii="宋体" w:hAnsi="宋体"/>
          <w:b/>
          <w:color w:val="000000" w:themeColor="text1"/>
          <w:sz w:val="32"/>
          <w:szCs w:val="32"/>
          <w14:textFill>
            <w14:solidFill>
              <w14:schemeClr w14:val="tx1"/>
            </w14:solidFill>
          </w14:textFill>
        </w:rPr>
      </w:pPr>
    </w:p>
    <w:p>
      <w:pPr>
        <w:widowControl/>
        <w:spacing w:line="400" w:lineRule="exact"/>
        <w:jc w:val="center"/>
        <w:outlineLvl w:val="0"/>
        <w:rPr>
          <w:rFonts w:ascii="宋体" w:hAnsi="宋体"/>
          <w:b/>
          <w:color w:val="000000" w:themeColor="text1"/>
          <w:sz w:val="32"/>
          <w:szCs w:val="32"/>
          <w14:textFill>
            <w14:solidFill>
              <w14:schemeClr w14:val="tx1"/>
            </w14:solidFill>
          </w14:textFill>
        </w:rPr>
      </w:pPr>
    </w:p>
    <w:p>
      <w:pPr>
        <w:widowControl/>
        <w:spacing w:line="400" w:lineRule="exact"/>
        <w:jc w:val="center"/>
        <w:outlineLvl w:val="0"/>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br w:type="page"/>
      </w:r>
      <w:r>
        <w:rPr>
          <w:rFonts w:hint="eastAsia" w:ascii="宋体" w:hAnsi="宋体"/>
          <w:b/>
          <w:color w:val="000000" w:themeColor="text1"/>
          <w:sz w:val="32"/>
          <w:szCs w:val="32"/>
          <w14:textFill>
            <w14:solidFill>
              <w14:schemeClr w14:val="tx1"/>
            </w14:solidFill>
          </w14:textFill>
        </w:rPr>
        <w:t>第二章 投标须知</w:t>
      </w:r>
      <w:bookmarkEnd w:id="10"/>
      <w:bookmarkEnd w:id="11"/>
    </w:p>
    <w:p>
      <w:pPr>
        <w:pStyle w:val="25"/>
        <w:jc w:val="center"/>
        <w:outlineLvl w:val="1"/>
        <w:rPr>
          <w:rFonts w:hAnsi="宋体"/>
          <w:b/>
          <w:color w:val="000000" w:themeColor="text1"/>
          <w:sz w:val="30"/>
          <w:szCs w:val="30"/>
          <w14:textFill>
            <w14:solidFill>
              <w14:schemeClr w14:val="tx1"/>
            </w14:solidFill>
          </w14:textFill>
        </w:rPr>
      </w:pPr>
      <w:bookmarkStart w:id="12" w:name="_Toc474235942"/>
      <w:r>
        <w:rPr>
          <w:rFonts w:hint="eastAsia" w:hAnsi="宋体"/>
          <w:b/>
          <w:color w:val="000000" w:themeColor="text1"/>
          <w:sz w:val="30"/>
          <w:szCs w:val="30"/>
          <w14:textFill>
            <w14:solidFill>
              <w14:schemeClr w14:val="tx1"/>
            </w14:solidFill>
          </w14:textFill>
        </w:rPr>
        <w:t>投标须知前附表</w:t>
      </w:r>
      <w:bookmarkEnd w:id="12"/>
    </w:p>
    <w:tbl>
      <w:tblPr>
        <w:tblStyle w:val="47"/>
        <w:tblW w:w="884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67"/>
        <w:gridCol w:w="1633"/>
        <w:gridCol w:w="494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tblHeader/>
          <w:jc w:val="center"/>
        </w:trPr>
        <w:tc>
          <w:tcPr>
            <w:tcW w:w="2267" w:type="dxa"/>
            <w:vAlign w:val="center"/>
          </w:tcPr>
          <w:p>
            <w:pPr>
              <w:adjustRightInd w:val="0"/>
              <w:snapToGrid w:val="0"/>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w:t>
            </w:r>
          </w:p>
        </w:tc>
        <w:tc>
          <w:tcPr>
            <w:tcW w:w="1633" w:type="dxa"/>
            <w:vAlign w:val="center"/>
          </w:tcPr>
          <w:p>
            <w:pPr>
              <w:adjustRightInd w:val="0"/>
              <w:snapToGrid w:val="0"/>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条款名称</w:t>
            </w:r>
          </w:p>
        </w:tc>
        <w:tc>
          <w:tcPr>
            <w:tcW w:w="4945" w:type="dxa"/>
            <w:vAlign w:val="center"/>
          </w:tcPr>
          <w:p>
            <w:pPr>
              <w:adjustRightInd w:val="0"/>
              <w:snapToGrid w:val="0"/>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编列内容规定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8845" w:type="dxa"/>
            <w:gridSpan w:val="3"/>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5"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第二章第1.1款</w:t>
            </w:r>
          </w:p>
        </w:tc>
        <w:tc>
          <w:tcPr>
            <w:tcW w:w="1633" w:type="dxa"/>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p>
        </w:tc>
        <w:tc>
          <w:tcPr>
            <w:tcW w:w="4945" w:type="dxa"/>
            <w:vAlign w:val="center"/>
          </w:tcPr>
          <w:p>
            <w:pPr>
              <w:widowControl/>
              <w:spacing w:line="380" w:lineRule="exact"/>
              <w:jc w:val="left"/>
              <w:rPr>
                <w:rFonts w:hint="eastAsia" w:ascii="宋体" w:hAnsi="宋体" w:eastAsia="宋体" w:cs="Arial"/>
                <w:color w:val="000000" w:themeColor="text1"/>
                <w:kern w:val="0"/>
                <w:szCs w:val="21"/>
                <w:lang w:eastAsia="zh-CN"/>
                <w14:textFill>
                  <w14:solidFill>
                    <w14:schemeClr w14:val="tx1"/>
                  </w14:solidFill>
                </w14:textFill>
              </w:rPr>
            </w:pPr>
            <w:r>
              <w:rPr>
                <w:rFonts w:hint="eastAsia" w:ascii="宋体" w:hAnsi="宋体" w:cs="Arial"/>
                <w:b/>
                <w:bCs/>
                <w:kern w:val="0"/>
                <w:szCs w:val="21"/>
                <w:lang w:eastAsia="zh-CN"/>
              </w:rPr>
              <w:t>霍尔果斯市技工学校实训设备采购项目（标段三）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8" w:hRule="atLeast"/>
          <w:jc w:val="center"/>
        </w:trPr>
        <w:tc>
          <w:tcPr>
            <w:tcW w:w="2267" w:type="dxa"/>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第二章第1.2款</w:t>
            </w:r>
          </w:p>
        </w:tc>
        <w:tc>
          <w:tcPr>
            <w:tcW w:w="1633" w:type="dxa"/>
            <w:vAlign w:val="center"/>
          </w:tcPr>
          <w:p>
            <w:pPr>
              <w:spacing w:line="380" w:lineRule="exact"/>
              <w:rPr>
                <w:rFonts w:hint="eastAsia" w:eastAsia="宋体"/>
                <w:color w:val="000000" w:themeColor="text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采购</w:t>
            </w:r>
            <w:r>
              <w:rPr>
                <w:rFonts w:hint="eastAsia" w:ascii="宋体" w:hAnsi="宋体"/>
                <w:color w:val="000000" w:themeColor="text1"/>
                <w:szCs w:val="21"/>
                <w:lang w:eastAsia="zh-CN"/>
                <w14:textFill>
                  <w14:solidFill>
                    <w14:schemeClr w14:val="tx1"/>
                  </w14:solidFill>
                </w14:textFill>
              </w:rPr>
              <w:t>内容</w:t>
            </w:r>
          </w:p>
        </w:tc>
        <w:tc>
          <w:tcPr>
            <w:tcW w:w="4945" w:type="dxa"/>
            <w:tcBorders>
              <w:bottom w:val="single" w:color="auto" w:sz="4" w:space="0"/>
            </w:tcBorders>
            <w:vAlign w:val="center"/>
          </w:tcPr>
          <w:p>
            <w:pPr>
              <w:jc w:val="left"/>
              <w:rPr>
                <w:rFonts w:hint="eastAsia" w:eastAsia="宋体"/>
                <w:color w:val="000000" w:themeColor="text1"/>
                <w:lang w:eastAsia="zh-CN"/>
                <w14:textFill>
                  <w14:solidFill>
                    <w14:schemeClr w14:val="tx1"/>
                  </w14:solidFill>
                </w14:textFill>
              </w:rPr>
            </w:pPr>
            <w:r>
              <w:rPr>
                <w:rFonts w:hint="eastAsia" w:ascii="宋体" w:hAnsi="宋体" w:eastAsia="宋体" w:cs="Arial"/>
                <w:kern w:val="0"/>
                <w:szCs w:val="21"/>
                <w:lang w:eastAsia="zh-CN"/>
              </w:rPr>
              <w:t>A02102100教学仪器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2267" w:type="dxa"/>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第二章第1.3款</w:t>
            </w:r>
          </w:p>
        </w:tc>
        <w:tc>
          <w:tcPr>
            <w:tcW w:w="1633" w:type="dxa"/>
            <w:vAlign w:val="center"/>
          </w:tcPr>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项目地点</w:t>
            </w:r>
          </w:p>
        </w:tc>
        <w:tc>
          <w:tcPr>
            <w:tcW w:w="4945" w:type="dxa"/>
            <w:vAlign w:val="center"/>
          </w:tcPr>
          <w:p>
            <w:pPr>
              <w:spacing w:line="4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新疆霍尔果斯市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267" w:type="dxa"/>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第二章第1.4款</w:t>
            </w:r>
          </w:p>
        </w:tc>
        <w:tc>
          <w:tcPr>
            <w:tcW w:w="1633" w:type="dxa"/>
            <w:vAlign w:val="center"/>
          </w:tcPr>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采购方式</w:t>
            </w:r>
          </w:p>
        </w:tc>
        <w:tc>
          <w:tcPr>
            <w:tcW w:w="4945" w:type="dxa"/>
            <w:vAlign w:val="center"/>
          </w:tcPr>
          <w:p>
            <w:pPr>
              <w:spacing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公开招标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2267" w:type="dxa"/>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第二章第1.5款</w:t>
            </w:r>
          </w:p>
        </w:tc>
        <w:tc>
          <w:tcPr>
            <w:tcW w:w="1633" w:type="dxa"/>
            <w:vAlign w:val="center"/>
          </w:tcPr>
          <w:p>
            <w:pPr>
              <w:adjustRightInd w:val="0"/>
              <w:snapToGrid w:val="0"/>
              <w:spacing w:line="400" w:lineRule="exact"/>
              <w:rPr>
                <w:rFonts w:ascii="宋体" w:hAnsi="宋体"/>
                <w:szCs w:val="21"/>
              </w:rPr>
            </w:pPr>
            <w:r>
              <w:rPr>
                <w:rFonts w:hint="eastAsia" w:ascii="宋体" w:hAnsi="宋体"/>
                <w:szCs w:val="21"/>
              </w:rPr>
              <w:t>供货期限</w:t>
            </w:r>
          </w:p>
        </w:tc>
        <w:tc>
          <w:tcPr>
            <w:tcW w:w="4945" w:type="dxa"/>
            <w:tcBorders>
              <w:bottom w:val="single" w:color="auto" w:sz="4" w:space="0"/>
            </w:tcBorders>
            <w:vAlign w:val="center"/>
          </w:tcPr>
          <w:p>
            <w:pPr>
              <w:adjustRightInd w:val="0"/>
              <w:snapToGrid w:val="0"/>
              <w:spacing w:line="400" w:lineRule="exact"/>
              <w:rPr>
                <w:rFonts w:ascii="宋体" w:hAnsi="宋体" w:cs="宋体"/>
                <w:kern w:val="0"/>
                <w:szCs w:val="21"/>
              </w:rPr>
            </w:pPr>
            <w:r>
              <w:rPr>
                <w:rFonts w:hint="eastAsia"/>
                <w:color w:val="FF0000"/>
              </w:rPr>
              <w:t>★</w:t>
            </w:r>
            <w:r>
              <w:rPr>
                <w:rFonts w:hint="eastAsia" w:ascii="宋体" w:hAnsi="宋体" w:cs="宋体"/>
                <w:color w:val="FF0000"/>
                <w:kern w:val="0"/>
                <w:szCs w:val="21"/>
              </w:rPr>
              <w:t>签订合同后</w:t>
            </w:r>
            <w:r>
              <w:rPr>
                <w:rFonts w:hint="eastAsia" w:ascii="宋体" w:hAnsi="宋体" w:cs="宋体"/>
                <w:color w:val="FF0000"/>
                <w:kern w:val="0"/>
                <w:szCs w:val="21"/>
                <w:highlight w:val="none"/>
                <w:lang w:val="en-US" w:eastAsia="zh-CN"/>
              </w:rPr>
              <w:t>一个月</w:t>
            </w:r>
            <w:r>
              <w:rPr>
                <w:rFonts w:hint="eastAsia" w:ascii="宋体" w:hAnsi="宋体" w:cs="宋体"/>
                <w:color w:val="FF0000"/>
                <w:kern w:val="0"/>
                <w:szCs w:val="21"/>
              </w:rPr>
              <w:t>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53"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第二章第2.1款</w:t>
            </w:r>
          </w:p>
        </w:tc>
        <w:tc>
          <w:tcPr>
            <w:tcW w:w="1633" w:type="dxa"/>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采购人</w:t>
            </w:r>
          </w:p>
        </w:tc>
        <w:tc>
          <w:tcPr>
            <w:tcW w:w="4945" w:type="dxa"/>
            <w:vAlign w:val="center"/>
          </w:tcPr>
          <w:p>
            <w:pPr>
              <w:adjustRightInd w:val="0"/>
              <w:snapToGrid w:val="0"/>
              <w:spacing w:line="300" w:lineRule="exact"/>
              <w:jc w:val="left"/>
              <w:rPr>
                <w:rFonts w:hint="eastAsia" w:ascii="黑体" w:hAnsi="黑体" w:eastAsia="黑体" w:cs="黑体"/>
                <w:kern w:val="0"/>
                <w:szCs w:val="21"/>
                <w:highlight w:val="none"/>
                <w:lang w:eastAsia="zh-CN"/>
              </w:rPr>
            </w:pPr>
            <w:r>
              <w:rPr>
                <w:rFonts w:hint="eastAsia" w:ascii="黑体" w:hAnsi="黑体" w:eastAsia="黑体" w:cs="黑体"/>
                <w:szCs w:val="21"/>
              </w:rPr>
              <w:t>采购人</w:t>
            </w:r>
            <w:r>
              <w:rPr>
                <w:rFonts w:hint="eastAsia" w:ascii="黑体" w:hAnsi="黑体" w:eastAsia="黑体" w:cs="黑体"/>
                <w:szCs w:val="21"/>
                <w:highlight w:val="none"/>
              </w:rPr>
              <w:t>：</w:t>
            </w:r>
            <w:r>
              <w:rPr>
                <w:rFonts w:hint="eastAsia" w:ascii="黑体" w:hAnsi="黑体" w:eastAsia="黑体" w:cs="黑体"/>
                <w:kern w:val="0"/>
                <w:szCs w:val="21"/>
                <w:highlight w:val="none"/>
                <w:lang w:eastAsia="zh-CN"/>
              </w:rPr>
              <w:t>霍尔果斯市技工学校</w:t>
            </w:r>
          </w:p>
          <w:p>
            <w:pPr>
              <w:adjustRightInd w:val="0"/>
              <w:snapToGrid w:val="0"/>
              <w:spacing w:line="300" w:lineRule="exact"/>
              <w:jc w:val="left"/>
              <w:rPr>
                <w:rFonts w:hint="eastAsia" w:ascii="黑体" w:hAnsi="黑体" w:eastAsia="黑体" w:cs="黑体"/>
                <w:szCs w:val="21"/>
                <w:highlight w:val="none"/>
                <w:lang w:eastAsia="zh-CN"/>
              </w:rPr>
            </w:pPr>
            <w:r>
              <w:rPr>
                <w:rFonts w:hint="eastAsia" w:ascii="黑体" w:hAnsi="黑体" w:eastAsia="黑体" w:cs="黑体"/>
                <w:szCs w:val="21"/>
                <w:highlight w:val="none"/>
              </w:rPr>
              <w:t>地  址：</w:t>
            </w:r>
            <w:r>
              <w:rPr>
                <w:rFonts w:hint="eastAsia" w:ascii="黑体" w:hAnsi="黑体" w:eastAsia="黑体" w:cs="黑体"/>
                <w:kern w:val="0"/>
                <w:szCs w:val="21"/>
                <w:highlight w:val="none"/>
                <w:lang w:eastAsia="zh-CN"/>
              </w:rPr>
              <w:t>霍尔果斯市技工学校</w:t>
            </w:r>
          </w:p>
          <w:p>
            <w:pPr>
              <w:pStyle w:val="15"/>
              <w:rPr>
                <w:rFonts w:hint="eastAsia" w:ascii="黑体" w:hAnsi="黑体" w:eastAsia="黑体" w:cs="黑体"/>
                <w:lang w:val="en-US" w:eastAsia="zh-CN"/>
              </w:rPr>
            </w:pPr>
            <w:r>
              <w:rPr>
                <w:rFonts w:hint="eastAsia" w:ascii="黑体" w:hAnsi="黑体" w:eastAsia="黑体" w:cs="黑体"/>
                <w:kern w:val="0"/>
                <w:szCs w:val="21"/>
              </w:rPr>
              <w:t>联系人：</w:t>
            </w:r>
            <w:r>
              <w:rPr>
                <w:rFonts w:hint="eastAsia" w:ascii="黑体" w:hAnsi="黑体" w:eastAsia="黑体" w:cs="黑体"/>
                <w:lang w:val="en-US" w:eastAsia="zh-CN"/>
              </w:rPr>
              <w:t>陈龙</w:t>
            </w:r>
          </w:p>
          <w:p>
            <w:pPr>
              <w:adjustRightInd w:val="0"/>
              <w:snapToGrid w:val="0"/>
              <w:spacing w:line="300" w:lineRule="exact"/>
              <w:jc w:val="left"/>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kern w:val="0"/>
                <w:szCs w:val="21"/>
              </w:rPr>
              <w:t>联系电话：</w:t>
            </w:r>
            <w:r>
              <w:rPr>
                <w:rFonts w:hint="eastAsia" w:ascii="黑体" w:hAnsi="黑体" w:eastAsia="黑体" w:cs="黑体"/>
                <w:lang w:val="en-US" w:eastAsia="zh-CN"/>
              </w:rPr>
              <w:t>16622972448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13"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第二章第2.2款</w:t>
            </w:r>
          </w:p>
        </w:tc>
        <w:tc>
          <w:tcPr>
            <w:tcW w:w="1633" w:type="dxa"/>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采购代理机构</w:t>
            </w:r>
          </w:p>
        </w:tc>
        <w:tc>
          <w:tcPr>
            <w:tcW w:w="4945" w:type="dxa"/>
            <w:vAlign w:val="center"/>
          </w:tcPr>
          <w:p>
            <w:pPr>
              <w:adjustRightInd w:val="0"/>
              <w:snapToGrid w:val="0"/>
              <w:spacing w:line="300" w:lineRule="exact"/>
              <w:jc w:val="left"/>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名  称：霍尔果斯经济开发区政府采购中心</w:t>
            </w:r>
          </w:p>
          <w:p>
            <w:pPr>
              <w:adjustRightInd w:val="0"/>
              <w:snapToGrid w:val="0"/>
              <w:spacing w:line="300" w:lineRule="exact"/>
              <w:jc w:val="left"/>
              <w:rPr>
                <w:rFonts w:hint="eastAsia" w:ascii="黑体" w:hAnsi="黑体" w:eastAsia="黑体" w:cs="黑体"/>
                <w:lang w:eastAsia="zh-CN"/>
              </w:rPr>
            </w:pPr>
            <w:r>
              <w:rPr>
                <w:rFonts w:hint="eastAsia" w:ascii="黑体" w:hAnsi="黑体" w:eastAsia="黑体" w:cs="黑体"/>
                <w:color w:val="000000" w:themeColor="text1"/>
                <w14:textFill>
                  <w14:solidFill>
                    <w14:schemeClr w14:val="tx1"/>
                  </w14:solidFill>
                </w14:textFill>
              </w:rPr>
              <w:t>地  址：霍尔果斯市政务服务中心225办公室     联系人：</w:t>
            </w:r>
            <w:r>
              <w:rPr>
                <w:rFonts w:hint="eastAsia" w:ascii="黑体" w:hAnsi="黑体" w:eastAsia="黑体" w:cs="黑体"/>
                <w:color w:val="000000" w:themeColor="text1"/>
                <w:lang w:val="en-US" w:eastAsia="zh-CN"/>
                <w14:textFill>
                  <w14:solidFill>
                    <w14:schemeClr w14:val="tx1"/>
                  </w14:solidFill>
                </w14:textFill>
              </w:rPr>
              <w:t>祖力</w:t>
            </w:r>
          </w:p>
          <w:p>
            <w:pPr>
              <w:adjustRightInd w:val="0"/>
              <w:snapToGrid w:val="0"/>
              <w:spacing w:line="300" w:lineRule="exact"/>
              <w:jc w:val="left"/>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联系电话：0999-8797331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80"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第二章第3.1款</w:t>
            </w:r>
          </w:p>
        </w:tc>
        <w:tc>
          <w:tcPr>
            <w:tcW w:w="1633"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投标人资格条件</w:t>
            </w:r>
          </w:p>
          <w:p>
            <w:pPr>
              <w:jc w:val="center"/>
              <w:rPr>
                <w:color w:val="000000" w:themeColor="text1"/>
                <w14:textFill>
                  <w14:solidFill>
                    <w14:schemeClr w14:val="tx1"/>
                  </w14:solidFill>
                </w14:textFill>
              </w:rPr>
            </w:pPr>
            <w:r>
              <w:rPr>
                <w:rFonts w:hint="eastAsia"/>
                <w:b/>
                <w:bCs/>
                <w:color w:val="000000" w:themeColor="text1"/>
                <w14:textFill>
                  <w14:solidFill>
                    <w14:schemeClr w14:val="tx1"/>
                  </w14:solidFill>
                </w14:textFill>
              </w:rPr>
              <w:t>（要求请查看本文件后附《投标人的资格证明材料说明》）</w:t>
            </w:r>
          </w:p>
        </w:tc>
        <w:tc>
          <w:tcPr>
            <w:tcW w:w="4945" w:type="dxa"/>
            <w:vAlign w:val="center"/>
          </w:tcPr>
          <w:p>
            <w:pPr>
              <w:adjustRightInd w:val="0"/>
              <w:snapToGrid w:val="0"/>
              <w:spacing w:line="360" w:lineRule="exact"/>
              <w:jc w:val="left"/>
            </w:pPr>
            <w:r>
              <w:rPr>
                <w:rFonts w:hint="eastAsia"/>
              </w:rPr>
              <w:t>1、符合政府采购法二十二条规定：</w:t>
            </w:r>
          </w:p>
          <w:p>
            <w:pPr>
              <w:adjustRightInd w:val="0"/>
              <w:snapToGrid w:val="0"/>
              <w:spacing w:line="360" w:lineRule="exact"/>
              <w:jc w:val="left"/>
            </w:pPr>
            <w:r>
              <w:rPr>
                <w:rFonts w:hint="eastAsia"/>
              </w:rPr>
              <w:t>（一）具有独立承担民事责任的能力；</w:t>
            </w:r>
          </w:p>
          <w:p>
            <w:pPr>
              <w:adjustRightInd w:val="0"/>
              <w:snapToGrid w:val="0"/>
              <w:spacing w:line="360" w:lineRule="exact"/>
              <w:jc w:val="left"/>
            </w:pPr>
            <w:r>
              <w:rPr>
                <w:rFonts w:hint="eastAsia"/>
              </w:rPr>
              <w:t>（二）具有良好的商业信誉和健全的财务会计制度；</w:t>
            </w:r>
          </w:p>
          <w:p>
            <w:pPr>
              <w:adjustRightInd w:val="0"/>
              <w:snapToGrid w:val="0"/>
              <w:spacing w:line="360" w:lineRule="exact"/>
              <w:jc w:val="left"/>
            </w:pPr>
            <w:r>
              <w:rPr>
                <w:rFonts w:hint="eastAsia"/>
              </w:rPr>
              <w:t>（三）具有履行合同所必需的设备和专业技术能力；</w:t>
            </w:r>
          </w:p>
          <w:p>
            <w:pPr>
              <w:adjustRightInd w:val="0"/>
              <w:snapToGrid w:val="0"/>
              <w:spacing w:line="360" w:lineRule="exact"/>
              <w:jc w:val="left"/>
            </w:pPr>
            <w:r>
              <w:rPr>
                <w:rFonts w:hint="eastAsia"/>
              </w:rPr>
              <w:t>（四）有依法缴纳税收和社会保障资金的良好记录；</w:t>
            </w:r>
          </w:p>
          <w:p>
            <w:pPr>
              <w:adjustRightInd w:val="0"/>
              <w:snapToGrid w:val="0"/>
              <w:spacing w:line="360" w:lineRule="exact"/>
              <w:jc w:val="left"/>
            </w:pPr>
            <w:r>
              <w:rPr>
                <w:rFonts w:hint="eastAsia"/>
              </w:rPr>
              <w:t>（五）参加政府采购活动前三年内，在经营活动中没有重大违法记录；</w:t>
            </w:r>
          </w:p>
          <w:p>
            <w:pPr>
              <w:adjustRightInd w:val="0"/>
              <w:snapToGrid w:val="0"/>
              <w:spacing w:line="360" w:lineRule="exact"/>
              <w:jc w:val="left"/>
            </w:pPr>
            <w:r>
              <w:rPr>
                <w:rFonts w:hint="eastAsia"/>
              </w:rPr>
              <w:t>（六）法律、行政法规规定的其他条件。</w:t>
            </w:r>
          </w:p>
          <w:p>
            <w:pPr>
              <w:adjustRightInd w:val="0"/>
              <w:snapToGrid w:val="0"/>
              <w:spacing w:line="360" w:lineRule="exact"/>
              <w:jc w:val="left"/>
              <w:rPr>
                <w:rFonts w:eastAsia="黑体"/>
              </w:rPr>
            </w:pPr>
            <w:r>
              <w:rPr>
                <w:rFonts w:hint="eastAsia"/>
              </w:rPr>
              <w:t>2、提供“信用中国”及“中国政府采购网”查询截图，未被“信用中国”（www.creditchina.gov.cn）、中国政府采购网（www.ccgp.gov.cn）列入失信被执行人、重大税收违法案件当事人名单、政府采购严重违法失信行为记录名单。</w:t>
            </w:r>
            <w:r>
              <w:rPr>
                <w:rFonts w:hint="eastAsia" w:ascii="宋体" w:hAnsi="宋体" w:cs="Arial"/>
                <w:b/>
                <w:bCs/>
                <w:color w:val="auto"/>
                <w:kern w:val="0"/>
                <w:szCs w:val="21"/>
                <w:highlight w:val="none"/>
                <w:lang w:val="en-US" w:eastAsia="zh-CN"/>
              </w:rPr>
              <w:t>（网页打印件须自招标文件发布之日起至投标截止时间从上述网站中打印）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2267" w:type="dxa"/>
            <w:vAlign w:val="center"/>
          </w:tcPr>
          <w:p>
            <w:pPr>
              <w:adjustRightInd w:val="0"/>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第二章第6.1款</w:t>
            </w:r>
          </w:p>
        </w:tc>
        <w:tc>
          <w:tcPr>
            <w:tcW w:w="1633" w:type="dxa"/>
            <w:vAlign w:val="center"/>
          </w:tcPr>
          <w:p>
            <w:pPr>
              <w:adjustRightInd w:val="0"/>
              <w:snapToGrid w:val="0"/>
              <w:spacing w:line="3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联合体形式</w:t>
            </w:r>
          </w:p>
        </w:tc>
        <w:tc>
          <w:tcPr>
            <w:tcW w:w="4945" w:type="dxa"/>
            <w:vAlign w:val="center"/>
          </w:tcPr>
          <w:p>
            <w:pPr>
              <w:adjustRightInd w:val="0"/>
              <w:snapToGrid w:val="0"/>
              <w:spacing w:line="3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不接受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2267" w:type="dxa"/>
            <w:vAlign w:val="center"/>
          </w:tcPr>
          <w:p>
            <w:pPr>
              <w:adjustRightInd w:val="0"/>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第二章第7.1款</w:t>
            </w:r>
          </w:p>
        </w:tc>
        <w:tc>
          <w:tcPr>
            <w:tcW w:w="1633" w:type="dxa"/>
            <w:vAlign w:val="center"/>
          </w:tcPr>
          <w:p>
            <w:pPr>
              <w:adjustRightInd w:val="0"/>
              <w:snapToGrid w:val="0"/>
              <w:spacing w:line="3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现场勘察</w:t>
            </w:r>
          </w:p>
        </w:tc>
        <w:tc>
          <w:tcPr>
            <w:tcW w:w="4945" w:type="dxa"/>
            <w:vAlign w:val="center"/>
          </w:tcPr>
          <w:p>
            <w:pPr>
              <w:adjustRightInd w:val="0"/>
              <w:snapToGrid w:val="0"/>
              <w:spacing w:line="340" w:lineRule="exact"/>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无需提供现场勘察证明</w:t>
            </w:r>
            <w:r>
              <w:rPr>
                <w:rFonts w:hint="eastAsia"/>
                <w:b/>
                <w:bCs/>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33" w:hRule="atLeast"/>
          <w:jc w:val="center"/>
        </w:trPr>
        <w:tc>
          <w:tcPr>
            <w:tcW w:w="2267" w:type="dxa"/>
            <w:vMerge w:val="restart"/>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第二章第9.1款</w:t>
            </w:r>
          </w:p>
        </w:tc>
        <w:tc>
          <w:tcPr>
            <w:tcW w:w="1633" w:type="dxa"/>
            <w:vAlign w:val="center"/>
          </w:tcPr>
          <w:p>
            <w:pPr>
              <w:spacing w:line="300" w:lineRule="exact"/>
              <w:rPr>
                <w:rFonts w:ascii="宋体" w:hAnsi="宋体" w:cs="宋体"/>
                <w:bCs/>
                <w:color w:val="000000" w:themeColor="text1"/>
                <w:kern w:val="0"/>
                <w:szCs w:val="21"/>
                <w14:textFill>
                  <w14:solidFill>
                    <w14:schemeClr w14:val="tx1"/>
                  </w14:solidFill>
                </w14:textFill>
              </w:rPr>
            </w:pPr>
            <w:r>
              <w:rPr>
                <w:rFonts w:ascii="宋体" w:hAnsi="宋体"/>
                <w:szCs w:val="21"/>
              </w:rPr>
              <w:t>政府采购优先采购节能产品</w:t>
            </w:r>
            <w:r>
              <w:rPr>
                <w:rFonts w:hint="eastAsia" w:ascii="宋体" w:hAnsi="宋体"/>
                <w:szCs w:val="21"/>
              </w:rPr>
              <w:t>、</w:t>
            </w:r>
            <w:r>
              <w:rPr>
                <w:rFonts w:ascii="宋体" w:hAnsi="宋体"/>
                <w:szCs w:val="21"/>
              </w:rPr>
              <w:t xml:space="preserve">环境标志产品 </w:t>
            </w:r>
          </w:p>
        </w:tc>
        <w:tc>
          <w:tcPr>
            <w:tcW w:w="4945" w:type="dxa"/>
            <w:vAlign w:val="center"/>
          </w:tcPr>
          <w:p>
            <w:pPr>
              <w:pStyle w:val="41"/>
              <w:spacing w:before="0" w:beforeAutospacing="0" w:after="0" w:afterAutospacing="0" w:line="12" w:lineRule="atLeast"/>
              <w:ind w:firstLine="420" w:firstLineChars="200"/>
              <w:jc w:val="both"/>
              <w:textAlignment w:val="center"/>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不再发布“节能产品政府采购清单”和“环境标志产品政府采购清单”。</w:t>
            </w:r>
          </w:p>
          <w:p>
            <w:pPr>
              <w:pStyle w:val="41"/>
              <w:spacing w:before="0" w:beforeAutospacing="0" w:after="0" w:afterAutospacing="0" w:line="12" w:lineRule="atLeast"/>
              <w:ind w:firstLine="420"/>
              <w:jc w:val="both"/>
              <w:textAlignment w:val="center"/>
              <w:rPr>
                <w:color w:val="000000" w:themeColor="text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01" w:hRule="atLeast"/>
          <w:jc w:val="center"/>
        </w:trPr>
        <w:tc>
          <w:tcPr>
            <w:tcW w:w="2267"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633" w:type="dxa"/>
            <w:vAlign w:val="center"/>
          </w:tcPr>
          <w:p>
            <w:pPr>
              <w:spacing w:line="300" w:lineRule="exact"/>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支持</w:t>
            </w:r>
            <w:r>
              <w:rPr>
                <w:rFonts w:hint="eastAsia" w:ascii="宋体" w:hAnsi="宋体"/>
                <w:color w:val="000000" w:themeColor="text1"/>
                <w:szCs w:val="21"/>
                <w14:textFill>
                  <w14:solidFill>
                    <w14:schemeClr w14:val="tx1"/>
                  </w14:solidFill>
                </w14:textFill>
              </w:rPr>
              <w:t>中小企业发展</w:t>
            </w:r>
          </w:p>
        </w:tc>
        <w:tc>
          <w:tcPr>
            <w:tcW w:w="4945" w:type="dxa"/>
            <w:vAlign w:val="center"/>
          </w:tcPr>
          <w:p>
            <w:pPr>
              <w:spacing w:line="300" w:lineRule="exac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本项目</w:t>
            </w:r>
            <w:r>
              <w:rPr>
                <w:rFonts w:hint="eastAsia" w:ascii="宋体" w:hAnsi="宋体"/>
                <w:b/>
                <w:bCs/>
                <w:color w:val="000000" w:themeColor="text1"/>
                <w:szCs w:val="21"/>
                <w:lang w:eastAsia="zh-CN"/>
                <w14:textFill>
                  <w14:solidFill>
                    <w14:schemeClr w14:val="tx1"/>
                  </w14:solidFill>
                </w14:textFill>
              </w:rPr>
              <w:t>（标段三）</w:t>
            </w:r>
            <w:r>
              <w:rPr>
                <w:rFonts w:hint="eastAsia" w:ascii="宋体" w:hAnsi="宋体"/>
                <w:b/>
                <w:bCs/>
                <w:color w:val="000000" w:themeColor="text1"/>
                <w:szCs w:val="21"/>
                <w14:textFill>
                  <w14:solidFill>
                    <w14:schemeClr w14:val="tx1"/>
                  </w14:solidFill>
                </w14:textFill>
              </w:rPr>
              <w:t>不专门面向中小企业预留份额。</w:t>
            </w:r>
          </w:p>
          <w:p>
            <w:pPr>
              <w:spacing w:line="300" w:lineRule="exact"/>
              <w:rPr>
                <w:rFonts w:ascii="宋体" w:hAnsi="宋体"/>
                <w:color w:val="000000" w:themeColor="text1"/>
                <w:szCs w:val="21"/>
                <w14:textFill>
                  <w14:solidFill>
                    <w14:schemeClr w14:val="tx1"/>
                  </w14:solidFill>
                </w14:textFill>
              </w:rPr>
            </w:pPr>
            <w:r>
              <w:rPr>
                <w:rFonts w:hint="eastAsia"/>
              </w:rPr>
              <w:t>按照《政府采购促进中小企业发展管理办法》、《关于进一步加大政府采购支持中小企业力度的通知》要求给予小型和微型企业产品的价格给予10%的扣除，用扣除后的价格参与评审</w:t>
            </w:r>
            <w:r>
              <w:rPr>
                <w:rFonts w:hint="eastAsia"/>
                <w:lang w:eastAsia="zh-CN"/>
              </w:rPr>
              <w:t>，</w:t>
            </w:r>
            <w:r>
              <w:rPr>
                <w:rFonts w:hint="eastAsia" w:ascii="宋体" w:hAnsi="宋体" w:eastAsia="宋体" w:cs="Times New Roman"/>
                <w:b w:val="0"/>
                <w:bCs w:val="0"/>
                <w:color w:val="auto"/>
                <w:kern w:val="2"/>
                <w:sz w:val="21"/>
                <w:szCs w:val="21"/>
                <w:highlight w:val="none"/>
                <w:lang w:val="en-US" w:eastAsia="zh-CN" w:bidi="ar-SA"/>
              </w:rPr>
              <w:t>需提交</w:t>
            </w:r>
            <w:r>
              <w:rPr>
                <w:rFonts w:hint="eastAsia" w:ascii="宋体" w:hAnsi="宋体" w:cs="Times New Roman"/>
                <w:b w:val="0"/>
                <w:bCs w:val="0"/>
                <w:color w:val="auto"/>
                <w:kern w:val="2"/>
                <w:sz w:val="21"/>
                <w:szCs w:val="21"/>
                <w:highlight w:val="none"/>
                <w:lang w:val="en-US" w:eastAsia="zh-CN" w:bidi="ar-SA"/>
              </w:rPr>
              <w:t>《</w:t>
            </w:r>
            <w:r>
              <w:rPr>
                <w:rFonts w:hint="eastAsia" w:ascii="宋体" w:hAnsi="宋体" w:eastAsia="宋体" w:cs="Times New Roman"/>
                <w:b w:val="0"/>
                <w:bCs w:val="0"/>
                <w:color w:val="auto"/>
                <w:kern w:val="2"/>
                <w:sz w:val="21"/>
                <w:szCs w:val="21"/>
                <w:highlight w:val="none"/>
                <w:lang w:val="en-US" w:eastAsia="zh-CN" w:bidi="ar-SA"/>
              </w:rPr>
              <w:t>中小企业声明函</w:t>
            </w:r>
            <w:r>
              <w:rPr>
                <w:rFonts w:hint="eastAsia" w:ascii="宋体" w:hAnsi="宋体" w:cs="Times New Roman"/>
                <w:b w:val="0"/>
                <w:bCs w:val="0"/>
                <w:color w:val="auto"/>
                <w:kern w:val="2"/>
                <w:sz w:val="21"/>
                <w:szCs w:val="21"/>
                <w:highlight w:val="none"/>
                <w:lang w:val="en-US" w:eastAsia="zh-CN" w:bidi="ar-SA"/>
              </w:rPr>
              <w:t>》</w:t>
            </w:r>
            <w:r>
              <w:rPr>
                <w:rFonts w:hint="eastAsia" w:ascii="宋体" w:hAnsi="宋体" w:eastAsia="宋体" w:cs="Times New Roman"/>
                <w:b w:val="0"/>
                <w:bCs w:val="0"/>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2267" w:type="dxa"/>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第二章第10.1款</w:t>
            </w:r>
          </w:p>
        </w:tc>
        <w:tc>
          <w:tcPr>
            <w:tcW w:w="1633" w:type="dxa"/>
            <w:vAlign w:val="center"/>
          </w:tcPr>
          <w:p>
            <w:pPr>
              <w:spacing w:line="300" w:lineRule="exact"/>
              <w:rPr>
                <w:rFonts w:ascii="宋体" w:hAnsi="宋体"/>
                <w:szCs w:val="21"/>
              </w:rPr>
            </w:pPr>
            <w:r>
              <w:rPr>
                <w:rFonts w:hint="eastAsia" w:ascii="宋体" w:hAnsi="宋体"/>
                <w:szCs w:val="21"/>
              </w:rPr>
              <w:t>质保期</w:t>
            </w:r>
          </w:p>
        </w:tc>
        <w:tc>
          <w:tcPr>
            <w:tcW w:w="4945" w:type="dxa"/>
            <w:vAlign w:val="center"/>
          </w:tcPr>
          <w:p>
            <w:pPr>
              <w:rPr>
                <w:rFonts w:ascii="宋体" w:hAnsi="宋体"/>
                <w:szCs w:val="21"/>
              </w:rPr>
            </w:pPr>
            <w:r>
              <w:rPr>
                <w:rFonts w:hint="eastAsia"/>
                <w:color w:val="FF0000"/>
              </w:rPr>
              <w:t>★</w:t>
            </w:r>
            <w:r>
              <w:rPr>
                <w:rFonts w:hint="eastAsia" w:ascii="宋体" w:hAnsi="宋体"/>
                <w:bCs/>
                <w:color w:val="FF0000"/>
                <w:szCs w:val="21"/>
                <w:lang w:eastAsia="zh-CN"/>
              </w:rPr>
              <w:t>质保期</w:t>
            </w:r>
            <w:r>
              <w:rPr>
                <w:rFonts w:hint="eastAsia" w:ascii="宋体" w:hAnsi="宋体"/>
                <w:bCs/>
                <w:color w:val="FF0000"/>
                <w:szCs w:val="21"/>
                <w:lang w:val="en-US" w:eastAsia="zh-CN"/>
              </w:rPr>
              <w:t>2</w:t>
            </w:r>
            <w:r>
              <w:rPr>
                <w:rFonts w:hint="eastAsia" w:ascii="宋体" w:hAnsi="宋体"/>
                <w:bCs/>
                <w:color w:val="FF0000"/>
                <w:szCs w:val="21"/>
                <w:lang w:eastAsia="zh-CN"/>
              </w:rPr>
              <w:t>年，质保期起计日为合同标的经验收合格交付之日起计</w:t>
            </w:r>
            <w:r>
              <w:rPr>
                <w:rFonts w:hint="eastAsia" w:ascii="宋体" w:hAnsi="宋体"/>
                <w:bCs/>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8845" w:type="dxa"/>
            <w:gridSpan w:val="3"/>
            <w:vAlign w:val="center"/>
          </w:tcPr>
          <w:p>
            <w:pPr>
              <w:adjustRightInd w:val="0"/>
              <w:snapToGrid w:val="0"/>
              <w:spacing w:line="400" w:lineRule="exac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二、招标文件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2267" w:type="dxa"/>
            <w:vMerge w:val="restart"/>
            <w:vAlign w:val="center"/>
          </w:tcPr>
          <w:p>
            <w:pPr>
              <w:adjustRightInd w:val="0"/>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第二章第11.1款</w:t>
            </w:r>
          </w:p>
        </w:tc>
        <w:tc>
          <w:tcPr>
            <w:tcW w:w="1633" w:type="dxa"/>
            <w:tcBorders>
              <w:bottom w:val="single" w:color="auto" w:sz="4" w:space="0"/>
            </w:tcBorders>
            <w:vAlign w:val="center"/>
          </w:tcPr>
          <w:p>
            <w:pPr>
              <w:adjustRightInd w:val="0"/>
              <w:snapToGrid w:val="0"/>
              <w:spacing w:line="340" w:lineRule="exact"/>
              <w:rPr>
                <w:rFonts w:ascii="宋体" w:hAnsi="宋体"/>
                <w:color w:val="000000" w:themeColor="text1"/>
                <w:szCs w:val="21"/>
                <w:highlight w:val="red"/>
                <w14:textFill>
                  <w14:solidFill>
                    <w14:schemeClr w14:val="tx1"/>
                  </w14:solidFill>
                </w14:textFill>
              </w:rPr>
            </w:pPr>
            <w:r>
              <w:rPr>
                <w:rFonts w:hint="eastAsia" w:ascii="宋体" w:hAnsi="宋体"/>
                <w:color w:val="000000" w:themeColor="text1"/>
                <w:szCs w:val="21"/>
                <w14:textFill>
                  <w14:solidFill>
                    <w14:schemeClr w14:val="tx1"/>
                  </w14:solidFill>
                </w14:textFill>
              </w:rPr>
              <w:t>提交电子投标文件的截止时间</w:t>
            </w:r>
          </w:p>
        </w:tc>
        <w:tc>
          <w:tcPr>
            <w:tcW w:w="4945" w:type="dxa"/>
            <w:tcBorders>
              <w:bottom w:val="single" w:color="auto" w:sz="4" w:space="0"/>
            </w:tcBorders>
            <w:vAlign w:val="center"/>
          </w:tcPr>
          <w:p>
            <w:pPr>
              <w:adjustRightInd w:val="0"/>
              <w:snapToGrid w:val="0"/>
              <w:spacing w:line="340" w:lineRule="exact"/>
              <w:jc w:val="left"/>
              <w:rPr>
                <w:rFonts w:ascii="宋体" w:hAnsi="宋体"/>
                <w:bCs/>
                <w:szCs w:val="21"/>
              </w:rPr>
            </w:pPr>
            <w:r>
              <w:rPr>
                <w:rFonts w:hint="eastAsia" w:ascii="宋体" w:hAnsi="宋体"/>
                <w:b/>
                <w:szCs w:val="21"/>
                <w:highlight w:val="none"/>
                <w:u w:val="single"/>
                <w:lang w:eastAsia="zh-CN"/>
              </w:rPr>
              <w:t>2023年</w:t>
            </w:r>
            <w:r>
              <w:rPr>
                <w:rFonts w:hint="eastAsia" w:ascii="宋体" w:hAnsi="宋体"/>
                <w:b/>
                <w:szCs w:val="21"/>
                <w:highlight w:val="none"/>
                <w:u w:val="single"/>
                <w:lang w:val="en-US" w:eastAsia="zh-CN"/>
              </w:rPr>
              <w:t>9</w:t>
            </w:r>
            <w:r>
              <w:rPr>
                <w:rFonts w:hint="eastAsia" w:ascii="宋体" w:hAnsi="宋体"/>
                <w:b/>
                <w:szCs w:val="21"/>
                <w:highlight w:val="none"/>
                <w:u w:val="single"/>
                <w:lang w:eastAsia="zh-CN"/>
              </w:rPr>
              <w:t>月</w:t>
            </w:r>
            <w:r>
              <w:rPr>
                <w:rFonts w:hint="eastAsia" w:ascii="宋体" w:hAnsi="宋体"/>
                <w:b/>
                <w:szCs w:val="21"/>
                <w:highlight w:val="none"/>
                <w:u w:val="single"/>
                <w:lang w:val="en-US" w:eastAsia="zh-CN"/>
              </w:rPr>
              <w:t>1</w:t>
            </w:r>
            <w:r>
              <w:rPr>
                <w:rFonts w:hint="eastAsia" w:ascii="宋体" w:hAnsi="宋体"/>
                <w:b/>
                <w:szCs w:val="21"/>
                <w:highlight w:val="none"/>
                <w:u w:val="single"/>
                <w:lang w:eastAsia="zh-CN"/>
              </w:rPr>
              <w:t>日</w:t>
            </w:r>
            <w:r>
              <w:rPr>
                <w:rFonts w:hint="eastAsia" w:ascii="宋体" w:hAnsi="宋体"/>
                <w:b/>
                <w:szCs w:val="21"/>
                <w:highlight w:val="none"/>
                <w:u w:val="single"/>
              </w:rPr>
              <w:t>1</w:t>
            </w:r>
            <w:r>
              <w:rPr>
                <w:rFonts w:hint="eastAsia" w:ascii="宋体" w:hAnsi="宋体"/>
                <w:b/>
                <w:szCs w:val="21"/>
                <w:highlight w:val="none"/>
                <w:u w:val="single"/>
                <w:lang w:val="en-US" w:eastAsia="zh-CN"/>
              </w:rPr>
              <w:t>6</w:t>
            </w:r>
            <w:r>
              <w:rPr>
                <w:rFonts w:hint="eastAsia" w:ascii="宋体" w:hAnsi="宋体"/>
                <w:b/>
                <w:szCs w:val="21"/>
                <w:highlight w:val="none"/>
                <w:u w:val="single"/>
              </w:rPr>
              <w:t>：30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57" w:hRule="atLeast"/>
          <w:jc w:val="center"/>
        </w:trPr>
        <w:tc>
          <w:tcPr>
            <w:tcW w:w="2267" w:type="dxa"/>
            <w:vMerge w:val="continue"/>
            <w:tcBorders>
              <w:right w:val="single" w:color="auto" w:sz="4" w:space="0"/>
            </w:tcBorders>
            <w:vAlign w:val="center"/>
          </w:tcPr>
          <w:p>
            <w:pPr>
              <w:adjustRightInd w:val="0"/>
              <w:snapToGrid w:val="0"/>
              <w:spacing w:line="340" w:lineRule="exact"/>
              <w:jc w:val="center"/>
              <w:rPr>
                <w:rFonts w:ascii="宋体" w:hAnsi="宋体"/>
                <w:color w:val="000000" w:themeColor="text1"/>
                <w:szCs w:val="21"/>
                <w14:textFill>
                  <w14:solidFill>
                    <w14:schemeClr w14:val="tx1"/>
                  </w14:solidFill>
                </w14:textFill>
              </w:rPr>
            </w:pPr>
          </w:p>
        </w:tc>
        <w:tc>
          <w:tcPr>
            <w:tcW w:w="16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电子投标文件解密时间</w:t>
            </w:r>
          </w:p>
        </w:tc>
        <w:tc>
          <w:tcPr>
            <w:tcW w:w="4945" w:type="dxa"/>
            <w:tcBorders>
              <w:top w:val="single" w:color="auto" w:sz="4" w:space="0"/>
              <w:left w:val="single" w:color="auto" w:sz="4" w:space="0"/>
              <w:bottom w:val="single" w:color="auto" w:sz="4" w:space="0"/>
            </w:tcBorders>
            <w:vAlign w:val="center"/>
          </w:tcPr>
          <w:p>
            <w:pPr>
              <w:pStyle w:val="25"/>
              <w:rPr>
                <w:rFonts w:ascii="宋体" w:hAnsi="宋体"/>
                <w:bCs/>
                <w:szCs w:val="21"/>
              </w:rPr>
            </w:pPr>
            <w:r>
              <w:rPr>
                <w:rFonts w:hint="eastAsia" w:ascii="宋体" w:hAnsi="宋体"/>
                <w:bCs/>
                <w:sz w:val="21"/>
                <w:szCs w:val="21"/>
              </w:rPr>
              <w:t>开标时间后30分钟内（</w:t>
            </w:r>
            <w:r>
              <w:rPr>
                <w:rFonts w:hint="eastAsia" w:ascii="宋体" w:hAnsi="宋体"/>
                <w:b/>
                <w:sz w:val="21"/>
                <w:szCs w:val="21"/>
                <w:lang w:eastAsia="zh-CN"/>
              </w:rPr>
              <w:t>2023年</w:t>
            </w:r>
            <w:r>
              <w:rPr>
                <w:rFonts w:hint="eastAsia" w:ascii="宋体" w:hAnsi="宋体"/>
                <w:b/>
                <w:sz w:val="21"/>
                <w:szCs w:val="21"/>
                <w:lang w:val="en-US" w:eastAsia="zh-CN"/>
              </w:rPr>
              <w:t>9</w:t>
            </w:r>
            <w:r>
              <w:rPr>
                <w:rFonts w:hint="eastAsia" w:ascii="宋体" w:hAnsi="宋体"/>
                <w:b/>
                <w:sz w:val="21"/>
                <w:szCs w:val="21"/>
                <w:lang w:eastAsia="zh-CN"/>
              </w:rPr>
              <w:t>月</w:t>
            </w:r>
            <w:r>
              <w:rPr>
                <w:rFonts w:hint="eastAsia" w:ascii="宋体" w:hAnsi="宋体"/>
                <w:b/>
                <w:sz w:val="21"/>
                <w:szCs w:val="21"/>
                <w:lang w:val="en-US" w:eastAsia="zh-CN"/>
              </w:rPr>
              <w:t>1</w:t>
            </w:r>
            <w:r>
              <w:rPr>
                <w:rFonts w:hint="eastAsia" w:ascii="宋体" w:hAnsi="宋体"/>
                <w:b/>
                <w:sz w:val="21"/>
                <w:szCs w:val="21"/>
                <w:lang w:eastAsia="zh-CN"/>
              </w:rPr>
              <w:t>日</w:t>
            </w:r>
            <w:r>
              <w:rPr>
                <w:rFonts w:hint="eastAsia" w:ascii="宋体" w:hAnsi="宋体"/>
                <w:b/>
                <w:sz w:val="21"/>
                <w:szCs w:val="21"/>
              </w:rPr>
              <w:t>1</w:t>
            </w:r>
            <w:r>
              <w:rPr>
                <w:rFonts w:hint="eastAsia" w:ascii="宋体" w:hAnsi="宋体"/>
                <w:b/>
                <w:sz w:val="21"/>
                <w:szCs w:val="21"/>
                <w:lang w:val="en-US" w:eastAsia="zh-CN"/>
              </w:rPr>
              <w:t>6</w:t>
            </w:r>
            <w:r>
              <w:rPr>
                <w:rFonts w:hint="eastAsia" w:ascii="宋体" w:hAnsi="宋体"/>
                <w:b/>
                <w:sz w:val="21"/>
                <w:szCs w:val="21"/>
              </w:rPr>
              <w:t>:30-1</w:t>
            </w:r>
            <w:r>
              <w:rPr>
                <w:rFonts w:hint="eastAsia" w:ascii="宋体" w:hAnsi="宋体"/>
                <w:b/>
                <w:sz w:val="21"/>
                <w:szCs w:val="21"/>
                <w:lang w:val="en-US" w:eastAsia="zh-CN"/>
              </w:rPr>
              <w:t>7</w:t>
            </w:r>
            <w:r>
              <w:rPr>
                <w:rFonts w:hint="eastAsia" w:ascii="宋体" w:hAnsi="宋体"/>
                <w:b/>
                <w:sz w:val="21"/>
                <w:szCs w:val="21"/>
              </w:rPr>
              <w:t>：00前</w:t>
            </w:r>
            <w:r>
              <w:rPr>
                <w:rFonts w:hint="eastAsia" w:ascii="宋体" w:hAnsi="宋体"/>
                <w:bCs/>
                <w:sz w:val="21"/>
                <w:szCs w:val="21"/>
              </w:rPr>
              <w:t>）供应商登录“政采云”平台，用“项目采购-开标评标”功能进行解密投标文件。若供应商在规定时间内未按时解密的，视为无效投标。</w:t>
            </w:r>
            <w:r>
              <w:rPr>
                <w:rFonts w:hint="eastAsia" w:ascii="宋体" w:hAnsi="宋体"/>
                <w:bCs/>
                <w:sz w:val="21"/>
                <w:szCs w:val="21"/>
                <w:u w:val="single"/>
              </w:rPr>
              <w:t>（解密时间开始时政采云平台将以短信形式向供应商在政采云平台预留的手机号发送短信通知，请供应商及时关注。）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8845" w:type="dxa"/>
            <w:gridSpan w:val="3"/>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三、投标文件的编写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89" w:hRule="exac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第二章第15.4款</w:t>
            </w:r>
          </w:p>
        </w:tc>
        <w:tc>
          <w:tcPr>
            <w:tcW w:w="1633" w:type="dxa"/>
            <w:vAlign w:val="center"/>
          </w:tcPr>
          <w:p>
            <w:pPr>
              <w:adjustRightInd w:val="0"/>
              <w:snapToGrid w:val="0"/>
              <w:spacing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预算总资金</w:t>
            </w:r>
          </w:p>
        </w:tc>
        <w:tc>
          <w:tcPr>
            <w:tcW w:w="4945" w:type="dxa"/>
            <w:tcBorders>
              <w:bottom w:val="single" w:color="auto" w:sz="4" w:space="0"/>
            </w:tcBorders>
            <w:vAlign w:val="center"/>
          </w:tcPr>
          <w:p>
            <w:pPr>
              <w:pStyle w:val="24"/>
              <w:ind w:left="0"/>
              <w:rPr>
                <w:rFonts w:hint="default" w:eastAsia="宋体"/>
                <w:i w:val="0"/>
                <w:iCs w:val="0"/>
                <w:lang w:val="en-US" w:eastAsia="zh-CN"/>
              </w:rPr>
            </w:pPr>
            <w:r>
              <w:rPr>
                <w:rFonts w:hint="eastAsia" w:ascii="宋体" w:hAnsi="宋体"/>
                <w:b/>
                <w:bCs/>
                <w:i w:val="0"/>
                <w:iCs w:val="0"/>
                <w:color w:val="000000" w:themeColor="text1"/>
                <w:sz w:val="21"/>
                <w:szCs w:val="21"/>
                <w:lang w:val="en-US" w:eastAsia="zh-CN"/>
                <w14:textFill>
                  <w14:solidFill>
                    <w14:schemeClr w14:val="tx1"/>
                  </w14:solidFill>
                </w14:textFill>
              </w:rPr>
              <w:t>1157005</w:t>
            </w:r>
            <w:r>
              <w:rPr>
                <w:rFonts w:hint="eastAsia" w:ascii="宋体" w:hAnsi="宋体"/>
                <w:b/>
                <w:bCs/>
                <w:i w:val="0"/>
                <w:iCs w:val="0"/>
                <w:color w:val="000000" w:themeColor="text1"/>
                <w:sz w:val="21"/>
                <w:szCs w:val="21"/>
                <w14:textFill>
                  <w14:solidFill>
                    <w14:schemeClr w14:val="tx1"/>
                  </w14:solidFill>
                </w14:textFill>
              </w:rPr>
              <w:t>.00元</w:t>
            </w:r>
            <w:r>
              <w:rPr>
                <w:rFonts w:hint="eastAsia" w:ascii="宋体" w:hAnsi="宋体"/>
                <w:b/>
                <w:bCs/>
                <w:i w:val="0"/>
                <w:iCs w:val="0"/>
                <w:color w:val="000000" w:themeColor="text1"/>
                <w:sz w:val="21"/>
                <w:szCs w:val="21"/>
                <w:lang w:eastAsia="zh-CN"/>
                <w14:textFill>
                  <w14:solidFill>
                    <w14:schemeClr w14:val="tx1"/>
                  </w14:solidFill>
                </w14:textFill>
              </w:rPr>
              <w:t>（标段三）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22" w:hRule="atLeast"/>
          <w:jc w:val="center"/>
        </w:trPr>
        <w:tc>
          <w:tcPr>
            <w:tcW w:w="2267" w:type="dxa"/>
            <w:vAlign w:val="center"/>
          </w:tcPr>
          <w:p>
            <w:pPr>
              <w:adjustRightInd w:val="0"/>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第二章第16.3款</w:t>
            </w:r>
          </w:p>
        </w:tc>
        <w:tc>
          <w:tcPr>
            <w:tcW w:w="1633" w:type="dxa"/>
            <w:vAlign w:val="center"/>
          </w:tcPr>
          <w:p>
            <w:pPr>
              <w:adjustRightInd w:val="0"/>
              <w:snapToGrid w:val="0"/>
              <w:spacing w:line="3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业绩</w:t>
            </w:r>
          </w:p>
        </w:tc>
        <w:tc>
          <w:tcPr>
            <w:tcW w:w="4945" w:type="dxa"/>
            <w:tcBorders>
              <w:bottom w:val="single" w:color="auto" w:sz="4" w:space="0"/>
            </w:tcBorders>
            <w:vAlign w:val="center"/>
          </w:tcPr>
          <w:p>
            <w:pPr>
              <w:adjustRightInd w:val="0"/>
              <w:snapToGrid w:val="0"/>
              <w:spacing w:line="3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提供同类项目近三年的业绩（2020年1月1日至今），证明材料扫描件编制于投标文件内。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15"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第二章第17.1款</w:t>
            </w:r>
          </w:p>
        </w:tc>
        <w:tc>
          <w:tcPr>
            <w:tcW w:w="1633" w:type="dxa"/>
            <w:vAlign w:val="center"/>
          </w:tcPr>
          <w:p>
            <w:pPr>
              <w:adjustRightInd w:val="0"/>
              <w:snapToGrid w:val="0"/>
              <w:spacing w:line="400" w:lineRule="exact"/>
              <w:ind w:left="-533" w:leftChars="-254" w:firstLine="533" w:firstLineChars="25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投标保证金</w:t>
            </w:r>
          </w:p>
        </w:tc>
        <w:tc>
          <w:tcPr>
            <w:tcW w:w="4945" w:type="dxa"/>
            <w:vAlign w:val="center"/>
          </w:tcPr>
          <w:p>
            <w:pPr>
              <w:adjustRightInd w:val="0"/>
              <w:snapToGrid w:val="0"/>
              <w:spacing w:line="400" w:lineRule="exact"/>
              <w:jc w:val="left"/>
              <w:rPr>
                <w:rFonts w:hint="default"/>
                <w:lang w:val="en-US"/>
              </w:rPr>
            </w:pPr>
            <w:r>
              <w:rPr>
                <w:rFonts w:hint="eastAsia"/>
                <w:lang w:val="en-US" w:eastAsia="zh-CN"/>
              </w:rPr>
              <w:t>本项目不收取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8"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第二章第18.1款</w:t>
            </w:r>
          </w:p>
        </w:tc>
        <w:tc>
          <w:tcPr>
            <w:tcW w:w="1633" w:type="dxa"/>
            <w:vAlign w:val="center"/>
          </w:tcPr>
          <w:p>
            <w:pPr>
              <w:adjustRightInd w:val="0"/>
              <w:snapToGrid w:val="0"/>
              <w:spacing w:line="40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投标文件有效期</w:t>
            </w:r>
          </w:p>
        </w:tc>
        <w:tc>
          <w:tcPr>
            <w:tcW w:w="4945" w:type="dxa"/>
            <w:vAlign w:val="center"/>
          </w:tcPr>
          <w:p>
            <w:pPr>
              <w:adjustRightInd w:val="0"/>
              <w:snapToGrid w:val="0"/>
              <w:spacing w:line="400" w:lineRule="exact"/>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90日历日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43"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第二章第19.1款</w:t>
            </w:r>
          </w:p>
        </w:tc>
        <w:tc>
          <w:tcPr>
            <w:tcW w:w="1633" w:type="dxa"/>
            <w:vAlign w:val="center"/>
          </w:tcPr>
          <w:p>
            <w:pPr>
              <w:adjustRightInd w:val="0"/>
              <w:snapToGrid w:val="0"/>
              <w:spacing w:line="40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投标文件份数</w:t>
            </w:r>
          </w:p>
        </w:tc>
        <w:tc>
          <w:tcPr>
            <w:tcW w:w="4945" w:type="dxa"/>
            <w:vAlign w:val="center"/>
          </w:tcPr>
          <w:p>
            <w:pPr>
              <w:adjustRightInd w:val="0"/>
              <w:snapToGrid w:val="0"/>
              <w:spacing w:line="40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电子加密投标文件一份</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8845" w:type="dxa"/>
            <w:gridSpan w:val="3"/>
            <w:vAlign w:val="center"/>
          </w:tcPr>
          <w:p>
            <w:pPr>
              <w:adjustRightInd w:val="0"/>
              <w:snapToGrid w:val="0"/>
              <w:spacing w:line="400" w:lineRule="exact"/>
              <w:rPr>
                <w:rFonts w:ascii="宋体" w:hAnsi="宋体"/>
                <w:b/>
                <w:bCs/>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四、投标文件递交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17" w:hRule="atLeast"/>
          <w:jc w:val="center"/>
        </w:trPr>
        <w:tc>
          <w:tcPr>
            <w:tcW w:w="2267" w:type="dxa"/>
            <w:vAlign w:val="center"/>
          </w:tcPr>
          <w:p>
            <w:pPr>
              <w:adjustRightInd w:val="0"/>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第二章第22.1款</w:t>
            </w:r>
          </w:p>
        </w:tc>
        <w:tc>
          <w:tcPr>
            <w:tcW w:w="1633" w:type="dxa"/>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投标地点（网址）</w:t>
            </w:r>
          </w:p>
        </w:tc>
        <w:tc>
          <w:tcPr>
            <w:tcW w:w="4945" w:type="dxa"/>
            <w:vAlign w:val="center"/>
          </w:tcPr>
          <w:p>
            <w:pPr>
              <w:adjustRightInd w:val="0"/>
              <w:snapToGrid w:val="0"/>
              <w:spacing w:line="400" w:lineRule="exact"/>
              <w:rPr>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电子版投标文件提交至政采云平台</w:t>
            </w:r>
            <w:r>
              <w:rPr>
                <w:rFonts w:hint="eastAsia" w:ascii="宋体" w:hAnsi="宋体"/>
                <w:bCs/>
                <w:color w:val="000000" w:themeColor="text1"/>
                <w:szCs w:val="21"/>
                <w14:textFill>
                  <w14:solidFill>
                    <w14:schemeClr w14:val="tx1"/>
                  </w14:solidFill>
                </w14:textFill>
              </w:rPr>
              <w:t>（</w:t>
            </w:r>
            <w:r>
              <w:fldChar w:fldCharType="begin"/>
            </w:r>
            <w:r>
              <w:instrText xml:space="preserve"> HYPERLINK "https://www.zcygov.cn，投标供应商无需到达评标现场。" </w:instrText>
            </w:r>
            <w:r>
              <w:fldChar w:fldCharType="separate"/>
            </w:r>
            <w:r>
              <w:rPr>
                <w:rFonts w:hint="eastAsia" w:ascii="宋体" w:hAnsi="宋体" w:cs="Arial"/>
                <w:bCs/>
                <w:kern w:val="0"/>
                <w:szCs w:val="21"/>
              </w:rPr>
              <w:t>https://www.zcygov.cn</w:t>
            </w:r>
            <w:r>
              <w:rPr>
                <w:rFonts w:hint="eastAsia" w:ascii="宋体" w:hAnsi="宋体" w:cs="Arial"/>
                <w:bCs/>
                <w:kern w:val="0"/>
                <w:szCs w:val="21"/>
              </w:rPr>
              <w:fldChar w:fldCharType="end"/>
            </w:r>
            <w:r>
              <w:rPr>
                <w:rFonts w:hint="eastAsia" w:ascii="宋体" w:hAnsi="宋体" w:cs="Arial"/>
                <w:bCs/>
                <w:kern w:val="0"/>
                <w:szCs w:val="21"/>
              </w:rPr>
              <w:t>）</w:t>
            </w:r>
            <w:r>
              <w:rPr>
                <w:rFonts w:hint="eastAsia" w:ascii="宋体" w:hAnsi="宋体"/>
                <w:b/>
                <w:color w:val="000000" w:themeColor="text1"/>
                <w:szCs w:val="21"/>
                <w14:textFill>
                  <w14:solidFill>
                    <w14:schemeClr w14:val="tx1"/>
                  </w14:solidFill>
                </w14:textFill>
              </w:rPr>
              <w:t>在线投标，投标人无需到达评标现场。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8845" w:type="dxa"/>
            <w:gridSpan w:val="3"/>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五、开标和评标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31" w:hRule="atLeast"/>
          <w:jc w:val="center"/>
        </w:trPr>
        <w:tc>
          <w:tcPr>
            <w:tcW w:w="2267" w:type="dxa"/>
            <w:vAlign w:val="center"/>
          </w:tcPr>
          <w:p>
            <w:pPr>
              <w:adjustRightInd w:val="0"/>
              <w:snapToGrid w:val="0"/>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第二章第25.1款</w:t>
            </w:r>
          </w:p>
        </w:tc>
        <w:tc>
          <w:tcPr>
            <w:tcW w:w="1633" w:type="dxa"/>
            <w:vAlign w:val="center"/>
          </w:tcPr>
          <w:p>
            <w:pPr>
              <w:adjustRightInd w:val="0"/>
              <w:snapToGrid w:val="0"/>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评标办法</w:t>
            </w:r>
          </w:p>
        </w:tc>
        <w:tc>
          <w:tcPr>
            <w:tcW w:w="4945" w:type="dxa"/>
            <w:vAlign w:val="center"/>
          </w:tcPr>
          <w:p>
            <w:pPr>
              <w:adjustRightInd w:val="0"/>
              <w:snapToGrid w:val="0"/>
              <w:spacing w:line="320" w:lineRule="exact"/>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最低评标价法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32" w:hRule="atLeast"/>
          <w:jc w:val="center"/>
        </w:trPr>
        <w:tc>
          <w:tcPr>
            <w:tcW w:w="8845" w:type="dxa"/>
            <w:gridSpan w:val="3"/>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六、中标结果信息公布与履约保证金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267" w:type="dxa"/>
            <w:vAlign w:val="center"/>
          </w:tcPr>
          <w:p>
            <w:pPr>
              <w:adjustRightInd w:val="0"/>
              <w:snapToGrid w:val="0"/>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第二章第30.1款</w:t>
            </w:r>
          </w:p>
        </w:tc>
        <w:tc>
          <w:tcPr>
            <w:tcW w:w="1633" w:type="dxa"/>
            <w:vAlign w:val="center"/>
          </w:tcPr>
          <w:p>
            <w:pPr>
              <w:adjustRightInd w:val="0"/>
              <w:snapToGrid w:val="0"/>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财政部门指定的媒体</w:t>
            </w:r>
          </w:p>
        </w:tc>
        <w:tc>
          <w:tcPr>
            <w:tcW w:w="4945" w:type="dxa"/>
            <w:vAlign w:val="center"/>
          </w:tcPr>
          <w:p>
            <w:pPr>
              <w:adjustRightInd w:val="0"/>
              <w:snapToGrid w:val="0"/>
              <w:spacing w:line="32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新疆政府采购网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第二章第32.3款</w:t>
            </w:r>
          </w:p>
        </w:tc>
        <w:tc>
          <w:tcPr>
            <w:tcW w:w="1633" w:type="dxa"/>
            <w:vAlign w:val="center"/>
          </w:tcPr>
          <w:p>
            <w:pPr>
              <w:adjustRightInd w:val="0"/>
              <w:snapToGrid w:val="0"/>
              <w:spacing w:line="400" w:lineRule="exact"/>
              <w:rPr>
                <w:rFonts w:ascii="宋体" w:hAnsi="宋体"/>
                <w:color w:val="000000" w:themeColor="text1"/>
                <w:szCs w:val="21"/>
                <w:highlight w:val="cyan"/>
                <w14:textFill>
                  <w14:solidFill>
                    <w14:schemeClr w14:val="tx1"/>
                  </w14:solidFill>
                </w14:textFill>
              </w:rPr>
            </w:pPr>
            <w:r>
              <w:rPr>
                <w:rFonts w:hint="eastAsia" w:ascii="宋体" w:hAnsi="宋体"/>
                <w:color w:val="000000" w:themeColor="text1"/>
                <w:szCs w:val="21"/>
                <w14:textFill>
                  <w14:solidFill>
                    <w14:schemeClr w14:val="tx1"/>
                  </w14:solidFill>
                </w14:textFill>
              </w:rPr>
              <w:t>履约保证金</w:t>
            </w:r>
          </w:p>
        </w:tc>
        <w:tc>
          <w:tcPr>
            <w:tcW w:w="4945" w:type="dxa"/>
            <w:vAlign w:val="center"/>
          </w:tcPr>
          <w:p>
            <w:pPr>
              <w:adjustRightInd w:val="0"/>
              <w:snapToGrid w:val="0"/>
              <w:spacing w:line="320" w:lineRule="exact"/>
              <w:jc w:val="left"/>
              <w:rPr>
                <w:rFonts w:hint="eastAsia" w:ascii="黑体" w:hAnsi="黑体" w:eastAsia="黑体" w:cs="黑体"/>
                <w:b/>
                <w:bCs/>
                <w:color w:val="auto"/>
                <w:kern w:val="0"/>
                <w:szCs w:val="21"/>
                <w:highlight w:val="yellow"/>
                <w:lang w:val="en-US" w:eastAsia="zh-CN"/>
              </w:rPr>
            </w:pPr>
            <w:r>
              <w:rPr>
                <w:rFonts w:hint="eastAsia" w:ascii="黑体" w:hAnsi="黑体" w:eastAsia="黑体" w:cs="黑体"/>
                <w:b/>
                <w:bCs/>
                <w:color w:val="auto"/>
                <w:kern w:val="0"/>
                <w:szCs w:val="21"/>
                <w:highlight w:val="yellow"/>
                <w:lang w:val="en-US" w:eastAsia="zh-CN"/>
              </w:rPr>
              <w:t>本项目（标段三）</w:t>
            </w:r>
            <w:r>
              <w:rPr>
                <w:rFonts w:hint="eastAsia" w:ascii="黑体" w:hAnsi="黑体" w:eastAsia="黑体" w:cs="黑体"/>
                <w:b/>
                <w:bCs/>
                <w:color w:val="auto"/>
                <w:kern w:val="0"/>
                <w:szCs w:val="21"/>
                <w:highlight w:val="yellow"/>
              </w:rPr>
              <w:t>履约保证金</w:t>
            </w:r>
            <w:r>
              <w:rPr>
                <w:rFonts w:hint="eastAsia" w:ascii="黑体" w:hAnsi="黑体" w:eastAsia="黑体" w:cs="黑体"/>
                <w:b/>
                <w:bCs/>
                <w:color w:val="auto"/>
                <w:kern w:val="0"/>
                <w:szCs w:val="21"/>
                <w:highlight w:val="yellow"/>
                <w:lang w:val="en-US" w:eastAsia="zh-CN"/>
              </w:rPr>
              <w:t>收取</w:t>
            </w:r>
            <w:r>
              <w:rPr>
                <w:rFonts w:hint="eastAsia" w:ascii="黑体" w:hAnsi="黑体" w:eastAsia="黑体" w:cs="黑体"/>
                <w:b/>
                <w:bCs/>
                <w:color w:val="auto"/>
                <w:kern w:val="0"/>
                <w:szCs w:val="21"/>
                <w:highlight w:val="yellow"/>
              </w:rPr>
              <w:t>政府</w:t>
            </w:r>
            <w:r>
              <w:rPr>
                <w:rFonts w:hint="eastAsia" w:ascii="黑体" w:hAnsi="黑体" w:eastAsia="黑体" w:cs="黑体"/>
                <w:b/>
                <w:bCs/>
                <w:color w:val="auto"/>
                <w:kern w:val="0"/>
                <w:szCs w:val="21"/>
                <w:highlight w:val="yellow"/>
                <w:lang w:val="en-US" w:eastAsia="zh-CN"/>
              </w:rPr>
              <w:t>采购合同</w:t>
            </w:r>
            <w:r>
              <w:rPr>
                <w:rFonts w:hint="eastAsia" w:ascii="黑体" w:hAnsi="黑体" w:eastAsia="黑体" w:cs="黑体"/>
                <w:b/>
                <w:bCs/>
                <w:color w:val="auto"/>
                <w:kern w:val="0"/>
                <w:szCs w:val="21"/>
                <w:highlight w:val="yellow"/>
              </w:rPr>
              <w:t>金额的</w:t>
            </w:r>
            <w:r>
              <w:rPr>
                <w:rFonts w:hint="eastAsia" w:ascii="黑体" w:hAnsi="黑体" w:eastAsia="黑体" w:cs="黑体"/>
                <w:b/>
                <w:bCs/>
                <w:color w:val="auto"/>
                <w:kern w:val="0"/>
                <w:szCs w:val="21"/>
                <w:highlight w:val="yellow"/>
                <w:lang w:val="en-US" w:eastAsia="zh-CN"/>
              </w:rPr>
              <w:t>5%。</w:t>
            </w:r>
          </w:p>
          <w:p>
            <w:pPr>
              <w:adjustRightInd w:val="0"/>
              <w:snapToGrid w:val="0"/>
              <w:spacing w:line="320" w:lineRule="exact"/>
              <w:jc w:val="left"/>
              <w:rPr>
                <w:rFonts w:hint="eastAsia" w:ascii="黑体" w:hAnsi="黑体" w:eastAsia="黑体" w:cs="黑体"/>
                <w:b w:val="0"/>
                <w:bCs w:val="0"/>
                <w:color w:val="auto"/>
                <w:kern w:val="2"/>
                <w:sz w:val="21"/>
                <w:szCs w:val="21"/>
                <w:highlight w:val="none"/>
                <w:lang w:val="en-US" w:eastAsia="zh-CN" w:bidi="ar-SA"/>
              </w:rPr>
            </w:pPr>
            <w:r>
              <w:rPr>
                <w:rFonts w:hint="eastAsia" w:ascii="黑体" w:hAnsi="黑体" w:eastAsia="黑体" w:cs="黑体"/>
                <w:b w:val="0"/>
                <w:bCs w:val="0"/>
                <w:color w:val="auto"/>
                <w:sz w:val="21"/>
                <w:szCs w:val="21"/>
                <w:highlight w:val="none"/>
                <w:lang w:val="en-US" w:eastAsia="zh-CN"/>
              </w:rPr>
              <w:t>发布中标公告</w:t>
            </w:r>
            <w:r>
              <w:rPr>
                <w:rFonts w:hint="eastAsia" w:ascii="黑体" w:hAnsi="黑体" w:eastAsia="黑体" w:cs="黑体"/>
                <w:b w:val="0"/>
                <w:bCs w:val="0"/>
                <w:color w:val="auto"/>
                <w:sz w:val="21"/>
                <w:szCs w:val="21"/>
                <w:highlight w:val="none"/>
                <w:lang w:eastAsia="zh-CN"/>
              </w:rPr>
              <w:t>后</w:t>
            </w:r>
            <w:r>
              <w:rPr>
                <w:rFonts w:hint="eastAsia" w:ascii="黑体" w:hAnsi="黑体" w:eastAsia="黑体" w:cs="黑体"/>
                <w:b w:val="0"/>
                <w:bCs w:val="0"/>
                <w:color w:val="auto"/>
                <w:kern w:val="2"/>
                <w:sz w:val="21"/>
                <w:szCs w:val="21"/>
                <w:highlight w:val="none"/>
                <w:lang w:val="en-US" w:eastAsia="zh-CN" w:bidi="ar-SA"/>
              </w:rPr>
              <w:t>五个工作日内，中标单位请以企业名义（基本户）通过电汇、转账、保函、电子保函等非现金形式缴纳或提交履约保证金采购单位银行账户，其有效期应不低于投标有效期</w:t>
            </w:r>
            <w:r>
              <w:rPr>
                <w:rFonts w:hint="eastAsia" w:ascii="黑体" w:hAnsi="黑体" w:eastAsia="黑体" w:cs="黑体"/>
                <w:b w:val="0"/>
                <w:bCs w:val="0"/>
                <w:color w:val="auto"/>
                <w:highlight w:val="none"/>
                <w:lang w:val="en-US" w:eastAsia="zh-CN"/>
              </w:rPr>
              <w:t>（</w:t>
            </w:r>
            <w:r>
              <w:rPr>
                <w:rFonts w:hint="eastAsia" w:ascii="黑体" w:hAnsi="黑体" w:eastAsia="黑体" w:cs="黑体"/>
                <w:b w:val="0"/>
                <w:bCs w:val="0"/>
                <w:color w:val="auto"/>
                <w:szCs w:val="21"/>
                <w:highlight w:val="none"/>
              </w:rPr>
              <w:t>90日历日</w:t>
            </w:r>
            <w:r>
              <w:rPr>
                <w:rFonts w:hint="eastAsia" w:ascii="黑体" w:hAnsi="黑体" w:eastAsia="黑体" w:cs="黑体"/>
                <w:b w:val="0"/>
                <w:bCs w:val="0"/>
                <w:color w:val="auto"/>
                <w:szCs w:val="21"/>
                <w:highlight w:val="none"/>
                <w:lang w:eastAsia="zh-CN"/>
              </w:rPr>
              <w:t>）</w:t>
            </w:r>
            <w:r>
              <w:rPr>
                <w:rFonts w:hint="eastAsia" w:ascii="黑体" w:hAnsi="黑体" w:eastAsia="黑体" w:cs="黑体"/>
                <w:b w:val="0"/>
                <w:bCs w:val="0"/>
                <w:color w:val="auto"/>
                <w:kern w:val="2"/>
                <w:sz w:val="21"/>
                <w:szCs w:val="21"/>
                <w:highlight w:val="none"/>
                <w:lang w:val="en-US" w:eastAsia="zh-CN" w:bidi="ar-SA"/>
              </w:rPr>
              <w:t>；不允许以个人名义或现金方式缴纳保证金。</w:t>
            </w:r>
          </w:p>
          <w:p>
            <w:pPr>
              <w:widowControl w:val="0"/>
              <w:adjustRightInd w:val="0"/>
              <w:jc w:val="both"/>
              <w:rPr>
                <w:rFonts w:hint="eastAsia" w:ascii="黑体" w:hAnsi="黑体" w:eastAsia="黑体" w:cs="黑体"/>
                <w:b w:val="0"/>
                <w:bCs w:val="0"/>
                <w:color w:val="auto"/>
                <w:highlight w:val="none"/>
              </w:rPr>
            </w:pPr>
            <w:r>
              <w:rPr>
                <w:rFonts w:hint="eastAsia" w:ascii="黑体" w:hAnsi="黑体" w:eastAsia="黑体" w:cs="黑体"/>
                <w:b w:val="0"/>
                <w:bCs w:val="0"/>
                <w:color w:val="auto"/>
                <w:highlight w:val="none"/>
                <w:lang w:val="en-US" w:eastAsia="zh-CN"/>
              </w:rPr>
              <w:t>1.履约</w:t>
            </w:r>
            <w:r>
              <w:rPr>
                <w:rFonts w:hint="eastAsia" w:ascii="黑体" w:hAnsi="黑体" w:eastAsia="黑体" w:cs="黑体"/>
                <w:b w:val="0"/>
                <w:bCs w:val="0"/>
                <w:color w:val="auto"/>
                <w:highlight w:val="none"/>
              </w:rPr>
              <w:t>保证金的递交方式：</w:t>
            </w:r>
          </w:p>
          <w:p>
            <w:pPr>
              <w:widowControl w:val="0"/>
              <w:adjustRightInd w:val="0"/>
              <w:rPr>
                <w:rFonts w:hint="eastAsia" w:ascii="黑体" w:hAnsi="黑体" w:eastAsia="黑体" w:cs="黑体"/>
                <w:b w:val="0"/>
                <w:bCs w:val="0"/>
                <w:color w:val="auto"/>
                <w:highlight w:val="none"/>
              </w:rPr>
            </w:pPr>
            <w:r>
              <w:rPr>
                <w:rFonts w:hint="eastAsia" w:ascii="黑体" w:hAnsi="黑体" w:eastAsia="黑体" w:cs="黑体"/>
                <w:b w:val="0"/>
                <w:bCs w:val="0"/>
                <w:color w:val="auto"/>
                <w:highlight w:val="none"/>
                <w:lang w:val="en-US" w:eastAsia="zh-CN"/>
              </w:rPr>
              <w:t>1</w:t>
            </w:r>
            <w:r>
              <w:rPr>
                <w:rFonts w:hint="eastAsia" w:ascii="黑体" w:hAnsi="黑体" w:eastAsia="黑体" w:cs="黑体"/>
                <w:b w:val="0"/>
                <w:bCs w:val="0"/>
                <w:color w:val="auto"/>
                <w:highlight w:val="none"/>
              </w:rPr>
              <w:t>.1采用</w:t>
            </w:r>
            <w:r>
              <w:rPr>
                <w:rFonts w:hint="eastAsia" w:ascii="黑体" w:hAnsi="黑体" w:eastAsia="黑体" w:cs="黑体"/>
                <w:b w:val="0"/>
                <w:bCs w:val="0"/>
                <w:color w:val="auto"/>
                <w:highlight w:val="none"/>
                <w:lang w:val="en-US" w:eastAsia="zh-CN"/>
              </w:rPr>
              <w:t>电汇</w:t>
            </w:r>
            <w:r>
              <w:rPr>
                <w:rFonts w:hint="eastAsia" w:ascii="黑体" w:hAnsi="黑体" w:eastAsia="黑体" w:cs="黑体"/>
                <w:b w:val="0"/>
                <w:bCs w:val="0"/>
                <w:color w:val="auto"/>
                <w:highlight w:val="none"/>
              </w:rPr>
              <w:t>形式递交保证金的，收款账户信息如下：</w:t>
            </w:r>
          </w:p>
          <w:p>
            <w:pPr>
              <w:widowControl w:val="0"/>
              <w:adjustRightInd w:val="0"/>
              <w:rPr>
                <w:rFonts w:hint="eastAsia" w:ascii="黑体" w:hAnsi="黑体" w:eastAsia="黑体" w:cs="黑体"/>
                <w:b/>
                <w:bCs/>
                <w:color w:val="auto"/>
                <w:highlight w:val="none"/>
                <w:lang w:val="en-US" w:eastAsia="zh-CN"/>
              </w:rPr>
            </w:pPr>
            <w:r>
              <w:rPr>
                <w:rFonts w:hint="eastAsia" w:ascii="黑体" w:hAnsi="黑体" w:eastAsia="黑体" w:cs="黑体"/>
                <w:b/>
                <w:bCs/>
                <w:color w:val="auto"/>
                <w:highlight w:val="none"/>
              </w:rPr>
              <w:t>账户名称：</w:t>
            </w:r>
            <w:r>
              <w:rPr>
                <w:rFonts w:hint="eastAsia" w:ascii="黑体" w:hAnsi="黑体" w:eastAsia="黑体" w:cs="黑体"/>
                <w:b/>
                <w:bCs/>
                <w:color w:val="auto"/>
                <w:highlight w:val="none"/>
                <w:lang w:val="en-US" w:eastAsia="zh-CN"/>
              </w:rPr>
              <w:t>霍尔果斯市技工学校</w:t>
            </w:r>
          </w:p>
          <w:p>
            <w:pPr>
              <w:widowControl w:val="0"/>
              <w:adjustRightInd w:val="0"/>
              <w:rPr>
                <w:rFonts w:hint="eastAsia" w:ascii="黑体" w:hAnsi="黑体" w:eastAsia="黑体" w:cs="黑体"/>
                <w:b/>
                <w:bCs/>
                <w:color w:val="auto"/>
                <w:highlight w:val="none"/>
                <w:lang w:val="en-US" w:eastAsia="zh-CN"/>
              </w:rPr>
            </w:pPr>
            <w:r>
              <w:rPr>
                <w:rFonts w:hint="eastAsia" w:ascii="黑体" w:hAnsi="黑体" w:eastAsia="黑体" w:cs="黑体"/>
                <w:b/>
                <w:bCs/>
                <w:color w:val="auto"/>
                <w:highlight w:val="none"/>
              </w:rPr>
              <w:t>开户银行</w:t>
            </w:r>
            <w:r>
              <w:rPr>
                <w:rFonts w:hint="eastAsia" w:ascii="黑体" w:hAnsi="黑体" w:eastAsia="黑体" w:cs="黑体"/>
                <w:b/>
                <w:bCs/>
                <w:color w:val="auto"/>
                <w:highlight w:val="none"/>
                <w:lang w:eastAsia="zh-CN"/>
              </w:rPr>
              <w:t>：</w:t>
            </w:r>
            <w:r>
              <w:rPr>
                <w:rFonts w:hint="eastAsia" w:ascii="黑体" w:hAnsi="黑体" w:eastAsia="黑体" w:cs="黑体"/>
                <w:b/>
                <w:bCs/>
                <w:color w:val="auto"/>
                <w:highlight w:val="none"/>
                <w:lang w:val="en-US" w:eastAsia="zh-CN"/>
              </w:rPr>
              <w:t>中国农业银行股份有限公司霍尔果斯市支行</w:t>
            </w:r>
          </w:p>
          <w:p>
            <w:pPr>
              <w:widowControl w:val="0"/>
              <w:adjustRightInd w:val="0"/>
              <w:rPr>
                <w:rFonts w:hint="eastAsia" w:ascii="黑体" w:hAnsi="黑体" w:eastAsia="黑体" w:cs="黑体"/>
                <w:b/>
                <w:bCs/>
                <w:color w:val="auto"/>
                <w:highlight w:val="none"/>
                <w:lang w:val="en-US"/>
              </w:rPr>
            </w:pPr>
            <w:r>
              <w:rPr>
                <w:rFonts w:hint="eastAsia" w:ascii="黑体" w:hAnsi="黑体" w:eastAsia="黑体" w:cs="黑体"/>
                <w:b/>
                <w:bCs/>
                <w:color w:val="auto"/>
                <w:highlight w:val="none"/>
              </w:rPr>
              <w:t>帐号：</w:t>
            </w:r>
            <w:r>
              <w:rPr>
                <w:rFonts w:hint="eastAsia" w:ascii="黑体" w:hAnsi="黑体" w:eastAsia="黑体" w:cs="黑体"/>
                <w:b/>
                <w:bCs/>
                <w:color w:val="auto"/>
                <w:highlight w:val="none"/>
                <w:lang w:val="en-US" w:eastAsia="zh-CN"/>
              </w:rPr>
              <w:t>30108101040054790</w:t>
            </w:r>
          </w:p>
          <w:p>
            <w:pPr>
              <w:widowControl w:val="0"/>
              <w:adjustRightInd w:val="0"/>
              <w:rPr>
                <w:rFonts w:hint="eastAsia" w:ascii="黑体" w:hAnsi="黑体" w:eastAsia="黑体" w:cs="黑体"/>
                <w:b/>
                <w:bCs/>
                <w:color w:val="auto"/>
                <w:highlight w:val="none"/>
                <w:lang w:val="en-US" w:eastAsia="zh-CN"/>
              </w:rPr>
            </w:pPr>
            <w:r>
              <w:rPr>
                <w:rFonts w:hint="eastAsia" w:ascii="黑体" w:hAnsi="黑体" w:eastAsia="黑体" w:cs="黑体"/>
                <w:b/>
                <w:bCs/>
                <w:color w:val="auto"/>
                <w:highlight w:val="none"/>
              </w:rPr>
              <w:t>行号：</w:t>
            </w:r>
            <w:r>
              <w:rPr>
                <w:rFonts w:hint="eastAsia" w:ascii="黑体" w:hAnsi="黑体" w:eastAsia="黑体" w:cs="黑体"/>
                <w:b/>
                <w:bCs/>
                <w:color w:val="auto"/>
                <w:highlight w:val="none"/>
                <w:lang w:val="en-US" w:eastAsia="zh-CN"/>
              </w:rPr>
              <w:t>103899410817</w:t>
            </w:r>
          </w:p>
          <w:p>
            <w:pPr>
              <w:adjustRightInd w:val="0"/>
              <w:snapToGrid w:val="0"/>
              <w:spacing w:line="280" w:lineRule="exact"/>
              <w:rPr>
                <w:rFonts w:hint="eastAsia" w:ascii="黑体" w:hAnsi="黑体" w:eastAsia="黑体" w:cs="黑体"/>
                <w:b w:val="0"/>
                <w:bCs w:val="0"/>
                <w:color w:val="auto"/>
                <w:highlight w:val="none"/>
              </w:rPr>
            </w:pPr>
            <w:r>
              <w:rPr>
                <w:rFonts w:hint="eastAsia" w:ascii="黑体" w:hAnsi="黑体" w:eastAsia="黑体" w:cs="黑体"/>
                <w:b w:val="0"/>
                <w:bCs w:val="0"/>
                <w:color w:val="auto"/>
                <w:highlight w:val="none"/>
              </w:rPr>
              <w:t>注：不允许以个人名义或现金方式缴纳保证金。（</w:t>
            </w:r>
            <w:r>
              <w:rPr>
                <w:rFonts w:hint="eastAsia" w:ascii="黑体" w:hAnsi="黑体" w:eastAsia="黑体" w:cs="黑体"/>
                <w:b w:val="0"/>
                <w:bCs w:val="0"/>
                <w:color w:val="auto"/>
                <w:highlight w:val="none"/>
                <w:lang w:val="en-US" w:eastAsia="zh-CN"/>
              </w:rPr>
              <w:t>履约</w:t>
            </w:r>
            <w:r>
              <w:rPr>
                <w:rFonts w:hint="eastAsia" w:ascii="黑体" w:hAnsi="黑体" w:eastAsia="黑体" w:cs="黑体"/>
                <w:b w:val="0"/>
                <w:bCs w:val="0"/>
                <w:color w:val="auto"/>
                <w:highlight w:val="none"/>
              </w:rPr>
              <w:t>保证金需一次性足额缴纳，不得分批次、分时间缴纳；汇款时</w:t>
            </w:r>
            <w:r>
              <w:rPr>
                <w:rFonts w:hint="eastAsia" w:ascii="黑体" w:hAnsi="黑体" w:eastAsia="黑体" w:cs="黑体"/>
                <w:b w:val="0"/>
                <w:bCs w:val="0"/>
                <w:color w:val="auto"/>
                <w:highlight w:val="none"/>
                <w:lang w:val="en-US" w:eastAsia="zh-CN"/>
              </w:rPr>
              <w:t>必须</w:t>
            </w:r>
            <w:r>
              <w:rPr>
                <w:rFonts w:hint="eastAsia" w:ascii="黑体" w:hAnsi="黑体" w:eastAsia="黑体" w:cs="黑体"/>
                <w:b w:val="0"/>
                <w:bCs w:val="0"/>
                <w:color w:val="auto"/>
                <w:highlight w:val="none"/>
              </w:rPr>
              <w:t>备注项目</w:t>
            </w:r>
            <w:r>
              <w:rPr>
                <w:rFonts w:hint="eastAsia" w:ascii="黑体" w:hAnsi="黑体" w:eastAsia="黑体" w:cs="黑体"/>
                <w:b w:val="0"/>
                <w:bCs w:val="0"/>
                <w:color w:val="auto"/>
                <w:highlight w:val="none"/>
                <w:lang w:val="en-US" w:eastAsia="zh-CN"/>
              </w:rPr>
              <w:t>编号</w:t>
            </w:r>
            <w:r>
              <w:rPr>
                <w:rFonts w:hint="eastAsia" w:ascii="黑体" w:hAnsi="黑体" w:eastAsia="黑体" w:cs="黑体"/>
                <w:b w:val="0"/>
                <w:bCs w:val="0"/>
                <w:color w:val="auto"/>
                <w:highlight w:val="none"/>
                <w:lang w:eastAsia="zh-CN"/>
              </w:rPr>
              <w:t>，</w:t>
            </w:r>
            <w:r>
              <w:rPr>
                <w:rFonts w:hint="eastAsia" w:ascii="黑体" w:hAnsi="黑体" w:eastAsia="黑体" w:cs="黑体"/>
                <w:b w:val="0"/>
                <w:bCs w:val="0"/>
                <w:color w:val="auto"/>
                <w:highlight w:val="none"/>
                <w:lang w:val="en-US" w:eastAsia="zh-CN"/>
              </w:rPr>
              <w:t>如“</w:t>
            </w:r>
            <w:r>
              <w:rPr>
                <w:rFonts w:hint="eastAsia" w:ascii="黑体" w:hAnsi="黑体" w:eastAsia="黑体" w:cs="黑体"/>
                <w:b/>
                <w:bCs/>
                <w:color w:val="auto"/>
                <w:highlight w:val="yellow"/>
                <w:lang w:val="en-US" w:eastAsia="zh-CN"/>
              </w:rPr>
              <w:t>2023年25号（标段三）</w:t>
            </w:r>
            <w:r>
              <w:rPr>
                <w:rFonts w:hint="eastAsia" w:ascii="黑体" w:hAnsi="黑体" w:eastAsia="黑体" w:cs="黑体"/>
                <w:b w:val="0"/>
                <w:bCs w:val="0"/>
                <w:color w:val="auto"/>
                <w:highlight w:val="none"/>
                <w:lang w:val="en-US" w:eastAsia="zh-CN"/>
              </w:rPr>
              <w:t>”</w:t>
            </w:r>
            <w:r>
              <w:rPr>
                <w:rFonts w:hint="eastAsia" w:ascii="黑体" w:hAnsi="黑体" w:eastAsia="黑体" w:cs="黑体"/>
                <w:b w:val="0"/>
                <w:bCs w:val="0"/>
                <w:color w:val="auto"/>
                <w:highlight w:val="none"/>
              </w:rPr>
              <w:t>）</w:t>
            </w:r>
          </w:p>
          <w:p>
            <w:pPr>
              <w:widowControl w:val="0"/>
              <w:overflowPunct w:val="0"/>
              <w:spacing w:line="276" w:lineRule="auto"/>
              <w:rPr>
                <w:rFonts w:hint="eastAsia" w:ascii="黑体" w:hAnsi="黑体" w:eastAsia="黑体" w:cs="黑体"/>
                <w:b/>
                <w:bCs/>
                <w:color w:val="auto"/>
                <w:highlight w:val="none"/>
                <w:lang w:val="en-US" w:eastAsia="zh-CN"/>
              </w:rPr>
            </w:pPr>
            <w:r>
              <w:rPr>
                <w:rFonts w:hint="eastAsia" w:ascii="黑体" w:hAnsi="黑体" w:eastAsia="黑体" w:cs="黑体"/>
                <w:b/>
                <w:bCs/>
                <w:color w:val="auto"/>
                <w:highlight w:val="none"/>
              </w:rPr>
              <w:t>财务联系电话</w:t>
            </w:r>
            <w:r>
              <w:rPr>
                <w:rFonts w:hint="eastAsia" w:ascii="黑体" w:hAnsi="黑体" w:eastAsia="黑体" w:cs="黑体"/>
                <w:b/>
                <w:bCs/>
                <w:color w:val="auto"/>
                <w:highlight w:val="none"/>
                <w:lang w:eastAsia="zh-CN"/>
              </w:rPr>
              <w:t>：</w:t>
            </w:r>
            <w:r>
              <w:rPr>
                <w:rFonts w:hint="eastAsia" w:ascii="黑体" w:hAnsi="黑体" w:eastAsia="黑体" w:cs="黑体"/>
                <w:b/>
                <w:bCs/>
                <w:color w:val="auto"/>
                <w:highlight w:val="none"/>
                <w:lang w:val="en-US" w:eastAsia="zh-CN"/>
              </w:rPr>
              <w:t>马瑞 13325698080</w:t>
            </w:r>
          </w:p>
          <w:p>
            <w:pPr>
              <w:widowControl w:val="0"/>
              <w:numPr>
                <w:ilvl w:val="0"/>
                <w:numId w:val="0"/>
              </w:numPr>
              <w:overflowPunct w:val="0"/>
              <w:spacing w:line="276" w:lineRule="auto"/>
              <w:rPr>
                <w:rFonts w:hint="eastAsia" w:ascii="黑体" w:hAnsi="黑体" w:eastAsia="黑体" w:cs="黑体"/>
                <w:b w:val="0"/>
                <w:bCs w:val="0"/>
                <w:color w:val="auto"/>
                <w:highlight w:val="none"/>
              </w:rPr>
            </w:pPr>
            <w:r>
              <w:rPr>
                <w:rFonts w:hint="eastAsia" w:ascii="黑体" w:hAnsi="黑体" w:eastAsia="黑体" w:cs="黑体"/>
                <w:b w:val="0"/>
                <w:bCs w:val="0"/>
                <w:color w:val="auto"/>
                <w:highlight w:val="none"/>
                <w:lang w:val="en-US" w:eastAsia="zh-CN"/>
              </w:rPr>
              <w:t>2.中标供应商</w:t>
            </w:r>
            <w:r>
              <w:rPr>
                <w:rFonts w:hint="eastAsia" w:ascii="黑体" w:hAnsi="黑体" w:eastAsia="黑体" w:cs="黑体"/>
                <w:b w:val="0"/>
                <w:bCs w:val="0"/>
                <w:color w:val="auto"/>
                <w:highlight w:val="none"/>
              </w:rPr>
              <w:t>可以自主选择以上任一种形式递交</w:t>
            </w:r>
            <w:r>
              <w:rPr>
                <w:rFonts w:hint="eastAsia" w:ascii="黑体" w:hAnsi="黑体" w:eastAsia="黑体" w:cs="黑体"/>
                <w:b w:val="0"/>
                <w:bCs w:val="0"/>
                <w:color w:val="auto"/>
                <w:highlight w:val="none"/>
                <w:lang w:val="en-US" w:eastAsia="zh-CN"/>
              </w:rPr>
              <w:t>履约</w:t>
            </w:r>
            <w:r>
              <w:rPr>
                <w:rFonts w:hint="eastAsia" w:ascii="黑体" w:hAnsi="黑体" w:eastAsia="黑体" w:cs="黑体"/>
                <w:b w:val="0"/>
                <w:bCs w:val="0"/>
                <w:color w:val="auto"/>
                <w:highlight w:val="none"/>
              </w:rPr>
              <w:t>保证金。</w:t>
            </w:r>
          </w:p>
          <w:p>
            <w:pPr>
              <w:pStyle w:val="4"/>
              <w:numPr>
                <w:ilvl w:val="0"/>
                <w:numId w:val="0"/>
              </w:numPr>
            </w:pPr>
            <w:r>
              <w:rPr>
                <w:rFonts w:hint="eastAsia" w:ascii="黑体" w:hAnsi="黑体" w:eastAsia="黑体" w:cs="黑体"/>
                <w:b/>
                <w:bCs/>
                <w:color w:val="auto"/>
                <w:kern w:val="2"/>
                <w:sz w:val="21"/>
                <w:szCs w:val="24"/>
                <w:highlight w:val="yellow"/>
                <w:lang w:val="en-US" w:eastAsia="zh-CN" w:bidi="ar-SA"/>
              </w:rPr>
              <w:t>3.项目验收后10日内采购单位退还履约保证金。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8845" w:type="dxa"/>
            <w:gridSpan w:val="3"/>
            <w:vAlign w:val="center"/>
          </w:tcPr>
          <w:p>
            <w:pPr>
              <w:adjustRightInd w:val="0"/>
              <w:snapToGrid w:val="0"/>
              <w:spacing w:line="400" w:lineRule="exact"/>
              <w:rPr>
                <w:rFonts w:ascii="宋体" w:hAnsi="宋体"/>
                <w:b/>
                <w:szCs w:val="21"/>
              </w:rPr>
            </w:pPr>
            <w:r>
              <w:rPr>
                <w:rFonts w:hint="eastAsia" w:ascii="宋体" w:hAnsi="宋体"/>
                <w:b/>
                <w:szCs w:val="21"/>
              </w:rPr>
              <w:t>七、其他规定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2267" w:type="dxa"/>
            <w:vAlign w:val="center"/>
          </w:tcPr>
          <w:p>
            <w:pPr>
              <w:adjustRightInd w:val="0"/>
              <w:snapToGrid w:val="0"/>
              <w:spacing w:line="400" w:lineRule="exact"/>
              <w:jc w:val="center"/>
              <w:rPr>
                <w:rFonts w:ascii="宋体" w:hAnsi="宋体"/>
                <w:bCs/>
                <w:szCs w:val="21"/>
              </w:rPr>
            </w:pPr>
            <w:r>
              <w:rPr>
                <w:rFonts w:hint="eastAsia" w:ascii="宋体" w:hAnsi="宋体"/>
                <w:bCs/>
                <w:szCs w:val="21"/>
              </w:rPr>
              <w:t>付款方式</w:t>
            </w:r>
          </w:p>
        </w:tc>
        <w:tc>
          <w:tcPr>
            <w:tcW w:w="6578" w:type="dxa"/>
            <w:gridSpan w:val="2"/>
            <w:vAlign w:val="center"/>
          </w:tcPr>
          <w:p>
            <w:pPr>
              <w:adjustRightInd w:val="0"/>
              <w:snapToGrid w:val="0"/>
              <w:spacing w:line="400" w:lineRule="exact"/>
              <w:jc w:val="left"/>
              <w:rPr>
                <w:rFonts w:ascii="宋体" w:hAnsi="宋体"/>
                <w:bCs/>
                <w:szCs w:val="21"/>
              </w:rPr>
            </w:pPr>
            <w:r>
              <w:rPr>
                <w:rFonts w:hint="eastAsia" w:ascii="宋体" w:hAnsi="宋体"/>
                <w:bCs/>
                <w:szCs w:val="21"/>
              </w:rPr>
              <w:t>全部设备安装调试完毕、经买方验收合格后支付。                （具体要求与采购人签订合同约定）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04"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样品</w:t>
            </w:r>
          </w:p>
        </w:tc>
        <w:tc>
          <w:tcPr>
            <w:tcW w:w="6578" w:type="dxa"/>
            <w:gridSpan w:val="2"/>
            <w:vAlign w:val="center"/>
          </w:tcPr>
          <w:p>
            <w:pPr>
              <w:adjustRightInd w:val="0"/>
              <w:snapToGrid w:val="0"/>
              <w:spacing w:line="32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不提供</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04"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bookmarkStart w:id="13" w:name="_Toc420948007"/>
            <w:r>
              <w:rPr>
                <w:rFonts w:hint="eastAsia" w:ascii="宋体" w:hAnsi="宋体"/>
                <w:color w:val="000000" w:themeColor="text1"/>
                <w:szCs w:val="21"/>
                <w:lang w:val="zh-CN"/>
                <w14:textFill>
                  <w14:solidFill>
                    <w14:schemeClr w14:val="tx1"/>
                  </w14:solidFill>
                </w14:textFill>
              </w:rPr>
              <w:t>场地费</w:t>
            </w:r>
          </w:p>
        </w:tc>
        <w:tc>
          <w:tcPr>
            <w:tcW w:w="6578" w:type="dxa"/>
            <w:gridSpan w:val="2"/>
            <w:vAlign w:val="center"/>
          </w:tcPr>
          <w:p>
            <w:pPr>
              <w:adjustRightInd w:val="0"/>
              <w:snapToGrid w:val="0"/>
              <w:spacing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04"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招标代理服务费</w:t>
            </w:r>
          </w:p>
        </w:tc>
        <w:tc>
          <w:tcPr>
            <w:tcW w:w="6578" w:type="dxa"/>
            <w:gridSpan w:val="2"/>
            <w:vAlign w:val="center"/>
          </w:tcPr>
          <w:p>
            <w:pPr>
              <w:adjustRightInd w:val="0"/>
              <w:snapToGrid w:val="0"/>
              <w:spacing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04" w:hRule="atLeast"/>
          <w:jc w:val="center"/>
        </w:trPr>
        <w:tc>
          <w:tcPr>
            <w:tcW w:w="2267" w:type="dxa"/>
            <w:vAlign w:val="center"/>
          </w:tcPr>
          <w:p>
            <w:pPr>
              <w:jc w:val="center"/>
              <w:rPr>
                <w:rFonts w:ascii="宋体" w:hAnsi="宋体" w:cs="宋体"/>
                <w:b/>
                <w:bCs/>
                <w:szCs w:val="21"/>
              </w:rPr>
            </w:pPr>
            <w:r>
              <w:rPr>
                <w:rFonts w:hint="eastAsia" w:ascii="宋体" w:hAnsi="宋体" w:cs="宋体"/>
                <w:b/>
                <w:bCs/>
                <w:szCs w:val="21"/>
              </w:rPr>
              <w:t>关于政采云平台线上电子招投标的注意事项</w:t>
            </w:r>
          </w:p>
          <w:p>
            <w:pPr>
              <w:spacing w:before="62" w:beforeLines="20" w:line="288" w:lineRule="auto"/>
              <w:rPr>
                <w:rFonts w:ascii="宋体" w:hAnsi="宋体"/>
                <w:color w:val="000000" w:themeColor="text1"/>
                <w:szCs w:val="21"/>
                <w14:textFill>
                  <w14:solidFill>
                    <w14:schemeClr w14:val="tx1"/>
                  </w14:solidFill>
                </w14:textFill>
              </w:rPr>
            </w:pPr>
          </w:p>
        </w:tc>
        <w:tc>
          <w:tcPr>
            <w:tcW w:w="6578" w:type="dxa"/>
            <w:gridSpan w:val="2"/>
            <w:vAlign w:val="center"/>
          </w:tcPr>
          <w:p>
            <w:pPr>
              <w:adjustRightInd w:val="0"/>
              <w:snapToGrid w:val="0"/>
              <w:spacing w:line="400" w:lineRule="exact"/>
              <w:jc w:val="left"/>
            </w:pPr>
            <w:r>
              <w:rPr>
                <w:rFonts w:hint="eastAsia"/>
                <w:b/>
                <w:bCs/>
              </w:rPr>
              <w:t>1、投标文件解密时间：</w:t>
            </w:r>
            <w:r>
              <w:rPr>
                <w:rFonts w:hint="eastAsia"/>
              </w:rPr>
              <w:t>投标文件解密时间30分钟，开标前需投标单位用CA证书登录政采云平台开标大厅签到，在30分钟解密时间内输入CA证书PIN码解密投标文件。</w:t>
            </w:r>
            <w:r>
              <w:rPr>
                <w:rFonts w:hint="eastAsia"/>
                <w:b/>
                <w:bCs/>
              </w:rPr>
              <w:t>在30分钟解密时间内未进行解密的投标单位将导致废标。</w:t>
            </w:r>
            <w:r>
              <w:rPr>
                <w:rFonts w:hint="eastAsia"/>
              </w:rPr>
              <w:t>（解密时间开始时政采云平台将以短信形式向供应商在政采云平台预留的手机号发送短信通知，请供应商及时关注。）</w:t>
            </w:r>
          </w:p>
          <w:p>
            <w:pPr>
              <w:adjustRightInd w:val="0"/>
              <w:snapToGrid w:val="0"/>
              <w:spacing w:line="400" w:lineRule="exact"/>
              <w:jc w:val="left"/>
            </w:pPr>
            <w:r>
              <w:rPr>
                <w:rFonts w:hint="eastAsia"/>
                <w:b/>
                <w:bCs/>
              </w:rPr>
              <w:t>2、供应商报价CA签字确认：</w:t>
            </w:r>
            <w:r>
              <w:rPr>
                <w:rFonts w:hint="eastAsia"/>
              </w:rPr>
              <w:t>报价文件开启后将开启签字时段，供应商须在</w:t>
            </w:r>
            <w:r>
              <w:rPr>
                <w:rFonts w:hint="eastAsia"/>
                <w:b/>
                <w:bCs/>
                <w:color w:val="000000" w:themeColor="text1"/>
                <w14:textFill>
                  <w14:solidFill>
                    <w14:schemeClr w14:val="tx1"/>
                  </w14:solidFill>
                </w14:textFill>
              </w:rPr>
              <w:t>20分钟内用CA证书对报价进行签字确认，如未按时签字确认视为默认投标报价。</w:t>
            </w:r>
          </w:p>
          <w:p>
            <w:pPr>
              <w:adjustRightInd w:val="0"/>
              <w:snapToGrid w:val="0"/>
              <w:spacing w:line="400" w:lineRule="exact"/>
              <w:jc w:val="left"/>
              <w:rPr>
                <w:b/>
                <w:bCs/>
              </w:rPr>
            </w:pPr>
            <w:r>
              <w:rPr>
                <w:rFonts w:hint="eastAsia"/>
                <w:b/>
                <w:bCs/>
              </w:rPr>
              <w:t>3、备注:</w:t>
            </w:r>
          </w:p>
          <w:p>
            <w:pPr>
              <w:adjustRightInd w:val="0"/>
              <w:snapToGrid w:val="0"/>
              <w:spacing w:line="400" w:lineRule="exact"/>
              <w:jc w:val="left"/>
            </w:pPr>
            <w:r>
              <w:rPr>
                <w:rFonts w:hint="eastAsia"/>
              </w:rPr>
              <w:t>（1）本次采购采用电子交易方式，电子交易平台为“政府采购云平台（www.zcygov.cn）”。供应商参与本项目电子交易活动前，应注册成为政府采购云平台供应商。编制电子投标文件前还需申领CA证书并绑定帐号.</w:t>
            </w:r>
          </w:p>
          <w:p>
            <w:pPr>
              <w:adjustRightInd w:val="0"/>
              <w:snapToGrid w:val="0"/>
              <w:spacing w:line="400" w:lineRule="exact"/>
              <w:jc w:val="left"/>
            </w:pPr>
            <w:r>
              <w:rPr>
                <w:rFonts w:hint="eastAsia"/>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adjustRightInd w:val="0"/>
              <w:snapToGrid w:val="0"/>
              <w:spacing w:line="400" w:lineRule="exact"/>
              <w:jc w:val="left"/>
            </w:pPr>
            <w:r>
              <w:rPr>
                <w:rFonts w:hint="eastAsia"/>
              </w:rPr>
              <w:t>（3）供应商应当在投标截止时间前，将“电子招投标供应商客户端”生成的“电子加密投标文件”上传电子交易平台。</w:t>
            </w:r>
          </w:p>
          <w:p>
            <w:pPr>
              <w:adjustRightInd w:val="0"/>
              <w:snapToGrid w:val="0"/>
              <w:spacing w:line="400" w:lineRule="exact"/>
              <w:jc w:val="left"/>
            </w:pPr>
            <w:r>
              <w:rPr>
                <w:rFonts w:hint="eastAsia"/>
              </w:rPr>
              <w:t>（4）服务与支持。各政府采购代理机构（含集采机构）及供应商对不见面开评标系统的技术操作咨询，可通过</w:t>
            </w:r>
            <w:r>
              <w:fldChar w:fldCharType="begin"/>
            </w:r>
            <w:r>
              <w:instrText xml:space="preserve"> HYPERLINK "https://edu.zcygov.cn/luban/xinjiang-e-biding" </w:instrText>
            </w:r>
            <w:r>
              <w:fldChar w:fldCharType="separate"/>
            </w:r>
            <w:r>
              <w:rPr>
                <w:rFonts w:hint="eastAsia"/>
              </w:rPr>
              <w:t>https://edu.zcygov.cn/luban/xinjiang-e-biding</w:t>
            </w:r>
            <w:r>
              <w:rPr>
                <w:rFonts w:hint="eastAsia"/>
              </w:rPr>
              <w:fldChar w:fldCharType="end"/>
            </w:r>
            <w:r>
              <w:rPr>
                <w:rFonts w:hint="eastAsia"/>
              </w:rPr>
              <w:t>自助查询，也可在政采云帮助中心常见问题解答和操作流程讲解视频中自助查询，网址为：</w:t>
            </w:r>
            <w:r>
              <w:fldChar w:fldCharType="begin"/>
            </w:r>
            <w:r>
              <w:instrText xml:space="preserve"> HYPERLINK "https://service.zcygov.cn/" \l "/help" </w:instrText>
            </w:r>
            <w:r>
              <w:fldChar w:fldCharType="separate"/>
            </w:r>
            <w:r>
              <w:rPr>
                <w:rFonts w:hint="eastAsia"/>
              </w:rPr>
              <w:t>https://service.zcygov.cn/#/help</w:t>
            </w:r>
            <w:r>
              <w:rPr>
                <w:rFonts w:hint="eastAsia"/>
              </w:rPr>
              <w:fldChar w:fldCharType="end"/>
            </w:r>
            <w:r>
              <w:rPr>
                <w:rFonts w:hint="eastAsia"/>
              </w:rPr>
              <w:t>，“项目采购—操作流程—电子招投标—政府采购项目电子交易管理操作指南-供应商”版面获取操作指南，同时对自助查询无法解决的问题可通过钉钉群及政采云在线客服获取服务支</w:t>
            </w:r>
            <w:r>
              <w:t>持。</w:t>
            </w:r>
            <w:r>
              <w:rPr>
                <w:rFonts w:hint="eastAsia"/>
              </w:rPr>
              <w:t>政采云热线人工号码：95763</w:t>
            </w:r>
          </w:p>
          <w:p>
            <w:pPr>
              <w:adjustRightInd w:val="0"/>
              <w:snapToGrid w:val="0"/>
              <w:spacing w:line="400" w:lineRule="exact"/>
              <w:jc w:val="left"/>
            </w:pPr>
            <w:r>
              <w:rPr>
                <w:rFonts w:hint="eastAsia"/>
              </w:rPr>
              <w:t>（5）建议投标人使用带有摄像头和麦克风的设备，以备评标演示时使用，投标人自行承担因投标人设备原因而产生的不利后果。浏览器要求：建议使用者谷歌Chrome浏览器或360极速浏览器。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96" w:hRule="atLeast"/>
          <w:jc w:val="center"/>
        </w:trPr>
        <w:tc>
          <w:tcPr>
            <w:tcW w:w="2267" w:type="dxa"/>
            <w:vAlign w:val="center"/>
          </w:tcPr>
          <w:p>
            <w:pPr>
              <w:spacing w:before="62" w:beforeLines="20" w:line="288" w:lineRule="auto"/>
              <w:jc w:val="center"/>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CA办理及技术支持</w:t>
            </w:r>
          </w:p>
        </w:tc>
        <w:tc>
          <w:tcPr>
            <w:tcW w:w="6578" w:type="dxa"/>
            <w:gridSpan w:val="2"/>
            <w:vAlign w:val="center"/>
          </w:tcPr>
          <w:p>
            <w:pPr>
              <w:pStyle w:val="25"/>
              <w:rPr>
                <w:rFonts w:ascii="Times New Roman" w:hAnsi="Times New Roman"/>
                <w:color w:val="000000" w:themeColor="text1"/>
                <w:sz w:val="21"/>
                <w:szCs w:val="24"/>
                <w14:textFill>
                  <w14:solidFill>
                    <w14:schemeClr w14:val="tx1"/>
                  </w14:solidFill>
                </w14:textFill>
              </w:rPr>
            </w:pPr>
            <w:r>
              <w:rPr>
                <w:rFonts w:hint="eastAsia" w:ascii="Times New Roman" w:hAnsi="Times New Roman"/>
                <w:color w:val="000000" w:themeColor="text1"/>
                <w:sz w:val="21"/>
                <w:szCs w:val="24"/>
                <w14:textFill>
                  <w14:solidFill>
                    <w14:schemeClr w14:val="tx1"/>
                  </w14:solidFill>
                </w14:textFill>
              </w:rPr>
              <w:t>CA服务电话：0991-2819290</w:t>
            </w:r>
          </w:p>
          <w:p>
            <w:pPr>
              <w:pStyle w:val="25"/>
              <w:rPr>
                <w:rFonts w:ascii="Times New Roman" w:hAnsi="Times New Roman"/>
                <w:color w:val="000000" w:themeColor="text1"/>
                <w:sz w:val="21"/>
                <w:szCs w:val="24"/>
                <w14:textFill>
                  <w14:solidFill>
                    <w14:schemeClr w14:val="tx1"/>
                  </w14:solidFill>
                </w14:textFill>
              </w:rPr>
            </w:pPr>
            <w:r>
              <w:rPr>
                <w:rFonts w:hint="eastAsia" w:ascii="Times New Roman" w:hAnsi="Times New Roman"/>
                <w:color w:val="000000" w:themeColor="text1"/>
                <w:sz w:val="21"/>
                <w:szCs w:val="24"/>
                <w14:textFill>
                  <w14:solidFill>
                    <w14:schemeClr w14:val="tx1"/>
                  </w14:solidFill>
                </w14:textFill>
              </w:rPr>
              <w:t>CA申领地址：https://www.xjca.com.cn/article/content/201802/582/1.html</w:t>
            </w:r>
          </w:p>
        </w:tc>
      </w:tr>
    </w:tbl>
    <w:p>
      <w:pPr>
        <w:adjustRightInd w:val="0"/>
        <w:snapToGrid w:val="0"/>
        <w:spacing w:line="360" w:lineRule="auto"/>
        <w:jc w:val="center"/>
        <w:outlineLvl w:val="1"/>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br w:type="page"/>
      </w:r>
      <w:bookmarkStart w:id="14" w:name="_Toc474235943"/>
      <w:r>
        <w:rPr>
          <w:rFonts w:hint="eastAsia" w:ascii="宋体" w:hAnsi="宋体"/>
          <w:b/>
          <w:color w:val="000000" w:themeColor="text1"/>
          <w:sz w:val="24"/>
          <w14:textFill>
            <w14:solidFill>
              <w14:schemeClr w14:val="tx1"/>
            </w14:solidFill>
          </w14:textFill>
        </w:rPr>
        <w:t>投标须知正文</w:t>
      </w:r>
      <w:bookmarkEnd w:id="13"/>
      <w:bookmarkEnd w:id="14"/>
    </w:p>
    <w:p>
      <w:pPr>
        <w:adjustRightInd w:val="0"/>
        <w:snapToGrid w:val="0"/>
        <w:spacing w:line="360" w:lineRule="auto"/>
        <w:outlineLvl w:val="2"/>
        <w:rPr>
          <w:rFonts w:ascii="宋体" w:hAnsi="宋体"/>
          <w:b/>
          <w:color w:val="000000" w:themeColor="text1"/>
          <w:sz w:val="24"/>
          <w14:textFill>
            <w14:solidFill>
              <w14:schemeClr w14:val="tx1"/>
            </w14:solidFill>
          </w14:textFill>
        </w:rPr>
      </w:pPr>
      <w:bookmarkStart w:id="15" w:name="_Toc420948008"/>
      <w:bookmarkStart w:id="16" w:name="_Toc474235944"/>
      <w:r>
        <w:rPr>
          <w:rFonts w:hint="eastAsia" w:ascii="宋体" w:hAnsi="宋体"/>
          <w:b/>
          <w:color w:val="000000" w:themeColor="text1"/>
          <w:sz w:val="24"/>
          <w14:textFill>
            <w14:solidFill>
              <w14:schemeClr w14:val="tx1"/>
            </w14:solidFill>
          </w14:textFill>
        </w:rPr>
        <w:t>一、</w:t>
      </w:r>
      <w:bookmarkEnd w:id="15"/>
      <w:r>
        <w:rPr>
          <w:rFonts w:hint="eastAsia" w:ascii="宋体" w:hAnsi="宋体"/>
          <w:b/>
          <w:color w:val="000000" w:themeColor="text1"/>
          <w:sz w:val="24"/>
          <w14:textFill>
            <w14:solidFill>
              <w14:schemeClr w14:val="tx1"/>
            </w14:solidFill>
          </w14:textFill>
        </w:rPr>
        <w:t>总则</w:t>
      </w:r>
      <w:bookmarkEnd w:id="16"/>
    </w:p>
    <w:p>
      <w:pPr>
        <w:adjustRightInd w:val="0"/>
        <w:snapToGrid w:val="0"/>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 项目概况</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1.1项目名称：详见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1.2采购范围：详见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1.3项目地点：详见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1.4采购方式：详见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1.5完工期限：详见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2.定义</w:t>
      </w:r>
    </w:p>
    <w:p>
      <w:pPr>
        <w:adjustRightInd w:val="0"/>
        <w:snapToGrid w:val="0"/>
        <w:spacing w:line="360" w:lineRule="auto"/>
        <w:ind w:firstLine="420" w:firstLineChars="20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 “采购人”是指依法进行政府采购的国家机关、事业单位、团体组织。采购人名称、地址、电话、联系人见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 “采购代理机构”是指接受采购人委托，代理采购项目的集中采购机构和其他采购代理机构。采购代理机构名称、地址、电话、联系人见</w:t>
      </w:r>
      <w:r>
        <w:rPr>
          <w:rFonts w:hint="eastAsia" w:ascii="宋体" w:hAnsi="宋体"/>
          <w:b/>
          <w:color w:val="000000" w:themeColor="text1"/>
          <w:szCs w:val="21"/>
          <w14:textFill>
            <w14:solidFill>
              <w14:schemeClr w14:val="tx1"/>
            </w14:solidFill>
          </w14:textFill>
        </w:rPr>
        <w:t>投标须知前附表。</w:t>
      </w:r>
    </w:p>
    <w:p>
      <w:pPr>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2.3 “投标人”是指响应招标文件要求、参加招标采购的法人、其他组织或者自然人。</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 “货物”是指各种形态和种类的物品，包括原材料、燃料、设备、产品等，详见《政府采购品目分类目录》(</w:t>
      </w:r>
      <w:r>
        <w:rPr>
          <w:rStyle w:val="50"/>
          <w:rFonts w:ascii="宋体" w:hAnsi="宋体"/>
          <w:b w:val="0"/>
          <w:color w:val="000000" w:themeColor="text1"/>
          <w14:textFill>
            <w14:solidFill>
              <w14:schemeClr w14:val="tx1"/>
            </w14:solidFill>
          </w14:textFill>
        </w:rPr>
        <w:t>财库</w:t>
      </w:r>
      <w:r>
        <w:rPr>
          <w:rStyle w:val="50"/>
          <w:rFonts w:hint="eastAsia" w:ascii="宋体" w:hAnsi="宋体"/>
          <w:b w:val="0"/>
          <w:color w:val="000000" w:themeColor="text1"/>
          <w14:textFill>
            <w14:solidFill>
              <w14:schemeClr w14:val="tx1"/>
            </w14:solidFill>
          </w14:textFill>
        </w:rPr>
        <w:t>[</w:t>
      </w:r>
      <w:r>
        <w:rPr>
          <w:rStyle w:val="50"/>
          <w:rFonts w:ascii="宋体" w:hAnsi="宋体"/>
          <w:b w:val="0"/>
          <w:color w:val="000000" w:themeColor="text1"/>
          <w14:textFill>
            <w14:solidFill>
              <w14:schemeClr w14:val="tx1"/>
            </w14:solidFill>
          </w14:textFill>
        </w:rPr>
        <w:t>20</w:t>
      </w:r>
      <w:r>
        <w:rPr>
          <w:rStyle w:val="50"/>
          <w:rFonts w:hint="eastAsia" w:ascii="宋体" w:hAnsi="宋体"/>
          <w:b w:val="0"/>
          <w:color w:val="000000" w:themeColor="text1"/>
          <w14:textFill>
            <w14:solidFill>
              <w14:schemeClr w14:val="tx1"/>
            </w14:solidFill>
          </w14:textFill>
        </w:rPr>
        <w:t>22]31</w:t>
      </w:r>
      <w:r>
        <w:rPr>
          <w:rStyle w:val="50"/>
          <w:rFonts w:ascii="宋体" w:hAnsi="宋体"/>
          <w:b w:val="0"/>
          <w:color w:val="000000" w:themeColor="text1"/>
          <w14:textFill>
            <w14:solidFill>
              <w14:schemeClr w14:val="tx1"/>
            </w14:solidFill>
          </w14:textFill>
        </w:rPr>
        <w:t>号</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2.5 “进口产品”是指通过中国海关报关验收进入中国境内且产自关境外的产品，详见《</w:t>
      </w:r>
      <w:r>
        <w:rPr>
          <w:rFonts w:ascii="宋体" w:hAnsi="宋体" w:cs="宋体"/>
          <w:color w:val="000000" w:themeColor="text1"/>
          <w:kern w:val="0"/>
          <w:szCs w:val="21"/>
          <w14:textFill>
            <w14:solidFill>
              <w14:schemeClr w14:val="tx1"/>
            </w14:solidFill>
          </w14:textFill>
        </w:rPr>
        <w:t>关于政府采购进口产品管理有关问题的通知</w:t>
      </w:r>
      <w:r>
        <w:rPr>
          <w:rFonts w:hint="eastAsia" w:ascii="宋体" w:hAnsi="宋体" w:cs="宋体"/>
          <w:color w:val="000000" w:themeColor="text1"/>
          <w:kern w:val="0"/>
          <w:szCs w:val="21"/>
          <w14:textFill>
            <w14:solidFill>
              <w14:schemeClr w14:val="tx1"/>
            </w14:solidFill>
          </w14:textFill>
        </w:rPr>
        <w:t>》(财库[2007]119号)。</w:t>
      </w:r>
    </w:p>
    <w:p>
      <w:pPr>
        <w:adjustRightInd w:val="0"/>
        <w:snapToGrid w:val="0"/>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2.6偏离</w:t>
      </w:r>
    </w:p>
    <w:p>
      <w:pPr>
        <w:adjustRightInd w:val="0"/>
        <w:snapToGrid w:val="0"/>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2.6.1本条所称偏离为投标文件对招标文件的偏离，即不满足、或不响应招标文件的要求。偏离分为对招标文件的实质性要求条款偏离和对招标文件的一般商务和技术条款偏离。</w:t>
      </w:r>
    </w:p>
    <w:p>
      <w:pPr>
        <w:adjustRightInd w:val="0"/>
        <w:snapToGrid w:val="0"/>
        <w:spacing w:line="360" w:lineRule="auto"/>
        <w:ind w:firstLine="422" w:firstLineChars="20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2.6.2除法律、法规和规章规定外，招标文件中用“拒绝”、“不接受”、“无效”、“不得”等文字规定的条款为实质性要求条款（即重要条款），对其中任何一条的偏离，在评标时将其视为无效投标。未用上述文字规定或符号标注的条款为非实质性要求条款(即一般条款)。</w:t>
      </w:r>
    </w:p>
    <w:p>
      <w:pPr>
        <w:adjustRightInd w:val="0"/>
        <w:snapToGrid w:val="0"/>
        <w:spacing w:line="360" w:lineRule="auto"/>
        <w:ind w:firstLine="422"/>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2.7.特别说明</w:t>
      </w:r>
    </w:p>
    <w:p>
      <w:pPr>
        <w:adjustRightInd w:val="0"/>
        <w:snapToGrid w:val="0"/>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2.7.1投标人投标所使用的资格、信誉、荣誉、业绩与企业认证等必须为投标人所拥有。</w:t>
      </w:r>
    </w:p>
    <w:p>
      <w:pPr>
        <w:adjustRightInd w:val="0"/>
        <w:snapToGrid w:val="0"/>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2.7.2投标人应仔细阅读招标文件的所有内容，按照招标文件的要求提交投标文件，并对所提供的全部资料的真实性承担法律责任。</w:t>
      </w:r>
    </w:p>
    <w:p>
      <w:pPr>
        <w:adjustRightInd w:val="0"/>
        <w:snapToGrid w:val="0"/>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2.7.3投标人在投标活动中提供任何虚假材料，其投标无效并承担相应法律责任。</w:t>
      </w:r>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3.投标人的资格要求</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 投标人应当符合</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中规定的资格条件要求；</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 投标人不得存在下列情形之一：</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（l）与采购人、采购代理机构存在</w:t>
      </w:r>
      <w:r>
        <w:rPr>
          <w:rFonts w:hint="eastAsia" w:ascii="宋体" w:hAnsi="宋体"/>
          <w:bCs/>
          <w:color w:val="000000" w:themeColor="text1"/>
          <w:szCs w:val="21"/>
          <w14:textFill>
            <w14:solidFill>
              <w14:schemeClr w14:val="tx1"/>
            </w14:solidFill>
          </w14:textFill>
        </w:rPr>
        <w:t>利害关系</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（2）单位负责人为同一人或者存在直接控股、管理关系的不同投标单位，不得参加同一合同项下的政府采购活动。</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（3）除单一来源采购项目外，为采购项目提供整体设计、规范编制或者项目管理、监理、检测等服务的投标单位，不得再参加该采购项目的其他采购活动。</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3.3 投标人具有履行合同所必需的设备和专业技术能力，在人员、设备、资金等方面具有相应能力；投标人提供的的产品必须是成熟产品；在项目地具有技术支持和后续服务等能力。</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3.4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w:t>
      </w:r>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4. 投标费用和知识产权</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4.1投标人应承担其参加本招标活动自身所发生的费用。招标文件所提供的资料，是采购人现有的能被投标人利用的资料，采购人对投标人做出的任何推论、理解和结论均不负责任。</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投标人应保证，在中华人民共和国境内使用投标成果、服务或其任何一部分时，不会产生因第三方提出侵犯其专利权或其它知识产权而引起的法律和经济纠纷。如投标人不拥有相应的知识产权，则在报价中须包括合法获取该知识产权的相关费用。</w:t>
      </w:r>
    </w:p>
    <w:p>
      <w:pPr>
        <w:pStyle w:val="25"/>
        <w:adjustRightInd w:val="0"/>
        <w:snapToGrid w:val="0"/>
        <w:spacing w:line="360" w:lineRule="auto"/>
        <w:rPr>
          <w:rFonts w:ascii="宋体" w:hAnsi="宋体"/>
          <w:b/>
          <w:bCs/>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5．</w:t>
      </w:r>
      <w:r>
        <w:rPr>
          <w:rFonts w:hint="eastAsia" w:ascii="宋体" w:hAnsi="宋体"/>
          <w:b/>
          <w:bCs/>
          <w:color w:val="000000" w:themeColor="text1"/>
          <w:sz w:val="21"/>
          <w:szCs w:val="21"/>
          <w14:textFill>
            <w14:solidFill>
              <w14:schemeClr w14:val="tx1"/>
            </w14:solidFill>
          </w14:textFill>
        </w:rPr>
        <w:t>授权委托</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5.1投标人代表为投标人法定代表人的，应提供法定代表人身份证明。投标人代表不是投标人法定代表人的，应提供法定代表人授权书。</w:t>
      </w:r>
    </w:p>
    <w:p>
      <w:pPr>
        <w:pStyle w:val="25"/>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6．联合体形式</w:t>
      </w:r>
      <w:r>
        <w:rPr>
          <w:rFonts w:hint="eastAsia" w:ascii="宋体" w:hAnsi="宋体"/>
          <w:color w:val="000000" w:themeColor="text1"/>
          <w:sz w:val="21"/>
          <w:szCs w:val="21"/>
          <w14:textFill>
            <w14:solidFill>
              <w14:schemeClr w14:val="tx1"/>
            </w14:solidFill>
          </w14:textFill>
        </w:rPr>
        <w:t xml:space="preserve"> </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6.1除</w:t>
      </w:r>
      <w:r>
        <w:rPr>
          <w:rFonts w:hint="eastAsia" w:ascii="宋体" w:hAnsi="宋体"/>
          <w:b/>
          <w:color w:val="000000" w:themeColor="text1"/>
          <w:sz w:val="21"/>
          <w:szCs w:val="21"/>
          <w14:textFill>
            <w14:solidFill>
              <w14:schemeClr w14:val="tx1"/>
            </w14:solidFill>
          </w14:textFill>
        </w:rPr>
        <w:t>投标须知前附表</w:t>
      </w:r>
      <w:r>
        <w:rPr>
          <w:rFonts w:hint="eastAsia" w:ascii="宋体" w:hAnsi="宋体"/>
          <w:color w:val="000000" w:themeColor="text1"/>
          <w:sz w:val="21"/>
          <w:szCs w:val="21"/>
          <w14:textFill>
            <w14:solidFill>
              <w14:schemeClr w14:val="tx1"/>
            </w14:solidFill>
          </w14:textFill>
        </w:rPr>
        <w:t>中另有规定，本次招标采购不接受为联合体形式的投标人。</w:t>
      </w:r>
    </w:p>
    <w:p>
      <w:pPr>
        <w:adjustRightInd w:val="0"/>
        <w:snapToGrid w:val="0"/>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7.现场勘察</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7.1投标人应按</w:t>
      </w:r>
      <w:r>
        <w:rPr>
          <w:rFonts w:hint="eastAsia" w:ascii="宋体" w:hAnsi="宋体"/>
          <w:b/>
          <w:color w:val="000000" w:themeColor="text1"/>
          <w14:textFill>
            <w14:solidFill>
              <w14:schemeClr w14:val="tx1"/>
            </w14:solidFill>
          </w14:textFill>
        </w:rPr>
        <w:t>投标须知前附表</w:t>
      </w:r>
      <w:r>
        <w:rPr>
          <w:rFonts w:hint="eastAsia" w:ascii="宋体" w:hAnsi="宋体"/>
          <w:color w:val="000000" w:themeColor="text1"/>
          <w14:textFill>
            <w14:solidFill>
              <w14:schemeClr w14:val="tx1"/>
            </w14:solidFill>
          </w14:textFill>
        </w:rPr>
        <w:t>中规定</w:t>
      </w:r>
      <w:r>
        <w:rPr>
          <w:rFonts w:hint="eastAsia" w:ascii="宋体" w:hAnsi="宋体"/>
          <w:color w:val="000000" w:themeColor="text1"/>
          <w:szCs w:val="21"/>
          <w14:textFill>
            <w14:solidFill>
              <w14:schemeClr w14:val="tx1"/>
            </w14:solidFill>
          </w14:textFill>
        </w:rPr>
        <w:t>对招标采购项目现场设备型号、数量和周围环境进行现场考察。</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7.2勘察现场的费用由投标人自己承担，勘察期间所发生的人身伤害及 财产损失由投标人自己负责。</w:t>
      </w:r>
    </w:p>
    <w:p>
      <w:pPr>
        <w:adjustRightInd w:val="0"/>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7.3采购人不对投标人据此而做出的推论、理解和结论负责。一旦中标，投标人不得以任何借口，而提出额外补偿，或延长合同期限的要求。</w:t>
      </w:r>
    </w:p>
    <w:p>
      <w:pPr>
        <w:adjustRightInd w:val="0"/>
        <w:snapToGrid w:val="0"/>
        <w:spacing w:line="360" w:lineRule="auto"/>
        <w:jc w:val="lef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8.采购进口产品</w:t>
      </w:r>
    </w:p>
    <w:p>
      <w:pPr>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8.1除</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另有规定外，本项目</w:t>
      </w:r>
      <w:r>
        <w:rPr>
          <w:rFonts w:hint="eastAsia" w:ascii="宋体" w:hAnsi="宋体" w:cs="宋体"/>
          <w:color w:val="000000" w:themeColor="text1"/>
          <w:kern w:val="0"/>
          <w:szCs w:val="21"/>
          <w14:textFill>
            <w14:solidFill>
              <w14:schemeClr w14:val="tx1"/>
            </w14:solidFill>
          </w14:textFill>
        </w:rPr>
        <w:t>拒绝进口产品参加</w:t>
      </w:r>
      <w:r>
        <w:rPr>
          <w:rFonts w:hint="eastAsia" w:ascii="宋体" w:hAnsi="宋体"/>
          <w:color w:val="000000" w:themeColor="text1"/>
          <w:szCs w:val="21"/>
          <w14:textFill>
            <w14:solidFill>
              <w14:schemeClr w14:val="tx1"/>
            </w14:solidFill>
          </w14:textFill>
        </w:rPr>
        <w:t>招标采购活动</w:t>
      </w:r>
      <w:r>
        <w:rPr>
          <w:rFonts w:hint="eastAsia" w:ascii="宋体" w:hAnsi="宋体" w:cs="宋体"/>
          <w:color w:val="000000" w:themeColor="text1"/>
          <w:kern w:val="0"/>
          <w:szCs w:val="21"/>
          <w14:textFill>
            <w14:solidFill>
              <w14:schemeClr w14:val="tx1"/>
            </w14:solidFill>
          </w14:textFill>
        </w:rPr>
        <w:t>。</w:t>
      </w:r>
    </w:p>
    <w:p>
      <w:pPr>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8.2</w:t>
      </w:r>
      <w:r>
        <w:rPr>
          <w:rFonts w:hint="eastAsia" w:ascii="宋体" w:hAnsi="宋体"/>
          <w:color w:val="000000" w:themeColor="text1"/>
          <w:szCs w:val="21"/>
          <w14:textFill>
            <w14:solidFill>
              <w14:schemeClr w14:val="tx1"/>
            </w14:solidFill>
          </w14:textFill>
        </w:rPr>
        <w:t>本章第8.1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olor w:val="000000" w:themeColor="text1"/>
          <w:szCs w:val="21"/>
          <w14:textFill>
            <w14:solidFill>
              <w14:schemeClr w14:val="tx1"/>
            </w14:solidFill>
          </w14:textFill>
        </w:rPr>
        <w:t>规定</w:t>
      </w:r>
      <w:r>
        <w:rPr>
          <w:rFonts w:ascii="宋体" w:hAnsi="宋体" w:cs="宋体"/>
          <w:color w:val="000000" w:themeColor="text1"/>
          <w:kern w:val="0"/>
          <w:szCs w:val="21"/>
          <w14:textFill>
            <w14:solidFill>
              <w14:schemeClr w14:val="tx1"/>
            </w14:solidFill>
          </w14:textFill>
        </w:rPr>
        <w:t>同意购买进口产品的</w:t>
      </w:r>
      <w:r>
        <w:rPr>
          <w:rFonts w:hint="eastAsia" w:ascii="宋体" w:hAnsi="宋体" w:cs="宋体"/>
          <w:color w:val="000000" w:themeColor="text1"/>
          <w:kern w:val="0"/>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本项目</w:t>
      </w:r>
      <w:r>
        <w:rPr>
          <w:rFonts w:hint="eastAsia" w:ascii="宋体" w:hAnsi="宋体" w:cs="宋体"/>
          <w:color w:val="000000" w:themeColor="text1"/>
          <w:kern w:val="0"/>
          <w:szCs w:val="21"/>
          <w:lang w:val="zh-CN"/>
          <w14:textFill>
            <w14:solidFill>
              <w14:schemeClr w14:val="tx1"/>
            </w14:solidFill>
          </w14:textFill>
        </w:rPr>
        <w:t>采购活动</w:t>
      </w:r>
      <w:r>
        <w:rPr>
          <w:rFonts w:hint="eastAsia" w:ascii="宋体" w:hAnsi="宋体" w:cs="宋体"/>
          <w:color w:val="000000" w:themeColor="text1"/>
          <w:kern w:val="0"/>
          <w:szCs w:val="21"/>
          <w14:textFill>
            <w14:solidFill>
              <w14:schemeClr w14:val="tx1"/>
            </w14:solidFill>
          </w14:textFill>
        </w:rPr>
        <w:t>不</w:t>
      </w:r>
      <w:r>
        <w:rPr>
          <w:rFonts w:ascii="宋体" w:hAnsi="宋体" w:cs="宋体"/>
          <w:color w:val="000000" w:themeColor="text1"/>
          <w:kern w:val="0"/>
          <w:szCs w:val="21"/>
          <w14:textFill>
            <w14:solidFill>
              <w14:schemeClr w14:val="tx1"/>
            </w14:solidFill>
          </w14:textFill>
        </w:rPr>
        <w:t>限制满足</w:t>
      </w:r>
      <w:r>
        <w:rPr>
          <w:rFonts w:hint="eastAsia" w:ascii="宋体" w:hAnsi="宋体"/>
          <w:color w:val="000000" w:themeColor="text1"/>
          <w:szCs w:val="21"/>
          <w14:textFill>
            <w14:solidFill>
              <w14:schemeClr w14:val="tx1"/>
            </w14:solidFill>
          </w14:textFill>
        </w:rPr>
        <w:t>招标文件要求</w:t>
      </w:r>
      <w:r>
        <w:rPr>
          <w:rFonts w:ascii="宋体" w:hAnsi="宋体" w:cs="宋体"/>
          <w:color w:val="000000" w:themeColor="text1"/>
          <w:kern w:val="0"/>
          <w:szCs w:val="21"/>
          <w14:textFill>
            <w14:solidFill>
              <w14:schemeClr w14:val="tx1"/>
            </w14:solidFill>
          </w14:textFill>
        </w:rPr>
        <w:t>的国内产品参与</w:t>
      </w:r>
      <w:r>
        <w:rPr>
          <w:rFonts w:hint="eastAsia" w:ascii="宋体" w:hAnsi="宋体"/>
          <w:color w:val="000000" w:themeColor="text1"/>
          <w:szCs w:val="21"/>
          <w14:textFill>
            <w14:solidFill>
              <w14:schemeClr w14:val="tx1"/>
            </w14:solidFill>
          </w14:textFill>
        </w:rPr>
        <w:t>招标</w:t>
      </w:r>
      <w:r>
        <w:rPr>
          <w:rFonts w:ascii="宋体" w:hAnsi="宋体" w:cs="宋体"/>
          <w:color w:val="000000" w:themeColor="text1"/>
          <w:kern w:val="0"/>
          <w:szCs w:val="21"/>
          <w14:textFill>
            <w14:solidFill>
              <w14:schemeClr w14:val="tx1"/>
            </w14:solidFill>
          </w14:textFill>
        </w:rPr>
        <w:t>。</w:t>
      </w:r>
    </w:p>
    <w:p>
      <w:pPr>
        <w:adjustRightInd w:val="0"/>
        <w:snapToGrid w:val="0"/>
        <w:spacing w:line="360" w:lineRule="auto"/>
        <w:jc w:val="left"/>
        <w:rPr>
          <w:rFonts w:ascii="宋体" w:hAnsi="宋体"/>
          <w:b/>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9.</w:t>
      </w:r>
      <w:r>
        <w:rPr>
          <w:rFonts w:hint="eastAsia" w:ascii="宋体" w:hAnsi="宋体"/>
          <w:b/>
          <w:color w:val="000000" w:themeColor="text1"/>
          <w:szCs w:val="21"/>
          <w14:textFill>
            <w14:solidFill>
              <w14:schemeClr w14:val="tx1"/>
            </w14:solidFill>
          </w14:textFill>
        </w:rPr>
        <w:t xml:space="preserve">政府采购政策支持 </w:t>
      </w:r>
    </w:p>
    <w:p>
      <w:pPr>
        <w:adjustRightInd w:val="0"/>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9.1为</w:t>
      </w:r>
      <w:r>
        <w:rPr>
          <w:rFonts w:hint="eastAsia" w:ascii="宋体" w:hAnsi="宋体" w:cs="宋体"/>
          <w:color w:val="000000" w:themeColor="text1"/>
          <w:szCs w:val="21"/>
          <w14:textFill>
            <w14:solidFill>
              <w14:schemeClr w14:val="tx1"/>
            </w14:solidFill>
          </w14:textFill>
        </w:rPr>
        <w:t>推进政府采购诚信体系建设，</w:t>
      </w:r>
      <w:r>
        <w:rPr>
          <w:rFonts w:hint="eastAsia" w:ascii="宋体" w:hAnsi="宋体"/>
          <w:color w:val="000000" w:themeColor="text1"/>
          <w:szCs w:val="21"/>
          <w14:textFill>
            <w14:solidFill>
              <w14:schemeClr w14:val="tx1"/>
            </w14:solidFill>
          </w14:textFill>
        </w:rPr>
        <w:t>投标人在签署相关承诺，提供相关信息前，应认真阅读财政部门相关政策规定。符合本章第9.1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olor w:val="000000" w:themeColor="text1"/>
          <w:szCs w:val="21"/>
          <w14:textFill>
            <w14:solidFill>
              <w14:schemeClr w14:val="tx1"/>
            </w14:solidFill>
          </w14:textFill>
        </w:rPr>
        <w:t>的，应提供相关证明材料。</w:t>
      </w:r>
    </w:p>
    <w:p>
      <w:pPr>
        <w:pStyle w:val="25"/>
        <w:adjustRightInd w:val="0"/>
        <w:snapToGrid w:val="0"/>
        <w:spacing w:line="360" w:lineRule="auto"/>
        <w:ind w:firstLine="420" w:firstLineChars="200"/>
        <w:rPr>
          <w:color w:val="000000" w:themeColor="text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9.2电子版投标文件内所有资格证明文件，投标人须逐页加盖电子签章。</w:t>
      </w:r>
    </w:p>
    <w:p>
      <w:pPr>
        <w:adjustRightInd w:val="0"/>
        <w:snapToGrid w:val="0"/>
        <w:spacing w:line="360" w:lineRule="auto"/>
        <w:outlineLvl w:val="2"/>
        <w:rPr>
          <w:rFonts w:ascii="宋体" w:hAnsi="宋体"/>
          <w:b/>
          <w:color w:val="000000" w:themeColor="text1"/>
          <w:sz w:val="24"/>
          <w14:textFill>
            <w14:solidFill>
              <w14:schemeClr w14:val="tx1"/>
            </w14:solidFill>
          </w14:textFill>
        </w:rPr>
      </w:pPr>
      <w:bookmarkStart w:id="17" w:name="_Toc420948009"/>
      <w:bookmarkStart w:id="18" w:name="_Toc474235945"/>
      <w:r>
        <w:rPr>
          <w:rFonts w:hint="eastAsia" w:ascii="宋体" w:hAnsi="宋体"/>
          <w:b/>
          <w:color w:val="000000" w:themeColor="text1"/>
          <w:sz w:val="24"/>
          <w14:textFill>
            <w14:solidFill>
              <w14:schemeClr w14:val="tx1"/>
            </w14:solidFill>
          </w14:textFill>
        </w:rPr>
        <w:t>二、招标</w:t>
      </w:r>
      <w:bookmarkEnd w:id="17"/>
      <w:r>
        <w:rPr>
          <w:rFonts w:hint="eastAsia" w:ascii="宋体" w:hAnsi="宋体"/>
          <w:b/>
          <w:color w:val="000000" w:themeColor="text1"/>
          <w:sz w:val="24"/>
          <w14:textFill>
            <w14:solidFill>
              <w14:schemeClr w14:val="tx1"/>
            </w14:solidFill>
          </w14:textFill>
        </w:rPr>
        <w:t>文件</w:t>
      </w:r>
      <w:bookmarkEnd w:id="18"/>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10.招标文件的组成</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10.1 招标文件由下列文件组成：</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第一章 招标公告</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第二章 投标须知</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第三章 评标方法及标准</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第四章 政府采购合同格式条款</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第五章 采购需求</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第六章 投标文件格式</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10.2</w:t>
      </w:r>
      <w:r>
        <w:rPr>
          <w:rFonts w:hint="eastAsia" w:ascii="宋体" w:hAnsi="宋体"/>
          <w:bCs/>
          <w:color w:val="000000" w:themeColor="text1"/>
          <w:sz w:val="21"/>
          <w:szCs w:val="21"/>
          <w14:textFill>
            <w14:solidFill>
              <w14:schemeClr w14:val="tx1"/>
            </w14:solidFill>
          </w14:textFill>
        </w:rPr>
        <w:t>本章第11.1</w:t>
      </w:r>
      <w:r>
        <w:rPr>
          <w:rFonts w:hint="eastAsia" w:ascii="宋体" w:hAnsi="宋体" w:cs="宋体"/>
          <w:color w:val="000000" w:themeColor="text1"/>
          <w:kern w:val="0"/>
          <w:sz w:val="21"/>
          <w:szCs w:val="21"/>
          <w:lang w:val="zh-CN"/>
          <w14:textFill>
            <w14:solidFill>
              <w14:schemeClr w14:val="tx1"/>
            </w14:solidFill>
          </w14:textFill>
        </w:rPr>
        <w:t>款</w:t>
      </w:r>
      <w:r>
        <w:rPr>
          <w:rFonts w:hint="eastAsia" w:ascii="宋体" w:hAnsi="宋体"/>
          <w:bCs/>
          <w:color w:val="000000" w:themeColor="text1"/>
          <w:sz w:val="21"/>
          <w:szCs w:val="21"/>
          <w14:textFill>
            <w14:solidFill>
              <w14:schemeClr w14:val="tx1"/>
            </w14:solidFill>
          </w14:textFill>
        </w:rPr>
        <w:t>规定的</w:t>
      </w:r>
      <w:r>
        <w:rPr>
          <w:rFonts w:hint="eastAsia" w:ascii="宋体" w:hAnsi="宋体" w:cs="宋体"/>
          <w:color w:val="000000" w:themeColor="text1"/>
          <w:kern w:val="0"/>
          <w:sz w:val="21"/>
          <w:szCs w:val="21"/>
          <w14:textFill>
            <w14:solidFill>
              <w14:schemeClr w14:val="tx1"/>
            </w14:solidFill>
          </w14:textFill>
        </w:rPr>
        <w:t>提交投标文件截止时间前对招标文件澄清或者修改内容，为招标文件的组成部分。</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10.3</w:t>
      </w:r>
      <w:r>
        <w:rPr>
          <w:rFonts w:hint="eastAsia" w:ascii="宋体" w:hAnsi="宋体"/>
          <w:color w:val="000000" w:themeColor="text1"/>
          <w:szCs w:val="21"/>
          <w14:textFill>
            <w14:solidFill>
              <w14:schemeClr w14:val="tx1"/>
            </w14:solidFill>
          </w14:textFill>
        </w:rPr>
        <w:t>投标人应仔细阅读</w:t>
      </w:r>
      <w:r>
        <w:rPr>
          <w:rFonts w:hint="eastAsia" w:ascii="宋体" w:hAnsi="宋体"/>
          <w:bCs/>
          <w:color w:val="000000" w:themeColor="text1"/>
          <w:szCs w:val="21"/>
          <w14:textFill>
            <w14:solidFill>
              <w14:schemeClr w14:val="tx1"/>
            </w14:solidFill>
          </w14:textFill>
        </w:rPr>
        <w:t>招标文件</w:t>
      </w:r>
      <w:r>
        <w:rPr>
          <w:rFonts w:hint="eastAsia" w:ascii="宋体" w:hAnsi="宋体"/>
          <w:color w:val="000000" w:themeColor="text1"/>
          <w:szCs w:val="21"/>
          <w14:textFill>
            <w14:solidFill>
              <w14:schemeClr w14:val="tx1"/>
            </w14:solidFill>
          </w14:textFill>
        </w:rPr>
        <w:t>的全部内容，按照</w:t>
      </w:r>
      <w:r>
        <w:rPr>
          <w:rFonts w:hint="eastAsia" w:ascii="宋体" w:hAnsi="宋体"/>
          <w:bCs/>
          <w:color w:val="000000" w:themeColor="text1"/>
          <w:szCs w:val="21"/>
          <w14:textFill>
            <w14:solidFill>
              <w14:schemeClr w14:val="tx1"/>
            </w14:solidFill>
          </w14:textFill>
        </w:rPr>
        <w:t>招标文件</w:t>
      </w:r>
      <w:r>
        <w:rPr>
          <w:rFonts w:hint="eastAsia" w:ascii="宋体" w:hAnsi="宋体"/>
          <w:color w:val="000000" w:themeColor="text1"/>
          <w:szCs w:val="21"/>
          <w14:textFill>
            <w14:solidFill>
              <w14:schemeClr w14:val="tx1"/>
            </w14:solidFill>
          </w14:textFill>
        </w:rPr>
        <w:t>要求编制投标文件。任何对</w:t>
      </w:r>
      <w:r>
        <w:rPr>
          <w:rFonts w:hint="eastAsia" w:ascii="宋体" w:hAnsi="宋体"/>
          <w:bCs/>
          <w:color w:val="000000" w:themeColor="text1"/>
          <w:szCs w:val="21"/>
          <w14:textFill>
            <w14:solidFill>
              <w14:schemeClr w14:val="tx1"/>
            </w14:solidFill>
          </w14:textFill>
        </w:rPr>
        <w:t>招标文件</w:t>
      </w:r>
      <w:r>
        <w:rPr>
          <w:rFonts w:hint="eastAsia" w:ascii="宋体" w:hAnsi="宋体"/>
          <w:color w:val="000000" w:themeColor="text1"/>
          <w:szCs w:val="21"/>
          <w14:textFill>
            <w14:solidFill>
              <w14:schemeClr w14:val="tx1"/>
            </w14:solidFill>
          </w14:textFill>
        </w:rPr>
        <w:t>的忽略或误解不能作为投标文件存在缺陷或瑕疵的理由，其风险由投标人承担。</w:t>
      </w:r>
    </w:p>
    <w:p>
      <w:pPr>
        <w:pStyle w:val="25"/>
        <w:adjustRightInd w:val="0"/>
        <w:snapToGrid w:val="0"/>
        <w:spacing w:line="360" w:lineRule="auto"/>
        <w:rPr>
          <w:rFonts w:ascii="宋体" w:hAnsi="宋体"/>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11.</w:t>
      </w:r>
      <w:r>
        <w:rPr>
          <w:rFonts w:hint="eastAsia" w:ascii="宋体" w:hAnsi="宋体" w:cs="宋体"/>
          <w:b/>
          <w:color w:val="000000" w:themeColor="text1"/>
          <w:kern w:val="0"/>
          <w:sz w:val="21"/>
          <w:szCs w:val="21"/>
          <w14:textFill>
            <w14:solidFill>
              <w14:schemeClr w14:val="tx1"/>
            </w14:solidFill>
          </w14:textFill>
        </w:rPr>
        <w:t>提交投标文件</w:t>
      </w:r>
      <w:r>
        <w:rPr>
          <w:rFonts w:hint="eastAsia" w:ascii="宋体" w:hAnsi="宋体"/>
          <w:b/>
          <w:color w:val="000000" w:themeColor="text1"/>
          <w:sz w:val="21"/>
          <w:szCs w:val="21"/>
          <w14:textFill>
            <w14:solidFill>
              <w14:schemeClr w14:val="tx1"/>
            </w14:solidFill>
          </w14:textFill>
        </w:rPr>
        <w:t>的</w:t>
      </w:r>
      <w:r>
        <w:rPr>
          <w:rFonts w:hint="eastAsia" w:ascii="宋体" w:hAnsi="宋体" w:cs="宋体"/>
          <w:b/>
          <w:color w:val="000000" w:themeColor="text1"/>
          <w:kern w:val="0"/>
          <w:sz w:val="21"/>
          <w:szCs w:val="21"/>
          <w14:textFill>
            <w14:solidFill>
              <w14:schemeClr w14:val="tx1"/>
            </w14:solidFill>
          </w14:textFill>
        </w:rPr>
        <w:t>截止</w:t>
      </w:r>
      <w:r>
        <w:rPr>
          <w:rFonts w:hint="eastAsia" w:ascii="宋体" w:hAnsi="宋体"/>
          <w:b/>
          <w:color w:val="000000" w:themeColor="text1"/>
          <w:sz w:val="21"/>
          <w:szCs w:val="21"/>
          <w14:textFill>
            <w14:solidFill>
              <w14:schemeClr w14:val="tx1"/>
            </w14:solidFill>
          </w14:textFill>
        </w:rPr>
        <w:t>时间</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11.1投标人</w:t>
      </w:r>
      <w:r>
        <w:rPr>
          <w:rFonts w:hint="eastAsia" w:ascii="宋体" w:hAnsi="宋体" w:cs="宋体"/>
          <w:color w:val="000000" w:themeColor="text1"/>
          <w:kern w:val="0"/>
          <w:sz w:val="21"/>
          <w:szCs w:val="21"/>
          <w14:textFill>
            <w14:solidFill>
              <w14:schemeClr w14:val="tx1"/>
            </w14:solidFill>
          </w14:textFill>
        </w:rPr>
        <w:t>提交投标文件截止</w:t>
      </w:r>
      <w:r>
        <w:rPr>
          <w:rFonts w:hint="eastAsia" w:ascii="宋体" w:hAnsi="宋体"/>
          <w:color w:val="000000" w:themeColor="text1"/>
          <w:sz w:val="21"/>
          <w:szCs w:val="21"/>
          <w14:textFill>
            <w14:solidFill>
              <w14:schemeClr w14:val="tx1"/>
            </w14:solidFill>
          </w14:textFill>
        </w:rPr>
        <w:t>时间见</w:t>
      </w:r>
      <w:r>
        <w:rPr>
          <w:rFonts w:hint="eastAsia" w:ascii="宋体" w:hAnsi="宋体"/>
          <w:b/>
          <w:color w:val="000000" w:themeColor="text1"/>
          <w:sz w:val="21"/>
          <w:szCs w:val="21"/>
          <w14:textFill>
            <w14:solidFill>
              <w14:schemeClr w14:val="tx1"/>
            </w14:solidFill>
          </w14:textFill>
        </w:rPr>
        <w:t>投标须知前附表</w:t>
      </w:r>
      <w:r>
        <w:rPr>
          <w:rFonts w:hint="eastAsia" w:ascii="宋体" w:hAnsi="宋体"/>
          <w:color w:val="000000" w:themeColor="text1"/>
          <w:sz w:val="21"/>
          <w:szCs w:val="21"/>
          <w14:textFill>
            <w14:solidFill>
              <w14:schemeClr w14:val="tx1"/>
            </w14:solidFill>
          </w14:textFill>
        </w:rPr>
        <w:t>。</w:t>
      </w:r>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12.招标文件的澄清</w:t>
      </w:r>
      <w:r>
        <w:rPr>
          <w:rFonts w:hint="eastAsia" w:ascii="宋体" w:hAnsi="宋体"/>
          <w:b/>
          <w:color w:val="000000" w:themeColor="text1"/>
          <w:kern w:val="0"/>
          <w:szCs w:val="21"/>
          <w:lang w:val="zh-CN"/>
          <w14:textFill>
            <w14:solidFill>
              <w14:schemeClr w14:val="tx1"/>
            </w14:solidFill>
          </w14:textFill>
        </w:rPr>
        <w:t>或者</w:t>
      </w:r>
      <w:r>
        <w:rPr>
          <w:rFonts w:hint="eastAsia" w:ascii="宋体" w:hAnsi="宋体"/>
          <w:b/>
          <w:bCs/>
          <w:color w:val="000000" w:themeColor="text1"/>
          <w:szCs w:val="21"/>
          <w14:textFill>
            <w14:solidFill>
              <w14:schemeClr w14:val="tx1"/>
            </w14:solidFill>
          </w14:textFill>
        </w:rPr>
        <w:t>修改</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bookmarkStart w:id="19" w:name="_Toc420948010"/>
      <w:r>
        <w:rPr>
          <w:rFonts w:hint="eastAsia" w:ascii="宋体" w:hAnsi="宋体"/>
          <w:color w:val="000000" w:themeColor="text1"/>
          <w:sz w:val="21"/>
          <w:szCs w:val="21"/>
          <w14:textFill>
            <w14:solidFill>
              <w14:schemeClr w14:val="tx1"/>
            </w14:solidFill>
          </w14:textFill>
        </w:rPr>
        <w:t>12.1采购代理机构对已发出的招标文件进行必要澄清或者修改的，在招标文件前附表规定的提交投标文件截止时间十五日前，通知所有招标文件收受人。招标文件的澄清或者修改在新疆政府采购网上公布(新疆政府采购网， http://www.ccgp-xinjiang.gov.cn)或通过政采云平台自行获取，投标人应自行查阅澄清公告或更正公告，澄清或者修改文件作为招标文件的组成部分对投标人具有约束力。</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12.2 如果澄清或者修改发出的时间距规定的投标截止时间不足十五日，将相应顺延投标截止时间。</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12.3采购代理机构可以视采购具体情况，延长投标截止时间和开标时间，但应当在规定的提交投标文件的截止时间三日前，将变更时间书面通知所有招标文件收受人，并在指定的媒体上发布更正公告。</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12.4投标人认为招标文件存在歧视性条款的，应在收到招标文件之日或者招标文件公告期限届满之日起7个工作日内以书面形式向本代理机构提出。</w:t>
      </w:r>
    </w:p>
    <w:p>
      <w:pPr>
        <w:adjustRightInd w:val="0"/>
        <w:snapToGrid w:val="0"/>
        <w:spacing w:line="360" w:lineRule="auto"/>
        <w:outlineLvl w:val="2"/>
        <w:rPr>
          <w:rFonts w:ascii="宋体" w:hAnsi="宋体"/>
          <w:b/>
          <w:color w:val="000000" w:themeColor="text1"/>
          <w:sz w:val="24"/>
          <w14:textFill>
            <w14:solidFill>
              <w14:schemeClr w14:val="tx1"/>
            </w14:solidFill>
          </w14:textFill>
        </w:rPr>
      </w:pPr>
      <w:bookmarkStart w:id="20" w:name="_Toc474235946"/>
      <w:r>
        <w:rPr>
          <w:rFonts w:hint="eastAsia" w:ascii="宋体" w:hAnsi="宋体"/>
          <w:b/>
          <w:color w:val="000000" w:themeColor="text1"/>
          <w:sz w:val="24"/>
          <w14:textFill>
            <w14:solidFill>
              <w14:schemeClr w14:val="tx1"/>
            </w14:solidFill>
          </w14:textFill>
        </w:rPr>
        <w:t>三、投标文件</w:t>
      </w:r>
      <w:bookmarkEnd w:id="19"/>
      <w:bookmarkEnd w:id="20"/>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13.一般要求</w:t>
      </w:r>
    </w:p>
    <w:p>
      <w:pPr>
        <w:adjustRightInd w:val="0"/>
        <w:snapToGrid w:val="0"/>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13.1 </w:t>
      </w:r>
      <w:r>
        <w:rPr>
          <w:rFonts w:hint="eastAsia" w:ascii="宋体" w:hAnsi="宋体"/>
          <w:color w:val="000000" w:themeColor="text1"/>
          <w:szCs w:val="21"/>
          <w14:textFill>
            <w14:solidFill>
              <w14:schemeClr w14:val="tx1"/>
            </w14:solidFill>
          </w14:textFill>
        </w:rPr>
        <w:t>投标人</w:t>
      </w:r>
      <w:r>
        <w:rPr>
          <w:rFonts w:hint="eastAsia" w:ascii="宋体" w:hAnsi="宋体"/>
          <w:bCs/>
          <w:color w:val="000000" w:themeColor="text1"/>
          <w:szCs w:val="21"/>
          <w14:textFill>
            <w14:solidFill>
              <w14:schemeClr w14:val="tx1"/>
            </w14:solidFill>
          </w14:textFill>
        </w:rPr>
        <w:t>应仔细阅读招标文件的所有内容，按招标文件的要求编制投标文件，并保证所提供的全部资料的真实性，以使其投标文件对招标文件做出实质性的投标。</w:t>
      </w:r>
    </w:p>
    <w:p>
      <w:pPr>
        <w:adjustRightInd w:val="0"/>
        <w:snapToGrid w:val="0"/>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13.2 </w:t>
      </w:r>
      <w:r>
        <w:rPr>
          <w:rFonts w:hint="eastAsia" w:ascii="宋体" w:hAnsi="宋体"/>
          <w:color w:val="000000" w:themeColor="text1"/>
          <w:szCs w:val="21"/>
          <w14:textFill>
            <w14:solidFill>
              <w14:schemeClr w14:val="tx1"/>
            </w14:solidFill>
          </w14:textFill>
        </w:rPr>
        <w:t>投标人提交的投标文件及投标人与采购人或采购代理机构就有关招标的所有来往函电均使用中文。投标人可以提交其它语言的资料，但应附中文注释，在有差异时以中文为准。</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 xml:space="preserve">13.3 </w:t>
      </w:r>
      <w:r>
        <w:rPr>
          <w:rFonts w:hint="eastAsia" w:ascii="宋体" w:hAnsi="宋体"/>
          <w:color w:val="000000" w:themeColor="text1"/>
          <w:sz w:val="21"/>
          <w:szCs w:val="21"/>
          <w14:textFill>
            <w14:solidFill>
              <w14:schemeClr w14:val="tx1"/>
            </w14:solidFill>
          </w14:textFill>
        </w:rPr>
        <w:t>计量单位应使用我国法定计量单位，未列明时应默认为我国法定计量单位。</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13.4 投标文件应采用书面形式，传真、电子邮件形式的投标文件概不接受。</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13.5 投标人应按招标文件中提供的投标文件格式填写。</w:t>
      </w:r>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14.</w:t>
      </w:r>
      <w:r>
        <w:rPr>
          <w:rFonts w:hint="eastAsia" w:ascii="宋体" w:hAnsi="宋体"/>
          <w:b/>
          <w:color w:val="000000" w:themeColor="text1"/>
          <w:szCs w:val="21"/>
          <w14:textFill>
            <w14:solidFill>
              <w14:schemeClr w14:val="tx1"/>
            </w14:solidFill>
          </w14:textFill>
        </w:rPr>
        <w:t>投标文件</w:t>
      </w:r>
      <w:r>
        <w:rPr>
          <w:rFonts w:hint="eastAsia" w:ascii="宋体" w:hAnsi="宋体"/>
          <w:b/>
          <w:bCs/>
          <w:color w:val="000000" w:themeColor="text1"/>
          <w:szCs w:val="21"/>
          <w14:textFill>
            <w14:solidFill>
              <w14:schemeClr w14:val="tx1"/>
            </w14:solidFill>
          </w14:textFill>
        </w:rPr>
        <w:t>的组成</w:t>
      </w:r>
    </w:p>
    <w:p>
      <w:pPr>
        <w:adjustRightInd w:val="0"/>
        <w:snapToGrid w:val="0"/>
        <w:spacing w:line="360" w:lineRule="auto"/>
        <w:ind w:firstLine="420" w:firstLineChars="200"/>
        <w:jc w:val="left"/>
        <w:rPr>
          <w:rFonts w:ascii="宋体" w:hAnsi="宋体"/>
          <w:szCs w:val="21"/>
        </w:rPr>
      </w:pPr>
      <w:bookmarkStart w:id="21" w:name="_Toc427862404"/>
      <w:bookmarkStart w:id="22" w:name="_Toc420948011"/>
      <w:r>
        <w:rPr>
          <w:rFonts w:hint="eastAsia" w:ascii="宋体" w:hAnsi="宋体"/>
        </w:rPr>
        <w:t>14.1 投标文件包括但不限于下列内容：</w:t>
      </w:r>
      <w:bookmarkEnd w:id="21"/>
      <w:bookmarkEnd w:id="22"/>
      <w:r>
        <w:rPr>
          <w:rFonts w:hint="eastAsia" w:ascii="宋体" w:hAnsi="宋体"/>
          <w:szCs w:val="21"/>
        </w:rPr>
        <w:t xml:space="preserve"> </w:t>
      </w:r>
    </w:p>
    <w:p>
      <w:pPr>
        <w:pStyle w:val="25"/>
        <w:adjustRightInd w:val="0"/>
        <w:snapToGrid w:val="0"/>
        <w:spacing w:line="360" w:lineRule="auto"/>
        <w:ind w:firstLine="420" w:firstLineChars="200"/>
        <w:rPr>
          <w:rFonts w:ascii="宋体" w:hAnsi="宋体"/>
          <w:sz w:val="21"/>
          <w:szCs w:val="21"/>
        </w:rPr>
      </w:pPr>
      <w:r>
        <w:rPr>
          <w:rFonts w:hint="eastAsia" w:ascii="宋体" w:hAnsi="宋体"/>
          <w:sz w:val="21"/>
          <w:szCs w:val="21"/>
        </w:rPr>
        <w:t>（1）投标函</w:t>
      </w:r>
    </w:p>
    <w:p>
      <w:pPr>
        <w:pStyle w:val="25"/>
        <w:adjustRightInd w:val="0"/>
        <w:snapToGrid w:val="0"/>
        <w:spacing w:line="360" w:lineRule="auto"/>
        <w:ind w:firstLine="420" w:firstLineChars="200"/>
        <w:rPr>
          <w:rFonts w:ascii="宋体" w:hAnsi="宋体"/>
          <w:sz w:val="21"/>
          <w:szCs w:val="21"/>
        </w:rPr>
      </w:pPr>
      <w:r>
        <w:rPr>
          <w:rFonts w:hint="eastAsia" w:ascii="宋体" w:hAnsi="宋体"/>
          <w:sz w:val="21"/>
          <w:szCs w:val="21"/>
        </w:rPr>
        <w:t>（2）开标一览表及投标报价明细表</w:t>
      </w:r>
    </w:p>
    <w:p>
      <w:pPr>
        <w:pStyle w:val="25"/>
        <w:adjustRightInd w:val="0"/>
        <w:snapToGrid w:val="0"/>
        <w:spacing w:line="360" w:lineRule="auto"/>
        <w:ind w:firstLine="420" w:firstLineChars="200"/>
        <w:rPr>
          <w:rFonts w:ascii="宋体" w:hAnsi="宋体"/>
          <w:sz w:val="21"/>
          <w:szCs w:val="21"/>
        </w:rPr>
      </w:pPr>
      <w:r>
        <w:rPr>
          <w:rFonts w:hint="eastAsia" w:ascii="宋体" w:hAnsi="宋体"/>
          <w:sz w:val="21"/>
          <w:szCs w:val="21"/>
        </w:rPr>
        <w:t>（3）投标人的资格证明文件</w:t>
      </w:r>
    </w:p>
    <w:p>
      <w:pPr>
        <w:pStyle w:val="25"/>
        <w:adjustRightInd w:val="0"/>
        <w:snapToGrid w:val="0"/>
        <w:spacing w:line="360" w:lineRule="auto"/>
        <w:ind w:firstLine="420" w:firstLineChars="200"/>
        <w:rPr>
          <w:rFonts w:ascii="宋体" w:hAnsi="宋体"/>
          <w:sz w:val="21"/>
          <w:szCs w:val="21"/>
        </w:rPr>
      </w:pPr>
      <w:r>
        <w:rPr>
          <w:rFonts w:hint="eastAsia" w:ascii="宋体" w:hAnsi="宋体"/>
          <w:sz w:val="21"/>
          <w:szCs w:val="21"/>
        </w:rPr>
        <w:t>（4）货物说明</w:t>
      </w:r>
    </w:p>
    <w:p>
      <w:pPr>
        <w:pStyle w:val="25"/>
        <w:adjustRightInd w:val="0"/>
        <w:snapToGrid w:val="0"/>
        <w:spacing w:line="360" w:lineRule="auto"/>
        <w:ind w:firstLine="420" w:firstLineChars="200"/>
        <w:rPr>
          <w:rFonts w:ascii="宋体" w:hAnsi="宋体"/>
          <w:sz w:val="21"/>
          <w:szCs w:val="21"/>
        </w:rPr>
      </w:pPr>
      <w:r>
        <w:rPr>
          <w:rFonts w:hint="eastAsia" w:ascii="宋体" w:hAnsi="宋体"/>
          <w:sz w:val="21"/>
          <w:szCs w:val="21"/>
        </w:rPr>
        <w:t>（5）实施方案</w:t>
      </w:r>
    </w:p>
    <w:p>
      <w:pPr>
        <w:pStyle w:val="25"/>
        <w:adjustRightInd w:val="0"/>
        <w:snapToGrid w:val="0"/>
        <w:spacing w:line="360" w:lineRule="auto"/>
        <w:ind w:firstLine="420" w:firstLineChars="200"/>
        <w:rPr>
          <w:rFonts w:ascii="宋体" w:hAnsi="宋体"/>
          <w:sz w:val="21"/>
          <w:szCs w:val="21"/>
        </w:rPr>
      </w:pPr>
      <w:r>
        <w:rPr>
          <w:rFonts w:hint="eastAsia" w:ascii="宋体" w:hAnsi="宋体"/>
          <w:sz w:val="21"/>
          <w:szCs w:val="21"/>
        </w:rPr>
        <w:t>（6）商务响应与偏离表</w:t>
      </w:r>
    </w:p>
    <w:p>
      <w:pPr>
        <w:pStyle w:val="25"/>
        <w:adjustRightInd w:val="0"/>
        <w:snapToGrid w:val="0"/>
        <w:spacing w:line="360" w:lineRule="auto"/>
        <w:ind w:firstLine="420" w:firstLineChars="200"/>
        <w:rPr>
          <w:rFonts w:ascii="宋体" w:hAnsi="宋体"/>
          <w:sz w:val="21"/>
          <w:szCs w:val="21"/>
        </w:rPr>
      </w:pPr>
      <w:r>
        <w:rPr>
          <w:rFonts w:hint="eastAsia" w:ascii="宋体" w:hAnsi="宋体"/>
          <w:sz w:val="21"/>
          <w:szCs w:val="21"/>
        </w:rPr>
        <w:t>（7）投标人认为需提供的其他资料</w:t>
      </w:r>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15.报价</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15.1投标人应当根据招标文件要求和范围，以</w:t>
      </w:r>
      <w:r>
        <w:rPr>
          <w:rFonts w:hint="eastAsia" w:ascii="宋体" w:hAnsi="宋体"/>
          <w:bCs/>
          <w:color w:val="000000" w:themeColor="text1"/>
          <w:szCs w:val="21"/>
          <w14:textFill>
            <w14:solidFill>
              <w14:schemeClr w14:val="tx1"/>
            </w14:solidFill>
          </w14:textFill>
        </w:rPr>
        <w:t>人民币</w:t>
      </w:r>
      <w:r>
        <w:rPr>
          <w:rFonts w:hint="eastAsia" w:ascii="宋体" w:hAnsi="宋体"/>
          <w:color w:val="000000" w:themeColor="text1"/>
          <w:szCs w:val="21"/>
          <w14:textFill>
            <w14:solidFill>
              <w14:schemeClr w14:val="tx1"/>
            </w14:solidFill>
          </w14:textFill>
        </w:rPr>
        <w:t>报价，以元为单位，</w:t>
      </w:r>
      <w:r>
        <w:rPr>
          <w:rFonts w:hint="eastAsia" w:ascii="宋体" w:hAnsi="宋体"/>
          <w:b/>
          <w:bCs/>
          <w:color w:val="000000" w:themeColor="text1"/>
          <w:szCs w:val="21"/>
          <w14:textFill>
            <w14:solidFill>
              <w14:schemeClr w14:val="tx1"/>
            </w14:solidFill>
          </w14:textFill>
        </w:rPr>
        <w:t>保留小数点后两位</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15.2投标报价是履行合同的最终价格，应包括为完成本项目采购范围内所有货物、配套工具及供货、人工费及供货、运输、调试、培训、保险、税金及其它附带服务的全部费用。投标人漏报的单价或每项单价报价中漏报、少报的费用，视为此项费用已隐含在其他报价中，中标后不予调整。</w:t>
      </w:r>
    </w:p>
    <w:p>
      <w:pPr>
        <w:pStyle w:val="168"/>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15.3投标人应按第五章“采购需求”要求及第六章“投标文件组成”格式填写。投标人在</w:t>
      </w:r>
      <w:r>
        <w:rPr>
          <w:rFonts w:hint="eastAsia" w:ascii="宋体" w:hAnsi="宋体"/>
          <w:bCs/>
          <w:color w:val="000000" w:themeColor="text1"/>
          <w14:textFill>
            <w14:solidFill>
              <w14:schemeClr w14:val="tx1"/>
            </w14:solidFill>
          </w14:textFill>
        </w:rPr>
        <w:t>本章第11.1</w:t>
      </w:r>
      <w:r>
        <w:rPr>
          <w:rFonts w:hint="eastAsia" w:ascii="宋体" w:hAnsi="宋体" w:cs="宋体"/>
          <w:color w:val="000000" w:themeColor="text1"/>
          <w:lang w:val="zh-CN"/>
          <w14:textFill>
            <w14:solidFill>
              <w14:schemeClr w14:val="tx1"/>
            </w14:solidFill>
          </w14:textFill>
        </w:rPr>
        <w:t>款</w:t>
      </w:r>
      <w:r>
        <w:rPr>
          <w:rFonts w:hint="eastAsia" w:ascii="宋体" w:hAnsi="宋体"/>
          <w:bCs/>
          <w:color w:val="000000" w:themeColor="text1"/>
          <w14:textFill>
            <w14:solidFill>
              <w14:schemeClr w14:val="tx1"/>
            </w14:solidFill>
          </w14:textFill>
        </w:rPr>
        <w:t>规定的</w:t>
      </w:r>
      <w:r>
        <w:rPr>
          <w:rFonts w:hint="eastAsia" w:ascii="宋体" w:hAnsi="宋体" w:cs="宋体"/>
          <w:color w:val="000000" w:themeColor="text1"/>
          <w14:textFill>
            <w14:solidFill>
              <w14:schemeClr w14:val="tx1"/>
            </w14:solidFill>
          </w14:textFill>
        </w:rPr>
        <w:t>提交投标文件截止之日前</w:t>
      </w:r>
      <w:r>
        <w:rPr>
          <w:rFonts w:hint="eastAsia" w:ascii="宋体" w:hAnsi="宋体"/>
          <w:color w:val="000000" w:themeColor="text1"/>
          <w14:textFill>
            <w14:solidFill>
              <w14:schemeClr w14:val="tx1"/>
            </w14:solidFill>
          </w14:textFill>
        </w:rPr>
        <w:t>修改开标一览表中的报价，应同时修改其按第六章要求填写的相应表格中的报价。此修改须符合本章第21.1款的有关要求。</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15.4投标文件中标明的价格在合同执行过程中是固定不变的，不得以任何理由予以变更。以可变动价格提交的报价将被认为是非实质投标而被拒绝。</w:t>
      </w:r>
    </w:p>
    <w:p>
      <w:pPr>
        <w:pStyle w:val="25"/>
        <w:adjustRightInd w:val="0"/>
        <w:snapToGrid w:val="0"/>
        <w:spacing w:line="360" w:lineRule="auto"/>
        <w:ind w:firstLine="420" w:firstLineChars="200"/>
        <w:rPr>
          <w:rFonts w:hAnsi="宋体"/>
          <w:color w:val="000000" w:themeColor="text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15.5</w:t>
      </w:r>
      <w:r>
        <w:rPr>
          <w:rFonts w:hint="eastAsia" w:ascii="宋体" w:hAnsi="宋体"/>
          <w:b/>
          <w:color w:val="000000" w:themeColor="text1"/>
          <w:sz w:val="21"/>
          <w:szCs w:val="21"/>
          <w14:textFill>
            <w14:solidFill>
              <w14:schemeClr w14:val="tx1"/>
            </w14:solidFill>
          </w14:textFill>
        </w:rPr>
        <w:t>投标人的报价不得超过采购项目预算总金额，</w:t>
      </w:r>
      <w:r>
        <w:rPr>
          <w:rFonts w:hint="eastAsia" w:ascii="宋体" w:hAnsi="宋体"/>
          <w:color w:val="000000" w:themeColor="text1"/>
          <w:sz w:val="21"/>
          <w:szCs w:val="21"/>
          <w14:textFill>
            <w14:solidFill>
              <w14:schemeClr w14:val="tx1"/>
            </w14:solidFill>
          </w14:textFill>
        </w:rPr>
        <w:t>采购项目预算或其计算方法见</w:t>
      </w:r>
      <w:r>
        <w:rPr>
          <w:rFonts w:hint="eastAsia" w:ascii="宋体" w:hAnsi="宋体"/>
          <w:b/>
          <w:color w:val="000000" w:themeColor="text1"/>
          <w:sz w:val="21"/>
          <w:szCs w:val="21"/>
          <w14:textFill>
            <w14:solidFill>
              <w14:schemeClr w14:val="tx1"/>
            </w14:solidFill>
          </w14:textFill>
        </w:rPr>
        <w:t>招标须知前附表</w:t>
      </w:r>
      <w:r>
        <w:rPr>
          <w:rFonts w:hint="eastAsia" w:ascii="宋体" w:hAnsi="宋体"/>
          <w:color w:val="000000" w:themeColor="text1"/>
          <w:sz w:val="21"/>
          <w:szCs w:val="21"/>
          <w14:textFill>
            <w14:solidFill>
              <w14:schemeClr w14:val="tx1"/>
            </w14:solidFill>
          </w14:textFill>
        </w:rPr>
        <w:t>。</w:t>
      </w:r>
    </w:p>
    <w:p>
      <w:pPr>
        <w:pStyle w:val="25"/>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16.</w:t>
      </w:r>
      <w:r>
        <w:rPr>
          <w:rFonts w:hint="eastAsia" w:ascii="宋体" w:hAnsi="宋体"/>
          <w:color w:val="000000" w:themeColor="text1"/>
          <w:sz w:val="21"/>
          <w:szCs w:val="21"/>
          <w14:textFill>
            <w14:solidFill>
              <w14:schemeClr w14:val="tx1"/>
            </w14:solidFill>
          </w14:textFill>
        </w:rPr>
        <w:t xml:space="preserve"> </w:t>
      </w:r>
      <w:r>
        <w:rPr>
          <w:rFonts w:hint="eastAsia" w:ascii="宋体" w:hAnsi="宋体"/>
          <w:b/>
          <w:color w:val="000000" w:themeColor="text1"/>
          <w:sz w:val="21"/>
          <w:szCs w:val="21"/>
          <w14:textFill>
            <w14:solidFill>
              <w14:schemeClr w14:val="tx1"/>
            </w14:solidFill>
          </w14:textFill>
        </w:rPr>
        <w:t>投标人满足招标文件规定的资格证明文件</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16.1</w:t>
      </w:r>
      <w:r>
        <w:rPr>
          <w:rFonts w:hint="eastAsia" w:ascii="宋体" w:hAnsi="宋体"/>
          <w:color w:val="000000" w:themeColor="text1"/>
          <w:szCs w:val="21"/>
          <w14:textFill>
            <w14:solidFill>
              <w14:schemeClr w14:val="tx1"/>
            </w14:solidFill>
          </w14:textFill>
        </w:rPr>
        <w:t>投标人应提供资格证明材料，以证实其各项条件能满足本章第3.1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olor w:val="000000" w:themeColor="text1"/>
          <w:szCs w:val="21"/>
          <w14:textFill>
            <w14:solidFill>
              <w14:schemeClr w14:val="tx1"/>
            </w14:solidFill>
          </w14:textFill>
        </w:rPr>
        <w:t>规定的投标人资格条件要求。</w:t>
      </w:r>
    </w:p>
    <w:p>
      <w:pPr>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16.2投标人应当提交满足招标文件规定的业绩证明文件，该证明文件作为投标文件的一部分，业绩证明文件要求详见</w:t>
      </w:r>
      <w:r>
        <w:rPr>
          <w:rFonts w:hint="eastAsia" w:ascii="宋体" w:hAnsi="宋体" w:cs="宋体"/>
          <w:b/>
          <w:color w:val="000000" w:themeColor="text1"/>
          <w:kern w:val="0"/>
          <w:szCs w:val="21"/>
          <w14:textFill>
            <w14:solidFill>
              <w14:schemeClr w14:val="tx1"/>
            </w14:solidFill>
          </w14:textFill>
        </w:rPr>
        <w:t>投标须知前附表</w:t>
      </w:r>
      <w:r>
        <w:rPr>
          <w:rFonts w:hint="eastAsia" w:ascii="宋体" w:hAnsi="宋体" w:cs="宋体"/>
          <w:color w:val="000000" w:themeColor="text1"/>
          <w:kern w:val="0"/>
          <w:szCs w:val="21"/>
          <w14:textFill>
            <w14:solidFill>
              <w14:schemeClr w14:val="tx1"/>
            </w14:solidFill>
          </w14:textFill>
        </w:rPr>
        <w:t>。</w:t>
      </w:r>
    </w:p>
    <w:p>
      <w:pPr>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16.3投标单位在货物说明一览表中应当说明货物的品牌型号、规格参数、制造商及原产地等，交货时应出具原产地证明及出厂合格证明。</w:t>
      </w:r>
    </w:p>
    <w:p>
      <w:pPr>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16.4上述证明文件可以是文字资料、图纸和数据，并须提供：</w:t>
      </w:r>
    </w:p>
    <w:p>
      <w:pPr>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（1）货物主要性能和参数的详细说明； </w:t>
      </w:r>
    </w:p>
    <w:p>
      <w:pPr>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（2）对照招标文件技术规格，逐条说明所提供货物和服务对招标文件的技术规格条文的响应与偏离。对有具体参数要求的指标，投标单位应提供具体参数值；</w:t>
      </w:r>
    </w:p>
    <w:p>
      <w:pPr>
        <w:adjustRightInd w:val="0"/>
        <w:snapToGrid w:val="0"/>
        <w:spacing w:line="360" w:lineRule="auto"/>
        <w:rPr>
          <w:rFonts w:hint="default" w:ascii="宋体" w:hAnsi="宋体" w:eastAsia="宋体"/>
          <w:b/>
          <w:bCs/>
          <w:color w:val="000000" w:themeColor="text1"/>
          <w:szCs w:val="21"/>
          <w:lang w:val="en-US" w:eastAsia="zh-CN"/>
          <w14:textFill>
            <w14:solidFill>
              <w14:schemeClr w14:val="tx1"/>
            </w14:solidFill>
          </w14:textFill>
        </w:rPr>
      </w:pPr>
      <w:r>
        <w:rPr>
          <w:rFonts w:hint="eastAsia" w:ascii="宋体" w:hAnsi="宋体"/>
          <w:b/>
          <w:bCs/>
          <w:color w:val="000000" w:themeColor="text1"/>
          <w:szCs w:val="21"/>
          <w14:textFill>
            <w14:solidFill>
              <w14:schemeClr w14:val="tx1"/>
            </w14:solidFill>
          </w14:textFill>
        </w:rPr>
        <w:t>17.投标保证金</w:t>
      </w:r>
      <w:r>
        <w:rPr>
          <w:rFonts w:hint="eastAsia" w:ascii="宋体" w:hAnsi="宋体"/>
          <w:b/>
          <w:bCs/>
          <w:color w:val="000000" w:themeColor="text1"/>
          <w:szCs w:val="21"/>
          <w:lang w:eastAsia="zh-CN"/>
          <w14:textFill>
            <w14:solidFill>
              <w14:schemeClr w14:val="tx1"/>
            </w14:solidFill>
          </w14:textFill>
        </w:rPr>
        <w:t>（</w:t>
      </w:r>
      <w:r>
        <w:rPr>
          <w:rFonts w:hint="eastAsia" w:ascii="宋体" w:hAnsi="宋体"/>
          <w:b/>
          <w:bCs/>
          <w:color w:val="000000" w:themeColor="text1"/>
          <w:szCs w:val="21"/>
          <w:lang w:val="en-US" w:eastAsia="zh-CN"/>
          <w14:textFill>
            <w14:solidFill>
              <w14:schemeClr w14:val="tx1"/>
            </w14:solidFill>
          </w14:textFill>
        </w:rPr>
        <w:t>本项目不收取）</w:t>
      </w:r>
    </w:p>
    <w:p>
      <w:pPr>
        <w:pStyle w:val="25"/>
        <w:adjustRightInd w:val="0"/>
        <w:snapToGrid w:val="0"/>
        <w:spacing w:line="360" w:lineRule="auto"/>
        <w:ind w:firstLine="420" w:firstLineChars="200"/>
        <w:rPr>
          <w:rFonts w:ascii="宋体" w:hAnsi="宋体" w:cs="宋体"/>
          <w:color w:val="000000" w:themeColor="text1"/>
          <w:kern w:val="0"/>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17.1</w:t>
      </w:r>
      <w:r>
        <w:rPr>
          <w:rFonts w:hint="eastAsia" w:ascii="宋体" w:hAnsi="宋体"/>
          <w:b/>
          <w:color w:val="000000" w:themeColor="text1"/>
          <w:sz w:val="21"/>
          <w:szCs w:val="21"/>
          <w14:textFill>
            <w14:solidFill>
              <w14:schemeClr w14:val="tx1"/>
            </w14:solidFill>
          </w14:textFill>
        </w:rPr>
        <w:t>投标须知前附表</w:t>
      </w:r>
      <w:r>
        <w:rPr>
          <w:rFonts w:hint="eastAsia" w:ascii="宋体" w:hAnsi="宋体"/>
          <w:color w:val="000000" w:themeColor="text1"/>
          <w:sz w:val="21"/>
          <w:szCs w:val="21"/>
          <w14:textFill>
            <w14:solidFill>
              <w14:schemeClr w14:val="tx1"/>
            </w14:solidFill>
          </w14:textFill>
        </w:rPr>
        <w:t>规定交纳投标</w:t>
      </w:r>
      <w:r>
        <w:rPr>
          <w:rFonts w:hint="eastAsia" w:ascii="宋体" w:hAnsi="宋体"/>
          <w:bCs/>
          <w:color w:val="000000" w:themeColor="text1"/>
          <w:sz w:val="21"/>
          <w:szCs w:val="21"/>
          <w14:textFill>
            <w14:solidFill>
              <w14:schemeClr w14:val="tx1"/>
            </w14:solidFill>
          </w14:textFill>
        </w:rPr>
        <w:t>保证金的</w:t>
      </w:r>
      <w:r>
        <w:rPr>
          <w:rFonts w:hint="eastAsia" w:ascii="宋体" w:hAnsi="宋体"/>
          <w:color w:val="000000" w:themeColor="text1"/>
          <w:sz w:val="21"/>
          <w:szCs w:val="21"/>
          <w14:textFill>
            <w14:solidFill>
              <w14:schemeClr w14:val="tx1"/>
            </w14:solidFill>
          </w14:textFill>
        </w:rPr>
        <w:t>，应按</w:t>
      </w:r>
      <w:r>
        <w:rPr>
          <w:rFonts w:hint="eastAsia" w:ascii="宋体" w:hAnsi="宋体"/>
          <w:b/>
          <w:color w:val="000000" w:themeColor="text1"/>
          <w:sz w:val="21"/>
          <w:szCs w:val="21"/>
          <w14:textFill>
            <w14:solidFill>
              <w14:schemeClr w14:val="tx1"/>
            </w14:solidFill>
          </w14:textFill>
        </w:rPr>
        <w:t>投标须知前附表</w:t>
      </w:r>
      <w:r>
        <w:rPr>
          <w:rFonts w:hint="eastAsia" w:ascii="宋体" w:hAnsi="宋体"/>
          <w:color w:val="000000" w:themeColor="text1"/>
          <w:sz w:val="21"/>
          <w:szCs w:val="21"/>
          <w14:textFill>
            <w14:solidFill>
              <w14:schemeClr w14:val="tx1"/>
            </w14:solidFill>
          </w14:textFill>
        </w:rPr>
        <w:t>规定的</w:t>
      </w:r>
      <w:r>
        <w:rPr>
          <w:rFonts w:hint="eastAsia" w:ascii="宋体" w:hAnsi="宋体"/>
          <w:bCs/>
          <w:color w:val="000000" w:themeColor="text1"/>
          <w:sz w:val="21"/>
          <w:szCs w:val="21"/>
          <w14:textFill>
            <w14:solidFill>
              <w14:schemeClr w14:val="tx1"/>
            </w14:solidFill>
          </w14:textFill>
        </w:rPr>
        <w:t>形式、金额，</w:t>
      </w:r>
      <w:r>
        <w:rPr>
          <w:rFonts w:hint="eastAsia" w:ascii="宋体" w:hAnsi="宋体"/>
          <w:color w:val="000000" w:themeColor="text1"/>
          <w:sz w:val="21"/>
          <w:szCs w:val="21"/>
          <w14:textFill>
            <w14:solidFill>
              <w14:schemeClr w14:val="tx1"/>
            </w14:solidFill>
          </w14:textFill>
        </w:rPr>
        <w:t>在本章第11.1</w:t>
      </w:r>
      <w:r>
        <w:rPr>
          <w:rFonts w:hint="eastAsia" w:ascii="宋体" w:hAnsi="宋体" w:cs="宋体"/>
          <w:color w:val="000000" w:themeColor="text1"/>
          <w:kern w:val="0"/>
          <w:sz w:val="21"/>
          <w:szCs w:val="21"/>
          <w:lang w:val="zh-CN"/>
          <w14:textFill>
            <w14:solidFill>
              <w14:schemeClr w14:val="tx1"/>
            </w14:solidFill>
          </w14:textFill>
        </w:rPr>
        <w:t>款</w:t>
      </w:r>
      <w:r>
        <w:rPr>
          <w:rFonts w:hint="eastAsia" w:ascii="宋体" w:hAnsi="宋体"/>
          <w:color w:val="000000" w:themeColor="text1"/>
          <w:sz w:val="21"/>
          <w:szCs w:val="21"/>
          <w14:textFill>
            <w14:solidFill>
              <w14:schemeClr w14:val="tx1"/>
            </w14:solidFill>
          </w14:textFill>
        </w:rPr>
        <w:t>规定的</w:t>
      </w:r>
      <w:r>
        <w:rPr>
          <w:rFonts w:hint="eastAsia" w:ascii="宋体" w:hAnsi="宋体" w:cs="宋体"/>
          <w:color w:val="000000" w:themeColor="text1"/>
          <w:kern w:val="0"/>
          <w:sz w:val="21"/>
          <w:szCs w:val="21"/>
          <w14:textFill>
            <w14:solidFill>
              <w14:schemeClr w14:val="tx1"/>
            </w14:solidFill>
          </w14:textFill>
        </w:rPr>
        <w:t>提交投标文件截止时间</w:t>
      </w:r>
      <w:r>
        <w:rPr>
          <w:rFonts w:hint="eastAsia" w:ascii="宋体" w:hAnsi="宋体"/>
          <w:color w:val="000000" w:themeColor="text1"/>
          <w:sz w:val="21"/>
          <w:szCs w:val="21"/>
          <w14:textFill>
            <w14:solidFill>
              <w14:schemeClr w14:val="tx1"/>
            </w14:solidFill>
          </w14:textFill>
        </w:rPr>
        <w:t>前，</w:t>
      </w:r>
      <w:r>
        <w:rPr>
          <w:rFonts w:hint="eastAsia" w:ascii="宋体" w:hAnsi="宋体"/>
          <w:bCs/>
          <w:color w:val="000000" w:themeColor="text1"/>
          <w:sz w:val="21"/>
          <w:szCs w:val="21"/>
          <w14:textFill>
            <w14:solidFill>
              <w14:schemeClr w14:val="tx1"/>
            </w14:solidFill>
          </w14:textFill>
        </w:rPr>
        <w:t>提交投标保证金</w:t>
      </w:r>
      <w:r>
        <w:rPr>
          <w:rFonts w:hint="eastAsia" w:ascii="宋体" w:hAnsi="宋体"/>
          <w:color w:val="000000" w:themeColor="text1"/>
          <w:sz w:val="21"/>
          <w:szCs w:val="21"/>
          <w14:textFill>
            <w14:solidFill>
              <w14:schemeClr w14:val="tx1"/>
            </w14:solidFill>
          </w14:textFill>
        </w:rPr>
        <w:t>。</w:t>
      </w:r>
    </w:p>
    <w:p>
      <w:pPr>
        <w:pStyle w:val="25"/>
        <w:adjustRightInd w:val="0"/>
        <w:snapToGrid w:val="0"/>
        <w:spacing w:line="360" w:lineRule="auto"/>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18.</w:t>
      </w:r>
      <w:r>
        <w:rPr>
          <w:rFonts w:hint="eastAsia" w:ascii="宋体" w:hAnsi="宋体"/>
          <w:color w:val="000000" w:themeColor="text1"/>
          <w:sz w:val="21"/>
          <w:szCs w:val="21"/>
          <w14:textFill>
            <w14:solidFill>
              <w14:schemeClr w14:val="tx1"/>
            </w14:solidFill>
          </w14:textFill>
        </w:rPr>
        <w:t xml:space="preserve"> </w:t>
      </w:r>
      <w:r>
        <w:rPr>
          <w:rFonts w:hint="eastAsia" w:ascii="宋体" w:hAnsi="宋体"/>
          <w:b/>
          <w:color w:val="000000" w:themeColor="text1"/>
          <w:sz w:val="21"/>
          <w:szCs w:val="21"/>
          <w14:textFill>
            <w14:solidFill>
              <w14:schemeClr w14:val="tx1"/>
            </w14:solidFill>
          </w14:textFill>
        </w:rPr>
        <w:t>投标文件有效期</w:t>
      </w:r>
    </w:p>
    <w:p>
      <w:pPr>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18.1投标文件</w:t>
      </w:r>
      <w:r>
        <w:rPr>
          <w:rFonts w:hint="eastAsia" w:ascii="宋体" w:hAnsi="宋体"/>
          <w:color w:val="000000" w:themeColor="text1"/>
          <w:szCs w:val="21"/>
          <w14:textFill>
            <w14:solidFill>
              <w14:schemeClr w14:val="tx1"/>
            </w14:solidFill>
          </w14:textFill>
        </w:rPr>
        <w:t>有效期见</w:t>
      </w:r>
      <w:r>
        <w:rPr>
          <w:rFonts w:hint="eastAsia" w:ascii="宋体" w:hAnsi="宋体"/>
          <w:b/>
          <w:color w:val="000000" w:themeColor="text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，在此期间</w:t>
      </w:r>
      <w:r>
        <w:rPr>
          <w:rFonts w:hint="eastAsia" w:ascii="宋体" w:hAnsi="宋体"/>
          <w:color w:val="000000" w:themeColor="text1"/>
          <w14:textFill>
            <w14:solidFill>
              <w14:schemeClr w14:val="tx1"/>
            </w14:solidFill>
          </w14:textFill>
        </w:rPr>
        <w:t>投标</w:t>
      </w:r>
      <w:r>
        <w:rPr>
          <w:rFonts w:hint="eastAsia" w:ascii="宋体" w:hAnsi="宋体"/>
          <w:color w:val="000000" w:themeColor="text1"/>
          <w:szCs w:val="21"/>
          <w14:textFill>
            <w14:solidFill>
              <w14:schemeClr w14:val="tx1"/>
            </w14:solidFill>
          </w14:textFill>
        </w:rPr>
        <w:t>文件对投标人具有法律约束力，</w:t>
      </w:r>
      <w:r>
        <w:rPr>
          <w:rFonts w:hint="eastAsia" w:ascii="宋体" w:hAnsi="宋体" w:cs="Arial"/>
          <w:color w:val="000000" w:themeColor="text1"/>
          <w14:textFill>
            <w14:solidFill>
              <w14:schemeClr w14:val="tx1"/>
            </w14:solidFill>
          </w14:textFill>
        </w:rPr>
        <w:t>从</w:t>
      </w:r>
      <w:r>
        <w:rPr>
          <w:rFonts w:hint="eastAsia" w:ascii="宋体" w:hAnsi="宋体"/>
          <w:color w:val="000000" w:themeColor="text1"/>
          <w14:textFill>
            <w14:solidFill>
              <w14:schemeClr w14:val="tx1"/>
            </w14:solidFill>
          </w14:textFill>
        </w:rPr>
        <w:t>本章第11.1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olor w:val="000000" w:themeColor="text1"/>
          <w14:textFill>
            <w14:solidFill>
              <w14:schemeClr w14:val="tx1"/>
            </w14:solidFill>
          </w14:textFill>
        </w:rPr>
        <w:t>规定的</w:t>
      </w:r>
      <w:r>
        <w:rPr>
          <w:rFonts w:hint="eastAsia" w:ascii="宋体" w:hAnsi="宋体" w:cs="宋体"/>
          <w:color w:val="000000" w:themeColor="text1"/>
          <w:kern w:val="0"/>
          <w:szCs w:val="21"/>
          <w14:textFill>
            <w14:solidFill>
              <w14:schemeClr w14:val="tx1"/>
            </w14:solidFill>
          </w14:textFill>
        </w:rPr>
        <w:t>提交投标文件截止时间</w:t>
      </w:r>
      <w:r>
        <w:rPr>
          <w:rFonts w:hint="eastAsia" w:ascii="宋体" w:hAnsi="宋体"/>
          <w:color w:val="000000" w:themeColor="text1"/>
          <w14:textFill>
            <w14:solidFill>
              <w14:schemeClr w14:val="tx1"/>
            </w14:solidFill>
          </w14:textFill>
        </w:rPr>
        <w:t>之日</w:t>
      </w:r>
      <w:r>
        <w:rPr>
          <w:rFonts w:hint="eastAsia" w:ascii="宋体" w:hAnsi="宋体" w:cs="Arial"/>
          <w:color w:val="000000" w:themeColor="text1"/>
          <w14:textFill>
            <w14:solidFill>
              <w14:schemeClr w14:val="tx1"/>
            </w14:solidFill>
          </w14:textFill>
        </w:rPr>
        <w:t>起计算。</w:t>
      </w:r>
      <w:r>
        <w:rPr>
          <w:rFonts w:hint="eastAsia" w:ascii="宋体" w:hAnsi="宋体"/>
          <w:color w:val="000000" w:themeColor="text1"/>
          <w14:textFill>
            <w14:solidFill>
              <w14:schemeClr w14:val="tx1"/>
            </w14:solidFill>
          </w14:textFill>
        </w:rPr>
        <w:t>投标文件有效期不足的将被视为无效投标。</w:t>
      </w:r>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19.投标文件的签署及规定</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19.1采用电子签章或公章。</w:t>
      </w:r>
    </w:p>
    <w:p>
      <w:pPr>
        <w:adjustRightInd w:val="0"/>
        <w:snapToGrid w:val="0"/>
        <w:spacing w:line="360" w:lineRule="auto"/>
        <w:outlineLvl w:val="2"/>
        <w:rPr>
          <w:rFonts w:ascii="宋体" w:hAnsi="宋体"/>
          <w:b/>
          <w:color w:val="000000" w:themeColor="text1"/>
          <w:sz w:val="24"/>
          <w14:textFill>
            <w14:solidFill>
              <w14:schemeClr w14:val="tx1"/>
            </w14:solidFill>
          </w14:textFill>
        </w:rPr>
      </w:pPr>
      <w:bookmarkStart w:id="23" w:name="_Toc420948012"/>
      <w:bookmarkStart w:id="24" w:name="_Toc474235947"/>
      <w:r>
        <w:rPr>
          <w:rFonts w:hint="eastAsia" w:ascii="宋体" w:hAnsi="宋体"/>
          <w:b/>
          <w:color w:val="000000" w:themeColor="text1"/>
          <w:sz w:val="24"/>
          <w14:textFill>
            <w14:solidFill>
              <w14:schemeClr w14:val="tx1"/>
            </w14:solidFill>
          </w14:textFill>
        </w:rPr>
        <w:t>四、投标文件的递交</w:t>
      </w:r>
      <w:bookmarkEnd w:id="23"/>
      <w:bookmarkEnd w:id="24"/>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20.</w:t>
      </w:r>
      <w:r>
        <w:rPr>
          <w:rFonts w:hint="eastAsia" w:ascii="宋体" w:hAnsi="宋体"/>
          <w:b/>
          <w:color w:val="000000" w:themeColor="text1"/>
          <w:szCs w:val="21"/>
          <w14:textFill>
            <w14:solidFill>
              <w14:schemeClr w14:val="tx1"/>
            </w14:solidFill>
          </w14:textFill>
        </w:rPr>
        <w:t>投标文件</w:t>
      </w:r>
      <w:r>
        <w:rPr>
          <w:rFonts w:hint="eastAsia" w:ascii="宋体" w:hAnsi="宋体"/>
          <w:b/>
          <w:bCs/>
          <w:color w:val="000000" w:themeColor="text1"/>
          <w:szCs w:val="21"/>
          <w14:textFill>
            <w14:solidFill>
              <w14:schemeClr w14:val="tx1"/>
            </w14:solidFill>
          </w14:textFill>
        </w:rPr>
        <w:t>的密封和标记</w:t>
      </w:r>
    </w:p>
    <w:p>
      <w:pPr>
        <w:adjustRightInd w:val="0"/>
        <w:snapToGrid w:val="0"/>
        <w:spacing w:line="360" w:lineRule="auto"/>
        <w:ind w:firstLine="420" w:firstLineChars="200"/>
        <w:jc w:val="left"/>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20.1“电子加密投标文件”的递交：在线上传递交。投标人应在投标截止时间前将“电子加密投标文件”成功上传递交至“政府采购云平台”，否则投标无效。</w:t>
      </w:r>
    </w:p>
    <w:p>
      <w:pPr>
        <w:autoSpaceDE w:val="0"/>
        <w:autoSpaceDN w:val="0"/>
        <w:snapToGrid w:val="0"/>
        <w:spacing w:line="360" w:lineRule="auto"/>
        <w:ind w:firstLine="420" w:firstLineChars="200"/>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20.2“电子加密投标文件”成功上传递交后，投标人可自行打印投标文件接收回执。</w:t>
      </w:r>
    </w:p>
    <w:p>
      <w:pPr>
        <w:adjustRightInd w:val="0"/>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20.3投标文件如果未按上述规定上传，</w:t>
      </w:r>
      <w:r>
        <w:rPr>
          <w:rFonts w:hint="eastAsia" w:ascii="宋体" w:hAnsi="宋体"/>
          <w:b w:val="0"/>
          <w:bCs/>
          <w:color w:val="000000" w:themeColor="text1"/>
          <w:szCs w:val="21"/>
          <w14:textFill>
            <w14:solidFill>
              <w14:schemeClr w14:val="tx1"/>
            </w14:solidFill>
          </w14:textFill>
        </w:rPr>
        <w:t>采购人或采购代理机构将视为无效投标</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21.投标文件的</w:t>
      </w:r>
      <w:r>
        <w:rPr>
          <w:rFonts w:hint="eastAsia" w:ascii="宋体" w:hAnsi="宋体" w:cs="宋体"/>
          <w:b/>
          <w:color w:val="000000" w:themeColor="text1"/>
          <w:kern w:val="0"/>
          <w:szCs w:val="21"/>
          <w:lang w:val="zh-CN"/>
          <w14:textFill>
            <w14:solidFill>
              <w14:schemeClr w14:val="tx1"/>
            </w14:solidFill>
          </w14:textFill>
        </w:rPr>
        <w:t>补充、修改或者撤回</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21.1投标人</w:t>
      </w:r>
      <w:r>
        <w:rPr>
          <w:rFonts w:hint="eastAsia" w:ascii="宋体" w:hAnsi="宋体" w:cs="宋体"/>
          <w:color w:val="000000" w:themeColor="text1"/>
          <w:kern w:val="0"/>
          <w:sz w:val="21"/>
          <w:szCs w:val="21"/>
          <w14:textFill>
            <w14:solidFill>
              <w14:schemeClr w14:val="tx1"/>
            </w14:solidFill>
          </w14:textFill>
        </w:rPr>
        <w:t>在</w:t>
      </w:r>
      <w:r>
        <w:rPr>
          <w:rFonts w:hint="eastAsia" w:ascii="宋体" w:hAnsi="宋体"/>
          <w:color w:val="000000" w:themeColor="text1"/>
          <w:sz w:val="21"/>
          <w:szCs w:val="21"/>
          <w14:textFill>
            <w14:solidFill>
              <w14:schemeClr w14:val="tx1"/>
            </w14:solidFill>
          </w14:textFill>
        </w:rPr>
        <w:t>本章第11.1</w:t>
      </w:r>
      <w:r>
        <w:rPr>
          <w:rFonts w:hint="eastAsia" w:ascii="宋体" w:hAnsi="宋体" w:cs="宋体"/>
          <w:color w:val="000000" w:themeColor="text1"/>
          <w:kern w:val="0"/>
          <w:sz w:val="21"/>
          <w:szCs w:val="21"/>
          <w:lang w:val="zh-CN"/>
          <w14:textFill>
            <w14:solidFill>
              <w14:schemeClr w14:val="tx1"/>
            </w14:solidFill>
          </w14:textFill>
        </w:rPr>
        <w:t>款</w:t>
      </w:r>
      <w:r>
        <w:rPr>
          <w:rFonts w:hint="eastAsia" w:ascii="宋体" w:hAnsi="宋体"/>
          <w:color w:val="000000" w:themeColor="text1"/>
          <w:sz w:val="21"/>
          <w:szCs w:val="21"/>
          <w14:textFill>
            <w14:solidFill>
              <w14:schemeClr w14:val="tx1"/>
            </w14:solidFill>
          </w14:textFill>
        </w:rPr>
        <w:t>规定的</w:t>
      </w:r>
      <w:r>
        <w:rPr>
          <w:rFonts w:hint="eastAsia" w:ascii="宋体" w:hAnsi="宋体" w:cs="宋体"/>
          <w:color w:val="000000" w:themeColor="text1"/>
          <w:kern w:val="0"/>
          <w:sz w:val="21"/>
          <w:szCs w:val="21"/>
          <w14:textFill>
            <w14:solidFill>
              <w14:schemeClr w14:val="tx1"/>
            </w14:solidFill>
          </w14:textFill>
        </w:rPr>
        <w:t>提交投标文件截止时间前，可以对所提交的投标文件进行补充、修改或者撤回，并书面通知采购人、采购代理机构。</w:t>
      </w:r>
      <w:r>
        <w:rPr>
          <w:rFonts w:hint="eastAsia" w:ascii="宋体" w:hAnsi="宋体"/>
          <w:color w:val="000000" w:themeColor="text1"/>
          <w:sz w:val="21"/>
          <w:szCs w:val="21"/>
          <w14:textFill>
            <w14:solidFill>
              <w14:schemeClr w14:val="tx1"/>
            </w14:solidFill>
          </w14:textFill>
        </w:rPr>
        <w:t>该通知应有投标人法定代表人或其委托代理人签字。</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21.2</w:t>
      </w:r>
      <w:r>
        <w:rPr>
          <w:rFonts w:hint="eastAsia" w:ascii="宋体" w:hAnsi="宋体" w:cs="宋体"/>
          <w:color w:val="000000" w:themeColor="text1"/>
          <w:kern w:val="0"/>
          <w:sz w:val="21"/>
          <w:szCs w:val="21"/>
          <w:lang w:val="zh-CN"/>
          <w14:textFill>
            <w14:solidFill>
              <w14:schemeClr w14:val="tx1"/>
            </w14:solidFill>
          </w14:textFill>
        </w:rPr>
        <w:t>补充、修改的内容与投标文件不一致时，以补充、修改的内容为准。</w:t>
      </w:r>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22.投标文件的递交与接收</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22.1 投标人应在</w:t>
      </w:r>
      <w:r>
        <w:rPr>
          <w:rFonts w:hint="eastAsia" w:ascii="宋体" w:hAnsi="宋体"/>
          <w:color w:val="000000" w:themeColor="text1"/>
          <w14:textFill>
            <w14:solidFill>
              <w14:schemeClr w14:val="tx1"/>
            </w14:solidFill>
          </w14:textFill>
        </w:rPr>
        <w:t>本章第11.1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olor w:val="000000" w:themeColor="text1"/>
          <w14:textFill>
            <w14:solidFill>
              <w14:schemeClr w14:val="tx1"/>
            </w14:solidFill>
          </w14:textFill>
        </w:rPr>
        <w:t>规定的</w:t>
      </w:r>
      <w:r>
        <w:rPr>
          <w:rFonts w:hint="eastAsia" w:ascii="宋体" w:hAnsi="宋体" w:cs="宋体"/>
          <w:color w:val="000000" w:themeColor="text1"/>
          <w:kern w:val="0"/>
          <w:szCs w:val="21"/>
          <w14:textFill>
            <w14:solidFill>
              <w14:schemeClr w14:val="tx1"/>
            </w14:solidFill>
          </w14:textFill>
        </w:rPr>
        <w:t>提交投标文件截止时间</w:t>
      </w:r>
      <w:r>
        <w:rPr>
          <w:rFonts w:hint="eastAsia" w:ascii="宋体" w:hAnsi="宋体"/>
          <w:color w:val="000000" w:themeColor="text1"/>
          <w:szCs w:val="21"/>
          <w14:textFill>
            <w14:solidFill>
              <w14:schemeClr w14:val="tx1"/>
            </w14:solidFill>
          </w14:textFill>
        </w:rPr>
        <w:t>前，将投标文件送</w:t>
      </w:r>
      <w:r>
        <w:rPr>
          <w:rFonts w:hint="eastAsia" w:ascii="宋体" w:hAnsi="宋体" w:cs="Arial"/>
          <w:color w:val="000000" w:themeColor="text1"/>
          <w:szCs w:val="21"/>
          <w14:textFill>
            <w14:solidFill>
              <w14:schemeClr w14:val="tx1"/>
            </w14:solidFill>
          </w14:textFill>
        </w:rPr>
        <w:t>达（上传)</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中指定的地点（网址）。</w:t>
      </w:r>
      <w:r>
        <w:rPr>
          <w:rFonts w:hint="eastAsia" w:ascii="宋体" w:hAnsi="宋体" w:cs="宋体"/>
          <w:color w:val="000000" w:themeColor="text1"/>
          <w:kern w:val="0"/>
          <w14:textFill>
            <w14:solidFill>
              <w14:schemeClr w14:val="tx1"/>
            </w14:solidFill>
          </w14:textFill>
        </w:rPr>
        <w:t>在截止时间后送达的投标文件，采购人、采购代理机构应当拒收。</w:t>
      </w:r>
    </w:p>
    <w:p>
      <w:pPr>
        <w:pStyle w:val="41"/>
        <w:adjustRightInd w:val="0"/>
        <w:snapToGrid w:val="0"/>
        <w:spacing w:before="156" w:beforeLines="50" w:beforeAutospacing="0" w:after="0" w:afterAutospacing="0" w:line="360" w:lineRule="auto"/>
        <w:outlineLvl w:val="2"/>
        <w:rPr>
          <w:b/>
          <w:color w:val="000000" w:themeColor="text1"/>
          <w:sz w:val="21"/>
          <w:szCs w:val="21"/>
          <w14:textFill>
            <w14:solidFill>
              <w14:schemeClr w14:val="tx1"/>
            </w14:solidFill>
          </w14:textFill>
        </w:rPr>
      </w:pPr>
      <w:bookmarkStart w:id="25" w:name="_Toc474235948"/>
      <w:bookmarkStart w:id="26" w:name="_Toc420948013"/>
      <w:r>
        <w:rPr>
          <w:rFonts w:hint="eastAsia"/>
          <w:b/>
          <w:color w:val="000000" w:themeColor="text1"/>
          <w14:textFill>
            <w14:solidFill>
              <w14:schemeClr w14:val="tx1"/>
            </w14:solidFill>
          </w14:textFill>
        </w:rPr>
        <w:t>五、</w:t>
      </w:r>
      <w:r>
        <w:rPr>
          <w:rFonts w:cs="Times New Roman"/>
          <w:b/>
          <w:color w:val="000000" w:themeColor="text1"/>
          <w:kern w:val="2"/>
          <w14:textFill>
            <w14:solidFill>
              <w14:schemeClr w14:val="tx1"/>
            </w14:solidFill>
          </w14:textFill>
        </w:rPr>
        <w:t>开标和评标</w:t>
      </w:r>
      <w:bookmarkEnd w:id="25"/>
    </w:p>
    <w:p>
      <w:pPr>
        <w:pStyle w:val="25"/>
        <w:adjustRightInd w:val="0"/>
        <w:snapToGrid w:val="0"/>
        <w:spacing w:line="360" w:lineRule="auto"/>
        <w:rPr>
          <w:rFonts w:ascii="宋体" w:hAnsi="宋体"/>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23.开标</w:t>
      </w:r>
    </w:p>
    <w:p>
      <w:pPr>
        <w:autoSpaceDE w:val="0"/>
        <w:autoSpaceDN w:val="0"/>
        <w:adjustRightIn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23.1 采购组织机构将按照招标文件规定的时间通过“政府采购云平台”组织开标，所有投标人均应当准时在线参加。投标人自行承担因不参加在线开标而产生的不利后果。</w:t>
      </w:r>
    </w:p>
    <w:p>
      <w:pPr>
        <w:autoSpaceDE w:val="0"/>
        <w:autoSpaceDN w:val="0"/>
        <w:adjustRightIn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23.2 向各投标投标人发出电子加密投标文件【开始解密】通知，各投标投标人代表应当在接到解密通知后</w:t>
      </w:r>
      <w:r>
        <w:rPr>
          <w:rFonts w:hint="eastAsia" w:ascii="宋体" w:hAnsi="宋体"/>
          <w:b/>
          <w:bCs/>
          <w:color w:val="000000" w:themeColor="text1"/>
          <w:szCs w:val="21"/>
          <w14:textFill>
            <w14:solidFill>
              <w14:schemeClr w14:val="tx1"/>
            </w14:solidFill>
          </w14:textFill>
        </w:rPr>
        <w:t>30分钟内自行完成“电子加密投标文件”的在线解密，如未按时解密则视为无效投标。</w:t>
      </w:r>
    </w:p>
    <w:p>
      <w:pPr>
        <w:autoSpaceDE w:val="0"/>
        <w:autoSpaceDN w:val="0"/>
        <w:adjustRightIn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23.3 开启《开标一览表》，公布投标投标人报价，各投标投标人代表应当在</w:t>
      </w:r>
      <w:r>
        <w:rPr>
          <w:rFonts w:hint="eastAsia" w:ascii="宋体" w:hAnsi="宋体"/>
          <w:b/>
          <w:bCs/>
          <w:color w:val="000000" w:themeColor="text1"/>
          <w:szCs w:val="21"/>
          <w14:textFill>
            <w14:solidFill>
              <w14:schemeClr w14:val="tx1"/>
            </w14:solidFill>
          </w14:textFill>
        </w:rPr>
        <w:t>20分钟内CA签字确认，如未按时签字确认视为默认投标报价。</w:t>
      </w:r>
    </w:p>
    <w:p>
      <w:pPr>
        <w:autoSpaceDE w:val="0"/>
        <w:autoSpaceDN w:val="0"/>
        <w:adjustRightIn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23.4 开启资格证明文件，由采购人在监督下进行资格审查；评审小组对通过资格审查的投标投标人进行符合性审查。</w:t>
      </w:r>
    </w:p>
    <w:p>
      <w:pPr>
        <w:autoSpaceDE w:val="0"/>
        <w:autoSpaceDN w:val="0"/>
        <w:adjustRightIn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23.5 通过电子交易平台公布无效投标人名单及导致无效的原因。</w:t>
      </w:r>
    </w:p>
    <w:p>
      <w:pPr>
        <w:autoSpaceDE w:val="0"/>
        <w:autoSpaceDN w:val="0"/>
        <w:adjustRightIn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23.6 </w:t>
      </w:r>
      <w:r>
        <w:rPr>
          <w:rFonts w:hint="eastAsia" w:ascii="宋体" w:hAnsi="宋体"/>
          <w:color w:val="000000" w:themeColor="text1"/>
          <w:szCs w:val="21"/>
          <w:highlight w:val="none"/>
          <w14:textFill>
            <w14:solidFill>
              <w14:schemeClr w14:val="tx1"/>
            </w14:solidFill>
          </w14:textFill>
        </w:rPr>
        <w:t>开启在线评标，</w:t>
      </w:r>
      <w:r>
        <w:rPr>
          <w:rFonts w:hint="eastAsia" w:ascii="宋体" w:hAnsi="宋体"/>
          <w:color w:val="000000" w:themeColor="text1"/>
          <w:szCs w:val="21"/>
          <w:highlight w:val="none"/>
          <w:lang w:eastAsia="zh-CN"/>
          <w14:textFill>
            <w14:solidFill>
              <w14:schemeClr w14:val="tx1"/>
            </w14:solidFill>
          </w14:textFill>
        </w:rPr>
        <w:t>报价符合性评审。对符合要求享受中小企业扶持政策的供应商报价，按照</w:t>
      </w:r>
      <w:r>
        <w:rPr>
          <w:rFonts w:hint="eastAsia" w:ascii="宋体" w:hAnsi="宋体"/>
          <w:color w:val="000000" w:themeColor="text1"/>
          <w:szCs w:val="21"/>
          <w:highlight w:val="none"/>
          <w14:textFill>
            <w14:solidFill>
              <w14:schemeClr w14:val="tx1"/>
            </w14:solidFill>
          </w14:textFill>
        </w:rPr>
        <w:t>《政府采购促进中小企业发展管理办法》（财库[2020]46号）文件</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中</w:t>
      </w:r>
      <w:r>
        <w:rPr>
          <w:rFonts w:hint="eastAsia" w:ascii="宋体" w:hAnsi="宋体"/>
          <w:color w:val="000000" w:themeColor="text1"/>
          <w:szCs w:val="21"/>
          <w:highlight w:val="none"/>
          <w14:textFill>
            <w14:solidFill>
              <w14:schemeClr w14:val="tx1"/>
            </w14:solidFill>
          </w14:textFill>
        </w:rPr>
        <w:t>的规定</w:t>
      </w:r>
      <w:r>
        <w:rPr>
          <w:rFonts w:hint="eastAsia" w:cs="Times New Roman"/>
          <w:color w:val="000000" w:themeColor="text1"/>
          <w:kern w:val="2"/>
          <w:sz w:val="21"/>
          <w:szCs w:val="21"/>
          <w:highlight w:val="none"/>
          <w:lang w:val="en-US" w:eastAsia="zh-CN"/>
          <w14:textFill>
            <w14:solidFill>
              <w14:schemeClr w14:val="tx1"/>
            </w14:solidFill>
          </w14:textFill>
        </w:rPr>
        <w:t>执行</w:t>
      </w:r>
      <w:r>
        <w:rPr>
          <w:rFonts w:hint="eastAsia" w:ascii="宋体" w:hAnsi="宋体"/>
          <w:color w:val="000000" w:themeColor="text1"/>
          <w:szCs w:val="21"/>
          <w:highlight w:val="none"/>
          <w14:textFill>
            <w14:solidFill>
              <w14:schemeClr w14:val="tx1"/>
            </w14:solidFill>
          </w14:textFill>
        </w:rPr>
        <w:t>。</w:t>
      </w:r>
    </w:p>
    <w:p>
      <w:pPr>
        <w:autoSpaceDE w:val="0"/>
        <w:autoSpaceDN w:val="0"/>
        <w:adjustRightIn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23.7 报价符合性评审汇总，报价评审。</w:t>
      </w:r>
    </w:p>
    <w:p>
      <w:pPr>
        <w:autoSpaceDE w:val="0"/>
        <w:autoSpaceDN w:val="0"/>
        <w:adjustRightIn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23.7 汇总报价评审，得出有效投标（响应）供应商评分排名。</w:t>
      </w:r>
    </w:p>
    <w:p>
      <w:pPr>
        <w:pStyle w:val="24"/>
        <w:rPr>
          <w:rFonts w:ascii="宋体" w:hAnsi="宋体"/>
          <w:i w:val="0"/>
          <w:iCs w:val="0"/>
          <w:color w:val="000000" w:themeColor="text1"/>
          <w:sz w:val="21"/>
          <w:szCs w:val="21"/>
          <w14:textFill>
            <w14:solidFill>
              <w14:schemeClr w14:val="tx1"/>
            </w14:solidFill>
          </w14:textFill>
        </w:rPr>
      </w:pPr>
      <w:r>
        <w:rPr>
          <w:rFonts w:hint="eastAsia" w:ascii="宋体" w:hAnsi="宋体"/>
          <w:i w:val="0"/>
          <w:iCs w:val="0"/>
          <w:color w:val="000000" w:themeColor="text1"/>
          <w:sz w:val="21"/>
          <w:szCs w:val="21"/>
          <w14:textFill>
            <w14:solidFill>
              <w14:schemeClr w14:val="tx1"/>
            </w14:solidFill>
          </w14:textFill>
        </w:rPr>
        <w:t>23.8 推荐3个中标候选供应商名单，采购人在5个工作日内确认中标供应商，公示结果。</w:t>
      </w:r>
    </w:p>
    <w:p>
      <w:pPr>
        <w:tabs>
          <w:tab w:val="left" w:pos="0"/>
        </w:tabs>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24.评标委员会</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24.1评标委员会由采购人代表和评审专家组成，成员人数应当为5人以上单数，其中评审专家不得少于成员总数的三分之二。</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采购项目符合下列情形之一的，评标委员会成员人数应当为7人以上单数：</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（一）采购预算金额在1000万元以上；</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（二）技术复杂；</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（三）社会影响较大。</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评审专家对本单位的采购项目只能作为采购人代表参与评标</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24.2评标委员会成员与投标人存在利害关系的，应当回避。</w:t>
      </w:r>
    </w:p>
    <w:p>
      <w:pPr>
        <w:pStyle w:val="25"/>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cs="宋体"/>
          <w:b/>
          <w:color w:val="000000" w:themeColor="text1"/>
          <w:kern w:val="0"/>
          <w:sz w:val="21"/>
          <w:szCs w:val="21"/>
          <w14:textFill>
            <w14:solidFill>
              <w14:schemeClr w14:val="tx1"/>
            </w14:solidFill>
          </w14:textFill>
        </w:rPr>
        <w:t>25</w:t>
      </w:r>
      <w:r>
        <w:rPr>
          <w:rFonts w:hint="eastAsia" w:ascii="宋体" w:hAnsi="宋体"/>
          <w:b/>
          <w:color w:val="000000" w:themeColor="text1"/>
          <w:sz w:val="21"/>
          <w:szCs w:val="21"/>
          <w14:textFill>
            <w14:solidFill>
              <w14:schemeClr w14:val="tx1"/>
            </w14:solidFill>
          </w14:textFill>
        </w:rPr>
        <w:t>.评标</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25.1 评标委员会按照第三章“评标方法及标准”规定的评标方法、评审因素、标准和程序以及有关法律、法规及规章对投标文件进行评审。</w:t>
      </w:r>
    </w:p>
    <w:bookmarkEnd w:id="26"/>
    <w:p>
      <w:pPr>
        <w:pStyle w:val="25"/>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26.确定中标人</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26.1</w:t>
      </w:r>
      <w:r>
        <w:rPr>
          <w:rFonts w:hint="eastAsia" w:ascii="宋体" w:hAnsi="宋体" w:eastAsia="宋体" w:cs="宋体"/>
          <w:color w:val="auto"/>
          <w:spacing w:val="-2"/>
          <w:sz w:val="21"/>
          <w:szCs w:val="21"/>
        </w:rPr>
        <w:t>本次采购项目的评审采用</w:t>
      </w:r>
      <w:r>
        <w:rPr>
          <w:rFonts w:hint="eastAsia" w:ascii="宋体" w:hAnsi="宋体" w:cs="宋体"/>
          <w:b/>
          <w:bCs/>
          <w:color w:val="auto"/>
          <w:spacing w:val="-2"/>
          <w:sz w:val="21"/>
          <w:szCs w:val="21"/>
          <w:lang w:eastAsia="zh-CN"/>
        </w:rPr>
        <w:t>最低评标价法</w:t>
      </w:r>
      <w:r>
        <w:rPr>
          <w:rFonts w:hint="eastAsia" w:ascii="宋体" w:hAnsi="宋体"/>
          <w:color w:val="000000" w:themeColor="text1"/>
          <w:sz w:val="21"/>
          <w:szCs w:val="21"/>
          <w14:textFill>
            <w14:solidFill>
              <w14:schemeClr w14:val="tx1"/>
            </w14:solidFill>
          </w14:textFill>
        </w:rPr>
        <w:t>。最低评标价法，是指投标文件满足招标文件全部实质性要求且投标报价最低的供应商为中标候选人的评标方法。</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26.2采购代理机构应当在评审结束后2个工作日内将结果确认单送采购人确认。</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26.3采购人应当在收到评标报告后5个工作日内，从评标报告提出中标候选人中，合同将授予实质上响应采购文件要求，经评定认为具备履行合同义务能力、技术和商务条件都符合采购文件要求的、政策享受优惠后</w:t>
      </w:r>
      <w:r>
        <w:rPr>
          <w:rFonts w:hint="eastAsia" w:ascii="宋体" w:hAnsi="宋体" w:eastAsia="宋体" w:cs="宋体"/>
          <w:color w:val="auto"/>
          <w:spacing w:val="-2"/>
          <w:sz w:val="21"/>
          <w:szCs w:val="21"/>
        </w:rPr>
        <w:t>且报价最低的原则确定成交供应商</w:t>
      </w: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eastAsia="zh-CN"/>
          <w14:textFill>
            <w14:solidFill>
              <w14:schemeClr w14:val="tx1"/>
            </w14:solidFill>
          </w14:textFill>
        </w:rPr>
        <w:t>投标报价相同的</w:t>
      </w: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eastAsia="zh-CN"/>
          <w14:textFill>
            <w14:solidFill>
              <w14:schemeClr w14:val="tx1"/>
            </w14:solidFill>
          </w14:textFill>
        </w:rPr>
        <w:t>按照货物质量、售后服务等内容择优推荐</w:t>
      </w:r>
      <w:r>
        <w:rPr>
          <w:rFonts w:hint="eastAsia" w:ascii="宋体" w:hAnsi="宋体"/>
          <w:color w:val="000000" w:themeColor="text1"/>
          <w:sz w:val="21"/>
          <w:szCs w:val="21"/>
          <w14:textFill>
            <w14:solidFill>
              <w14:schemeClr w14:val="tx1"/>
            </w14:solidFill>
          </w14:textFill>
        </w:rPr>
        <w:t>；招标文件未规定的，采取随机抽取的方式确定），也可以书面授权评标委员会直接确定中标人。采购人在收到评标报告5个工作日内未按评标报告推荐的中标候选人顺序确定中标人，又不能说明合法理由的，视同按评标报告推荐的顺序确定排名第一的中标候选人为中标人。</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26.4由采购人确定中标人的，在确定中标人前，采购人将通过“信用中国”网站(www.creditchina.gov.cn)、中国政府采购网(www.ccgp.gov.cn)查询中标候选人的信用记录，采购人将确定未被列入失信被执行人、重大税收违法案件当事人名单、政府采购严重违法失信行为记录名单的，排名第一的中标候选人为中标人。</w:t>
      </w:r>
    </w:p>
    <w:p>
      <w:pPr>
        <w:pStyle w:val="25"/>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27.招标终止</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27.1采购人、采购代理机构在发出招标公告后，除因重大变故采购任务取消情况外，不得擅自终止招标活动。终止招标的，应当及时在原公告发布媒体上发布终止公告，并将项目实施情况和采购任务取消原因报告本级财政部门。</w:t>
      </w:r>
    </w:p>
    <w:p>
      <w:pPr>
        <w:pStyle w:val="25"/>
        <w:adjustRightInd w:val="0"/>
        <w:snapToGrid w:val="0"/>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27.2 </w:t>
      </w:r>
      <w:r>
        <w:rPr>
          <w:rFonts w:hint="eastAsia" w:ascii="宋体" w:hAnsi="宋体"/>
          <w:bCs/>
          <w:color w:val="000000" w:themeColor="text1"/>
          <w:sz w:val="21"/>
          <w:szCs w:val="21"/>
          <w14:textFill>
            <w14:solidFill>
              <w14:schemeClr w14:val="tx1"/>
            </w14:solidFill>
          </w14:textFill>
        </w:rPr>
        <w:t>采购过程中出现以下情形，导致电子交易平台无法正常运行，或者无法保证电子交易的公平、公正和安全时，采购人（或代理机构）可中止电子交易活动：</w:t>
      </w:r>
    </w:p>
    <w:p>
      <w:pPr>
        <w:pStyle w:val="25"/>
        <w:adjustRightInd w:val="0"/>
        <w:snapToGrid w:val="0"/>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 xml:space="preserve">（1）电子交易平台发生故障而无法登录访问的； </w:t>
      </w:r>
    </w:p>
    <w:p>
      <w:pPr>
        <w:pStyle w:val="25"/>
        <w:adjustRightInd w:val="0"/>
        <w:snapToGrid w:val="0"/>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（2）电子交易平台应用或数据库出现错误，不能进行正常操作的；</w:t>
      </w:r>
    </w:p>
    <w:p>
      <w:pPr>
        <w:pStyle w:val="25"/>
        <w:adjustRightInd w:val="0"/>
        <w:snapToGrid w:val="0"/>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（3）电子交易平台发现严重安全漏洞，有潜在泄密危险的；</w:t>
      </w:r>
    </w:p>
    <w:p>
      <w:pPr>
        <w:pStyle w:val="25"/>
        <w:adjustRightInd w:val="0"/>
        <w:snapToGrid w:val="0"/>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（4）病毒发作导致不能进行正常操作的；</w:t>
      </w:r>
    </w:p>
    <w:p>
      <w:pPr>
        <w:pStyle w:val="25"/>
        <w:adjustRightInd w:val="0"/>
        <w:snapToGrid w:val="0"/>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（5）其他无法保证电子交易的公平、公正和安全的情况。</w:t>
      </w:r>
    </w:p>
    <w:p>
      <w:pPr>
        <w:pStyle w:val="25"/>
        <w:adjustRightInd w:val="0"/>
        <w:snapToGrid w:val="0"/>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出现上述规定情形，不影响采购公平、公正性的，采购人（或代理机构）可以待上述情形消除后继续组织电子交易活动，也可以决定某些环节以纸质形式进行。</w:t>
      </w:r>
    </w:p>
    <w:p>
      <w:pPr>
        <w:pStyle w:val="25"/>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28.重新评审</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28.1除资格性审查认定错误和价格计算错误外，采购人或者采购代理机构不能以任何理由组织重新评审。采购人、采购代理机构发现评标委员会未按照招标文件规定的评标标准进行评审的，应当重新开展采购活动，并同时书面报告本级财政部门。</w:t>
      </w:r>
    </w:p>
    <w:p>
      <w:pPr>
        <w:pStyle w:val="25"/>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29.纪律与保密事项</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29.1评标委员会成员以及与评标工作有关的人员不得泄露评审情况以及评标过程中获悉的国家秘密、商业秘密。</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29.2投标人不得与采购人、采购代理机构、其他投标人恶意串通；不得向采购人、采购代理机构或者评标委员会成员行贿或者提供其他不正当利益；不得提供虚假材料谋取中标；不得以任何方式干扰、影响采购工作。</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29.3</w:t>
      </w:r>
      <w:r>
        <w:rPr>
          <w:rFonts w:ascii="宋体" w:hAnsi="宋体"/>
          <w:color w:val="000000" w:themeColor="text1"/>
          <w:sz w:val="21"/>
          <w:szCs w:val="21"/>
          <w14:textFill>
            <w14:solidFill>
              <w14:schemeClr w14:val="tx1"/>
            </w14:solidFill>
          </w14:textFill>
        </w:rPr>
        <w:t>有下列情形之一的，属于恶意串通，中标无效，并依照《政府采购法》第七十七条的规定追究法律责任：</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（1）投标人直接或者间接从采购人、采购代理机构获得其他投标人的投标情况，并修改其投标文件的；</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（2）采购人、采购代理机构授意投标人撤换、修改投标文件的；</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（3）投标人之间协商技术方案、合同条款以及报价等投标文件实质性内容的；</w:t>
      </w:r>
    </w:p>
    <w:p>
      <w:pPr>
        <w:pStyle w:val="25"/>
        <w:adjustRightInd w:val="0"/>
        <w:snapToGrid w:val="0"/>
        <w:spacing w:line="360" w:lineRule="auto"/>
        <w:ind w:firstLine="420" w:firstLineChars="200"/>
        <w:rPr>
          <w:rFonts w:ascii="宋体" w:hAnsi="宋体"/>
          <w:color w:val="000000" w:themeColor="text1"/>
          <w:spacing w:val="-4"/>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w:t>
      </w:r>
      <w:r>
        <w:rPr>
          <w:rFonts w:hint="eastAsia" w:ascii="宋体" w:hAnsi="宋体"/>
          <w:color w:val="000000" w:themeColor="text1"/>
          <w:spacing w:val="-4"/>
          <w:sz w:val="21"/>
          <w:szCs w:val="21"/>
          <w14:textFill>
            <w14:solidFill>
              <w14:schemeClr w14:val="tx1"/>
            </w14:solidFill>
          </w14:textFill>
        </w:rPr>
        <w:t>属于同一集团、协会、商会等组织成员的投标人按照该组织要求协同参加政府采购活动的；</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（5）投标人之间事先约定由某一特定投标人中标的；</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（6）投标人之间商定部分投标人放弃提交投标文件或者退出招标或者放弃中标的；</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（7）投标人与采购人、采购代理机构以及评标委员会成员之间、投标人相互之间，为谋求特定投标人中标或者排斥其他投标人的其他串通行为的。</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8</w:t>
      </w:r>
      <w:r>
        <w:rPr>
          <w:rFonts w:ascii="宋体" w:hAnsi="宋体"/>
          <w:color w:val="000000" w:themeColor="text1"/>
          <w:sz w:val="21"/>
          <w:szCs w:val="21"/>
          <w14:textFill>
            <w14:solidFill>
              <w14:schemeClr w14:val="tx1"/>
            </w14:solidFill>
          </w14:textFill>
        </w:rPr>
        <w:t>）法律、行政法规或规章规定的其他串通行为。</w:t>
      </w:r>
    </w:p>
    <w:p>
      <w:pPr>
        <w:pStyle w:val="25"/>
        <w:adjustRightInd w:val="0"/>
        <w:snapToGrid w:val="0"/>
        <w:spacing w:line="360" w:lineRule="auto"/>
        <w:rPr>
          <w:rFonts w:ascii="宋体" w:hAnsi="宋体"/>
          <w:b/>
          <w:color w:val="000000" w:themeColor="text1"/>
          <w:sz w:val="21"/>
          <w:szCs w:val="21"/>
          <w14:textFill>
            <w14:solidFill>
              <w14:schemeClr w14:val="tx1"/>
            </w14:solidFill>
          </w14:textFill>
        </w:rPr>
      </w:pPr>
      <w:bookmarkStart w:id="27" w:name="_Toc420948014"/>
      <w:r>
        <w:rPr>
          <w:rFonts w:hint="eastAsia" w:ascii="宋体" w:hAnsi="宋体"/>
          <w:b/>
          <w:color w:val="000000" w:themeColor="text1"/>
          <w:sz w:val="21"/>
          <w:szCs w:val="21"/>
          <w14:textFill>
            <w14:solidFill>
              <w14:schemeClr w14:val="tx1"/>
            </w14:solidFill>
          </w14:textFill>
        </w:rPr>
        <w:t>六、中标结果信息公布与授予合同</w:t>
      </w:r>
      <w:bookmarkEnd w:id="27"/>
    </w:p>
    <w:p>
      <w:pPr>
        <w:pStyle w:val="25"/>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30.中标信息的公布</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30.1中标人确定后2个工作日内，采购人或者采购代理机构应将中标结果信息在投标须知前附表指定的媒体上（新疆政府采购网www.ccgp-xinjiang.gov.cn）公布。</w:t>
      </w:r>
    </w:p>
    <w:p>
      <w:pPr>
        <w:pStyle w:val="25"/>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31.询问及质疑</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31.1投标人对政府采购活动事项有疑问的，可以向采购人或采购代理机构提出询问。采购人或采购代理机构将在三个工作日内作出答复。</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31.2投标人若认为招标文件、招标过程和中标结果使自己的权益受到损害，应当在下列时间内以书面形式向采购人或采购代理机构提出：</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（1）关于采购过程的质疑，应在采购程序环节结束之日起七个工作日内提出。</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（2）关于中标结果的质疑，应在中标结果信息发布后七个工作日内提出。</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31.3 投标人提出质疑的，应提供质疑书原件。采购人或采购代理机构应当向质疑投标人签收回执。</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31.4 质疑书应当包括下列内容：依照新疆政府采购网http://www.ccgp-xinjiang.gov.cn/ 办事指南栏目中的模板）</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（1）质疑投标人的名称、地址及有效联系方式；</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（2）质疑事项；</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（3）事实依据及相关证明材料；</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（4）相关请求及主张。</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31.5 质疑书应当由投标人法定代表人或其授权的代理人签字并加盖投标人单位章，质疑书由授权的代理人签字的应附投标人法定代表人委托授权书。</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31.6 采购人或采购代理机构将在签收回执之日起七个工作日内作出书面答复，并以书面形式通知质疑投标人和其他有关的投标人。</w:t>
      </w:r>
    </w:p>
    <w:p>
      <w:pPr>
        <w:pStyle w:val="25"/>
        <w:adjustRightInd w:val="0"/>
        <w:snapToGrid w:val="0"/>
        <w:spacing w:line="360" w:lineRule="auto"/>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31.7投标人对采购人或采购代理机构的答复不满意，或采购人或采购代理机构未在规定的期限作出答复的，可在答复期满后十五个工作日内，按政府采购相关法律法规规章的规定及程序，向同级财政部门提出投诉。</w:t>
      </w:r>
    </w:p>
    <w:p>
      <w:pPr>
        <w:pStyle w:val="25"/>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32.中标通知</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32.1中标人确定后，采购人或采购代理机构将以书面形式向中标人发出中标通知书。中标通知书对采购人和中标人具有同等法律效力。</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32.2 中标通知书是合同文件的组成部分。</w:t>
      </w:r>
    </w:p>
    <w:p>
      <w:pPr>
        <w:pStyle w:val="25"/>
        <w:adjustRightInd w:val="0"/>
        <w:snapToGrid w:val="0"/>
        <w:spacing w:line="360" w:lineRule="auto"/>
        <w:ind w:firstLine="420" w:firstLineChars="200"/>
        <w:rPr>
          <w:rFonts w:hint="default" w:ascii="宋体" w:hAnsi="宋体" w:eastAsia="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32.3 </w:t>
      </w:r>
      <w:r>
        <w:rPr>
          <w:rFonts w:hint="eastAsia" w:ascii="宋体" w:hAnsi="宋体"/>
          <w:b/>
          <w:bCs/>
          <w:color w:val="000000" w:themeColor="text1"/>
          <w:sz w:val="21"/>
          <w:szCs w:val="21"/>
          <w:lang w:val="en-US" w:eastAsia="zh-CN"/>
          <w14:textFill>
            <w14:solidFill>
              <w14:schemeClr w14:val="tx1"/>
            </w14:solidFill>
          </w14:textFill>
        </w:rPr>
        <w:t>履约保证金</w:t>
      </w:r>
    </w:p>
    <w:p>
      <w:pPr>
        <w:pStyle w:val="25"/>
        <w:adjustRightInd w:val="0"/>
        <w:snapToGrid w:val="0"/>
        <w:spacing w:line="360" w:lineRule="auto"/>
        <w:ind w:firstLine="420" w:firstLineChars="200"/>
        <w:rPr>
          <w:rFonts w:hint="default"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中标人在收到采购代理机构的中标通知书后</w:t>
      </w:r>
      <w:r>
        <w:rPr>
          <w:rFonts w:hint="eastAsia" w:ascii="宋体" w:hAnsi="宋体"/>
          <w:color w:val="000000" w:themeColor="text1"/>
          <w:sz w:val="21"/>
          <w:szCs w:val="21"/>
          <w:lang w:val="en-US" w:eastAsia="zh-CN"/>
          <w14:textFill>
            <w14:solidFill>
              <w14:schemeClr w14:val="tx1"/>
            </w14:solidFill>
          </w14:textFill>
        </w:rPr>
        <w:t>5个工作日</w:t>
      </w:r>
      <w:r>
        <w:rPr>
          <w:rFonts w:hint="eastAsia" w:ascii="宋体" w:hAnsi="宋体"/>
          <w:color w:val="000000" w:themeColor="text1"/>
          <w:sz w:val="21"/>
          <w:szCs w:val="21"/>
          <w14:textFill>
            <w14:solidFill>
              <w14:schemeClr w14:val="tx1"/>
            </w14:solidFill>
          </w14:textFill>
        </w:rPr>
        <w:t>内，应按照</w:t>
      </w:r>
      <w:r>
        <w:rPr>
          <w:rFonts w:hint="eastAsia" w:ascii="宋体" w:hAnsi="宋体"/>
          <w:b/>
          <w:bCs/>
          <w:color w:val="000000" w:themeColor="text1"/>
          <w:sz w:val="21"/>
          <w:szCs w:val="21"/>
          <w14:textFill>
            <w14:solidFill>
              <w14:schemeClr w14:val="tx1"/>
            </w14:solidFill>
          </w14:textFill>
        </w:rPr>
        <w:t>投标须知前附表</w:t>
      </w:r>
      <w:r>
        <w:rPr>
          <w:rFonts w:hint="eastAsia" w:ascii="宋体" w:hAnsi="宋体"/>
          <w:color w:val="000000" w:themeColor="text1"/>
          <w:sz w:val="21"/>
          <w:szCs w:val="21"/>
          <w14:textFill>
            <w14:solidFill>
              <w14:schemeClr w14:val="tx1"/>
            </w14:solidFill>
          </w14:textFill>
        </w:rPr>
        <w:t>的规定，向采购人提交履约保证金。</w:t>
      </w:r>
      <w:r>
        <w:rPr>
          <w:rFonts w:hint="eastAsia" w:ascii="宋体" w:hAnsi="宋体"/>
          <w:b/>
          <w:bCs/>
          <w:color w:val="000000" w:themeColor="text1"/>
          <w:sz w:val="21"/>
          <w:szCs w:val="21"/>
          <w:lang w:val="en-US" w:eastAsia="zh-CN"/>
          <w14:textFill>
            <w14:solidFill>
              <w14:schemeClr w14:val="tx1"/>
            </w14:solidFill>
          </w14:textFill>
        </w:rPr>
        <w:t>本项目（标段三）</w:t>
      </w:r>
      <w:r>
        <w:rPr>
          <w:rFonts w:hint="eastAsia" w:ascii="宋体" w:hAnsi="宋体"/>
          <w:b/>
          <w:bCs/>
          <w:color w:val="000000" w:themeColor="text1"/>
          <w:sz w:val="21"/>
          <w:szCs w:val="21"/>
          <w14:textFill>
            <w14:solidFill>
              <w14:schemeClr w14:val="tx1"/>
            </w14:solidFill>
          </w14:textFill>
        </w:rPr>
        <w:t>履约保证金</w:t>
      </w:r>
      <w:r>
        <w:rPr>
          <w:rFonts w:hint="eastAsia" w:ascii="宋体" w:hAnsi="宋体"/>
          <w:b/>
          <w:bCs/>
          <w:color w:val="000000" w:themeColor="text1"/>
          <w:sz w:val="21"/>
          <w:szCs w:val="21"/>
          <w:lang w:val="en-US" w:eastAsia="zh-CN"/>
          <w14:textFill>
            <w14:solidFill>
              <w14:schemeClr w14:val="tx1"/>
            </w14:solidFill>
          </w14:textFill>
        </w:rPr>
        <w:t>收取</w:t>
      </w:r>
      <w:r>
        <w:rPr>
          <w:rFonts w:hint="eastAsia" w:ascii="宋体" w:hAnsi="宋体"/>
          <w:b/>
          <w:bCs/>
          <w:color w:val="000000" w:themeColor="text1"/>
          <w:sz w:val="21"/>
          <w:szCs w:val="21"/>
          <w14:textFill>
            <w14:solidFill>
              <w14:schemeClr w14:val="tx1"/>
            </w14:solidFill>
          </w14:textFill>
        </w:rPr>
        <w:t>政府</w:t>
      </w:r>
      <w:r>
        <w:rPr>
          <w:rFonts w:hint="eastAsia" w:ascii="宋体" w:hAnsi="宋体"/>
          <w:b/>
          <w:bCs/>
          <w:color w:val="000000" w:themeColor="text1"/>
          <w:sz w:val="21"/>
          <w:szCs w:val="21"/>
          <w:lang w:val="en-US" w:eastAsia="zh-CN"/>
          <w14:textFill>
            <w14:solidFill>
              <w14:schemeClr w14:val="tx1"/>
            </w14:solidFill>
          </w14:textFill>
        </w:rPr>
        <w:t>采购合同</w:t>
      </w:r>
      <w:r>
        <w:rPr>
          <w:rFonts w:hint="eastAsia" w:ascii="宋体" w:hAnsi="宋体"/>
          <w:b/>
          <w:bCs/>
          <w:color w:val="000000" w:themeColor="text1"/>
          <w:sz w:val="21"/>
          <w:szCs w:val="21"/>
          <w14:textFill>
            <w14:solidFill>
              <w14:schemeClr w14:val="tx1"/>
            </w14:solidFill>
          </w14:textFill>
        </w:rPr>
        <w:t>金额的</w:t>
      </w:r>
      <w:r>
        <w:rPr>
          <w:rFonts w:hint="eastAsia" w:ascii="宋体" w:hAnsi="宋体"/>
          <w:b/>
          <w:bCs/>
          <w:color w:val="000000" w:themeColor="text1"/>
          <w:sz w:val="21"/>
          <w:szCs w:val="21"/>
          <w:lang w:val="en-US" w:eastAsia="zh-CN"/>
          <w14:textFill>
            <w14:solidFill>
              <w14:schemeClr w14:val="tx1"/>
            </w14:solidFill>
          </w14:textFill>
        </w:rPr>
        <w:t>5%。</w:t>
      </w:r>
    </w:p>
    <w:p>
      <w:pPr>
        <w:pStyle w:val="25"/>
        <w:adjustRightInd w:val="0"/>
        <w:snapToGrid w:val="0"/>
        <w:spacing w:line="360" w:lineRule="auto"/>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32.3.1项目验收后10日内采购单位退还履约保证金。</w:t>
      </w:r>
    </w:p>
    <w:p>
      <w:pPr>
        <w:pStyle w:val="25"/>
        <w:adjustRightInd w:val="0"/>
        <w:snapToGrid w:val="0"/>
        <w:spacing w:line="360" w:lineRule="auto"/>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32.4 中标人没有按照约定提交履约保证金的，视为放弃中标资格。</w:t>
      </w:r>
    </w:p>
    <w:p>
      <w:pPr>
        <w:pStyle w:val="25"/>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33.签订合同</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33.1 招标文件、中标人的投标文件及其补充的投标文件等均为签订政府采购合同的依据。</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33.2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33.3 中标人应当按照合同约定履行义务。中标人不得向他人转让中标项目，也不得将中标项目分包后分别向他人转让。</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33.4 中标人有下列情形之一的，责令限期改正，情节严重的，列入不良行为记录名单，在1至3年内禁止参加政府采购活动，并予以通报：</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（一）中标后无正当理由不与采购人签订合同的；</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（二）未按照招标文件确定的事项签订政府采购合同，或者与采购人另行订立背离合同实质性内容的协议的；</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（三）拒绝履行合同义务的；</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（四）违反法律、规章、规范性文件规定的。</w:t>
      </w:r>
    </w:p>
    <w:p>
      <w:pPr>
        <w:pStyle w:val="25"/>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33.5采购人应当自政府采购合同签订之日起2个工作日内，将政府采购合同在省级以上人民政府财政部门指定的媒体上公告，但政府采购合同中涉及国家秘密、商业秘密的内容除外。</w:t>
      </w:r>
    </w:p>
    <w:p>
      <w:pPr>
        <w:pStyle w:val="25"/>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34. 政府采购合同履行中数量的变更</w:t>
      </w:r>
    </w:p>
    <w:p>
      <w:pPr>
        <w:pStyle w:val="25"/>
        <w:adjustRightInd w:val="0"/>
        <w:snapToGrid w:val="0"/>
        <w:spacing w:line="360" w:lineRule="auto"/>
        <w:ind w:firstLine="420" w:firstLineChars="200"/>
        <w:jc w:val="left"/>
        <w:rPr>
          <w:rFonts w:ascii="宋体" w:hAnsi="宋体"/>
          <w:color w:val="000000" w:themeColor="text1"/>
          <w:sz w:val="21"/>
          <w:szCs w:val="21"/>
          <w14:textFill>
            <w14:solidFill>
              <w14:schemeClr w14:val="tx1"/>
            </w14:solidFill>
          </w14:textFill>
        </w:rPr>
        <w:sectPr>
          <w:pgSz w:w="11906" w:h="16838"/>
          <w:pgMar w:top="1474" w:right="1531" w:bottom="1474" w:left="1531"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olor w:val="000000" w:themeColor="text1"/>
          <w:sz w:val="21"/>
          <w:szCs w:val="21"/>
          <w14:textFill>
            <w14:solidFill>
              <w14:schemeClr w14:val="tx1"/>
            </w14:solidFill>
          </w14:textFill>
        </w:rPr>
        <w:t>34.1政府采购合同履行中，采购人需追加与合同标的相同的货物服务的，在不改变合同其他条款的前提下，可以与中标人协商签订补充合同，但所有补充合同的采购金额不得超过原合同采购金额的百分之十。</w:t>
      </w:r>
    </w:p>
    <w:p>
      <w:pPr>
        <w:pStyle w:val="25"/>
        <w:adjustRightInd w:val="0"/>
        <w:snapToGrid w:val="0"/>
        <w:spacing w:line="360" w:lineRule="auto"/>
        <w:jc w:val="center"/>
        <w:rPr>
          <w:rFonts w:ascii="宋体" w:hAnsi="宋体"/>
          <w:b/>
          <w:bCs/>
          <w:color w:val="000000" w:themeColor="text1"/>
          <w:sz w:val="32"/>
          <w:szCs w:val="32"/>
          <w14:textFill>
            <w14:solidFill>
              <w14:schemeClr w14:val="tx1"/>
            </w14:solidFill>
          </w14:textFill>
        </w:rPr>
      </w:pPr>
      <w:bookmarkStart w:id="28" w:name="_Toc430715133"/>
      <w:bookmarkStart w:id="29" w:name="_Toc474235949"/>
      <w:bookmarkStart w:id="30" w:name="_Toc420948016"/>
      <w:r>
        <w:rPr>
          <w:rFonts w:hint="eastAsia" w:ascii="宋体" w:hAnsi="宋体"/>
          <w:b/>
          <w:bCs/>
          <w:color w:val="000000" w:themeColor="text1"/>
          <w:sz w:val="32"/>
          <w:szCs w:val="32"/>
          <w14:textFill>
            <w14:solidFill>
              <w14:schemeClr w14:val="tx1"/>
            </w14:solidFill>
          </w14:textFill>
        </w:rPr>
        <w:t>第三章 评标方法及标准</w:t>
      </w:r>
      <w:bookmarkEnd w:id="28"/>
      <w:bookmarkEnd w:id="29"/>
    </w:p>
    <w:p>
      <w:pPr>
        <w:adjustRightInd w:val="0"/>
        <w:snapToGrid w:val="0"/>
        <w:spacing w:before="156" w:beforeLines="50" w:line="360" w:lineRule="auto"/>
        <w:ind w:right="-109" w:rightChars="-52"/>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一、资格审核</w:t>
      </w:r>
    </w:p>
    <w:p>
      <w:pPr>
        <w:adjustRightInd w:val="0"/>
        <w:snapToGrid w:val="0"/>
        <w:spacing w:before="156" w:beforeLines="50" w:line="360" w:lineRule="auto"/>
        <w:ind w:right="-109" w:rightChars="-52"/>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1.评标前投标文件的初步</w:t>
      </w:r>
      <w:r>
        <w:rPr>
          <w:rFonts w:hint="eastAsia" w:ascii="宋体" w:hAnsi="宋体"/>
          <w:b/>
          <w:color w:val="000000" w:themeColor="text1"/>
          <w:szCs w:val="21"/>
          <w14:textFill>
            <w14:solidFill>
              <w14:schemeClr w14:val="tx1"/>
            </w14:solidFill>
          </w14:textFill>
        </w:rPr>
        <w:t>审核</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1.1初步</w:t>
      </w:r>
      <w:r>
        <w:rPr>
          <w:rFonts w:hint="eastAsia" w:ascii="宋体" w:hAnsi="宋体"/>
          <w:color w:val="000000" w:themeColor="text1"/>
          <w:szCs w:val="21"/>
          <w14:textFill>
            <w14:solidFill>
              <w14:schemeClr w14:val="tx1"/>
            </w14:solidFill>
          </w14:textFill>
        </w:rPr>
        <w:t>评审为资格性检查和符合性检查。</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1.1.1 资格性检查。根据法律法规和招标文件的规定，对投标文件中的资格证明、投标保证金等进行审查，以确定投标人是否具备投标资格。</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1.1.2 符合性检查。依据招标文件的规定，从投标文件的有效性、完整性和对招标文件的响应程度进行审查，以确定是否对招标文件的实质性要求作出响应。采购人决定投标文件的响应性只根据投标文件真实无误的内容，而不依据外部的证据，但投标文件有不真实、不正确的内容时除外。</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1.1.3投标人不得通过修正或撤销不合要求的偏离从而使其投标成为实质上响应的投标。</w:t>
      </w:r>
    </w:p>
    <w:tbl>
      <w:tblPr>
        <w:tblStyle w:val="47"/>
        <w:tblW w:w="88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7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96" w:type="dxa"/>
            <w:vAlign w:val="center"/>
          </w:tcPr>
          <w:p>
            <w:pPr>
              <w:jc w:val="center"/>
              <w:rPr>
                <w:rFonts w:hint="eastAsia" w:ascii="黑体" w:hAnsi="黑体" w:eastAsia="黑体" w:cs="黑体"/>
                <w:sz w:val="20"/>
                <w:szCs w:val="20"/>
              </w:rPr>
            </w:pPr>
            <w:r>
              <w:rPr>
                <w:rFonts w:hint="eastAsia" w:ascii="黑体" w:hAnsi="黑体" w:eastAsia="黑体" w:cs="黑体"/>
                <w:sz w:val="20"/>
                <w:szCs w:val="20"/>
              </w:rPr>
              <w:t>项目</w:t>
            </w:r>
          </w:p>
        </w:tc>
        <w:tc>
          <w:tcPr>
            <w:tcW w:w="7836" w:type="dxa"/>
            <w:vAlign w:val="center"/>
          </w:tcPr>
          <w:p>
            <w:pPr>
              <w:jc w:val="center"/>
              <w:rPr>
                <w:rFonts w:hint="eastAsia" w:ascii="黑体" w:hAnsi="黑体" w:eastAsia="黑体" w:cs="黑体"/>
                <w:sz w:val="20"/>
                <w:szCs w:val="20"/>
              </w:rPr>
            </w:pPr>
            <w:r>
              <w:rPr>
                <w:rFonts w:hint="eastAsia" w:ascii="黑体" w:hAnsi="黑体" w:eastAsia="黑体" w:cs="黑体"/>
                <w:sz w:val="20"/>
                <w:szCs w:val="20"/>
              </w:rPr>
              <w:t>审核因素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96" w:type="dxa"/>
            <w:vMerge w:val="restart"/>
            <w:vAlign w:val="center"/>
          </w:tcPr>
          <w:p>
            <w:pPr>
              <w:jc w:val="center"/>
              <w:rPr>
                <w:rFonts w:hint="eastAsia" w:ascii="黑体" w:hAnsi="黑体" w:eastAsia="黑体" w:cs="黑体"/>
                <w:sz w:val="20"/>
                <w:szCs w:val="20"/>
              </w:rPr>
            </w:pPr>
            <w:r>
              <w:rPr>
                <w:rFonts w:hint="eastAsia" w:ascii="黑体" w:hAnsi="黑体" w:eastAsia="黑体" w:cs="黑体"/>
                <w:sz w:val="20"/>
                <w:szCs w:val="20"/>
              </w:rPr>
              <w:t>资格性检查</w:t>
            </w:r>
          </w:p>
        </w:tc>
        <w:tc>
          <w:tcPr>
            <w:tcW w:w="7836" w:type="dxa"/>
            <w:vAlign w:val="center"/>
          </w:tcPr>
          <w:p>
            <w:pPr>
              <w:rPr>
                <w:rFonts w:hint="eastAsia" w:ascii="黑体" w:hAnsi="黑体" w:eastAsia="黑体" w:cs="黑体"/>
                <w:sz w:val="20"/>
                <w:szCs w:val="20"/>
              </w:rPr>
            </w:pPr>
            <w:r>
              <w:rPr>
                <w:rFonts w:hint="eastAsia" w:ascii="黑体" w:hAnsi="黑体" w:eastAsia="黑体" w:cs="黑体"/>
                <w:sz w:val="20"/>
                <w:szCs w:val="20"/>
              </w:rPr>
              <w:t>1、营业执照；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96" w:type="dxa"/>
            <w:vMerge w:val="continue"/>
            <w:vAlign w:val="center"/>
          </w:tcPr>
          <w:p>
            <w:pPr>
              <w:jc w:val="center"/>
              <w:rPr>
                <w:rFonts w:hint="eastAsia" w:ascii="黑体" w:hAnsi="黑体" w:eastAsia="黑体" w:cs="黑体"/>
                <w:sz w:val="20"/>
                <w:szCs w:val="20"/>
              </w:rPr>
            </w:pPr>
          </w:p>
        </w:tc>
        <w:tc>
          <w:tcPr>
            <w:tcW w:w="7836" w:type="dxa"/>
            <w:vAlign w:val="center"/>
          </w:tcPr>
          <w:p>
            <w:pPr>
              <w:rPr>
                <w:rFonts w:hint="eastAsia" w:ascii="黑体" w:hAnsi="黑体" w:eastAsia="黑体" w:cs="黑体"/>
                <w:sz w:val="20"/>
                <w:szCs w:val="20"/>
              </w:rPr>
            </w:pPr>
            <w:r>
              <w:rPr>
                <w:rFonts w:hint="eastAsia" w:ascii="黑体" w:hAnsi="黑体" w:eastAsia="黑体" w:cs="黑体"/>
                <w:sz w:val="20"/>
                <w:szCs w:val="20"/>
              </w:rPr>
              <w:t>2、法人提供法定代表人身份证明，或委托代理人提供授权委托书；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96" w:type="dxa"/>
            <w:vMerge w:val="continue"/>
            <w:vAlign w:val="center"/>
          </w:tcPr>
          <w:p>
            <w:pPr>
              <w:jc w:val="center"/>
              <w:rPr>
                <w:rFonts w:hint="eastAsia" w:ascii="黑体" w:hAnsi="黑体" w:eastAsia="黑体" w:cs="黑体"/>
                <w:sz w:val="20"/>
                <w:szCs w:val="20"/>
              </w:rPr>
            </w:pPr>
          </w:p>
        </w:tc>
        <w:tc>
          <w:tcPr>
            <w:tcW w:w="7836" w:type="dxa"/>
            <w:vAlign w:val="center"/>
          </w:tcPr>
          <w:p>
            <w:pPr>
              <w:rPr>
                <w:rFonts w:hint="eastAsia" w:ascii="黑体" w:hAnsi="黑体" w:eastAsia="黑体" w:cs="黑体"/>
                <w:sz w:val="20"/>
                <w:szCs w:val="20"/>
              </w:rPr>
            </w:pPr>
            <w:r>
              <w:rPr>
                <w:rFonts w:hint="eastAsia" w:ascii="黑体" w:hAnsi="黑体" w:eastAsia="黑体" w:cs="黑体"/>
                <w:sz w:val="20"/>
                <w:szCs w:val="20"/>
              </w:rPr>
              <w:t>3、具有良好的商业信誉和健全的财务会计制度， 提供《政府采购供应商信用承诺函》；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96" w:type="dxa"/>
            <w:vMerge w:val="continue"/>
            <w:vAlign w:val="center"/>
          </w:tcPr>
          <w:p>
            <w:pPr>
              <w:jc w:val="center"/>
              <w:rPr>
                <w:rFonts w:hint="eastAsia" w:ascii="黑体" w:hAnsi="黑体" w:eastAsia="黑体" w:cs="黑体"/>
                <w:sz w:val="20"/>
                <w:szCs w:val="20"/>
              </w:rPr>
            </w:pPr>
          </w:p>
        </w:tc>
        <w:tc>
          <w:tcPr>
            <w:tcW w:w="7836" w:type="dxa"/>
            <w:vAlign w:val="center"/>
          </w:tcPr>
          <w:p>
            <w:pPr>
              <w:rPr>
                <w:rFonts w:hint="eastAsia" w:ascii="黑体" w:hAnsi="黑体" w:eastAsia="黑体" w:cs="黑体"/>
                <w:sz w:val="20"/>
                <w:szCs w:val="20"/>
              </w:rPr>
            </w:pPr>
            <w:r>
              <w:rPr>
                <w:rFonts w:hint="eastAsia" w:ascii="黑体" w:hAnsi="黑体" w:eastAsia="黑体" w:cs="黑体"/>
                <w:sz w:val="20"/>
                <w:szCs w:val="20"/>
              </w:rPr>
              <w:t>4、具有履行合同所必需的设备和专业技术能力，提供《政府采购供应商信用承诺函》；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96" w:type="dxa"/>
            <w:vMerge w:val="continue"/>
            <w:vAlign w:val="center"/>
          </w:tcPr>
          <w:p>
            <w:pPr>
              <w:jc w:val="center"/>
              <w:rPr>
                <w:rFonts w:hint="eastAsia" w:ascii="黑体" w:hAnsi="黑体" w:eastAsia="黑体" w:cs="黑体"/>
                <w:sz w:val="20"/>
                <w:szCs w:val="20"/>
              </w:rPr>
            </w:pPr>
          </w:p>
        </w:tc>
        <w:tc>
          <w:tcPr>
            <w:tcW w:w="7836" w:type="dxa"/>
            <w:vAlign w:val="center"/>
          </w:tcPr>
          <w:p>
            <w:pPr>
              <w:rPr>
                <w:rFonts w:hint="eastAsia" w:ascii="黑体" w:hAnsi="黑体" w:eastAsia="黑体" w:cs="黑体"/>
                <w:sz w:val="20"/>
                <w:szCs w:val="20"/>
              </w:rPr>
            </w:pPr>
            <w:r>
              <w:rPr>
                <w:rFonts w:hint="eastAsia" w:ascii="黑体" w:hAnsi="黑体" w:eastAsia="黑体" w:cs="黑体"/>
                <w:sz w:val="20"/>
                <w:szCs w:val="20"/>
              </w:rPr>
              <w:t>5、有依法缴纳税收和社会保障资金的良好记录，提供《政府采购供应商信用承诺函》；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96" w:type="dxa"/>
            <w:vMerge w:val="continue"/>
            <w:vAlign w:val="center"/>
          </w:tcPr>
          <w:p>
            <w:pPr>
              <w:jc w:val="center"/>
              <w:rPr>
                <w:rFonts w:hint="eastAsia" w:ascii="黑体" w:hAnsi="黑体" w:eastAsia="黑体" w:cs="黑体"/>
                <w:sz w:val="20"/>
                <w:szCs w:val="20"/>
              </w:rPr>
            </w:pPr>
          </w:p>
        </w:tc>
        <w:tc>
          <w:tcPr>
            <w:tcW w:w="7836" w:type="dxa"/>
            <w:vAlign w:val="center"/>
          </w:tcPr>
          <w:p>
            <w:pPr>
              <w:rPr>
                <w:rFonts w:hint="eastAsia" w:ascii="黑体" w:hAnsi="黑体" w:eastAsia="黑体" w:cs="黑体"/>
                <w:sz w:val="20"/>
                <w:szCs w:val="20"/>
              </w:rPr>
            </w:pPr>
            <w:r>
              <w:rPr>
                <w:rFonts w:hint="eastAsia" w:ascii="黑体" w:hAnsi="黑体" w:eastAsia="黑体" w:cs="黑体"/>
                <w:sz w:val="20"/>
                <w:szCs w:val="20"/>
              </w:rPr>
              <w:t>6、无重大违法记录，提供《政府采购供应商信用承诺函》；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996" w:type="dxa"/>
            <w:vMerge w:val="continue"/>
            <w:vAlign w:val="center"/>
          </w:tcPr>
          <w:p>
            <w:pPr>
              <w:jc w:val="center"/>
              <w:rPr>
                <w:rFonts w:hint="eastAsia" w:ascii="黑体" w:hAnsi="黑体" w:eastAsia="黑体" w:cs="黑体"/>
                <w:sz w:val="20"/>
                <w:szCs w:val="20"/>
              </w:rPr>
            </w:pPr>
          </w:p>
        </w:tc>
        <w:tc>
          <w:tcPr>
            <w:tcW w:w="7836" w:type="dxa"/>
            <w:vAlign w:val="center"/>
          </w:tcPr>
          <w:p>
            <w:pPr>
              <w:rPr>
                <w:rFonts w:hint="eastAsia" w:ascii="黑体" w:hAnsi="黑体" w:eastAsia="黑体" w:cs="黑体"/>
                <w:sz w:val="20"/>
                <w:szCs w:val="20"/>
              </w:rPr>
            </w:pPr>
            <w:r>
              <w:rPr>
                <w:rFonts w:hint="eastAsia" w:ascii="黑体" w:hAnsi="黑体" w:eastAsia="黑体" w:cs="黑体"/>
                <w:sz w:val="20"/>
                <w:szCs w:val="20"/>
              </w:rPr>
              <w:t>7、“信用中国”（www.creditchina.gov.cn）和中国政府采购网（www.ccgp.gov.cn）网站上未被列入失信被执行人、重大税收违法案件当事人名单以及政府采购严重违法失信行为记录名单；</w:t>
            </w:r>
            <w:r>
              <w:rPr>
                <w:rFonts w:hint="eastAsia" w:ascii="黑体" w:hAnsi="黑体" w:eastAsia="黑体" w:cs="黑体"/>
                <w:sz w:val="20"/>
                <w:szCs w:val="20"/>
                <w:lang w:val="en-US" w:eastAsia="zh-CN"/>
              </w:rPr>
              <w:t>（网页打印件须自招标文件发布之日起至投标截止时间从上述网站中打印）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96" w:type="dxa"/>
            <w:vMerge w:val="restart"/>
            <w:vAlign w:val="center"/>
          </w:tcPr>
          <w:p>
            <w:pPr>
              <w:jc w:val="center"/>
              <w:rPr>
                <w:rFonts w:hint="eastAsia" w:ascii="黑体" w:hAnsi="黑体" w:eastAsia="黑体" w:cs="黑体"/>
                <w:sz w:val="20"/>
                <w:szCs w:val="20"/>
              </w:rPr>
            </w:pPr>
            <w:r>
              <w:rPr>
                <w:rFonts w:hint="eastAsia" w:ascii="黑体" w:hAnsi="黑体" w:eastAsia="黑体" w:cs="黑体"/>
                <w:sz w:val="20"/>
                <w:szCs w:val="20"/>
              </w:rPr>
              <w:t>符合性检查</w:t>
            </w:r>
          </w:p>
        </w:tc>
        <w:tc>
          <w:tcPr>
            <w:tcW w:w="7836" w:type="dxa"/>
            <w:vAlign w:val="center"/>
          </w:tcPr>
          <w:p>
            <w:pPr>
              <w:rPr>
                <w:rFonts w:hint="eastAsia" w:ascii="黑体" w:hAnsi="黑体" w:eastAsia="黑体" w:cs="黑体"/>
                <w:sz w:val="20"/>
                <w:szCs w:val="20"/>
              </w:rPr>
            </w:pPr>
            <w:r>
              <w:rPr>
                <w:rFonts w:hint="eastAsia" w:ascii="黑体" w:hAnsi="黑体" w:eastAsia="黑体" w:cs="黑体"/>
                <w:sz w:val="20"/>
                <w:szCs w:val="20"/>
              </w:rPr>
              <w:t>1.投标文件按照按招标文件要求上传、解密、签署电子章的；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96" w:type="dxa"/>
            <w:vMerge w:val="continue"/>
            <w:vAlign w:val="center"/>
          </w:tcPr>
          <w:p>
            <w:pPr>
              <w:rPr>
                <w:rFonts w:hint="eastAsia" w:ascii="黑体" w:hAnsi="黑体" w:eastAsia="黑体" w:cs="黑体"/>
                <w:sz w:val="20"/>
                <w:szCs w:val="20"/>
              </w:rPr>
            </w:pPr>
          </w:p>
        </w:tc>
        <w:tc>
          <w:tcPr>
            <w:tcW w:w="7836" w:type="dxa"/>
            <w:vAlign w:val="center"/>
          </w:tcPr>
          <w:p>
            <w:pPr>
              <w:rPr>
                <w:rFonts w:hint="eastAsia" w:ascii="黑体" w:hAnsi="黑体" w:eastAsia="黑体" w:cs="黑体"/>
                <w:sz w:val="20"/>
                <w:szCs w:val="20"/>
              </w:rPr>
            </w:pPr>
            <w:r>
              <w:rPr>
                <w:rFonts w:hint="eastAsia" w:ascii="黑体" w:hAnsi="黑体" w:eastAsia="黑体" w:cs="黑体"/>
                <w:sz w:val="20"/>
                <w:szCs w:val="20"/>
              </w:rPr>
              <w:t>2.开标一览表内承诺交付使用期、质保期满足招标文件要求；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96" w:type="dxa"/>
            <w:vMerge w:val="continue"/>
            <w:vAlign w:val="center"/>
          </w:tcPr>
          <w:p>
            <w:pPr>
              <w:rPr>
                <w:rFonts w:hint="eastAsia" w:ascii="黑体" w:hAnsi="黑体" w:eastAsia="黑体" w:cs="黑体"/>
                <w:sz w:val="20"/>
                <w:szCs w:val="20"/>
              </w:rPr>
            </w:pPr>
          </w:p>
        </w:tc>
        <w:tc>
          <w:tcPr>
            <w:tcW w:w="7836" w:type="dxa"/>
            <w:vAlign w:val="center"/>
          </w:tcPr>
          <w:p>
            <w:pPr>
              <w:rPr>
                <w:rFonts w:hint="eastAsia" w:ascii="黑体" w:hAnsi="黑体" w:eastAsia="黑体" w:cs="黑体"/>
                <w:sz w:val="20"/>
                <w:szCs w:val="20"/>
              </w:rPr>
            </w:pPr>
            <w:r>
              <w:rPr>
                <w:rFonts w:hint="eastAsia" w:ascii="黑体" w:hAnsi="黑体" w:eastAsia="黑体" w:cs="黑体"/>
                <w:sz w:val="20"/>
                <w:szCs w:val="20"/>
              </w:rPr>
              <w:t>3.报价具有唯一性，报价未超过招标文件中规定的</w:t>
            </w:r>
            <w:r>
              <w:rPr>
                <w:rFonts w:hint="eastAsia" w:ascii="黑体" w:hAnsi="黑体" w:eastAsia="黑体" w:cs="黑体"/>
                <w:sz w:val="20"/>
                <w:szCs w:val="20"/>
                <w:lang w:val="en-US" w:eastAsia="zh-CN"/>
              </w:rPr>
              <w:t>预算金额</w:t>
            </w:r>
            <w:r>
              <w:rPr>
                <w:rFonts w:hint="eastAsia" w:ascii="黑体" w:hAnsi="黑体" w:eastAsia="黑体" w:cs="黑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96" w:type="dxa"/>
            <w:vMerge w:val="continue"/>
            <w:vAlign w:val="center"/>
          </w:tcPr>
          <w:p>
            <w:pPr>
              <w:rPr>
                <w:rFonts w:hint="eastAsia" w:ascii="黑体" w:hAnsi="黑体" w:eastAsia="黑体" w:cs="黑体"/>
                <w:sz w:val="20"/>
                <w:szCs w:val="20"/>
              </w:rPr>
            </w:pPr>
          </w:p>
        </w:tc>
        <w:tc>
          <w:tcPr>
            <w:tcW w:w="7836" w:type="dxa"/>
            <w:vAlign w:val="center"/>
          </w:tcPr>
          <w:p>
            <w:pPr>
              <w:rPr>
                <w:rFonts w:hint="eastAsia" w:ascii="黑体" w:hAnsi="黑体" w:eastAsia="黑体" w:cs="黑体"/>
                <w:sz w:val="20"/>
                <w:szCs w:val="20"/>
              </w:rPr>
            </w:pPr>
            <w:r>
              <w:rPr>
                <w:rFonts w:hint="eastAsia" w:ascii="黑体" w:hAnsi="黑体" w:eastAsia="黑体" w:cs="黑体"/>
                <w:sz w:val="20"/>
                <w:szCs w:val="20"/>
                <w:lang w:val="en-US" w:eastAsia="zh-CN"/>
              </w:rPr>
              <w:t>4</w:t>
            </w:r>
            <w:r>
              <w:rPr>
                <w:rFonts w:hint="eastAsia" w:ascii="黑体" w:hAnsi="黑体" w:eastAsia="黑体" w:cs="黑体"/>
                <w:sz w:val="20"/>
                <w:szCs w:val="20"/>
              </w:rPr>
              <w:t>.</w:t>
            </w:r>
            <w:r>
              <w:rPr>
                <w:rFonts w:hint="eastAsia" w:ascii="黑体" w:hAnsi="黑体" w:eastAsia="黑体" w:cs="黑体"/>
                <w:sz w:val="20"/>
                <w:szCs w:val="20"/>
                <w:lang w:eastAsia="zh-CN"/>
              </w:rPr>
              <w:t>核心产品品牌具有唯一性，且与报价明细表一致。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exact"/>
        </w:trPr>
        <w:tc>
          <w:tcPr>
            <w:tcW w:w="996" w:type="dxa"/>
            <w:vMerge w:val="continue"/>
            <w:vAlign w:val="center"/>
          </w:tcPr>
          <w:p>
            <w:pPr>
              <w:rPr>
                <w:rFonts w:hint="eastAsia" w:ascii="黑体" w:hAnsi="黑体" w:eastAsia="黑体" w:cs="黑体"/>
                <w:sz w:val="20"/>
                <w:szCs w:val="20"/>
              </w:rPr>
            </w:pPr>
          </w:p>
        </w:tc>
        <w:tc>
          <w:tcPr>
            <w:tcW w:w="7836" w:type="dxa"/>
            <w:vAlign w:val="center"/>
          </w:tcPr>
          <w:p>
            <w:pPr>
              <w:rPr>
                <w:rFonts w:hint="eastAsia" w:ascii="黑体" w:hAnsi="黑体" w:eastAsia="黑体" w:cs="黑体"/>
                <w:sz w:val="20"/>
                <w:szCs w:val="20"/>
              </w:rPr>
            </w:pPr>
            <w:r>
              <w:rPr>
                <w:rFonts w:hint="eastAsia" w:ascii="黑体" w:hAnsi="黑体" w:eastAsia="黑体" w:cs="黑体"/>
                <w:sz w:val="20"/>
                <w:szCs w:val="20"/>
                <w:lang w:val="en-US" w:eastAsia="zh-CN"/>
              </w:rPr>
              <w:t>5.</w:t>
            </w:r>
            <w:r>
              <w:rPr>
                <w:rFonts w:hint="eastAsia" w:ascii="黑体" w:hAnsi="黑体" w:eastAsia="黑体" w:cs="黑体"/>
                <w:sz w:val="20"/>
                <w:szCs w:val="20"/>
                <w:lang w:eastAsia="zh-CN"/>
              </w:rPr>
              <w:t>满足招标文件实质性要求，</w:t>
            </w:r>
            <w:r>
              <w:rPr>
                <w:rFonts w:hint="eastAsia" w:ascii="黑体" w:hAnsi="黑体" w:eastAsia="黑体" w:cs="黑体"/>
                <w:sz w:val="20"/>
                <w:szCs w:val="20"/>
                <w:lang w:val="en-US" w:eastAsia="zh-CN"/>
              </w:rPr>
              <w:t>所有参数须满足“第五章 采购需求”中技术参数要求，不得有负偏离，若有负偏离或不满足则导致投标无效</w:t>
            </w:r>
            <w:r>
              <w:rPr>
                <w:rFonts w:hint="eastAsia" w:ascii="黑体" w:hAnsi="黑体" w:eastAsia="黑体" w:cs="黑体"/>
                <w:sz w:val="20"/>
                <w:szCs w:val="20"/>
                <w:lang w:eastAsia="zh-CN"/>
              </w:rPr>
              <w:t>；</w:t>
            </w:r>
            <w:r>
              <w:rPr>
                <w:rFonts w:hint="eastAsia" w:ascii="黑体" w:hAnsi="黑体" w:eastAsia="黑体" w:cs="黑体"/>
                <w:sz w:val="20"/>
                <w:szCs w:val="20"/>
                <w:lang w:val="en-US" w:eastAsia="zh-CN"/>
              </w:rPr>
              <w:t>需提供《实质性条款情况表》、《参数偏离表》。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96" w:type="dxa"/>
            <w:vMerge w:val="continue"/>
            <w:vAlign w:val="center"/>
          </w:tcPr>
          <w:p>
            <w:pPr>
              <w:rPr>
                <w:rFonts w:hint="eastAsia" w:ascii="黑体" w:hAnsi="黑体" w:eastAsia="黑体" w:cs="黑体"/>
                <w:sz w:val="20"/>
                <w:szCs w:val="20"/>
              </w:rPr>
            </w:pPr>
          </w:p>
        </w:tc>
        <w:tc>
          <w:tcPr>
            <w:tcW w:w="7836" w:type="dxa"/>
            <w:vAlign w:val="center"/>
          </w:tcPr>
          <w:p>
            <w:pPr>
              <w:rPr>
                <w:rFonts w:hint="eastAsia" w:ascii="黑体" w:hAnsi="黑体" w:eastAsia="黑体" w:cs="黑体"/>
                <w:sz w:val="20"/>
                <w:szCs w:val="20"/>
              </w:rPr>
            </w:pPr>
            <w:r>
              <w:rPr>
                <w:rFonts w:hint="eastAsia" w:ascii="黑体" w:hAnsi="黑体" w:eastAsia="黑体" w:cs="黑体"/>
                <w:sz w:val="20"/>
                <w:szCs w:val="20"/>
                <w:lang w:val="en-US" w:eastAsia="zh-CN"/>
              </w:rPr>
              <w:t>6.投标有效期满足招标文件要求。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96" w:type="dxa"/>
            <w:vAlign w:val="center"/>
          </w:tcPr>
          <w:p>
            <w:pPr>
              <w:rPr>
                <w:rFonts w:hint="eastAsia" w:ascii="黑体" w:hAnsi="黑体" w:eastAsia="黑体" w:cs="黑体"/>
                <w:sz w:val="20"/>
                <w:szCs w:val="20"/>
              </w:rPr>
            </w:pPr>
            <w:r>
              <w:rPr>
                <w:rFonts w:hint="eastAsia" w:ascii="黑体" w:hAnsi="黑体" w:eastAsia="黑体" w:cs="黑体"/>
                <w:sz w:val="20"/>
                <w:szCs w:val="20"/>
              </w:rPr>
              <w:t>结论</w:t>
            </w:r>
          </w:p>
        </w:tc>
        <w:tc>
          <w:tcPr>
            <w:tcW w:w="7836" w:type="dxa"/>
            <w:vAlign w:val="center"/>
          </w:tcPr>
          <w:p>
            <w:pPr>
              <w:rPr>
                <w:rFonts w:hint="eastAsia" w:ascii="黑体" w:hAnsi="黑体" w:eastAsia="黑体" w:cs="黑体"/>
                <w:sz w:val="20"/>
                <w:szCs w:val="20"/>
              </w:rPr>
            </w:pPr>
            <w:r>
              <w:rPr>
                <w:rFonts w:hint="eastAsia" w:ascii="黑体" w:hAnsi="黑体" w:eastAsia="黑体" w:cs="黑体"/>
                <w:sz w:val="20"/>
                <w:szCs w:val="20"/>
              </w:rPr>
              <w:t>是否通过资格审查，进入下一阶段报价评审。</w:t>
            </w:r>
          </w:p>
        </w:tc>
      </w:tr>
    </w:tbl>
    <w:p>
      <w:pPr>
        <w:tabs>
          <w:tab w:val="left" w:pos="0"/>
        </w:tabs>
        <w:adjustRightInd w:val="0"/>
        <w:snapToGri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注：表中全部符合，则为有效投标，进入专家评标阶段。</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 有下列情形之一时，采购人或采购代理机构应予此次招标活动无效，并将理由通知所有投标人：</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（1）符合专业条件的投标人或者对招标文件作实质性响应的投标人不足三家的；</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（2）出现影响招标公正的违法、违规行为的；</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（3）投标人的报价均超过了采购预算；</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1.3邀请招标数额标准以上的采购项目，投标截止后投标人不足3家或者通过资格审查或符合性审查的投标人不足3家的，除采购任务取消情形外，按照以下方式处理：</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（1）招标文件存在不合理条款或者招标程序不符合规定的，采购人、采购代理机构改正后依法重新招标；</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（2）招标文件没有不合理条款、招标程序符合规定，需要采用其他采购方式采购的，采购人应当依法报财政部门批准。</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1.4有下列情形之一的，视为投标人串通投标，其投标无效：</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（1）不同投标人的投标文件由同一单位或者个人编制；</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（2）不同投标人委托同一单位或者个人办理投标事宜；</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（3）不同投标人的投标文件载明的项目管理成员或者联系人员为同一人；</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（4）不同投标人的投标文件异常一致或者投标报价呈规律性差别；</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（5）不同投标人的投标文件相互混装；</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（6）不同投标人的投标保证金从同一单位或者个人的账户转出。</w:t>
      </w:r>
    </w:p>
    <w:p>
      <w:pPr>
        <w:tabs>
          <w:tab w:val="left" w:pos="0"/>
        </w:tabs>
        <w:adjustRightInd w:val="0"/>
        <w:snapToGrid w:val="0"/>
        <w:spacing w:before="156" w:beforeLines="50" w:line="360" w:lineRule="auto"/>
        <w:rPr>
          <w:rFonts w:ascii="宋体" w:hAnsi="宋体"/>
          <w:b/>
          <w:color w:val="000000" w:themeColor="text1"/>
          <w:kern w:val="0"/>
          <w:szCs w:val="21"/>
          <w14:textFill>
            <w14:solidFill>
              <w14:schemeClr w14:val="tx1"/>
            </w14:solidFill>
          </w14:textFill>
        </w:rPr>
      </w:pPr>
      <w:r>
        <w:rPr>
          <w:rFonts w:hint="eastAsia" w:ascii="宋体" w:hAnsi="宋体"/>
          <w:b/>
          <w:color w:val="000000" w:themeColor="text1"/>
          <w:kern w:val="0"/>
          <w:szCs w:val="21"/>
          <w14:textFill>
            <w14:solidFill>
              <w14:schemeClr w14:val="tx1"/>
            </w14:solidFill>
          </w14:textFill>
        </w:rPr>
        <w:t>二、评标程序</w:t>
      </w:r>
    </w:p>
    <w:p>
      <w:pPr>
        <w:adjustRightInd w:val="0"/>
        <w:snapToGrid w:val="0"/>
        <w:spacing w:before="156" w:beforeLines="50" w:line="360" w:lineRule="auto"/>
        <w:rPr>
          <w:rFonts w:ascii="宋体" w:hAnsi="宋体"/>
          <w:b/>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w:t>
      </w:r>
      <w:r>
        <w:rPr>
          <w:rFonts w:hint="eastAsia" w:ascii="宋体" w:hAnsi="宋体"/>
          <w:b/>
          <w:color w:val="000000" w:themeColor="text1"/>
          <w:szCs w:val="21"/>
          <w14:textFill>
            <w14:solidFill>
              <w14:schemeClr w14:val="tx1"/>
            </w14:solidFill>
          </w14:textFill>
        </w:rPr>
        <w:t>评标委员会</w:t>
      </w:r>
    </w:p>
    <w:p>
      <w:pPr>
        <w:adjustRightInd w:val="0"/>
        <w:snapToGrid w:val="0"/>
        <w:spacing w:before="156" w:beforeLines="50"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2.1评标由依法组成的评标委员会负责。</w:t>
      </w:r>
    </w:p>
    <w:p>
      <w:pPr>
        <w:adjustRightInd w:val="0"/>
        <w:snapToGrid w:val="0"/>
        <w:spacing w:before="156" w:beforeLines="50" w:line="360" w:lineRule="auto"/>
        <w:rPr>
          <w:rFonts w:ascii="宋体" w:hAnsi="宋体"/>
          <w:b/>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3.</w:t>
      </w:r>
      <w:r>
        <w:rPr>
          <w:rFonts w:hint="eastAsia" w:ascii="宋体" w:hAnsi="宋体"/>
          <w:b/>
          <w:color w:val="000000" w:themeColor="text1"/>
          <w:szCs w:val="21"/>
          <w14:textFill>
            <w14:solidFill>
              <w14:schemeClr w14:val="tx1"/>
            </w14:solidFill>
          </w14:textFill>
        </w:rPr>
        <w:t>评标方法</w:t>
      </w:r>
    </w:p>
    <w:p>
      <w:pPr>
        <w:tabs>
          <w:tab w:val="left" w:pos="0"/>
        </w:tabs>
        <w:adjustRightInd w:val="0"/>
        <w:snapToGrid w:val="0"/>
        <w:spacing w:before="156" w:beforeLines="50"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3.1评标方法：</w:t>
      </w:r>
      <w:r>
        <w:rPr>
          <w:rFonts w:hint="eastAsia" w:ascii="宋体" w:hAnsi="宋体"/>
          <w:b/>
          <w:bCs/>
          <w:color w:val="000000" w:themeColor="text1"/>
          <w:szCs w:val="21"/>
          <w:lang w:eastAsia="zh-CN"/>
          <w14:textFill>
            <w14:solidFill>
              <w14:schemeClr w14:val="tx1"/>
            </w14:solidFill>
          </w14:textFill>
        </w:rPr>
        <w:t>最低评标价法</w:t>
      </w:r>
      <w:r>
        <w:rPr>
          <w:rFonts w:hint="eastAsia" w:ascii="宋体" w:hAnsi="宋体"/>
          <w:color w:val="000000" w:themeColor="text1"/>
          <w:szCs w:val="21"/>
          <w14:textFill>
            <w14:solidFill>
              <w14:schemeClr w14:val="tx1"/>
            </w14:solidFill>
          </w14:textFill>
        </w:rPr>
        <w:t>，</w:t>
      </w:r>
      <w:r>
        <w:rPr>
          <w:rFonts w:ascii="Arial" w:hAnsi="Arial" w:eastAsia="宋体" w:cs="Arial"/>
          <w:i w:val="0"/>
          <w:caps w:val="0"/>
          <w:color w:val="333333"/>
          <w:spacing w:val="0"/>
          <w:sz w:val="21"/>
          <w:szCs w:val="21"/>
          <w:shd w:val="clear" w:fill="FFFFFF"/>
        </w:rPr>
        <w:t>是指以价格为主要因素确定中标供应商的评标方法，即在全部满足招标文件实质性要求前提下，依据统一的价格要素评定最低报价，以提出最低报价的投标人作为中标候选供应商或者中标供应商的评标方法。</w:t>
      </w:r>
    </w:p>
    <w:p>
      <w:pPr>
        <w:tabs>
          <w:tab w:val="left" w:pos="0"/>
        </w:tabs>
        <w:adjustRightInd w:val="0"/>
        <w:snapToGrid w:val="0"/>
        <w:spacing w:before="156" w:beforeLines="50" w:line="360" w:lineRule="auto"/>
        <w:ind w:firstLine="420" w:firstLineChars="200"/>
        <w:rPr>
          <w:rFonts w:ascii="宋体" w:hAnsi="宋体"/>
          <w:b/>
          <w:color w:val="000000" w:themeColor="text1"/>
          <w:kern w:val="0"/>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3.2本招标项目</w:t>
      </w:r>
      <w:r>
        <w:rPr>
          <w:rFonts w:hint="eastAsia" w:ascii="宋体" w:hAnsi="宋体"/>
          <w:color w:val="000000" w:themeColor="text1"/>
          <w:szCs w:val="21"/>
          <w14:textFill>
            <w14:solidFill>
              <w14:schemeClr w14:val="tx1"/>
            </w14:solidFill>
          </w14:textFill>
        </w:rPr>
        <w:t>的评标因素：价格、技术、信誉、业绩、服务、对招标文件的响应程度，以及相应的比重或者权值等，但不包括第二章“投标须知”第3.1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olor w:val="000000" w:themeColor="text1"/>
          <w:szCs w:val="21"/>
          <w14:textFill>
            <w14:solidFill>
              <w14:schemeClr w14:val="tx1"/>
            </w14:solidFill>
          </w14:textFill>
        </w:rPr>
        <w:t>规定的投标人资格条件。</w:t>
      </w:r>
    </w:p>
    <w:p>
      <w:pPr>
        <w:adjustRightInd w:val="0"/>
        <w:snapToGrid w:val="0"/>
        <w:spacing w:before="156" w:beforeLines="50" w:line="360" w:lineRule="auto"/>
        <w:ind w:right="-109" w:rightChars="-52"/>
        <w:rPr>
          <w:rFonts w:ascii="宋体" w:hAnsi="宋体"/>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4.澄清有关问题</w:t>
      </w:r>
    </w:p>
    <w:p>
      <w:pPr>
        <w:adjustRightInd w:val="0"/>
        <w:snapToGrid w:val="0"/>
        <w:spacing w:before="156" w:beforeLines="50"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 对投标文件中含义不明确、同类问题表述不一致或者有明显文字和计算错误的内容，评标委员会将以书面形式通知投标人作出必要的澄清、说明，但不得超出投标文件的范围或对投标文件做实质性的修改（计算错误修正除外）。评标委员会不接受投标人主动提出的澄清、说明。</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4.2投标人不得对下列内容进行澄清或补充：</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（1）开标时，未宣读的投标价格、价格折扣等实质性内容。</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（2）招标文件规定的实质性要求。</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4.3投标文件报价出现前后不一致的，除招标文件另有规定外，按照下列规定修正：</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（1）电子交易平台生成的开标一览表内容与投标文件中相应内容不一致的，以电子交易平台生成的开标一览表为准；</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（2）大写金额和小写金额不一致的，以大写金额为准；</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（3）单价金额小数点或者百分比有明显错位的，以电子交易平台生成的开标一览表总价为准，并修改单价；</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）总价金额与按单价汇总金额不一致的，以单价金额计算结果为准。</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同时出现两种以上不一致的，按照前款规定的顺序修正。评标委员会应当通过电子交易平台要求投标人对修正后的报价予以确认并对投标人产生约束力。投标人不接受修正或在规定的时间内不予确认的，其投标无效。</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对不同文字文本投标文件的解释发生异议的，以中文文本为准。若投标人拒绝接受上述修正，在评标时将其视为无效投标。</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4.4 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4.5评标委员会成员对需要共同认定的事项存在争议的，应当按照少数服从多数的原则作出结论。持不同意见的评标委员会成员应当在评标报告上签署不同意见及理由，否则视为同意评标报告。</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4.6 投标人的澄清、说明或者补正应该采用书面形式，并加盖公章，或者由法定代表人或其授权的代理人签字。投标人的澄清、说明或者补正不得超出投标文件的范围或者改变投标文件的实质性内容。</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4.7 有效的书面澄清材料，是投标文件的补充材料，成为投标文件的组成部分。</w:t>
      </w:r>
    </w:p>
    <w:p>
      <w:pPr>
        <w:tabs>
          <w:tab w:val="left" w:pos="0"/>
        </w:tabs>
        <w:adjustRightInd w:val="0"/>
        <w:snapToGrid w:val="0"/>
        <w:spacing w:before="156" w:beforeLines="5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5.投标文件的详细</w:t>
      </w:r>
      <w:r>
        <w:rPr>
          <w:rFonts w:hint="eastAsia" w:ascii="宋体" w:hAnsi="宋体"/>
          <w:b/>
          <w:color w:val="000000" w:themeColor="text1"/>
          <w:szCs w:val="21"/>
          <w14:textFill>
            <w14:solidFill>
              <w14:schemeClr w14:val="tx1"/>
            </w14:solidFill>
          </w14:textFill>
        </w:rPr>
        <w:t>评审</w:t>
      </w:r>
    </w:p>
    <w:p>
      <w:pPr>
        <w:tabs>
          <w:tab w:val="left" w:pos="0"/>
        </w:tabs>
        <w:adjustRightInd w:val="0"/>
        <w:snapToGrid w:val="0"/>
        <w:spacing w:before="156" w:beforeLines="50"/>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5.1评标委员会应按照招标文件中规定的评标方法、</w:t>
      </w:r>
      <w:r>
        <w:rPr>
          <w:rFonts w:hint="eastAsia" w:ascii="宋体" w:hAnsi="宋体"/>
          <w:color w:val="000000" w:themeColor="text1"/>
          <w:szCs w:val="21"/>
          <w14:textFill>
            <w14:solidFill>
              <w14:schemeClr w14:val="tx1"/>
            </w14:solidFill>
          </w14:textFill>
        </w:rPr>
        <w:t>标准和评标因素，</w:t>
      </w:r>
      <w:r>
        <w:rPr>
          <w:rFonts w:hint="eastAsia" w:ascii="宋体" w:hAnsi="宋体"/>
          <w:bCs/>
          <w:color w:val="000000" w:themeColor="text1"/>
          <w:szCs w:val="21"/>
          <w14:textFill>
            <w14:solidFill>
              <w14:schemeClr w14:val="tx1"/>
            </w14:solidFill>
          </w14:textFill>
        </w:rPr>
        <w:t>对</w:t>
      </w:r>
      <w:r>
        <w:rPr>
          <w:rFonts w:hint="eastAsia" w:ascii="宋体" w:hAnsi="宋体"/>
          <w:color w:val="000000" w:themeColor="text1"/>
          <w:szCs w:val="21"/>
          <w14:textFill>
            <w14:solidFill>
              <w14:schemeClr w14:val="tx1"/>
            </w14:solidFill>
          </w14:textFill>
        </w:rPr>
        <w:t>资格性检查</w:t>
      </w:r>
      <w:r>
        <w:rPr>
          <w:rFonts w:hint="eastAsia" w:ascii="宋体" w:hAnsi="宋体"/>
          <w:bCs/>
          <w:color w:val="000000" w:themeColor="text1"/>
          <w:szCs w:val="21"/>
          <w14:textFill>
            <w14:solidFill>
              <w14:schemeClr w14:val="tx1"/>
            </w14:solidFill>
          </w14:textFill>
        </w:rPr>
        <w:t>合格的投标文件进行详细评审。</w:t>
      </w:r>
    </w:p>
    <w:p>
      <w:pPr>
        <w:widowControl/>
        <w:adjustRightInd w:val="0"/>
        <w:snapToGrid w:val="0"/>
        <w:spacing w:before="156" w:beforeLines="50"/>
        <w:ind w:firstLine="420" w:firstLineChars="200"/>
        <w:jc w:val="left"/>
        <w:rPr>
          <w:rFonts w:ascii="宋体" w:hAnsi="宋体"/>
          <w:color w:val="000000" w:themeColor="text1"/>
          <w:szCs w:val="21"/>
          <w:highlight w:val="yellow"/>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5.2</w:t>
      </w:r>
      <w:r>
        <w:rPr>
          <w:rFonts w:hint="eastAsia" w:ascii="宋体" w:hAnsi="宋体"/>
          <w:color w:val="000000" w:themeColor="text1"/>
          <w:szCs w:val="21"/>
          <w14:textFill>
            <w14:solidFill>
              <w14:schemeClr w14:val="tx1"/>
            </w14:solidFill>
          </w14:textFill>
        </w:rPr>
        <w:t>评标时，评标委员会各成员应当</w:t>
      </w:r>
      <w:r>
        <w:rPr>
          <w:rFonts w:hint="eastAsia" w:ascii="宋体" w:hAnsi="宋体"/>
          <w:b/>
          <w:color w:val="000000" w:themeColor="text1"/>
          <w:szCs w:val="21"/>
          <w14:textFill>
            <w14:solidFill>
              <w14:schemeClr w14:val="tx1"/>
            </w14:solidFill>
          </w14:textFill>
        </w:rPr>
        <w:t>独立</w:t>
      </w:r>
      <w:r>
        <w:rPr>
          <w:rFonts w:hint="eastAsia" w:ascii="宋体" w:hAnsi="宋体"/>
          <w:color w:val="000000" w:themeColor="text1"/>
          <w:szCs w:val="21"/>
          <w14:textFill>
            <w14:solidFill>
              <w14:schemeClr w14:val="tx1"/>
            </w14:solidFill>
          </w14:textFill>
        </w:rPr>
        <w:t>对每个投标人的</w:t>
      </w:r>
      <w:r>
        <w:rPr>
          <w:rFonts w:hint="eastAsia" w:ascii="宋体" w:hAnsi="宋体"/>
          <w:bCs/>
          <w:color w:val="000000" w:themeColor="text1"/>
          <w:szCs w:val="21"/>
          <w14:textFill>
            <w14:solidFill>
              <w14:schemeClr w14:val="tx1"/>
            </w14:solidFill>
          </w14:textFill>
        </w:rPr>
        <w:t>投标文件</w:t>
      </w:r>
      <w:r>
        <w:rPr>
          <w:rFonts w:hint="eastAsia" w:ascii="宋体" w:hAnsi="宋体"/>
          <w:color w:val="000000" w:themeColor="text1"/>
          <w:szCs w:val="21"/>
          <w14:textFill>
            <w14:solidFill>
              <w14:schemeClr w14:val="tx1"/>
            </w14:solidFill>
          </w14:textFill>
        </w:rPr>
        <w:t>进行评价、评分，然后汇总每个投标人每项评分因素的得分。</w:t>
      </w:r>
    </w:p>
    <w:p>
      <w:pPr>
        <w:ind w:firstLine="420" w:firstLineChars="200"/>
        <w:rPr>
          <w:rFonts w:ascii="宋体" w:hAnsi="宋体" w:cs="宋体"/>
          <w:b/>
          <w:bCs/>
          <w:szCs w:val="21"/>
        </w:rPr>
      </w:pPr>
      <w:r>
        <w:rPr>
          <w:rFonts w:hint="eastAsia" w:ascii="宋体" w:hAnsi="宋体"/>
          <w:color w:val="000000" w:themeColor="text1"/>
          <w:szCs w:val="21"/>
          <w14:textFill>
            <w14:solidFill>
              <w14:schemeClr w14:val="tx1"/>
            </w14:solidFill>
          </w14:textFill>
        </w:rPr>
        <w:t>5.3</w:t>
      </w:r>
      <w:r>
        <w:rPr>
          <w:rFonts w:hint="eastAsia" w:ascii="宋体" w:hAnsi="宋体" w:cs="宋体"/>
          <w:b/>
          <w:bCs/>
          <w:szCs w:val="21"/>
          <w:lang w:bidi="ar"/>
        </w:rPr>
        <w:t>有下列情况之一的投标文件应作无效文件处理：</w:t>
      </w:r>
    </w:p>
    <w:p>
      <w:pPr>
        <w:spacing w:line="380" w:lineRule="exact"/>
        <w:ind w:firstLine="420" w:firstLineChars="200"/>
        <w:rPr>
          <w:rFonts w:ascii="宋体" w:hAnsi="宋体" w:cs="宋体"/>
          <w:szCs w:val="21"/>
        </w:rPr>
      </w:pPr>
      <w:r>
        <w:rPr>
          <w:rFonts w:hint="eastAsia" w:ascii="宋体" w:hAnsi="宋体" w:cs="宋体"/>
          <w:szCs w:val="21"/>
          <w:lang w:bidi="ar"/>
        </w:rPr>
        <w:t>（1）未在规定时间内按时解密的；</w:t>
      </w:r>
    </w:p>
    <w:p>
      <w:pPr>
        <w:spacing w:line="380" w:lineRule="exact"/>
        <w:ind w:firstLine="420" w:firstLineChars="200"/>
        <w:rPr>
          <w:rFonts w:hint="default" w:ascii="宋体" w:hAnsi="宋体" w:eastAsia="宋体" w:cs="宋体"/>
          <w:szCs w:val="21"/>
          <w:lang w:val="en-US" w:eastAsia="zh-CN"/>
        </w:rPr>
      </w:pPr>
      <w:r>
        <w:rPr>
          <w:rFonts w:hint="eastAsia" w:ascii="宋体" w:hAnsi="宋体" w:cs="宋体"/>
          <w:szCs w:val="21"/>
          <w:lang w:bidi="ar"/>
        </w:rPr>
        <w:t>（2）应交未交投标保证金的；</w:t>
      </w:r>
      <w:r>
        <w:rPr>
          <w:rFonts w:hint="eastAsia" w:ascii="宋体" w:hAnsi="宋体" w:cs="宋体"/>
          <w:szCs w:val="21"/>
          <w:lang w:eastAsia="zh-CN" w:bidi="ar"/>
        </w:rPr>
        <w:t>（</w:t>
      </w:r>
      <w:r>
        <w:rPr>
          <w:rFonts w:hint="eastAsia" w:ascii="宋体" w:hAnsi="宋体" w:cs="宋体"/>
          <w:szCs w:val="21"/>
          <w:lang w:val="en-US" w:eastAsia="zh-CN" w:bidi="ar"/>
        </w:rPr>
        <w:t>本项目不收取）</w:t>
      </w:r>
    </w:p>
    <w:p>
      <w:pPr>
        <w:spacing w:line="380" w:lineRule="exact"/>
        <w:ind w:firstLine="420" w:firstLineChars="200"/>
        <w:rPr>
          <w:rFonts w:ascii="宋体" w:hAnsi="宋体" w:cs="宋体"/>
          <w:szCs w:val="21"/>
        </w:rPr>
      </w:pPr>
      <w:r>
        <w:rPr>
          <w:rFonts w:hint="eastAsia" w:ascii="宋体" w:hAnsi="宋体" w:cs="宋体"/>
          <w:szCs w:val="21"/>
          <w:lang w:bidi="ar"/>
        </w:rPr>
        <w:t>（3）不具备采购文件中规定资格要求的；</w:t>
      </w:r>
    </w:p>
    <w:p>
      <w:pPr>
        <w:spacing w:line="380" w:lineRule="exact"/>
        <w:ind w:firstLine="420" w:firstLineChars="200"/>
        <w:rPr>
          <w:rFonts w:ascii="宋体" w:hAnsi="宋体" w:cs="宋体"/>
          <w:szCs w:val="21"/>
        </w:rPr>
      </w:pPr>
      <w:r>
        <w:rPr>
          <w:rFonts w:hint="eastAsia" w:ascii="宋体" w:hAnsi="宋体" w:cs="宋体"/>
          <w:szCs w:val="21"/>
          <w:lang w:bidi="ar"/>
        </w:rPr>
        <w:t>（4）投标文件未按规定由供应商法定代表人或其授权代理人签字和加盖公章的；</w:t>
      </w:r>
    </w:p>
    <w:p>
      <w:pPr>
        <w:spacing w:line="380" w:lineRule="exact"/>
        <w:ind w:firstLine="420" w:firstLineChars="200"/>
        <w:rPr>
          <w:rFonts w:ascii="宋体" w:hAnsi="宋体" w:cs="宋体"/>
          <w:szCs w:val="21"/>
        </w:rPr>
      </w:pPr>
      <w:r>
        <w:rPr>
          <w:rFonts w:hint="eastAsia" w:ascii="宋体" w:hAnsi="宋体" w:cs="宋体"/>
          <w:szCs w:val="21"/>
          <w:lang w:bidi="ar"/>
        </w:rPr>
        <w:t>（</w:t>
      </w:r>
      <w:r>
        <w:rPr>
          <w:rFonts w:hint="eastAsia" w:ascii="宋体" w:hAnsi="宋体" w:cs="宋体"/>
          <w:szCs w:val="21"/>
          <w:lang w:val="en-US" w:eastAsia="zh-CN" w:bidi="ar"/>
        </w:rPr>
        <w:t>5</w:t>
      </w:r>
      <w:r>
        <w:rPr>
          <w:rFonts w:hint="eastAsia" w:ascii="宋体" w:hAnsi="宋体" w:cs="宋体"/>
          <w:szCs w:val="21"/>
          <w:lang w:bidi="ar"/>
        </w:rPr>
        <w:t>）投标文件载明的采购项目供货期限超过采购文件规定期限的；</w:t>
      </w:r>
    </w:p>
    <w:p>
      <w:pPr>
        <w:spacing w:line="380" w:lineRule="exact"/>
        <w:ind w:firstLine="420" w:firstLineChars="200"/>
        <w:rPr>
          <w:rFonts w:ascii="宋体" w:hAnsi="宋体" w:cs="宋体"/>
          <w:szCs w:val="21"/>
        </w:rPr>
      </w:pPr>
      <w:r>
        <w:rPr>
          <w:rFonts w:hint="eastAsia" w:ascii="宋体" w:hAnsi="宋体" w:cs="宋体"/>
          <w:szCs w:val="21"/>
          <w:lang w:bidi="ar"/>
        </w:rPr>
        <w:t>（</w:t>
      </w:r>
      <w:r>
        <w:rPr>
          <w:rFonts w:hint="eastAsia" w:ascii="宋体" w:hAnsi="宋体" w:cs="宋体"/>
          <w:szCs w:val="21"/>
          <w:lang w:val="en-US" w:eastAsia="zh-CN" w:bidi="ar"/>
        </w:rPr>
        <w:t>6</w:t>
      </w:r>
      <w:r>
        <w:rPr>
          <w:rFonts w:hint="eastAsia" w:ascii="宋体" w:hAnsi="宋体" w:cs="宋体"/>
          <w:szCs w:val="21"/>
          <w:lang w:bidi="ar"/>
        </w:rPr>
        <w:t>）评标过程中拒绝澄清相关事宜和问题的；</w:t>
      </w:r>
    </w:p>
    <w:p>
      <w:pPr>
        <w:spacing w:line="380" w:lineRule="exact"/>
        <w:ind w:firstLine="420" w:firstLineChars="200"/>
        <w:rPr>
          <w:rFonts w:ascii="宋体" w:hAnsi="宋体" w:cs="宋体"/>
          <w:szCs w:val="21"/>
        </w:rPr>
      </w:pPr>
      <w:r>
        <w:rPr>
          <w:rFonts w:hint="eastAsia" w:ascii="宋体" w:hAnsi="宋体" w:cs="宋体"/>
          <w:szCs w:val="21"/>
          <w:lang w:bidi="ar"/>
        </w:rPr>
        <w:t>（</w:t>
      </w:r>
      <w:r>
        <w:rPr>
          <w:rFonts w:hint="eastAsia" w:ascii="宋体" w:hAnsi="宋体" w:cs="宋体"/>
          <w:szCs w:val="21"/>
          <w:lang w:val="en-US" w:eastAsia="zh-CN" w:bidi="ar"/>
        </w:rPr>
        <w:t>7</w:t>
      </w:r>
      <w:r>
        <w:rPr>
          <w:rFonts w:hint="eastAsia" w:ascii="宋体" w:hAnsi="宋体" w:cs="宋体"/>
          <w:szCs w:val="21"/>
          <w:lang w:bidi="ar"/>
        </w:rPr>
        <w:t>）投标文件不真实，有欺骗行为的；</w:t>
      </w:r>
    </w:p>
    <w:p>
      <w:pPr>
        <w:spacing w:line="380" w:lineRule="exact"/>
        <w:ind w:firstLine="420" w:firstLineChars="200"/>
        <w:rPr>
          <w:rFonts w:hint="eastAsia" w:ascii="宋体" w:hAnsi="宋体" w:eastAsia="宋体" w:cs="宋体"/>
          <w:szCs w:val="21"/>
          <w:lang w:bidi="ar"/>
        </w:rPr>
      </w:pPr>
      <w:r>
        <w:rPr>
          <w:rFonts w:hint="eastAsia" w:ascii="宋体" w:hAnsi="宋体" w:eastAsia="宋体" w:cs="宋体"/>
          <w:szCs w:val="21"/>
          <w:lang w:bidi="ar"/>
        </w:rPr>
        <w:t>（</w:t>
      </w:r>
      <w:r>
        <w:rPr>
          <w:rFonts w:hint="eastAsia" w:ascii="宋体" w:hAnsi="宋体" w:cs="宋体"/>
          <w:szCs w:val="21"/>
          <w:lang w:val="en-US" w:eastAsia="zh-CN" w:bidi="ar"/>
        </w:rPr>
        <w:t>8</w:t>
      </w:r>
      <w:r>
        <w:rPr>
          <w:rFonts w:hint="eastAsia" w:ascii="宋体" w:hAnsi="宋体" w:eastAsia="宋体" w:cs="宋体"/>
          <w:szCs w:val="21"/>
          <w:lang w:bidi="ar"/>
        </w:rPr>
        <w:t>）投标文件附有采购人和组织采购方不能接受的其它条件的；</w:t>
      </w:r>
    </w:p>
    <w:p>
      <w:pPr>
        <w:spacing w:line="380" w:lineRule="exact"/>
        <w:ind w:firstLine="422" w:firstLineChars="200"/>
        <w:rPr>
          <w:rFonts w:hint="eastAsia" w:ascii="宋体" w:hAnsi="宋体" w:eastAsia="宋体" w:cs="宋体"/>
          <w:b/>
          <w:bCs/>
          <w:szCs w:val="21"/>
          <w:lang w:bidi="ar"/>
        </w:rPr>
      </w:pPr>
      <w:r>
        <w:rPr>
          <w:rFonts w:hint="eastAsia" w:ascii="宋体" w:hAnsi="宋体" w:eastAsia="宋体" w:cs="宋体"/>
          <w:b/>
          <w:bCs/>
          <w:szCs w:val="21"/>
          <w:lang w:eastAsia="zh-CN" w:bidi="ar"/>
        </w:rPr>
        <w:t>（</w:t>
      </w:r>
      <w:r>
        <w:rPr>
          <w:rFonts w:hint="eastAsia" w:ascii="宋体" w:hAnsi="宋体" w:cs="宋体"/>
          <w:b/>
          <w:bCs/>
          <w:szCs w:val="21"/>
          <w:lang w:val="en-US" w:eastAsia="zh-CN" w:bidi="ar"/>
        </w:rPr>
        <w:t>9</w:t>
      </w:r>
      <w:r>
        <w:rPr>
          <w:rFonts w:hint="eastAsia" w:ascii="宋体" w:hAnsi="宋体" w:eastAsia="宋体" w:cs="宋体"/>
          <w:b/>
          <w:bCs/>
          <w:szCs w:val="21"/>
          <w:lang w:val="en-US" w:eastAsia="zh-CN" w:bidi="ar"/>
        </w:rPr>
        <w:t>）</w:t>
      </w:r>
      <w:r>
        <w:rPr>
          <w:rFonts w:hint="eastAsia" w:ascii="宋体" w:hAnsi="宋体" w:eastAsia="宋体" w:cs="宋体"/>
          <w:b/>
          <w:bCs/>
          <w:color w:val="auto"/>
          <w:sz w:val="21"/>
          <w:szCs w:val="21"/>
          <w:highlight w:val="none"/>
        </w:rPr>
        <w:t>所有参数须满足“第</w:t>
      </w: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章 采购需求”中技术参数要求，不得有负偏离，若有负偏离或不满足则导致投标无效</w:t>
      </w:r>
      <w:r>
        <w:rPr>
          <w:rFonts w:hint="eastAsia" w:ascii="宋体" w:hAnsi="宋体" w:eastAsia="宋体" w:cs="宋体"/>
          <w:color w:val="auto"/>
          <w:sz w:val="21"/>
          <w:szCs w:val="21"/>
          <w:highlight w:val="none"/>
        </w:rPr>
        <w:t>；</w:t>
      </w:r>
    </w:p>
    <w:p>
      <w:pPr>
        <w:spacing w:line="380" w:lineRule="exact"/>
        <w:ind w:firstLine="420" w:firstLineChars="200"/>
        <w:rPr>
          <w:rFonts w:hint="eastAsia" w:ascii="宋体" w:hAnsi="宋体" w:eastAsia="宋体" w:cs="宋体"/>
          <w:szCs w:val="21"/>
          <w:lang w:bidi="ar"/>
        </w:rPr>
      </w:pPr>
      <w:r>
        <w:rPr>
          <w:rFonts w:hint="eastAsia" w:ascii="宋体" w:hAnsi="宋体" w:eastAsia="宋体" w:cs="宋体"/>
          <w:szCs w:val="21"/>
          <w:lang w:bidi="ar"/>
        </w:rPr>
        <w:t>（1</w:t>
      </w:r>
      <w:r>
        <w:rPr>
          <w:rFonts w:hint="eastAsia" w:ascii="宋体" w:hAnsi="宋体" w:cs="宋体"/>
          <w:szCs w:val="21"/>
          <w:lang w:val="en-US" w:eastAsia="zh-CN" w:bidi="ar"/>
        </w:rPr>
        <w:t>0</w:t>
      </w:r>
      <w:r>
        <w:rPr>
          <w:rFonts w:hint="eastAsia" w:ascii="宋体" w:hAnsi="宋体" w:eastAsia="宋体" w:cs="宋体"/>
          <w:szCs w:val="21"/>
          <w:lang w:bidi="ar"/>
        </w:rPr>
        <w:t>）采购文件中加注“■”产品为强制节能产品，不满足则导致投标无效。</w:t>
      </w:r>
    </w:p>
    <w:bookmarkEnd w:id="30"/>
    <w:p>
      <w:pPr>
        <w:widowControl/>
        <w:adjustRightInd w:val="0"/>
        <w:snapToGrid w:val="0"/>
        <w:spacing w:before="156" w:beforeLines="50"/>
        <w:ind w:firstLine="420" w:firstLineChars="200"/>
        <w:jc w:val="left"/>
        <w:rPr>
          <w:rFonts w:ascii="宋体" w:hAnsi="宋体" w:cs="宋体"/>
          <w:color w:val="000000" w:themeColor="text1"/>
          <w:kern w:val="0"/>
          <w:szCs w:val="21"/>
          <w14:textFill>
            <w14:solidFill>
              <w14:schemeClr w14:val="tx1"/>
            </w14:solidFill>
          </w14:textFill>
        </w:rPr>
      </w:pPr>
      <w:bookmarkStart w:id="31" w:name="_Toc474235950"/>
      <w:bookmarkStart w:id="32" w:name="_Toc420948020"/>
      <w:r>
        <w:rPr>
          <w:rFonts w:hint="eastAsia" w:ascii="宋体" w:hAnsi="宋体" w:cs="宋体"/>
          <w:color w:val="000000" w:themeColor="text1"/>
          <w:kern w:val="0"/>
          <w:szCs w:val="21"/>
          <w14:textFill>
            <w14:solidFill>
              <w14:schemeClr w14:val="tx1"/>
            </w14:solidFill>
          </w14:textFill>
        </w:rPr>
        <w:t>5.</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评标结果汇总完成后，除下列情形外，任何人不得修改评标结果：</w:t>
      </w:r>
    </w:p>
    <w:p>
      <w:pPr>
        <w:widowControl/>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（一）分值汇总计算错误的；</w:t>
      </w:r>
    </w:p>
    <w:p>
      <w:pPr>
        <w:widowControl/>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（二）分项评分超出评分标准范围的；</w:t>
      </w:r>
    </w:p>
    <w:p>
      <w:pPr>
        <w:widowControl/>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（三）评标委员会成员对客观评审因素评分不一致的；</w:t>
      </w:r>
    </w:p>
    <w:p>
      <w:pPr>
        <w:widowControl/>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（四）经评标委员会认定评分畸高、畸低的。</w:t>
      </w:r>
    </w:p>
    <w:p>
      <w:pPr>
        <w:widowControl/>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widowControl/>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投标人对本条第一款情形提出质疑的，采购人或者采购代理机构可以组织原评标委员会进行重新评审，重新评审改变评标结果的，应当书面报告本级财政部门。</w:t>
      </w:r>
    </w:p>
    <w:p>
      <w:pPr>
        <w:tabs>
          <w:tab w:val="left" w:pos="0"/>
        </w:tabs>
        <w:adjustRightInd w:val="0"/>
        <w:snapToGrid w:val="0"/>
        <w:spacing w:before="156" w:beforeLines="50"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6.推荐中标候选人名单</w:t>
      </w:r>
    </w:p>
    <w:p>
      <w:pPr>
        <w:widowControl/>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6.1中标候选人家数：3家。</w:t>
      </w:r>
    </w:p>
    <w:p>
      <w:pPr>
        <w:ind w:firstLine="420" w:firstLineChars="200"/>
        <w:sectPr>
          <w:pgSz w:w="11906" w:h="16838"/>
          <w:pgMar w:top="1474" w:right="1531" w:bottom="1474" w:left="1531"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color w:val="000000" w:themeColor="text1"/>
          <w:szCs w:val="21"/>
          <w14:textFill>
            <w14:solidFill>
              <w14:schemeClr w14:val="tx1"/>
            </w14:solidFill>
          </w14:textFill>
        </w:rPr>
        <w:t>6.2按评审后得分由高到低顺序排列。得分相同的，按投标报价由低到高顺序排列。得分且投标报价相同的并列。投标文件满足招标文件全部实质性要求，且按照评审因素的量化指标评审得分最高的前三名为中标候选人名单。</w:t>
      </w:r>
    </w:p>
    <w:p>
      <w:pPr>
        <w:spacing w:line="360" w:lineRule="exact"/>
        <w:jc w:val="center"/>
        <w:outlineLvl w:val="0"/>
        <w:rPr>
          <w:rFonts w:ascii="宋体" w:hAnsi="宋体"/>
          <w:b/>
          <w:bCs/>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第四章  政府采购合同格式</w:t>
      </w:r>
      <w:bookmarkEnd w:id="31"/>
      <w:r>
        <w:rPr>
          <w:rFonts w:hint="eastAsia" w:ascii="宋体" w:hAnsi="宋体"/>
          <w:b/>
          <w:color w:val="000000" w:themeColor="text1"/>
          <w:sz w:val="32"/>
          <w:szCs w:val="32"/>
          <w14:textFill>
            <w14:solidFill>
              <w14:schemeClr w14:val="tx1"/>
            </w14:solidFill>
          </w14:textFill>
        </w:rPr>
        <w:t>、验收书</w:t>
      </w:r>
    </w:p>
    <w:p>
      <w:pPr>
        <w:pStyle w:val="193"/>
        <w:ind w:firstLine="0"/>
        <w:jc w:val="center"/>
        <w:rPr>
          <w:rFonts w:hAnsi="宋体" w:eastAsia="宋体" w:cs="宋体"/>
          <w:b/>
          <w:color w:val="000000" w:themeColor="text1"/>
          <w:szCs w:val="24"/>
          <w14:textFill>
            <w14:solidFill>
              <w14:schemeClr w14:val="tx1"/>
            </w14:solidFill>
          </w14:textFill>
        </w:rPr>
      </w:pPr>
    </w:p>
    <w:p>
      <w:pPr>
        <w:pStyle w:val="193"/>
        <w:ind w:firstLine="0"/>
        <w:jc w:val="center"/>
        <w:rPr>
          <w:rFonts w:hAnsi="宋体" w:eastAsia="宋体" w:cs="宋体"/>
          <w:b/>
          <w:color w:val="000000" w:themeColor="text1"/>
          <w:szCs w:val="24"/>
          <w14:textFill>
            <w14:solidFill>
              <w14:schemeClr w14:val="tx1"/>
            </w14:solidFill>
          </w14:textFill>
        </w:rPr>
      </w:pPr>
      <w:r>
        <w:rPr>
          <w:rFonts w:hint="eastAsia" w:hAnsi="宋体" w:eastAsia="宋体" w:cs="宋体"/>
          <w:b/>
          <w:color w:val="000000" w:themeColor="text1"/>
          <w:szCs w:val="24"/>
          <w14:textFill>
            <w14:solidFill>
              <w14:schemeClr w14:val="tx1"/>
            </w14:solidFill>
          </w14:textFill>
        </w:rPr>
        <w:t>第一部分 合同书</w:t>
      </w:r>
    </w:p>
    <w:p>
      <w:pPr>
        <w:pStyle w:val="193"/>
        <w:ind w:firstLine="0"/>
        <w:rPr>
          <w:rFonts w:hAnsi="宋体"/>
          <w:color w:val="000000" w:themeColor="text1"/>
          <w:szCs w:val="24"/>
          <w14:textFill>
            <w14:solidFill>
              <w14:schemeClr w14:val="tx1"/>
            </w14:solidFill>
          </w14:textFill>
        </w:rPr>
      </w:pPr>
    </w:p>
    <w:p>
      <w:pPr>
        <w:pStyle w:val="193"/>
        <w:ind w:firstLine="0"/>
        <w:rPr>
          <w:rFonts w:hAnsi="宋体"/>
          <w:color w:val="000000" w:themeColor="text1"/>
          <w:szCs w:val="24"/>
          <w14:textFill>
            <w14:solidFill>
              <w14:schemeClr w14:val="tx1"/>
            </w14:solidFill>
          </w14:textFill>
        </w:rPr>
      </w:pP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left="9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r>
        <w:rPr>
          <w:rFonts w:ascii="宋体" w:hAnsi="宋体"/>
          <w:color w:val="000000" w:themeColor="text1"/>
          <w:sz w:val="24"/>
          <w:u w:val="single"/>
          <w14:textFill>
            <w14:solidFill>
              <w14:schemeClr w14:val="tx1"/>
            </w14:solidFill>
          </w14:textFill>
        </w:rPr>
        <w:t xml:space="preserve">                                   </w:t>
      </w:r>
    </w:p>
    <w:p>
      <w:pPr>
        <w:pStyle w:val="98"/>
        <w:spacing w:before="120" w:line="22" w:lineRule="atLeast"/>
        <w:rPr>
          <w:rFonts w:ascii="宋体" w:hAnsi="宋体" w:eastAsia="宋体"/>
          <w:color w:val="000000" w:themeColor="text1"/>
          <w:szCs w:val="24"/>
          <w14:textFill>
            <w14:solidFill>
              <w14:schemeClr w14:val="tx1"/>
            </w14:solidFill>
          </w14:textFill>
        </w:rPr>
      </w:pPr>
    </w:p>
    <w:p>
      <w:pPr>
        <w:pStyle w:val="98"/>
        <w:spacing w:before="120" w:line="22" w:lineRule="atLeast"/>
        <w:rPr>
          <w:rFonts w:ascii="宋体" w:hAnsi="宋体" w:eastAsia="宋体"/>
          <w:color w:val="000000" w:themeColor="text1"/>
          <w:szCs w:val="24"/>
          <w14:textFill>
            <w14:solidFill>
              <w14:schemeClr w14:val="tx1"/>
            </w14:solidFill>
          </w14:textFill>
        </w:rPr>
      </w:pPr>
    </w:p>
    <w:p>
      <w:pPr>
        <w:rPr>
          <w:rFonts w:ascii="宋体" w:hAnsi="宋体"/>
          <w:color w:val="000000" w:themeColor="text1"/>
          <w14:textFill>
            <w14:solidFill>
              <w14:schemeClr w14:val="tx1"/>
            </w14:solidFill>
          </w14:textFill>
        </w:rPr>
      </w:pPr>
    </w:p>
    <w:p>
      <w:pPr>
        <w:spacing w:before="120" w:line="22" w:lineRule="atLeast"/>
        <w:ind w:left="96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甲方：</w:t>
      </w:r>
      <w:r>
        <w:rPr>
          <w:rFonts w:ascii="宋体" w:hAnsi="宋体"/>
          <w:color w:val="000000" w:themeColor="text1"/>
          <w:sz w:val="24"/>
          <w:u w:val="single"/>
          <w14:textFill>
            <w14:solidFill>
              <w14:schemeClr w14:val="tx1"/>
            </w14:solidFill>
          </w14:textFill>
        </w:rPr>
        <w:t xml:space="preserve">                                       </w:t>
      </w: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left="96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乙方：</w:t>
      </w:r>
      <w:r>
        <w:rPr>
          <w:rFonts w:ascii="宋体" w:hAnsi="宋体"/>
          <w:color w:val="000000" w:themeColor="text1"/>
          <w:sz w:val="24"/>
          <w:u w:val="single"/>
          <w14:textFill>
            <w14:solidFill>
              <w14:schemeClr w14:val="tx1"/>
            </w14:solidFill>
          </w14:textFill>
        </w:rPr>
        <w:t xml:space="preserve">                                       </w:t>
      </w: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firstLine="960" w:firstLineChars="4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签订地：</w:t>
      </w:r>
      <w:r>
        <w:rPr>
          <w:rFonts w:ascii="宋体" w:hAnsi="宋体"/>
          <w:color w:val="000000" w:themeColor="text1"/>
          <w:sz w:val="24"/>
          <w:u w:val="single"/>
          <w14:textFill>
            <w14:solidFill>
              <w14:schemeClr w14:val="tx1"/>
            </w14:solidFill>
          </w14:textFill>
        </w:rPr>
        <w:t xml:space="preserve">                                     </w:t>
      </w: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firstLine="960" w:firstLineChars="4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签订日期：</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autoSpaceDE w:val="0"/>
        <w:autoSpaceDN w:val="0"/>
        <w:adjustRightInd w:val="0"/>
        <w:spacing w:line="600" w:lineRule="exact"/>
        <w:ind w:firstLine="640"/>
        <w:jc w:val="center"/>
        <w:rPr>
          <w:rFonts w:ascii="宋体" w:hAnsi="宋体"/>
          <w:color w:val="000000" w:themeColor="text1"/>
          <w:sz w:val="24"/>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7" w:h="16840"/>
          <w:pgMar w:top="1474" w:right="1814" w:bottom="1474" w:left="1814" w:header="851" w:footer="851" w:gutter="0"/>
          <w:pgBorders>
            <w:top w:val="none" w:sz="0" w:space="0"/>
            <w:left w:val="none" w:sz="0" w:space="0"/>
            <w:bottom w:val="none" w:sz="0" w:space="0"/>
            <w:right w:val="none" w:sz="0" w:space="0"/>
          </w:pgBorders>
          <w:cols w:space="720" w:num="1"/>
          <w:docGrid w:linePitch="462" w:charSpace="0"/>
        </w:sectPr>
      </w:pP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年</w:t>
      </w: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月</w:t>
      </w: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日</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（采购人名称）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以</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（政府采购方式）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对</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（同前页项目名称）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项目进行了采购。经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（相关评定主体名称）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评定，</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（成交供应商名称）</w:t>
      </w:r>
      <w:r>
        <w:rPr>
          <w:rFonts w:hint="eastAsia" w:ascii="宋体" w:hAnsi="宋体"/>
          <w:color w:val="000000" w:themeColor="text1"/>
          <w:szCs w:val="21"/>
          <w14:textFill>
            <w14:solidFill>
              <w14:schemeClr w14:val="tx1"/>
            </w14:solidFill>
          </w14:textFill>
        </w:rPr>
        <w:t>为该项目成交供应商。现于成交通知书发出之日起三十日内，按照采购文件确定的事项签订本合同。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根据《中华人民共和国合同法》、《中华人民共和国政府采购法》等相关法律法规之规定，按照平等、自愿、公平和诚实信用的原则，经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（采购人名称）</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以下简称：甲方</w:t>
      </w:r>
      <w:r>
        <w:rPr>
          <w:rFonts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和</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（成交供应商名称）</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以下简称：乙方</w:t>
      </w:r>
      <w:r>
        <w:rPr>
          <w:rFonts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协商一致，约定以下合同</w:t>
      </w:r>
      <w:r>
        <w:rPr>
          <w:rFonts w:hint="eastAsia" w:ascii="宋体" w:hAnsi="宋体"/>
          <w:color w:val="000000" w:themeColor="text1"/>
          <w:szCs w:val="21"/>
          <w14:textFill>
            <w14:solidFill>
              <w14:schemeClr w14:val="tx1"/>
            </w14:solidFill>
          </w14:textFill>
        </w:rPr>
        <w:t>条款，以兹共同遵守、全面履行。</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33" w:name="_Toc24059"/>
      <w:bookmarkStart w:id="34" w:name="_Toc3029"/>
      <w:bookmarkStart w:id="35" w:name="_Toc2232"/>
      <w:r>
        <w:rPr>
          <w:rFonts w:ascii="宋体" w:hAnsi="宋体"/>
          <w:b/>
          <w:color w:val="000000" w:themeColor="text1"/>
          <w:szCs w:val="21"/>
          <w14:textFill>
            <w14:solidFill>
              <w14:schemeClr w14:val="tx1"/>
            </w14:solidFill>
          </w14:textFill>
        </w:rPr>
        <w:t xml:space="preserve">1.1 </w:t>
      </w:r>
      <w:r>
        <w:rPr>
          <w:rFonts w:hint="eastAsia" w:ascii="宋体" w:hAnsi="宋体"/>
          <w:b/>
          <w:color w:val="000000" w:themeColor="text1"/>
          <w:szCs w:val="21"/>
          <w14:textFill>
            <w14:solidFill>
              <w14:schemeClr w14:val="tx1"/>
            </w14:solidFill>
          </w14:textFill>
        </w:rPr>
        <w:t>合同组成部分</w:t>
      </w:r>
      <w:bookmarkEnd w:id="33"/>
      <w:bookmarkEnd w:id="34"/>
      <w:bookmarkEnd w:id="35"/>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1.1.1 </w:t>
      </w:r>
      <w:r>
        <w:rPr>
          <w:rFonts w:hint="eastAsia" w:ascii="宋体" w:hAnsi="宋体"/>
          <w:color w:val="000000" w:themeColor="text1"/>
          <w:szCs w:val="21"/>
          <w14:textFill>
            <w14:solidFill>
              <w14:schemeClr w14:val="tx1"/>
            </w14:solidFill>
          </w14:textFill>
        </w:rPr>
        <w:t>本合同及其补充合同、变更协议；</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1.1.2 </w:t>
      </w:r>
      <w:r>
        <w:rPr>
          <w:rFonts w:hint="eastAsia" w:ascii="宋体" w:hAnsi="宋体"/>
          <w:color w:val="000000" w:themeColor="text1"/>
          <w:szCs w:val="21"/>
          <w14:textFill>
            <w14:solidFill>
              <w14:schemeClr w14:val="tx1"/>
            </w14:solidFill>
          </w14:textFill>
        </w:rPr>
        <w:t>成交通知书；</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1.1.3 </w:t>
      </w:r>
      <w:r>
        <w:rPr>
          <w:rFonts w:hint="eastAsia" w:ascii="宋体" w:hAnsi="宋体"/>
          <w:color w:val="000000" w:themeColor="text1"/>
          <w:szCs w:val="21"/>
          <w14:textFill>
            <w14:solidFill>
              <w14:schemeClr w14:val="tx1"/>
            </w14:solidFill>
          </w14:textFill>
        </w:rPr>
        <w:t>响应文件（含澄清或者说明文件）；</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1.1.4 </w:t>
      </w:r>
      <w:r>
        <w:rPr>
          <w:rFonts w:hint="eastAsia" w:ascii="宋体" w:hAnsi="宋体"/>
          <w:color w:val="000000" w:themeColor="text1"/>
          <w:szCs w:val="21"/>
          <w14:textFill>
            <w14:solidFill>
              <w14:schemeClr w14:val="tx1"/>
            </w14:solidFill>
          </w14:textFill>
        </w:rPr>
        <w:t>采购文件（含澄清或者修改文件）；</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1.1.5 </w:t>
      </w:r>
      <w:r>
        <w:rPr>
          <w:rFonts w:hint="eastAsia" w:ascii="宋体" w:hAnsi="宋体"/>
          <w:color w:val="000000" w:themeColor="text1"/>
          <w:szCs w:val="21"/>
          <w14:textFill>
            <w14:solidFill>
              <w14:schemeClr w14:val="tx1"/>
            </w14:solidFill>
          </w14:textFill>
        </w:rPr>
        <w:t>其他相关采购文件。</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36" w:name="_Toc21295"/>
      <w:bookmarkStart w:id="37" w:name="_Toc27126"/>
      <w:bookmarkStart w:id="38" w:name="_Toc24300"/>
      <w:r>
        <w:rPr>
          <w:rFonts w:ascii="宋体" w:hAnsi="宋体"/>
          <w:b/>
          <w:color w:val="000000" w:themeColor="text1"/>
          <w:szCs w:val="21"/>
          <w14:textFill>
            <w14:solidFill>
              <w14:schemeClr w14:val="tx1"/>
            </w14:solidFill>
          </w14:textFill>
        </w:rPr>
        <w:t xml:space="preserve">1.2 </w:t>
      </w:r>
      <w:r>
        <w:rPr>
          <w:rFonts w:hint="eastAsia" w:ascii="宋体" w:hAnsi="宋体"/>
          <w:b/>
          <w:color w:val="000000" w:themeColor="text1"/>
          <w:szCs w:val="21"/>
          <w14:textFill>
            <w14:solidFill>
              <w14:schemeClr w14:val="tx1"/>
            </w14:solidFill>
          </w14:textFill>
        </w:rPr>
        <w:t>货物</w:t>
      </w:r>
      <w:bookmarkEnd w:id="36"/>
      <w:bookmarkEnd w:id="37"/>
      <w:bookmarkEnd w:id="38"/>
    </w:p>
    <w:p>
      <w:pPr>
        <w:spacing w:line="560" w:lineRule="exact"/>
        <w:ind w:firstLine="420" w:firstLineChars="200"/>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 xml:space="preserve">1.2.1 </w:t>
      </w:r>
      <w:r>
        <w:rPr>
          <w:rFonts w:hint="eastAsia" w:ascii="宋体" w:hAnsi="宋体"/>
          <w:color w:val="000000" w:themeColor="text1"/>
          <w:szCs w:val="21"/>
          <w14:textFill>
            <w14:solidFill>
              <w14:schemeClr w14:val="tx1"/>
            </w14:solidFill>
          </w14:textFill>
        </w:rPr>
        <w:t>货物名称：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 xml:space="preserve">1.2.2 </w:t>
      </w:r>
      <w:r>
        <w:rPr>
          <w:rFonts w:hint="eastAsia" w:ascii="宋体" w:hAnsi="宋体"/>
          <w:color w:val="000000" w:themeColor="text1"/>
          <w:szCs w:val="21"/>
          <w14:textFill>
            <w14:solidFill>
              <w14:schemeClr w14:val="tx1"/>
            </w14:solidFill>
          </w14:textFill>
        </w:rPr>
        <w:t>货物数量：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1.2.3 </w:t>
      </w:r>
      <w:r>
        <w:rPr>
          <w:rFonts w:hint="eastAsia" w:ascii="宋体" w:hAnsi="宋体"/>
          <w:color w:val="000000" w:themeColor="text1"/>
          <w:szCs w:val="21"/>
          <w14:textFill>
            <w14:solidFill>
              <w14:schemeClr w14:val="tx1"/>
            </w14:solidFill>
          </w14:textFill>
        </w:rPr>
        <w:t>货物质量：</w:t>
      </w:r>
      <w:r>
        <w:rPr>
          <w:rFonts w:hint="eastAsia" w:ascii="宋体" w:hAnsi="宋体"/>
          <w:color w:val="000000" w:themeColor="text1"/>
          <w:szCs w:val="21"/>
          <w:u w:val="single"/>
          <w14:textFill>
            <w14:solidFill>
              <w14:schemeClr w14:val="tx1"/>
            </w14:solidFill>
          </w14:textFill>
        </w:rPr>
        <w:t>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39" w:name="_Toc23292"/>
      <w:bookmarkStart w:id="40" w:name="_Toc21631"/>
      <w:bookmarkStart w:id="41" w:name="_Toc21551"/>
      <w:r>
        <w:rPr>
          <w:rFonts w:ascii="宋体" w:hAnsi="宋体"/>
          <w:b/>
          <w:color w:val="000000" w:themeColor="text1"/>
          <w:szCs w:val="21"/>
          <w14:textFill>
            <w14:solidFill>
              <w14:schemeClr w14:val="tx1"/>
            </w14:solidFill>
          </w14:textFill>
        </w:rPr>
        <w:t xml:space="preserve">1.3 </w:t>
      </w:r>
      <w:r>
        <w:rPr>
          <w:rFonts w:hint="eastAsia" w:ascii="宋体" w:hAnsi="宋体"/>
          <w:b/>
          <w:color w:val="000000" w:themeColor="text1"/>
          <w:szCs w:val="21"/>
          <w14:textFill>
            <w14:solidFill>
              <w14:schemeClr w14:val="tx1"/>
            </w14:solidFill>
          </w14:textFill>
        </w:rPr>
        <w:t>价款</w:t>
      </w:r>
      <w:bookmarkEnd w:id="39"/>
      <w:bookmarkEnd w:id="40"/>
      <w:bookmarkEnd w:id="41"/>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本合同总价为：￥</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元（大写：</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元人民币）。</w:t>
      </w:r>
    </w:p>
    <w:p>
      <w:pPr>
        <w:spacing w:line="560" w:lineRule="exact"/>
        <w:ind w:firstLine="42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分项价格：</w:t>
      </w:r>
    </w:p>
    <w:tbl>
      <w:tblPr>
        <w:tblStyle w:val="47"/>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37"/>
              <w:spacing w:line="560" w:lineRule="exact"/>
              <w:jc w:val="center"/>
              <w:rPr>
                <w:rFonts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序号</w:t>
            </w:r>
          </w:p>
        </w:tc>
        <w:tc>
          <w:tcPr>
            <w:tcW w:w="3402" w:type="dxa"/>
            <w:vAlign w:val="center"/>
          </w:tcPr>
          <w:p>
            <w:pPr>
              <w:pStyle w:val="137"/>
              <w:spacing w:line="560" w:lineRule="exact"/>
              <w:ind w:firstLine="200"/>
              <w:jc w:val="center"/>
              <w:rPr>
                <w:rFonts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分项名称</w:t>
            </w:r>
          </w:p>
        </w:tc>
        <w:tc>
          <w:tcPr>
            <w:tcW w:w="2552" w:type="dxa"/>
            <w:vAlign w:val="center"/>
          </w:tcPr>
          <w:p>
            <w:pPr>
              <w:pStyle w:val="137"/>
              <w:spacing w:line="560" w:lineRule="exact"/>
              <w:jc w:val="center"/>
              <w:rPr>
                <w:rFonts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37"/>
              <w:spacing w:line="560" w:lineRule="exact"/>
              <w:ind w:firstLine="200"/>
              <w:jc w:val="center"/>
              <w:rPr>
                <w:rFonts w:hAnsi="宋体" w:eastAsia="宋体" w:cs="宋体"/>
                <w:color w:val="000000" w:themeColor="text1"/>
                <w:kern w:val="2"/>
                <w:sz w:val="21"/>
                <w:szCs w:val="21"/>
                <w14:textFill>
                  <w14:solidFill>
                    <w14:schemeClr w14:val="tx1"/>
                  </w14:solidFill>
                </w14:textFill>
              </w:rPr>
            </w:pPr>
          </w:p>
        </w:tc>
        <w:tc>
          <w:tcPr>
            <w:tcW w:w="3402" w:type="dxa"/>
            <w:vAlign w:val="center"/>
          </w:tcPr>
          <w:p>
            <w:pPr>
              <w:pStyle w:val="137"/>
              <w:spacing w:line="560" w:lineRule="exact"/>
              <w:ind w:firstLine="200"/>
              <w:jc w:val="center"/>
              <w:rPr>
                <w:rFonts w:hAnsi="宋体" w:eastAsia="宋体" w:cs="宋体"/>
                <w:color w:val="000000" w:themeColor="text1"/>
                <w:kern w:val="2"/>
                <w:sz w:val="21"/>
                <w:szCs w:val="21"/>
                <w14:textFill>
                  <w14:solidFill>
                    <w14:schemeClr w14:val="tx1"/>
                  </w14:solidFill>
                </w14:textFill>
              </w:rPr>
            </w:pPr>
          </w:p>
        </w:tc>
        <w:tc>
          <w:tcPr>
            <w:tcW w:w="2552" w:type="dxa"/>
            <w:vAlign w:val="center"/>
          </w:tcPr>
          <w:p>
            <w:pPr>
              <w:pStyle w:val="137"/>
              <w:spacing w:line="560" w:lineRule="exact"/>
              <w:ind w:firstLine="200"/>
              <w:jc w:val="center"/>
              <w:rPr>
                <w:rFonts w:hAnsi="宋体" w:eastAsia="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37"/>
              <w:spacing w:line="560" w:lineRule="exact"/>
              <w:ind w:firstLine="200"/>
              <w:jc w:val="center"/>
              <w:rPr>
                <w:rFonts w:hAnsi="宋体" w:eastAsia="宋体" w:cs="宋体"/>
                <w:color w:val="000000" w:themeColor="text1"/>
                <w:kern w:val="2"/>
                <w:sz w:val="21"/>
                <w:szCs w:val="21"/>
                <w14:textFill>
                  <w14:solidFill>
                    <w14:schemeClr w14:val="tx1"/>
                  </w14:solidFill>
                </w14:textFill>
              </w:rPr>
            </w:pPr>
          </w:p>
        </w:tc>
        <w:tc>
          <w:tcPr>
            <w:tcW w:w="3402" w:type="dxa"/>
            <w:vAlign w:val="center"/>
          </w:tcPr>
          <w:p>
            <w:pPr>
              <w:pStyle w:val="137"/>
              <w:spacing w:line="560" w:lineRule="exact"/>
              <w:ind w:firstLine="200"/>
              <w:jc w:val="center"/>
              <w:rPr>
                <w:rFonts w:hAnsi="宋体" w:eastAsia="宋体" w:cs="宋体"/>
                <w:color w:val="000000" w:themeColor="text1"/>
                <w:kern w:val="2"/>
                <w:sz w:val="21"/>
                <w:szCs w:val="21"/>
                <w14:textFill>
                  <w14:solidFill>
                    <w14:schemeClr w14:val="tx1"/>
                  </w14:solidFill>
                </w14:textFill>
              </w:rPr>
            </w:pPr>
          </w:p>
        </w:tc>
        <w:tc>
          <w:tcPr>
            <w:tcW w:w="2552" w:type="dxa"/>
            <w:vAlign w:val="center"/>
          </w:tcPr>
          <w:p>
            <w:pPr>
              <w:pStyle w:val="137"/>
              <w:spacing w:line="560" w:lineRule="exact"/>
              <w:ind w:firstLine="200"/>
              <w:jc w:val="center"/>
              <w:rPr>
                <w:rFonts w:hAnsi="宋体" w:eastAsia="宋体" w:cs="宋体"/>
                <w:color w:val="000000" w:themeColor="text1"/>
                <w:kern w:val="2"/>
                <w:sz w:val="21"/>
                <w:szCs w:val="21"/>
                <w14:textFill>
                  <w14:solidFill>
                    <w14:schemeClr w14:val="tx1"/>
                  </w14:solidFill>
                </w14:textFill>
              </w:rPr>
            </w:pPr>
          </w:p>
        </w:tc>
      </w:tr>
    </w:tbl>
    <w:p>
      <w:pPr>
        <w:pStyle w:val="137"/>
        <w:spacing w:line="560" w:lineRule="exact"/>
        <w:ind w:firstLine="200"/>
        <w:jc w:val="center"/>
        <w:rPr>
          <w:rFonts w:hAnsi="宋体"/>
          <w:color w:val="000000" w:themeColor="text1"/>
          <w:kern w:val="2"/>
          <w:sz w:val="21"/>
          <w:szCs w:val="21"/>
          <w14:textFill>
            <w14:solidFill>
              <w14:schemeClr w14:val="tx1"/>
            </w14:solidFill>
          </w14:textFill>
        </w:rPr>
        <w:sectPr>
          <w:headerReference r:id="rId12" w:type="first"/>
          <w:footerReference r:id="rId14" w:type="first"/>
          <w:headerReference r:id="rId11" w:type="default"/>
          <w:footerReference r:id="rId13" w:type="default"/>
          <w:pgSz w:w="11906" w:h="16838"/>
          <w:pgMar w:top="1134" w:right="1134" w:bottom="1134" w:left="1418" w:header="851" w:footer="992" w:gutter="0"/>
          <w:pgBorders>
            <w:top w:val="none" w:sz="0" w:space="0"/>
            <w:left w:val="none" w:sz="0" w:space="0"/>
            <w:bottom w:val="none" w:sz="0" w:space="0"/>
            <w:right w:val="none" w:sz="0" w:space="0"/>
          </w:pgBorders>
          <w:cols w:space="720" w:num="1"/>
          <w:titlePg/>
          <w:docGrid w:type="lines" w:linePitch="333" w:charSpace="0"/>
        </w:sectPr>
      </w:pPr>
    </w:p>
    <w:tbl>
      <w:tblPr>
        <w:tblStyle w:val="47"/>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37"/>
              <w:spacing w:line="560" w:lineRule="exact"/>
              <w:ind w:firstLine="200"/>
              <w:jc w:val="center"/>
              <w:rPr>
                <w:rFonts w:hAnsi="宋体"/>
                <w:color w:val="000000" w:themeColor="text1"/>
                <w:kern w:val="2"/>
                <w:sz w:val="21"/>
                <w:szCs w:val="21"/>
                <w14:textFill>
                  <w14:solidFill>
                    <w14:schemeClr w14:val="tx1"/>
                  </w14:solidFill>
                </w14:textFill>
              </w:rPr>
            </w:pPr>
          </w:p>
        </w:tc>
        <w:tc>
          <w:tcPr>
            <w:tcW w:w="3402" w:type="dxa"/>
            <w:vAlign w:val="center"/>
          </w:tcPr>
          <w:p>
            <w:pPr>
              <w:pStyle w:val="137"/>
              <w:spacing w:line="560" w:lineRule="exact"/>
              <w:ind w:firstLine="200"/>
              <w:jc w:val="center"/>
              <w:rPr>
                <w:rFonts w:hAnsi="宋体"/>
                <w:color w:val="000000" w:themeColor="text1"/>
                <w:kern w:val="2"/>
                <w:sz w:val="21"/>
                <w:szCs w:val="21"/>
                <w14:textFill>
                  <w14:solidFill>
                    <w14:schemeClr w14:val="tx1"/>
                  </w14:solidFill>
                </w14:textFill>
              </w:rPr>
            </w:pPr>
          </w:p>
        </w:tc>
        <w:tc>
          <w:tcPr>
            <w:tcW w:w="2552" w:type="dxa"/>
            <w:vAlign w:val="center"/>
          </w:tcPr>
          <w:p>
            <w:pPr>
              <w:pStyle w:val="137"/>
              <w:spacing w:line="560" w:lineRule="exact"/>
              <w:ind w:firstLine="200"/>
              <w:jc w:val="center"/>
              <w:rPr>
                <w:rFonts w:hAnsi="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37"/>
              <w:spacing w:line="560" w:lineRule="exact"/>
              <w:ind w:firstLine="200"/>
              <w:jc w:val="center"/>
              <w:rPr>
                <w:rFonts w:hAnsi="宋体"/>
                <w:color w:val="000000" w:themeColor="text1"/>
                <w:kern w:val="2"/>
                <w:sz w:val="21"/>
                <w:szCs w:val="21"/>
                <w14:textFill>
                  <w14:solidFill>
                    <w14:schemeClr w14:val="tx1"/>
                  </w14:solidFill>
                </w14:textFill>
              </w:rPr>
            </w:pPr>
          </w:p>
        </w:tc>
        <w:tc>
          <w:tcPr>
            <w:tcW w:w="3402" w:type="dxa"/>
            <w:vAlign w:val="center"/>
          </w:tcPr>
          <w:p>
            <w:pPr>
              <w:pStyle w:val="137"/>
              <w:spacing w:line="560" w:lineRule="exact"/>
              <w:ind w:firstLine="200"/>
              <w:jc w:val="center"/>
              <w:rPr>
                <w:rFonts w:hAnsi="宋体"/>
                <w:color w:val="000000" w:themeColor="text1"/>
                <w:kern w:val="2"/>
                <w:sz w:val="21"/>
                <w:szCs w:val="21"/>
                <w14:textFill>
                  <w14:solidFill>
                    <w14:schemeClr w14:val="tx1"/>
                  </w14:solidFill>
                </w14:textFill>
              </w:rPr>
            </w:pPr>
          </w:p>
        </w:tc>
        <w:tc>
          <w:tcPr>
            <w:tcW w:w="2552" w:type="dxa"/>
            <w:vAlign w:val="center"/>
          </w:tcPr>
          <w:p>
            <w:pPr>
              <w:pStyle w:val="137"/>
              <w:spacing w:line="560" w:lineRule="exact"/>
              <w:ind w:firstLine="200"/>
              <w:jc w:val="center"/>
              <w:rPr>
                <w:rFonts w:hAnsi="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137"/>
              <w:spacing w:line="560" w:lineRule="exact"/>
              <w:ind w:firstLine="200"/>
              <w:jc w:val="center"/>
              <w:rPr>
                <w:rFonts w:hAnsi="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总价</w:t>
            </w:r>
          </w:p>
        </w:tc>
        <w:tc>
          <w:tcPr>
            <w:tcW w:w="2552" w:type="dxa"/>
            <w:vAlign w:val="center"/>
          </w:tcPr>
          <w:p>
            <w:pPr>
              <w:pStyle w:val="137"/>
              <w:spacing w:line="560" w:lineRule="exact"/>
              <w:ind w:firstLine="200"/>
              <w:jc w:val="center"/>
              <w:rPr>
                <w:rFonts w:hAnsi="宋体"/>
                <w:color w:val="000000" w:themeColor="text1"/>
                <w:kern w:val="2"/>
                <w:sz w:val="21"/>
                <w:szCs w:val="21"/>
                <w14:textFill>
                  <w14:solidFill>
                    <w14:schemeClr w14:val="tx1"/>
                  </w14:solidFill>
                </w14:textFill>
              </w:rPr>
            </w:pPr>
          </w:p>
        </w:tc>
      </w:tr>
    </w:tbl>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42" w:name="_Toc1814"/>
      <w:bookmarkStart w:id="43" w:name="_Toc22618"/>
      <w:bookmarkStart w:id="44" w:name="_Toc10340"/>
      <w:r>
        <w:rPr>
          <w:rFonts w:ascii="宋体" w:hAnsi="宋体"/>
          <w:b/>
          <w:color w:val="000000" w:themeColor="text1"/>
          <w:szCs w:val="21"/>
          <w14:textFill>
            <w14:solidFill>
              <w14:schemeClr w14:val="tx1"/>
            </w14:solidFill>
          </w14:textFill>
        </w:rPr>
        <w:t xml:space="preserve">1.4 </w:t>
      </w:r>
      <w:r>
        <w:rPr>
          <w:rFonts w:hint="eastAsia" w:ascii="宋体" w:hAnsi="宋体"/>
          <w:b/>
          <w:color w:val="000000" w:themeColor="text1"/>
          <w:szCs w:val="21"/>
          <w14:textFill>
            <w14:solidFill>
              <w14:schemeClr w14:val="tx1"/>
            </w14:solidFill>
          </w14:textFill>
        </w:rPr>
        <w:t>付款方式和发票开具方式</w:t>
      </w:r>
      <w:bookmarkEnd w:id="42"/>
      <w:bookmarkEnd w:id="43"/>
      <w:bookmarkEnd w:id="44"/>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1.4.1 </w:t>
      </w:r>
      <w:r>
        <w:rPr>
          <w:rFonts w:hint="eastAsia" w:ascii="宋体" w:hAnsi="宋体"/>
          <w:color w:val="000000" w:themeColor="text1"/>
          <w:szCs w:val="21"/>
          <w14:textFill>
            <w14:solidFill>
              <w14:schemeClr w14:val="tx1"/>
            </w14:solidFill>
          </w14:textFill>
        </w:rPr>
        <w:t>付款方式：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1.4.2 </w:t>
      </w:r>
      <w:r>
        <w:rPr>
          <w:rFonts w:hint="eastAsia" w:ascii="宋体" w:hAnsi="宋体"/>
          <w:color w:val="000000" w:themeColor="text1"/>
          <w:szCs w:val="21"/>
          <w14:textFill>
            <w14:solidFill>
              <w14:schemeClr w14:val="tx1"/>
            </w14:solidFill>
          </w14:textFill>
        </w:rPr>
        <w:t>发票开具方式：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45" w:name="_Toc19304"/>
      <w:bookmarkStart w:id="46" w:name="_Toc32071"/>
      <w:bookmarkStart w:id="47" w:name="_Toc2846"/>
      <w:r>
        <w:rPr>
          <w:rFonts w:ascii="宋体" w:hAnsi="宋体"/>
          <w:b/>
          <w:color w:val="000000" w:themeColor="text1"/>
          <w:szCs w:val="21"/>
          <w14:textFill>
            <w14:solidFill>
              <w14:schemeClr w14:val="tx1"/>
            </w14:solidFill>
          </w14:textFill>
        </w:rPr>
        <w:t xml:space="preserve">1.5 </w:t>
      </w:r>
      <w:r>
        <w:rPr>
          <w:rFonts w:hint="eastAsia" w:ascii="宋体" w:hAnsi="宋体"/>
          <w:b/>
          <w:color w:val="000000" w:themeColor="text1"/>
          <w:szCs w:val="21"/>
          <w14:textFill>
            <w14:solidFill>
              <w14:schemeClr w14:val="tx1"/>
            </w14:solidFill>
          </w14:textFill>
        </w:rPr>
        <w:t>货物交付期限、地点和方式</w:t>
      </w:r>
      <w:bookmarkEnd w:id="45"/>
      <w:bookmarkEnd w:id="46"/>
      <w:bookmarkEnd w:id="47"/>
    </w:p>
    <w:p>
      <w:pPr>
        <w:spacing w:line="560" w:lineRule="exact"/>
        <w:ind w:firstLine="420" w:firstLineChars="200"/>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 xml:space="preserve">1.5.1 </w:t>
      </w:r>
      <w:r>
        <w:rPr>
          <w:rFonts w:hint="eastAsia" w:ascii="宋体" w:hAnsi="宋体"/>
          <w:color w:val="000000" w:themeColor="text1"/>
          <w:szCs w:val="21"/>
          <w14:textFill>
            <w14:solidFill>
              <w14:schemeClr w14:val="tx1"/>
            </w14:solidFill>
          </w14:textFill>
        </w:rPr>
        <w:t>交付期限：</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1.5.2 </w:t>
      </w:r>
      <w:r>
        <w:rPr>
          <w:rFonts w:hint="eastAsia" w:ascii="宋体" w:hAnsi="宋体"/>
          <w:color w:val="000000" w:themeColor="text1"/>
          <w:szCs w:val="21"/>
          <w14:textFill>
            <w14:solidFill>
              <w14:schemeClr w14:val="tx1"/>
            </w14:solidFill>
          </w14:textFill>
        </w:rPr>
        <w:t>交付地点：</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1.5.3 </w:t>
      </w:r>
      <w:r>
        <w:rPr>
          <w:rFonts w:hint="eastAsia" w:ascii="宋体" w:hAnsi="宋体"/>
          <w:color w:val="000000" w:themeColor="text1"/>
          <w:szCs w:val="21"/>
          <w14:textFill>
            <w14:solidFill>
              <w14:schemeClr w14:val="tx1"/>
            </w14:solidFill>
          </w14:textFill>
        </w:rPr>
        <w:t>交付方式：</w:t>
      </w:r>
      <w:r>
        <w:rPr>
          <w:rFonts w:hint="eastAsia" w:ascii="宋体" w:hAnsi="宋体"/>
          <w:color w:val="000000" w:themeColor="text1"/>
          <w:szCs w:val="21"/>
          <w:u w:val="single"/>
          <w14:textFill>
            <w14:solidFill>
              <w14:schemeClr w14:val="tx1"/>
            </w14:solidFill>
          </w14:textFill>
        </w:rPr>
        <w:t>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48" w:name="_Toc19554"/>
      <w:bookmarkStart w:id="49" w:name="_Toc21423"/>
      <w:bookmarkStart w:id="50" w:name="_Toc27250"/>
      <w:r>
        <w:rPr>
          <w:rFonts w:ascii="宋体" w:hAnsi="宋体"/>
          <w:b/>
          <w:color w:val="000000" w:themeColor="text1"/>
          <w:szCs w:val="21"/>
          <w14:textFill>
            <w14:solidFill>
              <w14:schemeClr w14:val="tx1"/>
            </w14:solidFill>
          </w14:textFill>
        </w:rPr>
        <w:t xml:space="preserve">1.6 </w:t>
      </w:r>
      <w:r>
        <w:rPr>
          <w:rFonts w:hint="eastAsia" w:ascii="宋体" w:hAnsi="宋体"/>
          <w:b/>
          <w:color w:val="000000" w:themeColor="text1"/>
          <w:szCs w:val="21"/>
          <w14:textFill>
            <w14:solidFill>
              <w14:schemeClr w14:val="tx1"/>
            </w14:solidFill>
          </w14:textFill>
        </w:rPr>
        <w:t>违约责任</w:t>
      </w:r>
      <w:bookmarkEnd w:id="48"/>
      <w:bookmarkEnd w:id="49"/>
      <w:bookmarkEnd w:id="50"/>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1.6.1 </w:t>
      </w:r>
      <w:r>
        <w:rPr>
          <w:rFonts w:hint="eastAsia" w:ascii="宋体" w:hAnsi="宋体"/>
          <w:color w:val="000000" w:themeColor="text1"/>
          <w:szCs w:val="21"/>
          <w14:textFill>
            <w14:solidFill>
              <w14:schemeClr w14:val="tx1"/>
            </w14:solidFill>
          </w14:textFill>
        </w:rPr>
        <w:t>除不可抗力外，如果乙方没有按照本合同约定的期限、地点和方式交付货物，那么甲方可要求乙方支付违约金，违约金按每迟延交付货物一日的应交付而未交付货物价格的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计算，最高限额为本合同总价的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；迟延交付货物的违约金计算数额达到前述最高限额之日起，甲方有权在要求乙方支付违约金的同时，书面通知乙方解除本合同；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1.6.2 </w:t>
      </w:r>
      <w:r>
        <w:rPr>
          <w:rFonts w:hint="eastAsia" w:ascii="宋体" w:hAnsi="宋体"/>
          <w:color w:val="000000" w:themeColor="text1"/>
          <w:szCs w:val="21"/>
          <w14:textFill>
            <w14:solidFill>
              <w14:schemeClr w14:val="tx1"/>
            </w14:solidFill>
          </w14:textFill>
        </w:rPr>
        <w:t>除不可抗力外，如果甲方没有按照本合同约定的付款方式付款，那么乙方可要求甲方支付违约金，违约金按每迟延付款一日的应付而未付款的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计算，最高限额为本合同总价的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；迟延付款的违约金计算数额达到前述最高限额之日起，乙方有权在要求甲方支付违约金的同时，书面通知甲方解除本合同；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1.6.3 </w:t>
      </w:r>
      <w:r>
        <w:rPr>
          <w:rFonts w:hint="eastAsia" w:ascii="宋体" w:hAnsi="宋体"/>
          <w:color w:val="000000" w:themeColor="text1"/>
          <w:szCs w:val="21"/>
          <w14:textFill>
            <w14:solidFill>
              <w14:schemeClr w14:val="tx1"/>
            </w14:solidFill>
          </w14:textFill>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1.6.4 </w:t>
      </w:r>
      <w:r>
        <w:rPr>
          <w:rFonts w:hint="eastAsia" w:ascii="宋体" w:hAnsi="宋体"/>
          <w:color w:val="000000" w:themeColor="text1"/>
          <w:szCs w:val="21"/>
          <w14:textFill>
            <w14:solidFill>
              <w14:schemeClr w14:val="tx1"/>
            </w14:solidFill>
          </w14:textFill>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1.6.5 </w:t>
      </w:r>
      <w:r>
        <w:rPr>
          <w:rFonts w:hint="eastAsia" w:ascii="宋体" w:hAnsi="宋体"/>
          <w:color w:val="000000" w:themeColor="text1"/>
          <w:szCs w:val="21"/>
          <w14:textFill>
            <w14:solidFill>
              <w14:schemeClr w14:val="tx1"/>
            </w14:solidFill>
          </w14:textFill>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1.6.6 </w:t>
      </w:r>
      <w:r>
        <w:rPr>
          <w:rFonts w:hint="eastAsia" w:ascii="宋体" w:hAnsi="宋体"/>
          <w:color w:val="000000" w:themeColor="text1"/>
          <w:szCs w:val="21"/>
          <w14:textFill>
            <w14:solidFill>
              <w14:schemeClr w14:val="tx1"/>
            </w14:solidFill>
          </w14:textFill>
        </w:rPr>
        <w:t>如果出现政府采购监督管理部门在处理投诉事项期间，书面通知甲方暂停采购活动的情形，或者询问或质疑事项可能影响成交结果的，导致甲方中止履行合同的情形，均不视为甲方违约。</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51" w:name="_Toc16021"/>
      <w:bookmarkStart w:id="52" w:name="_Toc28375"/>
      <w:bookmarkStart w:id="53" w:name="_Toc15583"/>
      <w:r>
        <w:rPr>
          <w:rFonts w:ascii="宋体" w:hAnsi="宋体"/>
          <w:b/>
          <w:color w:val="000000" w:themeColor="text1"/>
          <w:szCs w:val="21"/>
          <w14:textFill>
            <w14:solidFill>
              <w14:schemeClr w14:val="tx1"/>
            </w14:solidFill>
          </w14:textFill>
        </w:rPr>
        <w:t xml:space="preserve">1.7 </w:t>
      </w:r>
      <w:r>
        <w:rPr>
          <w:rFonts w:hint="eastAsia" w:ascii="宋体" w:hAnsi="宋体"/>
          <w:b/>
          <w:color w:val="000000" w:themeColor="text1"/>
          <w:szCs w:val="21"/>
          <w14:textFill>
            <w14:solidFill>
              <w14:schemeClr w14:val="tx1"/>
            </w14:solidFill>
          </w14:textFill>
        </w:rPr>
        <w:t>合同争议的解决</w:t>
      </w:r>
      <w:bookmarkEnd w:id="51"/>
      <w:bookmarkEnd w:id="52"/>
      <w:bookmarkEnd w:id="53"/>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本合同履行过程中发生的任何争议，双方当事人均可通过和解或者调解解决；不愿和解、调解或者和解、调解不成的，可以选择下列第</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2</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种方式解决：</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1.7.1 </w:t>
      </w:r>
      <w:r>
        <w:rPr>
          <w:rFonts w:hint="eastAsia" w:ascii="宋体" w:hAnsi="宋体"/>
          <w:color w:val="000000" w:themeColor="text1"/>
          <w:szCs w:val="21"/>
          <w14:textFill>
            <w14:solidFill>
              <w14:schemeClr w14:val="tx1"/>
            </w14:solidFill>
          </w14:textFill>
        </w:rPr>
        <w:t>将争议提交</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仲裁委员会依申请仲裁时其现行有效的仲裁规则裁决；</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1.7.2 </w:t>
      </w:r>
      <w:r>
        <w:rPr>
          <w:rFonts w:hint="eastAsia" w:ascii="宋体" w:hAnsi="宋体"/>
          <w:color w:val="000000" w:themeColor="text1"/>
          <w:szCs w:val="21"/>
          <w14:textFill>
            <w14:solidFill>
              <w14:schemeClr w14:val="tx1"/>
            </w14:solidFill>
          </w14:textFill>
        </w:rPr>
        <w:t>向</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合同履行地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人民法院起诉。</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54" w:name="_Toc11173"/>
      <w:bookmarkStart w:id="55" w:name="_Toc7245"/>
      <w:bookmarkStart w:id="56" w:name="_Toc15322"/>
      <w:r>
        <w:rPr>
          <w:rFonts w:ascii="宋体" w:hAnsi="宋体"/>
          <w:b/>
          <w:color w:val="000000" w:themeColor="text1"/>
          <w:szCs w:val="21"/>
          <w14:textFill>
            <w14:solidFill>
              <w14:schemeClr w14:val="tx1"/>
            </w14:solidFill>
          </w14:textFill>
        </w:rPr>
        <w:t xml:space="preserve">1.8 </w:t>
      </w:r>
      <w:r>
        <w:rPr>
          <w:rFonts w:hint="eastAsia" w:ascii="宋体" w:hAnsi="宋体"/>
          <w:b/>
          <w:color w:val="000000" w:themeColor="text1"/>
          <w:szCs w:val="21"/>
          <w14:textFill>
            <w14:solidFill>
              <w14:schemeClr w14:val="tx1"/>
            </w14:solidFill>
          </w14:textFill>
        </w:rPr>
        <w:t>合同生效</w:t>
      </w:r>
      <w:bookmarkEnd w:id="54"/>
      <w:bookmarkEnd w:id="55"/>
      <w:bookmarkEnd w:id="56"/>
    </w:p>
    <w:p>
      <w:pPr>
        <w:spacing w:line="560" w:lineRule="exact"/>
        <w:ind w:firstLine="420" w:firstLineChars="20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本合同自双方当事人盖章或者签字时生效。</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b/>
          <w:color w:val="000000" w:themeColor="text1"/>
          <w:szCs w:val="21"/>
          <w:lang w:val="zh-CN"/>
          <w14:textFill>
            <w14:solidFill>
              <w14:schemeClr w14:val="tx1"/>
            </w14:solidFill>
          </w14:textFill>
        </w:rPr>
        <w:t>甲方</w:t>
      </w:r>
      <w:r>
        <w:rPr>
          <w:rFonts w:hint="eastAsia" w:ascii="宋体" w:hAnsi="宋体"/>
          <w:color w:val="000000" w:themeColor="text1"/>
          <w:szCs w:val="21"/>
          <w:lang w:val="zh-CN"/>
          <w14:textFill>
            <w14:solidFill>
              <w14:schemeClr w14:val="tx1"/>
            </w14:solidFill>
          </w14:textFill>
        </w:rPr>
        <w:t>：</w:t>
      </w:r>
      <w:r>
        <w:rPr>
          <w:rFonts w:ascii="宋体" w:hAnsi="宋体"/>
          <w:color w:val="000000" w:themeColor="text1"/>
          <w:szCs w:val="21"/>
          <w:lang w:val="zh-CN"/>
          <w14:textFill>
            <w14:solidFill>
              <w14:schemeClr w14:val="tx1"/>
            </w14:solidFill>
          </w14:textFill>
        </w:rPr>
        <w:t xml:space="preserve">                             </w:t>
      </w:r>
      <w:r>
        <w:rPr>
          <w:rFonts w:ascii="宋体" w:hAnsi="宋体"/>
          <w:b/>
          <w:color w:val="000000" w:themeColor="text1"/>
          <w:szCs w:val="21"/>
          <w:lang w:val="zh-CN"/>
          <w14:textFill>
            <w14:solidFill>
              <w14:schemeClr w14:val="tx1"/>
            </w14:solidFill>
          </w14:textFill>
        </w:rPr>
        <w:t xml:space="preserve">      </w:t>
      </w:r>
      <w:r>
        <w:rPr>
          <w:rFonts w:hint="eastAsia" w:ascii="宋体" w:hAnsi="宋体"/>
          <w:b/>
          <w:color w:val="000000" w:themeColor="text1"/>
          <w:szCs w:val="21"/>
          <w:lang w:val="zh-CN"/>
          <w14:textFill>
            <w14:solidFill>
              <w14:schemeClr w14:val="tx1"/>
            </w14:solidFill>
          </w14:textFill>
        </w:rPr>
        <w:t>乙方</w:t>
      </w:r>
      <w:r>
        <w:rPr>
          <w:rFonts w:hint="eastAsia" w:ascii="宋体" w:hAnsi="宋体"/>
          <w:color w:val="000000" w:themeColor="text1"/>
          <w:szCs w:val="21"/>
          <w:lang w:val="zh-CN"/>
          <w14:textFill>
            <w14:solidFill>
              <w14:schemeClr w14:val="tx1"/>
            </w14:solidFill>
          </w14:textFill>
        </w:rPr>
        <w:t>：</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统一社会信用代码：</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统一社会信用代码或身份证号码：</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住所：</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住所：</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法定代表人或</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法定代表人</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授权代表（签字）：</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或授权代表（签字）</w:t>
      </w:r>
      <w:r>
        <w:rPr>
          <w:rFonts w:ascii="宋体" w:hAnsi="宋体"/>
          <w:color w:val="000000" w:themeColor="text1"/>
          <w:szCs w:val="21"/>
          <w:lang w:val="zh-CN"/>
          <w14:textFill>
            <w14:solidFill>
              <w14:schemeClr w14:val="tx1"/>
            </w14:solidFill>
          </w14:textFill>
        </w:rPr>
        <w:t xml:space="preserve">: </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联系人：</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联系人：</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约定送达地址：</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约定送达地址：</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邮政编码：</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邮政编码：</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电话</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电话</w:t>
      </w:r>
      <w:r>
        <w:rPr>
          <w:rFonts w:ascii="宋体" w:hAnsi="宋体"/>
          <w:color w:val="000000" w:themeColor="text1"/>
          <w:szCs w:val="21"/>
          <w:lang w:val="zh-CN"/>
          <w14:textFill>
            <w14:solidFill>
              <w14:schemeClr w14:val="tx1"/>
            </w14:solidFill>
          </w14:textFill>
        </w:rPr>
        <w:t xml:space="preserve">: </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传真</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传真</w:t>
      </w:r>
      <w:r>
        <w:rPr>
          <w:rFonts w:ascii="宋体" w:hAnsi="宋体"/>
          <w:color w:val="000000" w:themeColor="text1"/>
          <w:szCs w:val="21"/>
          <w:lang w:val="zh-CN"/>
          <w14:textFill>
            <w14:solidFill>
              <w14:schemeClr w14:val="tx1"/>
            </w14:solidFill>
          </w14:textFill>
        </w:rPr>
        <w:t>:</w:t>
      </w:r>
    </w:p>
    <w:p>
      <w:pPr>
        <w:autoSpaceDE w:val="0"/>
        <w:autoSpaceDN w:val="0"/>
        <w:adjustRightInd w:val="0"/>
        <w:spacing w:line="5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电子邮箱：</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电子邮箱：</w:t>
      </w:r>
    </w:p>
    <w:p>
      <w:pPr>
        <w:autoSpaceDE w:val="0"/>
        <w:autoSpaceDN w:val="0"/>
        <w:adjustRightInd w:val="0"/>
        <w:spacing w:line="5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开户银行：</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开户银行：</w:t>
      </w:r>
      <w:r>
        <w:rPr>
          <w:rFonts w:ascii="宋体" w:hAnsi="宋体"/>
          <w:color w:val="000000" w:themeColor="text1"/>
          <w:szCs w:val="21"/>
          <w14:textFill>
            <w14:solidFill>
              <w14:schemeClr w14:val="tx1"/>
            </w14:solidFill>
          </w14:textFill>
        </w:rPr>
        <w:t xml:space="preserve"> </w:t>
      </w:r>
    </w:p>
    <w:p>
      <w:pPr>
        <w:autoSpaceDE w:val="0"/>
        <w:autoSpaceDN w:val="0"/>
        <w:adjustRightInd w:val="0"/>
        <w:spacing w:line="5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开户名称：</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开户名称：</w:t>
      </w:r>
      <w:r>
        <w:rPr>
          <w:rFonts w:ascii="宋体" w:hAnsi="宋体"/>
          <w:color w:val="000000" w:themeColor="text1"/>
          <w:szCs w:val="21"/>
          <w14:textFill>
            <w14:solidFill>
              <w14:schemeClr w14:val="tx1"/>
            </w14:solidFill>
          </w14:textFill>
        </w:rPr>
        <w:t xml:space="preserve"> </w:t>
      </w:r>
    </w:p>
    <w:p>
      <w:pPr>
        <w:autoSpaceDE w:val="0"/>
        <w:autoSpaceDN w:val="0"/>
        <w:adjustRightInd w:val="0"/>
        <w:spacing w:line="5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开户账号：</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开户账号：</w:t>
      </w:r>
    </w:p>
    <w:p>
      <w:pPr>
        <w:widowControl/>
        <w:spacing w:line="560" w:lineRule="exact"/>
        <w:jc w:val="left"/>
        <w:rPr>
          <w:rFonts w:ascii="宋体" w:hAnsi="宋体"/>
          <w:b/>
          <w:color w:val="000000" w:themeColor="text1"/>
          <w14:textFill>
            <w14:solidFill>
              <w14:schemeClr w14:val="tx1"/>
            </w14:solidFill>
          </w14:textFill>
        </w:rPr>
      </w:pPr>
      <w:bookmarkStart w:id="57" w:name="_Toc331685783"/>
    </w:p>
    <w:p>
      <w:pPr>
        <w:widowControl/>
        <w:spacing w:line="560" w:lineRule="exact"/>
        <w:jc w:val="left"/>
        <w:rPr>
          <w:rFonts w:ascii="宋体" w:hAnsi="宋体"/>
          <w:b/>
          <w:color w:val="000000" w:themeColor="text1"/>
          <w14:textFill>
            <w14:solidFill>
              <w14:schemeClr w14:val="tx1"/>
            </w14:solidFill>
          </w14:textFill>
        </w:rPr>
      </w:pPr>
    </w:p>
    <w:p>
      <w:pPr>
        <w:widowControl/>
        <w:spacing w:line="560" w:lineRule="exact"/>
        <w:jc w:val="left"/>
        <w:rPr>
          <w:rFonts w:ascii="宋体" w:hAnsi="宋体"/>
          <w:b/>
          <w:color w:val="000000" w:themeColor="text1"/>
          <w14:textFill>
            <w14:solidFill>
              <w14:schemeClr w14:val="tx1"/>
            </w14:solidFill>
          </w14:textFill>
        </w:rPr>
      </w:pPr>
    </w:p>
    <w:p>
      <w:pPr>
        <w:widowControl/>
        <w:spacing w:line="560" w:lineRule="exact"/>
        <w:jc w:val="left"/>
        <w:rPr>
          <w:rFonts w:ascii="宋体" w:hAnsi="宋体"/>
          <w:b/>
          <w:color w:val="000000" w:themeColor="text1"/>
          <w:kern w:val="0"/>
          <w:sz w:val="24"/>
          <w14:textFill>
            <w14:solidFill>
              <w14:schemeClr w14:val="tx1"/>
            </w14:solidFill>
          </w14:textFill>
        </w:rPr>
      </w:pPr>
    </w:p>
    <w:p>
      <w:pPr>
        <w:widowControl/>
        <w:spacing w:line="560" w:lineRule="exact"/>
        <w:jc w:val="left"/>
        <w:rPr>
          <w:rFonts w:ascii="宋体" w:hAnsi="宋体"/>
          <w:b/>
          <w:color w:val="000000" w:themeColor="text1"/>
          <w:kern w:val="0"/>
          <w:sz w:val="24"/>
          <w14:textFill>
            <w14:solidFill>
              <w14:schemeClr w14:val="tx1"/>
            </w14:solidFill>
          </w14:textFill>
        </w:rPr>
      </w:pPr>
    </w:p>
    <w:p>
      <w:pPr>
        <w:widowControl/>
        <w:spacing w:line="560" w:lineRule="exact"/>
        <w:jc w:val="left"/>
        <w:rPr>
          <w:rFonts w:ascii="宋体" w:hAnsi="宋体"/>
          <w:b/>
          <w:color w:val="000000" w:themeColor="text1"/>
          <w:kern w:val="0"/>
          <w:sz w:val="24"/>
          <w14:textFill>
            <w14:solidFill>
              <w14:schemeClr w14:val="tx1"/>
            </w14:solidFill>
          </w14:textFill>
        </w:rPr>
      </w:pPr>
    </w:p>
    <w:p>
      <w:pPr>
        <w:widowControl/>
        <w:spacing w:line="560" w:lineRule="exact"/>
        <w:jc w:val="left"/>
        <w:rPr>
          <w:rFonts w:ascii="宋体" w:hAnsi="宋体"/>
          <w:b/>
          <w:color w:val="000000" w:themeColor="text1"/>
          <w:kern w:val="0"/>
          <w:sz w:val="24"/>
          <w14:textFill>
            <w14:solidFill>
              <w14:schemeClr w14:val="tx1"/>
            </w14:solidFill>
          </w14:textFill>
        </w:rPr>
      </w:pPr>
    </w:p>
    <w:p>
      <w:pPr>
        <w:widowControl/>
        <w:spacing w:line="560" w:lineRule="exact"/>
        <w:jc w:val="left"/>
        <w:rPr>
          <w:rFonts w:ascii="宋体" w:hAnsi="宋体"/>
          <w:b/>
          <w:color w:val="000000" w:themeColor="text1"/>
          <w:kern w:val="0"/>
          <w:sz w:val="24"/>
          <w14:textFill>
            <w14:solidFill>
              <w14:schemeClr w14:val="tx1"/>
            </w14:solidFill>
          </w14:textFill>
        </w:rPr>
      </w:pPr>
    </w:p>
    <w:p>
      <w:pPr>
        <w:widowControl/>
        <w:spacing w:line="560" w:lineRule="exact"/>
        <w:jc w:val="left"/>
        <w:rPr>
          <w:rFonts w:ascii="宋体" w:hAnsi="宋体"/>
          <w:b/>
          <w:color w:val="000000" w:themeColor="text1"/>
          <w:kern w:val="0"/>
          <w:sz w:val="24"/>
          <w14:textFill>
            <w14:solidFill>
              <w14:schemeClr w14:val="tx1"/>
            </w14:solidFill>
          </w14:textFill>
        </w:rPr>
      </w:pPr>
    </w:p>
    <w:p>
      <w:pPr>
        <w:pStyle w:val="193"/>
        <w:spacing w:line="560" w:lineRule="exact"/>
        <w:ind w:firstLine="200"/>
        <w:jc w:val="center"/>
        <w:rPr>
          <w:rFonts w:hAnsi="宋体" w:eastAsia="宋体" w:cs="宋体"/>
          <w:b/>
          <w:color w:val="000000" w:themeColor="text1"/>
          <w:szCs w:val="24"/>
          <w14:textFill>
            <w14:solidFill>
              <w14:schemeClr w14:val="tx1"/>
            </w14:solidFill>
          </w14:textFill>
        </w:rPr>
      </w:pPr>
      <w:r>
        <w:rPr>
          <w:rFonts w:hint="eastAsia" w:hAnsi="宋体"/>
          <w:b/>
          <w:color w:val="000000" w:themeColor="text1"/>
          <w:szCs w:val="24"/>
          <w14:textFill>
            <w14:solidFill>
              <w14:schemeClr w14:val="tx1"/>
            </w14:solidFill>
          </w14:textFill>
        </w:rPr>
        <w:br w:type="page"/>
      </w:r>
      <w:r>
        <w:rPr>
          <w:rFonts w:hint="eastAsia" w:hAnsi="宋体" w:eastAsia="宋体" w:cs="宋体"/>
          <w:b/>
          <w:color w:val="000000" w:themeColor="text1"/>
          <w:szCs w:val="24"/>
          <w14:textFill>
            <w14:solidFill>
              <w14:schemeClr w14:val="tx1"/>
            </w14:solidFill>
          </w14:textFill>
        </w:rPr>
        <w:t>第二部分 合同一般条款</w:t>
      </w:r>
      <w:bookmarkEnd w:id="57"/>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58" w:name="_Ref467379205"/>
      <w:bookmarkStart w:id="59" w:name="_Toc16917"/>
      <w:bookmarkStart w:id="60" w:name="_Toc19614"/>
      <w:bookmarkStart w:id="61" w:name="_Toc279701240"/>
      <w:bookmarkStart w:id="62" w:name="_Ref467379195"/>
      <w:bookmarkStart w:id="63" w:name="_Ref467378404"/>
      <w:bookmarkStart w:id="64" w:name="_Toc487900349"/>
      <w:bookmarkStart w:id="65" w:name="_Toc259093669"/>
      <w:bookmarkStart w:id="66" w:name="_Ref467379109"/>
      <w:bookmarkStart w:id="67" w:name="_Ref467378463"/>
      <w:bookmarkStart w:id="68" w:name="_Ref467378499"/>
      <w:bookmarkStart w:id="69" w:name="_Ref467379225"/>
      <w:bookmarkStart w:id="70" w:name="_Toc28763"/>
      <w:bookmarkStart w:id="71" w:name="_Ref467379094"/>
      <w:bookmarkStart w:id="72" w:name="_Ref467379214"/>
      <w:bookmarkStart w:id="73" w:name="_Ref467379101"/>
      <w:r>
        <w:rPr>
          <w:rFonts w:ascii="宋体" w:hAnsi="宋体"/>
          <w:b/>
          <w:color w:val="000000" w:themeColor="text1"/>
          <w:szCs w:val="21"/>
          <w14:textFill>
            <w14:solidFill>
              <w14:schemeClr w14:val="tx1"/>
            </w14:solidFill>
          </w14:textFill>
        </w:rPr>
        <w:t xml:space="preserve">2.1 </w:t>
      </w:r>
      <w:r>
        <w:rPr>
          <w:rFonts w:hint="eastAsia" w:ascii="宋体" w:hAnsi="宋体"/>
          <w:b/>
          <w:color w:val="000000" w:themeColor="text1"/>
          <w:szCs w:val="21"/>
          <w14:textFill>
            <w14:solidFill>
              <w14:schemeClr w14:val="tx1"/>
            </w14:solidFill>
          </w14:textFill>
        </w:rPr>
        <w:t>定义</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本合同中的下列词语应按以下内容进行解释：</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2.1.1 </w:t>
      </w:r>
      <w:r>
        <w:rPr>
          <w:rFonts w:hint="eastAsia" w:ascii="宋体" w:hAnsi="宋体"/>
          <w:color w:val="000000" w:themeColor="text1"/>
          <w:szCs w:val="21"/>
          <w14:textFill>
            <w14:solidFill>
              <w14:schemeClr w14:val="tx1"/>
            </w14:solidFill>
          </w14:textFill>
        </w:rPr>
        <w:t>“合同”系指采购人和成交供应商签订的载明双方当事人所达成的协议，并包括所有的附件、附录和构成合同的其他文件。</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2.1.2 </w:t>
      </w:r>
      <w:r>
        <w:rPr>
          <w:rFonts w:hint="eastAsia" w:ascii="宋体" w:hAnsi="宋体"/>
          <w:color w:val="000000" w:themeColor="text1"/>
          <w:szCs w:val="21"/>
          <w14:textFill>
            <w14:solidFill>
              <w14:schemeClr w14:val="tx1"/>
            </w14:solidFill>
          </w14:textFill>
        </w:rPr>
        <w:t>“合同价”系指根据合同约定，成交供应商在完全履行合同义务后，采购人应支付给成交供应商的价格。</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2.1.3 </w:t>
      </w:r>
      <w:r>
        <w:rPr>
          <w:rFonts w:hint="eastAsia" w:ascii="宋体" w:hAnsi="宋体"/>
          <w:color w:val="000000" w:themeColor="text1"/>
          <w:szCs w:val="21"/>
          <w14:textFill>
            <w14:solidFill>
              <w14:schemeClr w14:val="tx1"/>
            </w14:solidFill>
          </w14:textFill>
        </w:rPr>
        <w:t>“货物”系指成交供应商根据合同约定应向采购人交付的一切各种形态和种类的物品，包括原材料、燃料、设备、机械、仪表、备件、计算机软件、产品等，并包括工具、手册等其他相关资料。</w:t>
      </w:r>
    </w:p>
    <w:p>
      <w:pPr>
        <w:spacing w:line="560" w:lineRule="exact"/>
        <w:ind w:firstLine="420" w:firstLineChars="200"/>
        <w:rPr>
          <w:rFonts w:ascii="宋体" w:hAnsi="宋体"/>
          <w:color w:val="000000" w:themeColor="text1"/>
          <w:szCs w:val="21"/>
          <w14:textFill>
            <w14:solidFill>
              <w14:schemeClr w14:val="tx1"/>
            </w14:solidFill>
          </w14:textFill>
        </w:rPr>
      </w:pPr>
      <w:bookmarkStart w:id="74" w:name="_Ref467378840"/>
      <w:r>
        <w:rPr>
          <w:rFonts w:ascii="宋体" w:hAnsi="宋体"/>
          <w:color w:val="000000" w:themeColor="text1"/>
          <w:szCs w:val="21"/>
          <w14:textFill>
            <w14:solidFill>
              <w14:schemeClr w14:val="tx1"/>
            </w14:solidFill>
          </w14:textFill>
        </w:rPr>
        <w:t xml:space="preserve">2.1.4 </w:t>
      </w:r>
      <w:r>
        <w:rPr>
          <w:rFonts w:hint="eastAsia" w:ascii="宋体" w:hAnsi="宋体"/>
          <w:color w:val="000000" w:themeColor="text1"/>
          <w:szCs w:val="21"/>
          <w14:textFill>
            <w14:solidFill>
              <w14:schemeClr w14:val="tx1"/>
            </w14:solidFill>
          </w14:textFill>
        </w:rPr>
        <w:t>“甲方”系指与成交供应商签署合同的采购人</w:t>
      </w:r>
      <w:bookmarkEnd w:id="74"/>
      <w:r>
        <w:rPr>
          <w:rFonts w:hint="eastAsia" w:ascii="宋体" w:hAnsi="宋体"/>
          <w:color w:val="000000" w:themeColor="text1"/>
          <w:szCs w:val="21"/>
          <w14:textFill>
            <w14:solidFill>
              <w14:schemeClr w14:val="tx1"/>
            </w14:solidFill>
          </w14:textFill>
        </w:rPr>
        <w:t>；采购人委托采购代理机构代表其与乙方签订合同的，采购人的授权委托书作为合同附件。</w:t>
      </w:r>
    </w:p>
    <w:p>
      <w:pPr>
        <w:spacing w:line="560" w:lineRule="exact"/>
        <w:ind w:firstLine="420" w:firstLineChars="200"/>
        <w:rPr>
          <w:rFonts w:ascii="宋体" w:hAnsi="宋体"/>
          <w:color w:val="000000" w:themeColor="text1"/>
          <w:szCs w:val="21"/>
          <w14:textFill>
            <w14:solidFill>
              <w14:schemeClr w14:val="tx1"/>
            </w14:solidFill>
          </w14:textFill>
        </w:rPr>
      </w:pPr>
      <w:bookmarkStart w:id="75" w:name="_Ref467379400"/>
      <w:r>
        <w:rPr>
          <w:rFonts w:ascii="宋体" w:hAnsi="宋体"/>
          <w:color w:val="000000" w:themeColor="text1"/>
          <w:szCs w:val="21"/>
          <w14:textFill>
            <w14:solidFill>
              <w14:schemeClr w14:val="tx1"/>
            </w14:solidFill>
          </w14:textFill>
        </w:rPr>
        <w:t xml:space="preserve">2.1.5 </w:t>
      </w:r>
      <w:r>
        <w:rPr>
          <w:rFonts w:hint="eastAsia" w:ascii="宋体" w:hAnsi="宋体"/>
          <w:color w:val="000000" w:themeColor="text1"/>
          <w:szCs w:val="21"/>
          <w14:textFill>
            <w14:solidFill>
              <w14:schemeClr w14:val="tx1"/>
            </w14:solidFill>
          </w14:textFill>
        </w:rPr>
        <w:t>“乙方”系指根据合同约定交付货物的成交供应商</w:t>
      </w:r>
      <w:bookmarkEnd w:id="75"/>
      <w:r>
        <w:rPr>
          <w:rFonts w:hint="eastAsia" w:ascii="宋体" w:hAnsi="宋体"/>
          <w:color w:val="000000" w:themeColor="text1"/>
          <w:szCs w:val="21"/>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20" w:firstLineChars="200"/>
        <w:rPr>
          <w:rFonts w:ascii="宋体" w:hAnsi="宋体"/>
          <w:color w:val="000000" w:themeColor="text1"/>
          <w:szCs w:val="21"/>
          <w14:textFill>
            <w14:solidFill>
              <w14:schemeClr w14:val="tx1"/>
            </w14:solidFill>
          </w14:textFill>
        </w:rPr>
      </w:pPr>
      <w:bookmarkStart w:id="76" w:name="_Ref467379436"/>
      <w:r>
        <w:rPr>
          <w:rFonts w:ascii="宋体" w:hAnsi="宋体"/>
          <w:color w:val="000000" w:themeColor="text1"/>
          <w:szCs w:val="21"/>
          <w14:textFill>
            <w14:solidFill>
              <w14:schemeClr w14:val="tx1"/>
            </w14:solidFill>
          </w14:textFill>
        </w:rPr>
        <w:t xml:space="preserve">2.1.6 </w:t>
      </w:r>
      <w:r>
        <w:rPr>
          <w:rFonts w:hint="eastAsia" w:ascii="宋体" w:hAnsi="宋体"/>
          <w:color w:val="000000" w:themeColor="text1"/>
          <w:szCs w:val="21"/>
          <w14:textFill>
            <w14:solidFill>
              <w14:schemeClr w14:val="tx1"/>
            </w14:solidFill>
          </w14:textFill>
        </w:rPr>
        <w:t>“现场”系指合同约定货物将要运至或者安装的地点。</w:t>
      </w:r>
      <w:bookmarkEnd w:id="76"/>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77" w:name="_Toc32504"/>
      <w:bookmarkStart w:id="78" w:name="_Toc487900350"/>
      <w:bookmarkStart w:id="79" w:name="_Toc259093670"/>
      <w:bookmarkStart w:id="80" w:name="_Toc13336"/>
      <w:bookmarkStart w:id="81" w:name="_Toc27635"/>
      <w:bookmarkStart w:id="82" w:name="_Toc279701241"/>
      <w:r>
        <w:rPr>
          <w:rFonts w:ascii="宋体" w:hAnsi="宋体"/>
          <w:b/>
          <w:color w:val="000000" w:themeColor="text1"/>
          <w:szCs w:val="21"/>
          <w14:textFill>
            <w14:solidFill>
              <w14:schemeClr w14:val="tx1"/>
            </w14:solidFill>
          </w14:textFill>
        </w:rPr>
        <w:t xml:space="preserve">2.2 </w:t>
      </w:r>
      <w:r>
        <w:rPr>
          <w:rFonts w:hint="eastAsia" w:ascii="宋体" w:hAnsi="宋体"/>
          <w:b/>
          <w:color w:val="000000" w:themeColor="text1"/>
          <w:szCs w:val="21"/>
          <w14:textFill>
            <w14:solidFill>
              <w14:schemeClr w14:val="tx1"/>
            </w14:solidFill>
          </w14:textFill>
        </w:rPr>
        <w:t>技术规范</w:t>
      </w:r>
      <w:bookmarkEnd w:id="77"/>
      <w:bookmarkEnd w:id="78"/>
      <w:bookmarkEnd w:id="79"/>
      <w:bookmarkEnd w:id="80"/>
      <w:bookmarkEnd w:id="81"/>
      <w:bookmarkEnd w:id="82"/>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货物所应遵守的技术规范应与采购文件规定的技术规范和技术规范附件</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如果有的话</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及其技术规范偏差表</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如果被甲方接受的话</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相一致；如果采购文件中没有技术规范的相应说明，那么应以国家有关部门最新颁布的相应标准和规范为准。</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83" w:name="_Toc487900351"/>
      <w:bookmarkStart w:id="84" w:name="_Toc259093671"/>
      <w:bookmarkStart w:id="85" w:name="_Toc279701242"/>
      <w:bookmarkStart w:id="86" w:name="_Toc9829"/>
      <w:bookmarkStart w:id="87" w:name="_Toc31634"/>
      <w:bookmarkStart w:id="88" w:name="_Toc27853"/>
      <w:r>
        <w:rPr>
          <w:rFonts w:ascii="宋体" w:hAnsi="宋体"/>
          <w:b/>
          <w:color w:val="000000" w:themeColor="text1"/>
          <w:szCs w:val="21"/>
          <w14:textFill>
            <w14:solidFill>
              <w14:schemeClr w14:val="tx1"/>
            </w14:solidFill>
          </w14:textFill>
        </w:rPr>
        <w:t xml:space="preserve">2.3 </w:t>
      </w:r>
      <w:r>
        <w:rPr>
          <w:rFonts w:hint="eastAsia" w:ascii="宋体" w:hAnsi="宋体"/>
          <w:b/>
          <w:color w:val="000000" w:themeColor="text1"/>
          <w:szCs w:val="21"/>
          <w14:textFill>
            <w14:solidFill>
              <w14:schemeClr w14:val="tx1"/>
            </w14:solidFill>
          </w14:textFill>
        </w:rPr>
        <w:t>知识产权</w:t>
      </w:r>
      <w:bookmarkEnd w:id="83"/>
      <w:bookmarkEnd w:id="84"/>
      <w:bookmarkEnd w:id="85"/>
      <w:bookmarkEnd w:id="86"/>
      <w:bookmarkEnd w:id="87"/>
      <w:bookmarkEnd w:id="88"/>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2.3.1 </w:t>
      </w:r>
      <w:r>
        <w:rPr>
          <w:rFonts w:hint="eastAsia" w:ascii="宋体" w:hAnsi="宋体"/>
          <w:color w:val="000000" w:themeColor="text1"/>
          <w:szCs w:val="21"/>
          <w14:textFill>
            <w14:solidFill>
              <w14:schemeClr w14:val="tx1"/>
            </w14:solidFill>
          </w14:textFill>
        </w:rPr>
        <w:t>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2.3.2</w:t>
      </w:r>
      <w:r>
        <w:rPr>
          <w:rFonts w:hint="eastAsia" w:ascii="宋体" w:hAnsi="宋体"/>
          <w:color w:val="000000" w:themeColor="text1"/>
          <w:szCs w:val="21"/>
          <w14:textFill>
            <w14:solidFill>
              <w14:schemeClr w14:val="tx1"/>
            </w14:solidFill>
          </w14:textFill>
        </w:rPr>
        <w:t>具有知识产权的计算机软件等货物的知识产权归属，详见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89" w:name="_Toc4194"/>
      <w:bookmarkStart w:id="90" w:name="_Toc11932"/>
      <w:bookmarkStart w:id="91" w:name="_Toc29149"/>
      <w:r>
        <w:rPr>
          <w:rFonts w:ascii="宋体" w:hAnsi="宋体"/>
          <w:b/>
          <w:color w:val="000000" w:themeColor="text1"/>
          <w:szCs w:val="21"/>
          <w14:textFill>
            <w14:solidFill>
              <w14:schemeClr w14:val="tx1"/>
            </w14:solidFill>
          </w14:textFill>
        </w:rPr>
        <w:t xml:space="preserve">2.4 </w:t>
      </w:r>
      <w:r>
        <w:rPr>
          <w:rFonts w:hint="eastAsia" w:ascii="宋体" w:hAnsi="宋体"/>
          <w:b/>
          <w:color w:val="000000" w:themeColor="text1"/>
          <w:szCs w:val="21"/>
          <w14:textFill>
            <w14:solidFill>
              <w14:schemeClr w14:val="tx1"/>
            </w14:solidFill>
          </w14:textFill>
        </w:rPr>
        <w:t>包装和装运</w:t>
      </w:r>
      <w:bookmarkEnd w:id="89"/>
      <w:bookmarkEnd w:id="90"/>
      <w:bookmarkEnd w:id="91"/>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2.4.1</w:t>
      </w:r>
      <w:r>
        <w:rPr>
          <w:rFonts w:hint="eastAsia" w:ascii="宋体" w:hAnsi="宋体"/>
          <w:color w:val="000000" w:themeColor="text1"/>
          <w:szCs w:val="21"/>
          <w14:textFill>
            <w14:solidFill>
              <w14:schemeClr w14:val="tx1"/>
            </w14:solidFill>
          </w14:textFill>
        </w:rPr>
        <w:t>除</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另有约定外</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乙方交付的全部货物</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2.4.2 </w:t>
      </w:r>
      <w:r>
        <w:rPr>
          <w:rFonts w:hint="eastAsia" w:ascii="宋体" w:hAnsi="宋体"/>
          <w:color w:val="000000" w:themeColor="text1"/>
          <w:szCs w:val="21"/>
          <w14:textFill>
            <w14:solidFill>
              <w14:schemeClr w14:val="tx1"/>
            </w14:solidFill>
          </w14:textFill>
        </w:rPr>
        <w:t>装运货物的要求和通知，详见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92" w:name="_Toc487900354"/>
      <w:bookmarkStart w:id="93" w:name="_Toc279701245"/>
      <w:bookmarkStart w:id="94" w:name="_Ref467378541"/>
      <w:bookmarkStart w:id="95" w:name="_Toc259093674"/>
      <w:bookmarkStart w:id="96" w:name="_Ref467378591"/>
      <w:bookmarkStart w:id="97" w:name="_Ref467379536"/>
      <w:bookmarkStart w:id="98" w:name="_Ref467379542"/>
      <w:bookmarkStart w:id="99" w:name="_Ref467379527"/>
      <w:bookmarkStart w:id="100" w:name="_Toc30272"/>
      <w:bookmarkStart w:id="101" w:name="_Toc19074"/>
      <w:bookmarkStart w:id="102" w:name="_Toc26182"/>
      <w:r>
        <w:rPr>
          <w:rFonts w:ascii="宋体" w:hAnsi="宋体"/>
          <w:b/>
          <w:color w:val="000000" w:themeColor="text1"/>
          <w:szCs w:val="21"/>
          <w14:textFill>
            <w14:solidFill>
              <w14:schemeClr w14:val="tx1"/>
            </w14:solidFill>
          </w14:textFill>
        </w:rPr>
        <w:t>2.</w:t>
      </w:r>
      <w:bookmarkEnd w:id="92"/>
      <w:bookmarkEnd w:id="93"/>
      <w:bookmarkEnd w:id="94"/>
      <w:bookmarkEnd w:id="95"/>
      <w:bookmarkEnd w:id="96"/>
      <w:bookmarkEnd w:id="97"/>
      <w:bookmarkEnd w:id="98"/>
      <w:bookmarkEnd w:id="99"/>
      <w:r>
        <w:rPr>
          <w:rFonts w:ascii="宋体" w:hAnsi="宋体"/>
          <w:b/>
          <w:color w:val="000000" w:themeColor="text1"/>
          <w:szCs w:val="21"/>
          <w14:textFill>
            <w14:solidFill>
              <w14:schemeClr w14:val="tx1"/>
            </w14:solidFill>
          </w14:textFill>
        </w:rPr>
        <w:t xml:space="preserve">5 </w:t>
      </w:r>
      <w:r>
        <w:rPr>
          <w:rFonts w:hint="eastAsia" w:ascii="宋体" w:hAnsi="宋体"/>
          <w:b/>
          <w:color w:val="000000" w:themeColor="text1"/>
          <w:szCs w:val="21"/>
          <w14:textFill>
            <w14:solidFill>
              <w14:schemeClr w14:val="tx1"/>
            </w14:solidFill>
          </w14:textFill>
        </w:rPr>
        <w:t>履约检查和问题反馈</w:t>
      </w:r>
      <w:bookmarkEnd w:id="100"/>
      <w:bookmarkEnd w:id="101"/>
      <w:bookmarkEnd w:id="102"/>
    </w:p>
    <w:p>
      <w:pPr>
        <w:spacing w:line="560" w:lineRule="exact"/>
        <w:ind w:firstLine="420" w:firstLineChars="200"/>
        <w:rPr>
          <w:rFonts w:ascii="宋体" w:hAnsi="宋体"/>
          <w:color w:val="000000" w:themeColor="text1"/>
          <w:szCs w:val="21"/>
          <w14:textFill>
            <w14:solidFill>
              <w14:schemeClr w14:val="tx1"/>
            </w14:solidFill>
          </w14:textFill>
        </w:rPr>
      </w:pPr>
      <w:bookmarkStart w:id="103" w:name="_Ref467379657"/>
      <w:r>
        <w:rPr>
          <w:rFonts w:ascii="宋体" w:hAnsi="宋体"/>
          <w:color w:val="000000" w:themeColor="text1"/>
          <w:szCs w:val="21"/>
          <w14:textFill>
            <w14:solidFill>
              <w14:schemeClr w14:val="tx1"/>
            </w14:solidFill>
          </w14:textFill>
        </w:rPr>
        <w:t>2.5.1</w:t>
      </w:r>
      <w:bookmarkEnd w:id="103"/>
      <w:bookmarkStart w:id="104" w:name="_Toc186431854"/>
      <w:bookmarkStart w:id="105" w:name="_Toc259093676"/>
      <w:bookmarkStart w:id="106" w:name="_Ref467379807"/>
      <w:bookmarkStart w:id="107" w:name="_Toc487900357"/>
      <w:bookmarkStart w:id="108" w:name="_Toc279701247"/>
      <w:bookmarkStart w:id="109" w:name="_Ref467379793"/>
      <w:r>
        <w:rPr>
          <w:rFonts w:hint="eastAsia" w:ascii="宋体" w:hAnsi="宋体"/>
          <w:color w:val="000000" w:themeColor="text1"/>
          <w:szCs w:val="21"/>
          <w14:textFill>
            <w14:solidFill>
              <w14:schemeClr w14:val="tx1"/>
            </w14:solidFill>
          </w14:textFill>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2.5.2 </w:t>
      </w:r>
      <w:r>
        <w:rPr>
          <w:rFonts w:hint="eastAsia" w:ascii="宋体" w:hAnsi="宋体"/>
          <w:color w:val="000000" w:themeColor="text1"/>
          <w:szCs w:val="21"/>
          <w14:textFill>
            <w14:solidFill>
              <w14:schemeClr w14:val="tx1"/>
            </w14:solidFill>
          </w14:textFill>
        </w:rPr>
        <w:t>合同履行期间，甲方有权将履行过程中出现的问题反馈给乙方，双方当事人应以书面形式约定需要完善和改进的内容</w:t>
      </w:r>
      <w:bookmarkEnd w:id="104"/>
      <w:bookmarkStart w:id="110" w:name="_Toc186431855"/>
      <w:r>
        <w:rPr>
          <w:rFonts w:hint="eastAsia" w:ascii="宋体" w:hAnsi="宋体"/>
          <w:color w:val="000000" w:themeColor="text1"/>
          <w:szCs w:val="21"/>
          <w14:textFill>
            <w14:solidFill>
              <w14:schemeClr w14:val="tx1"/>
            </w14:solidFill>
          </w14:textFill>
        </w:rPr>
        <w:t>。</w:t>
      </w:r>
    </w:p>
    <w:bookmarkEnd w:id="110"/>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11" w:name="_Toc7836"/>
      <w:bookmarkStart w:id="112" w:name="_Toc19219"/>
      <w:bookmarkStart w:id="113" w:name="_Toc28451"/>
      <w:r>
        <w:rPr>
          <w:rFonts w:ascii="宋体" w:hAnsi="宋体"/>
          <w:b/>
          <w:color w:val="000000" w:themeColor="text1"/>
          <w:szCs w:val="21"/>
          <w14:textFill>
            <w14:solidFill>
              <w14:schemeClr w14:val="tx1"/>
            </w14:solidFill>
          </w14:textFill>
        </w:rPr>
        <w:t xml:space="preserve">2.6 </w:t>
      </w:r>
      <w:r>
        <w:rPr>
          <w:rFonts w:hint="eastAsia" w:ascii="宋体" w:hAnsi="宋体"/>
          <w:b/>
          <w:color w:val="000000" w:themeColor="text1"/>
          <w:szCs w:val="21"/>
          <w14:textFill>
            <w14:solidFill>
              <w14:schemeClr w14:val="tx1"/>
            </w14:solidFill>
          </w14:textFill>
        </w:rPr>
        <w:t>结算方式和付款条件</w:t>
      </w:r>
      <w:bookmarkEnd w:id="105"/>
      <w:bookmarkEnd w:id="106"/>
      <w:bookmarkEnd w:id="107"/>
      <w:bookmarkEnd w:id="108"/>
      <w:bookmarkEnd w:id="109"/>
      <w:bookmarkEnd w:id="111"/>
      <w:bookmarkEnd w:id="112"/>
      <w:bookmarkEnd w:id="113"/>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14" w:name="_Toc259093677"/>
      <w:bookmarkStart w:id="115" w:name="_Ref467379923"/>
      <w:bookmarkStart w:id="116" w:name="_Ref467379852"/>
      <w:bookmarkStart w:id="117" w:name="_Toc487900358"/>
      <w:bookmarkStart w:id="118" w:name="_Toc279701248"/>
      <w:bookmarkStart w:id="119" w:name="_Ref467379863"/>
      <w:bookmarkStart w:id="120" w:name="_Toc774"/>
      <w:bookmarkStart w:id="121" w:name="_Toc3225"/>
      <w:bookmarkStart w:id="122" w:name="_Toc16110"/>
      <w:r>
        <w:rPr>
          <w:rFonts w:ascii="宋体" w:hAnsi="宋体"/>
          <w:b/>
          <w:color w:val="000000" w:themeColor="text1"/>
          <w:szCs w:val="21"/>
          <w14:textFill>
            <w14:solidFill>
              <w14:schemeClr w14:val="tx1"/>
            </w14:solidFill>
          </w14:textFill>
        </w:rPr>
        <w:t xml:space="preserve">2.7 </w:t>
      </w:r>
      <w:r>
        <w:rPr>
          <w:rFonts w:hint="eastAsia" w:ascii="宋体" w:hAnsi="宋体"/>
          <w:b/>
          <w:color w:val="000000" w:themeColor="text1"/>
          <w:szCs w:val="21"/>
          <w14:textFill>
            <w14:solidFill>
              <w14:schemeClr w14:val="tx1"/>
            </w14:solidFill>
          </w14:textFill>
        </w:rPr>
        <w:t>技术资料</w:t>
      </w:r>
      <w:bookmarkEnd w:id="114"/>
      <w:bookmarkEnd w:id="115"/>
      <w:bookmarkEnd w:id="116"/>
      <w:bookmarkEnd w:id="117"/>
      <w:bookmarkEnd w:id="118"/>
      <w:bookmarkEnd w:id="119"/>
      <w:r>
        <w:rPr>
          <w:rFonts w:hint="eastAsia" w:ascii="宋体" w:hAnsi="宋体"/>
          <w:b/>
          <w:color w:val="000000" w:themeColor="text1"/>
          <w:szCs w:val="21"/>
          <w14:textFill>
            <w14:solidFill>
              <w14:schemeClr w14:val="tx1"/>
            </w14:solidFill>
          </w14:textFill>
        </w:rPr>
        <w:t>和保密义务</w:t>
      </w:r>
      <w:bookmarkEnd w:id="120"/>
      <w:bookmarkEnd w:id="121"/>
      <w:bookmarkEnd w:id="122"/>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2.7.1 </w:t>
      </w:r>
      <w:r>
        <w:rPr>
          <w:rFonts w:hint="eastAsia" w:ascii="宋体" w:hAnsi="宋体"/>
          <w:color w:val="000000" w:themeColor="text1"/>
          <w:szCs w:val="21"/>
          <w14:textFill>
            <w14:solidFill>
              <w14:schemeClr w14:val="tx1"/>
            </w14:solidFill>
          </w14:textFill>
        </w:rPr>
        <w:t>乙方有权依据合同约定和项目需要，向甲方了解有关情况，调阅有关资料等，甲方应予积极配合；</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2.7.2 </w:t>
      </w:r>
      <w:r>
        <w:rPr>
          <w:rFonts w:hint="eastAsia" w:ascii="宋体" w:hAnsi="宋体"/>
          <w:color w:val="000000" w:themeColor="text1"/>
          <w:szCs w:val="21"/>
          <w14:textFill>
            <w14:solidFill>
              <w14:schemeClr w14:val="tx1"/>
            </w14:solidFill>
          </w14:textFill>
        </w:rPr>
        <w:t>乙方有义务妥善保管和保护由甲方提供的前款信息和资料等；</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2.7.3 </w:t>
      </w:r>
      <w:r>
        <w:rPr>
          <w:rFonts w:hint="eastAsia" w:ascii="宋体" w:hAnsi="宋体"/>
          <w:color w:val="000000" w:themeColor="text1"/>
          <w:szCs w:val="21"/>
          <w14:textFill>
            <w14:solidFill>
              <w14:schemeClr w14:val="tx1"/>
            </w14:solidFill>
          </w14:textFill>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23" w:name="_Toc7860"/>
      <w:r>
        <w:rPr>
          <w:rFonts w:ascii="宋体" w:hAnsi="宋体"/>
          <w:b/>
          <w:color w:val="000000" w:themeColor="text1"/>
          <w:szCs w:val="21"/>
          <w14:textFill>
            <w14:solidFill>
              <w14:schemeClr w14:val="tx1"/>
            </w14:solidFill>
          </w14:textFill>
        </w:rPr>
        <w:t xml:space="preserve">2.8 </w:t>
      </w:r>
      <w:r>
        <w:rPr>
          <w:rFonts w:hint="eastAsia" w:ascii="宋体" w:hAnsi="宋体"/>
          <w:b/>
          <w:color w:val="000000" w:themeColor="text1"/>
          <w:szCs w:val="21"/>
          <w14:textFill>
            <w14:solidFill>
              <w14:schemeClr w14:val="tx1"/>
            </w14:solidFill>
          </w14:textFill>
        </w:rPr>
        <w:t>质量保证</w:t>
      </w:r>
      <w:bookmarkEnd w:id="123"/>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2.8.1 </w:t>
      </w:r>
      <w:r>
        <w:rPr>
          <w:rFonts w:hint="eastAsia" w:ascii="宋体" w:hAnsi="宋体"/>
          <w:color w:val="000000" w:themeColor="text1"/>
          <w:szCs w:val="21"/>
          <w14:textFill>
            <w14:solidFill>
              <w14:schemeClr w14:val="tx1"/>
            </w14:solidFill>
          </w14:textFill>
        </w:rPr>
        <w:t>乙方应建立和完善履行合同的内部质量保证体系，并提供相关内部规章制度给甲方，以便甲方进行监督检查；</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2.8.2 </w:t>
      </w:r>
      <w:r>
        <w:rPr>
          <w:rFonts w:hint="eastAsia" w:ascii="宋体" w:hAnsi="宋体"/>
          <w:color w:val="000000" w:themeColor="text1"/>
          <w:szCs w:val="21"/>
          <w14:textFill>
            <w14:solidFill>
              <w14:schemeClr w14:val="tx1"/>
            </w14:solidFill>
          </w14:textFill>
        </w:rPr>
        <w:t>乙方应保证履行合同的人员数量和素质、软件和硬件设备的配置、场地、环境和设施等满足全面履行合同的要求，并应接受甲方的监督检查。</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24" w:name="_Toc17244"/>
      <w:bookmarkStart w:id="125" w:name="_Toc487900362"/>
      <w:bookmarkStart w:id="126" w:name="_Toc259093681"/>
      <w:bookmarkStart w:id="127" w:name="_Toc279701252"/>
      <w:r>
        <w:rPr>
          <w:rFonts w:ascii="宋体" w:hAnsi="宋体"/>
          <w:b/>
          <w:color w:val="000000" w:themeColor="text1"/>
          <w:szCs w:val="21"/>
          <w14:textFill>
            <w14:solidFill>
              <w14:schemeClr w14:val="tx1"/>
            </w14:solidFill>
          </w14:textFill>
        </w:rPr>
        <w:t xml:space="preserve">2.9 </w:t>
      </w:r>
      <w:r>
        <w:rPr>
          <w:rFonts w:hint="eastAsia" w:ascii="宋体" w:hAnsi="宋体"/>
          <w:b/>
          <w:color w:val="000000" w:themeColor="text1"/>
          <w:szCs w:val="21"/>
          <w14:textFill>
            <w14:solidFill>
              <w14:schemeClr w14:val="tx1"/>
            </w14:solidFill>
          </w14:textFill>
        </w:rPr>
        <w:t>货物的风险负担</w:t>
      </w:r>
      <w:bookmarkEnd w:id="124"/>
    </w:p>
    <w:p>
      <w:pPr>
        <w:spacing w:line="560" w:lineRule="exact"/>
        <w:ind w:firstLine="420" w:firstLineChars="20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货物或者在途货物或者交付给第一承运人后的货物毁损、灭失的风险负担详见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28" w:name="_Toc14055"/>
      <w:r>
        <w:rPr>
          <w:rFonts w:ascii="宋体" w:hAnsi="宋体"/>
          <w:b/>
          <w:color w:val="000000" w:themeColor="text1"/>
          <w:szCs w:val="21"/>
          <w14:textFill>
            <w14:solidFill>
              <w14:schemeClr w14:val="tx1"/>
            </w14:solidFill>
          </w14:textFill>
        </w:rPr>
        <w:t xml:space="preserve">2.10 </w:t>
      </w:r>
      <w:r>
        <w:rPr>
          <w:rFonts w:hint="eastAsia" w:ascii="宋体" w:hAnsi="宋体"/>
          <w:b/>
          <w:color w:val="000000" w:themeColor="text1"/>
          <w:szCs w:val="21"/>
          <w14:textFill>
            <w14:solidFill>
              <w14:schemeClr w14:val="tx1"/>
            </w14:solidFill>
          </w14:textFill>
        </w:rPr>
        <w:t>延迟交货</w:t>
      </w:r>
      <w:bookmarkEnd w:id="125"/>
      <w:bookmarkEnd w:id="126"/>
      <w:bookmarkEnd w:id="127"/>
      <w:bookmarkEnd w:id="128"/>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29" w:name="_Toc7502"/>
      <w:bookmarkStart w:id="130" w:name="_Toc487900364"/>
      <w:bookmarkStart w:id="131" w:name="_Toc279701254"/>
      <w:bookmarkStart w:id="132" w:name="_Toc259093683"/>
      <w:bookmarkStart w:id="133" w:name="_Ref467378121"/>
      <w:r>
        <w:rPr>
          <w:rFonts w:ascii="宋体" w:hAnsi="宋体"/>
          <w:b/>
          <w:color w:val="000000" w:themeColor="text1"/>
          <w:szCs w:val="21"/>
          <w14:textFill>
            <w14:solidFill>
              <w14:schemeClr w14:val="tx1"/>
            </w14:solidFill>
          </w14:textFill>
        </w:rPr>
        <w:t xml:space="preserve">2.11 </w:t>
      </w:r>
      <w:r>
        <w:rPr>
          <w:rFonts w:hint="eastAsia" w:ascii="宋体" w:hAnsi="宋体"/>
          <w:b/>
          <w:color w:val="000000" w:themeColor="text1"/>
          <w:szCs w:val="21"/>
          <w14:textFill>
            <w14:solidFill>
              <w14:schemeClr w14:val="tx1"/>
            </w14:solidFill>
          </w14:textFill>
        </w:rPr>
        <w:t>合同变更</w:t>
      </w:r>
      <w:bookmarkEnd w:id="129"/>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2.11.1</w:t>
      </w:r>
      <w:r>
        <w:rPr>
          <w:rFonts w:hint="eastAsia" w:ascii="宋体" w:hAnsi="宋体"/>
          <w:color w:val="000000" w:themeColor="text1"/>
          <w:szCs w:val="21"/>
          <w14:textFill>
            <w14:solidFill>
              <w14:schemeClr w14:val="tx1"/>
            </w14:solidFill>
          </w14:textFill>
        </w:rPr>
        <w:t>双方当事人协商一致，可以签订书面补充合同的形式变更合同，但不得违背采购文件确定的事项，且如果系追加与合同标的相同的货物的，那么所有补充合同的采购金额不得超过原合同价的</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2.11.2 </w:t>
      </w:r>
      <w:r>
        <w:rPr>
          <w:rFonts w:hint="eastAsia" w:ascii="宋体" w:hAnsi="宋体"/>
          <w:color w:val="000000" w:themeColor="text1"/>
          <w:szCs w:val="21"/>
          <w14:textFill>
            <w14:solidFill>
              <w14:schemeClr w14:val="tx1"/>
            </w14:solidFill>
          </w14:textFill>
        </w:rPr>
        <w:t>合同继续履行将损害国家利益和社会公共利益的，双方当事人应当以书面形式变更合同。有过错的一方应当承担赔偿责任，双方当事人都有过错的，各自承担相应的责任。</w:t>
      </w:r>
      <w:bookmarkStart w:id="134" w:name="_Toc279701259"/>
      <w:bookmarkStart w:id="135" w:name="_Toc487900369"/>
      <w:bookmarkStart w:id="136" w:name="_Toc259093688"/>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37" w:name="_Toc22955"/>
      <w:bookmarkStart w:id="138" w:name="_Toc15237"/>
      <w:bookmarkStart w:id="139" w:name="_Toc10366"/>
      <w:r>
        <w:rPr>
          <w:rFonts w:ascii="宋体" w:hAnsi="宋体"/>
          <w:b/>
          <w:color w:val="000000" w:themeColor="text1"/>
          <w:szCs w:val="21"/>
          <w14:textFill>
            <w14:solidFill>
              <w14:schemeClr w14:val="tx1"/>
            </w14:solidFill>
          </w14:textFill>
        </w:rPr>
        <w:t xml:space="preserve">2.12 </w:t>
      </w:r>
      <w:r>
        <w:rPr>
          <w:rFonts w:hint="eastAsia" w:ascii="宋体" w:hAnsi="宋体"/>
          <w:b/>
          <w:color w:val="000000" w:themeColor="text1"/>
          <w:szCs w:val="21"/>
          <w14:textFill>
            <w14:solidFill>
              <w14:schemeClr w14:val="tx1"/>
            </w14:solidFill>
          </w14:textFill>
        </w:rPr>
        <w:t>合同转让</w:t>
      </w:r>
      <w:bookmarkEnd w:id="134"/>
      <w:bookmarkEnd w:id="135"/>
      <w:bookmarkEnd w:id="136"/>
      <w:r>
        <w:rPr>
          <w:rFonts w:hint="eastAsia" w:ascii="宋体" w:hAnsi="宋体"/>
          <w:b/>
          <w:color w:val="000000" w:themeColor="text1"/>
          <w:szCs w:val="21"/>
          <w14:textFill>
            <w14:solidFill>
              <w14:schemeClr w14:val="tx1"/>
            </w14:solidFill>
          </w14:textFill>
        </w:rPr>
        <w:t>和分包</w:t>
      </w:r>
      <w:bookmarkEnd w:id="137"/>
      <w:bookmarkEnd w:id="138"/>
      <w:bookmarkEnd w:id="139"/>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40" w:name="_Toc14066"/>
      <w:bookmarkStart w:id="141" w:name="_Toc13566"/>
      <w:bookmarkStart w:id="142" w:name="_Toc16508"/>
      <w:r>
        <w:rPr>
          <w:rFonts w:ascii="宋体" w:hAnsi="宋体"/>
          <w:b/>
          <w:color w:val="000000" w:themeColor="text1"/>
          <w:szCs w:val="21"/>
          <w14:textFill>
            <w14:solidFill>
              <w14:schemeClr w14:val="tx1"/>
            </w14:solidFill>
          </w14:textFill>
        </w:rPr>
        <w:t xml:space="preserve">2.13 </w:t>
      </w:r>
      <w:r>
        <w:rPr>
          <w:rFonts w:hint="eastAsia" w:ascii="宋体" w:hAnsi="宋体"/>
          <w:b/>
          <w:color w:val="000000" w:themeColor="text1"/>
          <w:szCs w:val="21"/>
          <w14:textFill>
            <w14:solidFill>
              <w14:schemeClr w14:val="tx1"/>
            </w14:solidFill>
          </w14:textFill>
        </w:rPr>
        <w:t>不可抗力</w:t>
      </w:r>
      <w:bookmarkEnd w:id="140"/>
      <w:bookmarkEnd w:id="141"/>
      <w:bookmarkEnd w:id="142"/>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2.13.1</w:t>
      </w:r>
      <w:r>
        <w:rPr>
          <w:rFonts w:hint="eastAsia" w:ascii="宋体" w:hAnsi="宋体"/>
          <w:color w:val="000000" w:themeColor="text1"/>
          <w:szCs w:val="21"/>
          <w14:textFill>
            <w14:solidFill>
              <w14:schemeClr w14:val="tx1"/>
            </w14:solidFill>
          </w14:textFill>
        </w:rPr>
        <w:t>如果任何一方遭遇法律规定的不可抗力，致使合同履行受阻时，履行合同的期限应予延长，延长的期限应相当于不可抗力所影响的时间；</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2.13.2 </w:t>
      </w:r>
      <w:r>
        <w:rPr>
          <w:rFonts w:hint="eastAsia" w:ascii="宋体" w:hAnsi="宋体"/>
          <w:color w:val="000000" w:themeColor="text1"/>
          <w:szCs w:val="21"/>
          <w14:textFill>
            <w14:solidFill>
              <w14:schemeClr w14:val="tx1"/>
            </w14:solidFill>
          </w14:textFill>
        </w:rPr>
        <w:t>因不可抗力致使不能实现合同目的的，当事人可以解除合同；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2.13.3 </w:t>
      </w:r>
      <w:r>
        <w:rPr>
          <w:rFonts w:hint="eastAsia" w:ascii="宋体" w:hAnsi="宋体"/>
          <w:color w:val="000000" w:themeColor="text1"/>
          <w:szCs w:val="21"/>
          <w14:textFill>
            <w14:solidFill>
              <w14:schemeClr w14:val="tx1"/>
            </w14:solidFill>
          </w14:textFill>
        </w:rPr>
        <w:t>因不可抗力致使合同有变更必要的，双方当事人应在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约定时间内以书面形式变更合同；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2.13.4</w:t>
      </w:r>
      <w:r>
        <w:rPr>
          <w:rFonts w:hint="eastAsia" w:ascii="宋体" w:hAnsi="宋体"/>
          <w:color w:val="000000" w:themeColor="text1"/>
          <w:szCs w:val="21"/>
          <w14:textFill>
            <w14:solidFill>
              <w14:schemeClr w14:val="tx1"/>
            </w14:solidFill>
          </w14:textFill>
        </w:rPr>
        <w:t>受不可抗力影响的一方在不可抗力发生后，应在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约定时间内以书面形式通知对方当事人，并在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约定时间内，将有关部门出具的证明文件送达对方当事人。</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43" w:name="_Toc30676"/>
      <w:bookmarkStart w:id="144" w:name="_Toc6969"/>
      <w:bookmarkStart w:id="145" w:name="_Toc689"/>
      <w:bookmarkStart w:id="146" w:name="_Toc259093684"/>
      <w:bookmarkStart w:id="147" w:name="_Toc487900365"/>
      <w:bookmarkStart w:id="148" w:name="_Toc279701255"/>
      <w:r>
        <w:rPr>
          <w:rFonts w:ascii="宋体" w:hAnsi="宋体"/>
          <w:b/>
          <w:color w:val="000000" w:themeColor="text1"/>
          <w:szCs w:val="21"/>
          <w14:textFill>
            <w14:solidFill>
              <w14:schemeClr w14:val="tx1"/>
            </w14:solidFill>
          </w14:textFill>
        </w:rPr>
        <w:t xml:space="preserve">2.14 </w:t>
      </w:r>
      <w:r>
        <w:rPr>
          <w:rFonts w:hint="eastAsia" w:ascii="宋体" w:hAnsi="宋体"/>
          <w:b/>
          <w:color w:val="000000" w:themeColor="text1"/>
          <w:szCs w:val="21"/>
          <w14:textFill>
            <w14:solidFill>
              <w14:schemeClr w14:val="tx1"/>
            </w14:solidFill>
          </w14:textFill>
        </w:rPr>
        <w:t>税费</w:t>
      </w:r>
      <w:bookmarkEnd w:id="143"/>
      <w:bookmarkEnd w:id="144"/>
      <w:bookmarkEnd w:id="145"/>
      <w:bookmarkEnd w:id="146"/>
      <w:bookmarkEnd w:id="147"/>
      <w:bookmarkEnd w:id="148"/>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与合同有关的一切税费，均按照中华人民共和国法律的相关规定。</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49" w:name="_Toc16959"/>
      <w:bookmarkStart w:id="150" w:name="_Toc259093687"/>
      <w:bookmarkStart w:id="151" w:name="_Toc7102"/>
      <w:bookmarkStart w:id="152" w:name="_Toc8298"/>
      <w:bookmarkStart w:id="153" w:name="_Toc279701258"/>
      <w:bookmarkStart w:id="154" w:name="_Toc487900368"/>
      <w:r>
        <w:rPr>
          <w:rFonts w:ascii="宋体" w:hAnsi="宋体"/>
          <w:b/>
          <w:color w:val="000000" w:themeColor="text1"/>
          <w:szCs w:val="21"/>
          <w14:textFill>
            <w14:solidFill>
              <w14:schemeClr w14:val="tx1"/>
            </w14:solidFill>
          </w14:textFill>
        </w:rPr>
        <w:t xml:space="preserve">2.15 </w:t>
      </w:r>
      <w:r>
        <w:rPr>
          <w:rFonts w:hint="eastAsia" w:ascii="宋体" w:hAnsi="宋体"/>
          <w:b/>
          <w:color w:val="000000" w:themeColor="text1"/>
          <w:szCs w:val="21"/>
          <w14:textFill>
            <w14:solidFill>
              <w14:schemeClr w14:val="tx1"/>
            </w14:solidFill>
          </w14:textFill>
        </w:rPr>
        <w:t>乙方破产</w:t>
      </w:r>
      <w:bookmarkEnd w:id="149"/>
      <w:bookmarkEnd w:id="150"/>
      <w:bookmarkEnd w:id="151"/>
      <w:bookmarkEnd w:id="152"/>
      <w:bookmarkEnd w:id="153"/>
      <w:bookmarkEnd w:id="154"/>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55" w:name="_Toc6134"/>
      <w:bookmarkStart w:id="156" w:name="_Toc29333"/>
      <w:bookmarkStart w:id="157" w:name="_Toc15387"/>
      <w:r>
        <w:rPr>
          <w:rFonts w:ascii="宋体" w:hAnsi="宋体"/>
          <w:b/>
          <w:color w:val="000000" w:themeColor="text1"/>
          <w:szCs w:val="21"/>
          <w14:textFill>
            <w14:solidFill>
              <w14:schemeClr w14:val="tx1"/>
            </w14:solidFill>
          </w14:textFill>
        </w:rPr>
        <w:t xml:space="preserve">2.16 </w:t>
      </w:r>
      <w:r>
        <w:rPr>
          <w:rFonts w:hint="eastAsia" w:ascii="宋体" w:hAnsi="宋体"/>
          <w:b/>
          <w:color w:val="000000" w:themeColor="text1"/>
          <w:szCs w:val="21"/>
          <w14:textFill>
            <w14:solidFill>
              <w14:schemeClr w14:val="tx1"/>
            </w14:solidFill>
          </w14:textFill>
        </w:rPr>
        <w:t>合同中止、终止</w:t>
      </w:r>
      <w:bookmarkEnd w:id="155"/>
      <w:bookmarkEnd w:id="156"/>
      <w:bookmarkEnd w:id="157"/>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2.16.1 </w:t>
      </w:r>
      <w:r>
        <w:rPr>
          <w:rFonts w:hint="eastAsia" w:ascii="宋体" w:hAnsi="宋体"/>
          <w:color w:val="000000" w:themeColor="text1"/>
          <w:szCs w:val="21"/>
          <w14:textFill>
            <w14:solidFill>
              <w14:schemeClr w14:val="tx1"/>
            </w14:solidFill>
          </w14:textFill>
        </w:rPr>
        <w:t>双方当事人不得擅自中止或者终止合同；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2.16.2</w:t>
      </w:r>
      <w:r>
        <w:rPr>
          <w:rFonts w:hint="eastAsia" w:ascii="宋体" w:hAnsi="宋体"/>
          <w:color w:val="000000" w:themeColor="text1"/>
          <w:szCs w:val="21"/>
          <w14:textFill>
            <w14:solidFill>
              <w14:schemeClr w14:val="tx1"/>
            </w14:solidFill>
          </w14:textFill>
        </w:rPr>
        <w:t>合同继续履行将损害国家利益和社会公共利益的，双方当事人应当中止或者终止合同。有过错的一方应当承担赔偿责任，双方当事人都有过错的，各自承担相应的责任。</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58" w:name="_Toc6596"/>
      <w:bookmarkStart w:id="159" w:name="_Toc1125"/>
      <w:bookmarkStart w:id="160" w:name="_Toc14563"/>
      <w:r>
        <w:rPr>
          <w:rFonts w:ascii="宋体" w:hAnsi="宋体"/>
          <w:b/>
          <w:color w:val="000000" w:themeColor="text1"/>
          <w:szCs w:val="21"/>
          <w14:textFill>
            <w14:solidFill>
              <w14:schemeClr w14:val="tx1"/>
            </w14:solidFill>
          </w14:textFill>
        </w:rPr>
        <w:t xml:space="preserve">2.17 </w:t>
      </w:r>
      <w:r>
        <w:rPr>
          <w:rFonts w:hint="eastAsia" w:ascii="宋体" w:hAnsi="宋体"/>
          <w:b/>
          <w:color w:val="000000" w:themeColor="text1"/>
          <w:szCs w:val="21"/>
          <w14:textFill>
            <w14:solidFill>
              <w14:schemeClr w14:val="tx1"/>
            </w14:solidFill>
          </w14:textFill>
        </w:rPr>
        <w:t>检验和验收</w:t>
      </w:r>
      <w:bookmarkEnd w:id="158"/>
      <w:bookmarkEnd w:id="159"/>
      <w:bookmarkEnd w:id="160"/>
    </w:p>
    <w:p>
      <w:pPr>
        <w:tabs>
          <w:tab w:val="left" w:pos="360"/>
          <w:tab w:val="left" w:pos="540"/>
          <w:tab w:val="left" w:pos="1080"/>
        </w:tabs>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2.17.1</w:t>
      </w:r>
      <w:r>
        <w:rPr>
          <w:rFonts w:hint="eastAsia" w:ascii="宋体" w:hAnsi="宋体"/>
          <w:color w:val="000000" w:themeColor="text1"/>
          <w:szCs w:val="21"/>
          <w14:textFill>
            <w14:solidFill>
              <w14:schemeClr w14:val="tx1"/>
            </w14:solidFill>
          </w14:textFill>
        </w:rPr>
        <w:t>货物交付前，乙方应对货物的质量、数量等方面进行详细、全面的检验，并向甲方出具证明货物符合合同约定的文件；货物交付时，乙方在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约定时间内组织验收，并可依法邀请相关方参加，验收应出具验收书。</w:t>
      </w:r>
    </w:p>
    <w:p>
      <w:pPr>
        <w:tabs>
          <w:tab w:val="left" w:pos="360"/>
          <w:tab w:val="left" w:pos="540"/>
          <w:tab w:val="left" w:pos="1080"/>
        </w:tabs>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2.17.2</w:t>
      </w:r>
      <w:r>
        <w:rPr>
          <w:rFonts w:hint="eastAsia" w:ascii="宋体" w:hAnsi="宋体"/>
          <w:color w:val="000000" w:themeColor="text1"/>
          <w:szCs w:val="21"/>
          <w14:textFill>
            <w14:solidFill>
              <w14:schemeClr w14:val="tx1"/>
            </w14:solidFill>
          </w14:textFill>
        </w:rPr>
        <w:t>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2.17.3 </w:t>
      </w:r>
      <w:r>
        <w:rPr>
          <w:rFonts w:hint="eastAsia" w:ascii="宋体" w:hAnsi="宋体"/>
          <w:color w:val="000000" w:themeColor="text1"/>
          <w:szCs w:val="21"/>
          <w14:textFill>
            <w14:solidFill>
              <w14:schemeClr w14:val="tx1"/>
            </w14:solidFill>
          </w14:textFill>
        </w:rPr>
        <w:t>检验和验收标准、程序等具体内容以及前述验收书的效力详见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i/>
          <w:color w:val="000000" w:themeColor="text1"/>
          <w:szCs w:val="21"/>
          <w14:textFill>
            <w14:solidFill>
              <w14:schemeClr w14:val="tx1"/>
            </w14:solidFill>
          </w14:textFill>
        </w:rPr>
        <w:t>。</w:t>
      </w:r>
    </w:p>
    <w:bookmarkEnd w:id="130"/>
    <w:bookmarkEnd w:id="131"/>
    <w:bookmarkEnd w:id="132"/>
    <w:bookmarkEnd w:id="133"/>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61" w:name="_Toc259093690"/>
      <w:bookmarkStart w:id="162" w:name="_Toc279701261"/>
      <w:bookmarkStart w:id="163" w:name="_Toc487900371"/>
      <w:bookmarkStart w:id="164" w:name="_Toc11284"/>
      <w:bookmarkStart w:id="165" w:name="_Toc25182"/>
      <w:bookmarkStart w:id="166" w:name="_Toc19604"/>
      <w:r>
        <w:rPr>
          <w:rFonts w:ascii="宋体" w:hAnsi="宋体"/>
          <w:b/>
          <w:color w:val="000000" w:themeColor="text1"/>
          <w:szCs w:val="21"/>
          <w14:textFill>
            <w14:solidFill>
              <w14:schemeClr w14:val="tx1"/>
            </w14:solidFill>
          </w14:textFill>
        </w:rPr>
        <w:t xml:space="preserve">2.18 </w:t>
      </w:r>
      <w:r>
        <w:rPr>
          <w:rFonts w:hint="eastAsia" w:ascii="宋体" w:hAnsi="宋体"/>
          <w:b/>
          <w:color w:val="000000" w:themeColor="text1"/>
          <w:szCs w:val="21"/>
          <w14:textFill>
            <w14:solidFill>
              <w14:schemeClr w14:val="tx1"/>
            </w14:solidFill>
          </w14:textFill>
        </w:rPr>
        <w:t>通知</w:t>
      </w:r>
      <w:bookmarkEnd w:id="161"/>
      <w:bookmarkEnd w:id="162"/>
      <w:bookmarkEnd w:id="163"/>
      <w:r>
        <w:rPr>
          <w:rFonts w:hint="eastAsia" w:ascii="宋体" w:hAnsi="宋体"/>
          <w:b/>
          <w:color w:val="000000" w:themeColor="text1"/>
          <w:szCs w:val="21"/>
          <w14:textFill>
            <w14:solidFill>
              <w14:schemeClr w14:val="tx1"/>
            </w14:solidFill>
          </w14:textFill>
        </w:rPr>
        <w:t>和送达</w:t>
      </w:r>
      <w:bookmarkEnd w:id="164"/>
      <w:bookmarkEnd w:id="165"/>
      <w:bookmarkEnd w:id="166"/>
    </w:p>
    <w:p>
      <w:pPr>
        <w:spacing w:line="560" w:lineRule="exact"/>
        <w:ind w:firstLine="420" w:firstLineChars="200"/>
        <w:rPr>
          <w:rFonts w:ascii="宋体" w:hAnsi="宋体"/>
          <w:color w:val="000000" w:themeColor="text1"/>
          <w:szCs w:val="21"/>
          <w14:textFill>
            <w14:solidFill>
              <w14:schemeClr w14:val="tx1"/>
            </w14:solidFill>
          </w14:textFill>
        </w:rPr>
      </w:pPr>
      <w:bookmarkStart w:id="167" w:name="_Toc3135"/>
      <w:bookmarkStart w:id="168" w:name="_Toc6698"/>
      <w:bookmarkStart w:id="169" w:name="_Toc259093691"/>
      <w:bookmarkStart w:id="170" w:name="_Toc279701262"/>
      <w:bookmarkStart w:id="171" w:name="_Toc487900372"/>
      <w:r>
        <w:rPr>
          <w:rFonts w:ascii="宋体" w:hAnsi="宋体"/>
          <w:color w:val="000000" w:themeColor="text1"/>
          <w:szCs w:val="21"/>
          <w14:textFill>
            <w14:solidFill>
              <w14:schemeClr w14:val="tx1"/>
            </w14:solidFill>
          </w14:textFill>
        </w:rPr>
        <w:t xml:space="preserve">2.18.1 </w:t>
      </w:r>
      <w:r>
        <w:rPr>
          <w:rFonts w:hint="eastAsia" w:ascii="宋体" w:hAnsi="宋体"/>
          <w:color w:val="000000" w:themeColor="text1"/>
          <w:szCs w:val="21"/>
          <w14:textFill>
            <w14:solidFill>
              <w14:schemeClr w14:val="tx1"/>
            </w14:solidFill>
          </w14:textFill>
        </w:rPr>
        <w:t>任何一方因履行合同而以合同第一部分尾部所列明的</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发出的所有通知、文件、材料，均视为已向对方当事人送达；任何一方变更上述送达方式或者地址的，应于</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个工作日内书面通知对方当事人，在对方当事人收到有关变更通知之前，变更前的约定送达方式或者地址仍视为有效。</w:t>
      </w:r>
      <w:bookmarkEnd w:id="167"/>
      <w:bookmarkEnd w:id="168"/>
    </w:p>
    <w:p>
      <w:pPr>
        <w:spacing w:line="560" w:lineRule="exact"/>
        <w:ind w:firstLine="420" w:firstLineChars="200"/>
        <w:rPr>
          <w:rFonts w:ascii="宋体" w:hAnsi="宋体"/>
          <w:color w:val="000000" w:themeColor="text1"/>
          <w:szCs w:val="21"/>
          <w14:textFill>
            <w14:solidFill>
              <w14:schemeClr w14:val="tx1"/>
            </w14:solidFill>
          </w14:textFill>
        </w:rPr>
      </w:pPr>
      <w:bookmarkStart w:id="172" w:name="_Toc23294"/>
      <w:bookmarkStart w:id="173" w:name="_Toc23128"/>
      <w:r>
        <w:rPr>
          <w:rFonts w:ascii="宋体" w:hAnsi="宋体"/>
          <w:color w:val="000000" w:themeColor="text1"/>
          <w:szCs w:val="21"/>
          <w14:textFill>
            <w14:solidFill>
              <w14:schemeClr w14:val="tx1"/>
            </w14:solidFill>
          </w14:textFill>
        </w:rPr>
        <w:t>2.18.2</w:t>
      </w:r>
      <w:r>
        <w:rPr>
          <w:rFonts w:hint="eastAsia" w:ascii="宋体" w:hAnsi="宋体"/>
          <w:color w:val="000000" w:themeColor="text1"/>
          <w:szCs w:val="21"/>
          <w14:textFill>
            <w14:solidFill>
              <w14:schemeClr w14:val="tx1"/>
            </w14:solidFill>
          </w14:textFill>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172"/>
      <w:bookmarkEnd w:id="173"/>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74" w:name="_Toc18540"/>
      <w:bookmarkStart w:id="175" w:name="_Toc4355"/>
      <w:bookmarkStart w:id="176" w:name="_Toc30599"/>
      <w:r>
        <w:rPr>
          <w:rFonts w:ascii="宋体" w:hAnsi="宋体"/>
          <w:b/>
          <w:color w:val="000000" w:themeColor="text1"/>
          <w:szCs w:val="21"/>
          <w14:textFill>
            <w14:solidFill>
              <w14:schemeClr w14:val="tx1"/>
            </w14:solidFill>
          </w14:textFill>
        </w:rPr>
        <w:t xml:space="preserve">2.19 </w:t>
      </w:r>
      <w:r>
        <w:rPr>
          <w:rFonts w:hint="eastAsia" w:ascii="宋体" w:hAnsi="宋体"/>
          <w:b/>
          <w:color w:val="000000" w:themeColor="text1"/>
          <w:szCs w:val="21"/>
          <w14:textFill>
            <w14:solidFill>
              <w14:schemeClr w14:val="tx1"/>
            </w14:solidFill>
          </w14:textFill>
        </w:rPr>
        <w:t>计量单位</w:t>
      </w:r>
      <w:bookmarkEnd w:id="169"/>
      <w:bookmarkEnd w:id="170"/>
      <w:bookmarkEnd w:id="171"/>
      <w:bookmarkEnd w:id="174"/>
      <w:bookmarkEnd w:id="175"/>
      <w:bookmarkEnd w:id="176"/>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除技术规范中另有规定外</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合同的计量单位均使用国家法定计量单位。</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77" w:name="_Toc10330"/>
      <w:bookmarkStart w:id="178" w:name="_Toc18567"/>
      <w:bookmarkStart w:id="179" w:name="_Toc487900373"/>
      <w:bookmarkStart w:id="180" w:name="_Toc12773"/>
      <w:bookmarkStart w:id="181" w:name="_Toc279701263"/>
      <w:bookmarkStart w:id="182" w:name="_Toc259093692"/>
      <w:r>
        <w:rPr>
          <w:rFonts w:ascii="宋体" w:hAnsi="宋体"/>
          <w:b/>
          <w:color w:val="000000" w:themeColor="text1"/>
          <w:szCs w:val="21"/>
          <w14:textFill>
            <w14:solidFill>
              <w14:schemeClr w14:val="tx1"/>
            </w14:solidFill>
          </w14:textFill>
        </w:rPr>
        <w:t xml:space="preserve">2.20 </w:t>
      </w:r>
      <w:r>
        <w:rPr>
          <w:rFonts w:hint="eastAsia" w:ascii="宋体" w:hAnsi="宋体"/>
          <w:b/>
          <w:color w:val="000000" w:themeColor="text1"/>
          <w:szCs w:val="21"/>
          <w14:textFill>
            <w14:solidFill>
              <w14:schemeClr w14:val="tx1"/>
            </w14:solidFill>
          </w14:textFill>
        </w:rPr>
        <w:t>合同使用的文字和适用的法律</w:t>
      </w:r>
      <w:bookmarkEnd w:id="177"/>
      <w:bookmarkEnd w:id="178"/>
      <w:bookmarkEnd w:id="179"/>
      <w:bookmarkEnd w:id="180"/>
      <w:bookmarkEnd w:id="181"/>
      <w:bookmarkEnd w:id="182"/>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2.20.1 </w:t>
      </w:r>
      <w:r>
        <w:rPr>
          <w:rFonts w:hint="eastAsia" w:ascii="宋体" w:hAnsi="宋体"/>
          <w:color w:val="000000" w:themeColor="text1"/>
          <w:szCs w:val="21"/>
          <w14:textFill>
            <w14:solidFill>
              <w14:schemeClr w14:val="tx1"/>
            </w14:solidFill>
          </w14:textFill>
        </w:rPr>
        <w:t>合同使用汉语书就、变更和解释；</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2.20.2 </w:t>
      </w:r>
      <w:r>
        <w:rPr>
          <w:rFonts w:hint="eastAsia" w:ascii="宋体" w:hAnsi="宋体"/>
          <w:color w:val="000000" w:themeColor="text1"/>
          <w:szCs w:val="21"/>
          <w14:textFill>
            <w14:solidFill>
              <w14:schemeClr w14:val="tx1"/>
            </w14:solidFill>
          </w14:textFill>
        </w:rPr>
        <w:t>合同适用中华人民共和国法律。</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83" w:name="_Toc3148"/>
      <w:bookmarkStart w:id="184" w:name="_Toc12004"/>
      <w:bookmarkStart w:id="185" w:name="_Toc16673"/>
      <w:bookmarkStart w:id="186" w:name="_Toc259093693"/>
      <w:bookmarkStart w:id="187" w:name="_Toc279701264"/>
      <w:bookmarkStart w:id="188" w:name="_Toc487900374"/>
      <w:r>
        <w:rPr>
          <w:rFonts w:ascii="宋体" w:hAnsi="宋体"/>
          <w:b/>
          <w:color w:val="000000" w:themeColor="text1"/>
          <w:szCs w:val="21"/>
          <w14:textFill>
            <w14:solidFill>
              <w14:schemeClr w14:val="tx1"/>
            </w14:solidFill>
          </w14:textFill>
        </w:rPr>
        <w:t xml:space="preserve">2.21 </w:t>
      </w:r>
      <w:r>
        <w:rPr>
          <w:rFonts w:hint="eastAsia" w:ascii="宋体" w:hAnsi="宋体"/>
          <w:b/>
          <w:color w:val="000000" w:themeColor="text1"/>
          <w:szCs w:val="21"/>
          <w14:textFill>
            <w14:solidFill>
              <w14:schemeClr w14:val="tx1"/>
            </w14:solidFill>
          </w14:textFill>
        </w:rPr>
        <w:t>履约保证金</w:t>
      </w:r>
      <w:bookmarkEnd w:id="183"/>
      <w:bookmarkEnd w:id="184"/>
      <w:bookmarkEnd w:id="185"/>
      <w:bookmarkEnd w:id="186"/>
      <w:bookmarkEnd w:id="187"/>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2.21.1 </w:t>
      </w:r>
      <w:r>
        <w:rPr>
          <w:rFonts w:hint="eastAsia" w:ascii="宋体" w:hAnsi="宋体"/>
          <w:color w:val="000000" w:themeColor="text1"/>
          <w:szCs w:val="21"/>
          <w14:textFill>
            <w14:solidFill>
              <w14:schemeClr w14:val="tx1"/>
            </w14:solidFill>
          </w14:textFill>
        </w:rPr>
        <w:t>采购文件要求乙方提交履约保证金的，乙方应按</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约定的方式，以支票、汇票、本票或者金融机构、担保机构出具的保函等非现金形式，提交不超过合同价</w:t>
      </w:r>
      <w:r>
        <w:rPr>
          <w:rFonts w:hint="eastAsia" w:ascii="宋体" w:hAnsi="宋体"/>
          <w:color w:val="000000" w:themeColor="text1"/>
          <w:szCs w:val="21"/>
          <w:lang w:val="en-US" w:eastAsia="zh-CN"/>
          <w14:textFill>
            <w14:solidFill>
              <w14:schemeClr w14:val="tx1"/>
            </w14:solidFill>
          </w14:textFill>
        </w:rPr>
        <w:t>5</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的履约保证金；</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2.21.2  </w:t>
      </w:r>
      <w:r>
        <w:rPr>
          <w:rFonts w:hint="eastAsia" w:ascii="宋体" w:hAnsi="宋体"/>
          <w:color w:val="000000" w:themeColor="text1"/>
          <w:szCs w:val="21"/>
          <w14:textFill>
            <w14:solidFill>
              <w14:schemeClr w14:val="tx1"/>
            </w14:solidFill>
          </w14:textFill>
        </w:rPr>
        <w:t>履约保证金在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约定期间内或者货物质量保证期内不予退还或者应完全有效，前述约定期间届满或者货物质量保证期届满之日起</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个工作日内，甲方应将履约保证金退还乙方；</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2.21.3 </w:t>
      </w:r>
      <w:r>
        <w:rPr>
          <w:rFonts w:hint="eastAsia" w:ascii="宋体" w:hAnsi="宋体"/>
          <w:color w:val="000000" w:themeColor="text1"/>
          <w:szCs w:val="21"/>
          <w14:textFill>
            <w14:solidFill>
              <w14:schemeClr w14:val="tx1"/>
            </w14:solidFill>
          </w14:textFill>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88"/>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89" w:name="_Toc19890"/>
      <w:bookmarkStart w:id="190" w:name="_Toc6885"/>
      <w:bookmarkStart w:id="191" w:name="_Toc14001"/>
      <w:r>
        <w:rPr>
          <w:rFonts w:ascii="宋体" w:hAnsi="宋体"/>
          <w:b/>
          <w:color w:val="000000" w:themeColor="text1"/>
          <w:szCs w:val="21"/>
          <w14:textFill>
            <w14:solidFill>
              <w14:schemeClr w14:val="tx1"/>
            </w14:solidFill>
          </w14:textFill>
        </w:rPr>
        <w:t xml:space="preserve">2.22 </w:t>
      </w:r>
      <w:r>
        <w:rPr>
          <w:rFonts w:hint="eastAsia" w:ascii="宋体" w:hAnsi="宋体"/>
          <w:b/>
          <w:color w:val="000000" w:themeColor="text1"/>
          <w:szCs w:val="21"/>
          <w14:textFill>
            <w14:solidFill>
              <w14:schemeClr w14:val="tx1"/>
            </w14:solidFill>
          </w14:textFill>
        </w:rPr>
        <w:t>合同份数</w:t>
      </w:r>
      <w:bookmarkEnd w:id="189"/>
      <w:bookmarkEnd w:id="190"/>
      <w:bookmarkEnd w:id="191"/>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合同份数按</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规定，每份均具有同等法律效力。</w:t>
      </w:r>
    </w:p>
    <w:p>
      <w:pPr>
        <w:spacing w:line="560" w:lineRule="exact"/>
        <w:ind w:firstLine="413" w:firstLineChars="196"/>
        <w:outlineLvl w:val="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2.23 本合同未尽事宜，见政府采购合同专用条款。</w:t>
      </w:r>
    </w:p>
    <w:p>
      <w:pPr>
        <w:rPr>
          <w:rFonts w:ascii="宋体" w:hAnsi="宋体"/>
          <w:b/>
          <w:color w:val="000000" w:themeColor="text1"/>
          <w:sz w:val="28"/>
          <w:szCs w:val="28"/>
          <w14:textFill>
            <w14:solidFill>
              <w14:schemeClr w14:val="tx1"/>
            </w14:solidFill>
          </w14:textFill>
        </w:rPr>
      </w:pPr>
      <w:bookmarkStart w:id="192" w:name="_Toc474235953"/>
      <w:r>
        <w:rPr>
          <w:rFonts w:hint="eastAsia" w:ascii="宋体" w:hAnsi="宋体"/>
          <w:b/>
          <w:color w:val="000000" w:themeColor="text1"/>
          <w:sz w:val="28"/>
          <w:szCs w:val="28"/>
          <w14:textFill>
            <w14:solidFill>
              <w14:schemeClr w14:val="tx1"/>
            </w14:solidFill>
          </w14:textFill>
        </w:rPr>
        <w:br w:type="page"/>
      </w:r>
    </w:p>
    <w:p>
      <w:pPr>
        <w:pStyle w:val="18"/>
        <w:snapToGrid w:val="0"/>
        <w:rPr>
          <w:rFonts w:ascii="宋体" w:hAnsi="宋体"/>
          <w:b/>
          <w:bCs/>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三、政府采购合同专用条款</w:t>
      </w:r>
      <w:bookmarkEnd w:id="192"/>
    </w:p>
    <w:p>
      <w:pPr>
        <w:pStyle w:val="18"/>
        <w:snapToGrid w:val="0"/>
        <w:ind w:left="105" w:leftChars="50"/>
        <w:rPr>
          <w:rFonts w:ascii="宋体" w:hAnsi="宋体"/>
          <w:b/>
          <w:bCs/>
          <w:color w:val="000000" w:themeColor="text1"/>
          <w:sz w:val="28"/>
          <w:szCs w:val="28"/>
          <w14:textFill>
            <w14:solidFill>
              <w14:schemeClr w14:val="tx1"/>
            </w14:solidFill>
          </w14:textFill>
        </w:rPr>
      </w:pPr>
    </w:p>
    <w:p>
      <w:pPr>
        <w:pStyle w:val="18"/>
        <w:snapToGrid w:val="0"/>
        <w:ind w:left="105" w:leftChars="50"/>
        <w:jc w:val="center"/>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政府采购合同专用条款</w:t>
      </w:r>
    </w:p>
    <w:tbl>
      <w:tblPr>
        <w:tblStyle w:val="47"/>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520"/>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008" w:type="dxa"/>
            <w:vAlign w:val="center"/>
          </w:tcPr>
          <w:p>
            <w:pPr>
              <w:pStyle w:val="18"/>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520" w:type="dxa"/>
            <w:vAlign w:val="center"/>
          </w:tcPr>
          <w:p>
            <w:pPr>
              <w:pStyle w:val="18"/>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b/>
                <w:color w:val="000000" w:themeColor="text1"/>
                <w:szCs w:val="21"/>
                <w14:textFill>
                  <w14:solidFill>
                    <w14:schemeClr w14:val="tx1"/>
                  </w14:solidFill>
                </w14:textFill>
              </w:rPr>
              <w:t>条款名称</w:t>
            </w:r>
          </w:p>
        </w:tc>
        <w:tc>
          <w:tcPr>
            <w:tcW w:w="5220" w:type="dxa"/>
            <w:vAlign w:val="center"/>
          </w:tcPr>
          <w:p>
            <w:pPr>
              <w:tabs>
                <w:tab w:val="left" w:pos="2466"/>
                <w:tab w:val="left" w:pos="5464"/>
              </w:tabs>
              <w:adjustRightInd w:val="0"/>
              <w:snapToGrid w:val="0"/>
              <w:spacing w:line="400" w:lineRule="exact"/>
              <w:ind w:left="108"/>
              <w:jc w:val="center"/>
              <w:rPr>
                <w:rFonts w:ascii="宋体" w:hAnsi="宋体"/>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08" w:type="dxa"/>
            <w:vAlign w:val="center"/>
          </w:tcPr>
          <w:p>
            <w:pPr>
              <w:pStyle w:val="18"/>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520" w:type="dxa"/>
            <w:vAlign w:val="center"/>
          </w:tcPr>
          <w:p>
            <w:pPr>
              <w:pStyle w:val="18"/>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项目现场</w:t>
            </w:r>
          </w:p>
        </w:tc>
        <w:tc>
          <w:tcPr>
            <w:tcW w:w="5220" w:type="dxa"/>
            <w:vAlign w:val="center"/>
          </w:tcPr>
          <w:p>
            <w:pPr>
              <w:pStyle w:val="18"/>
              <w:snapToGrid w:val="0"/>
              <w:spacing w:line="400" w:lineRule="exac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08" w:type="dxa"/>
            <w:vAlign w:val="center"/>
          </w:tcPr>
          <w:p>
            <w:pPr>
              <w:pStyle w:val="18"/>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520" w:type="dxa"/>
            <w:vAlign w:val="center"/>
          </w:tcPr>
          <w:p>
            <w:pPr>
              <w:adjustRightInd w:val="0"/>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szCs w:val="21"/>
              </w:rPr>
              <w:t>供货期限</w:t>
            </w:r>
          </w:p>
        </w:tc>
        <w:tc>
          <w:tcPr>
            <w:tcW w:w="5220" w:type="dxa"/>
            <w:vAlign w:val="center"/>
          </w:tcPr>
          <w:p>
            <w:pPr>
              <w:adjustRightInd w:val="0"/>
              <w:snapToGrid w:val="0"/>
              <w:spacing w:line="400" w:lineRule="exact"/>
              <w:rPr>
                <w:rFonts w:ascii="宋体" w:hAnsi="宋体" w:cs="宋体"/>
                <w:color w:val="000000" w:themeColor="text1"/>
                <w:kern w:val="0"/>
                <w:szCs w:val="21"/>
                <w14:textFill>
                  <w14:solidFill>
                    <w14:schemeClr w14:val="tx1"/>
                  </w14:solidFill>
                </w14:textFill>
              </w:rPr>
            </w:pPr>
            <w:r>
              <w:rPr>
                <w:rFonts w:hint="eastAsia" w:ascii="宋体" w:hAnsi="宋体" w:cs="宋体"/>
                <w:kern w:val="0"/>
                <w:szCs w:val="21"/>
              </w:rPr>
              <w:t>签</w:t>
            </w:r>
            <w:r>
              <w:rPr>
                <w:rFonts w:hint="eastAsia" w:ascii="宋体" w:hAnsi="宋体" w:cs="宋体"/>
                <w:kern w:val="0"/>
                <w:szCs w:val="21"/>
                <w:lang w:eastAsia="zh-CN"/>
              </w:rPr>
              <w:t>订合同后</w:t>
            </w:r>
            <w:r>
              <w:rPr>
                <w:rFonts w:hint="eastAsia" w:ascii="宋体" w:hAnsi="宋体" w:cs="宋体"/>
                <w:kern w:val="0"/>
                <w:szCs w:val="21"/>
                <w:lang w:val="en-US" w:eastAsia="zh-CN"/>
              </w:rPr>
              <w:t>一个月</w:t>
            </w:r>
            <w:r>
              <w:rPr>
                <w:rFonts w:hint="eastAsia" w:ascii="宋体" w:hAnsi="宋体" w:cs="宋体"/>
                <w:kern w:val="0"/>
                <w:szCs w:val="21"/>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08" w:type="dxa"/>
            <w:vAlign w:val="center"/>
          </w:tcPr>
          <w:p>
            <w:pPr>
              <w:pStyle w:val="18"/>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520" w:type="dxa"/>
            <w:vAlign w:val="center"/>
          </w:tcPr>
          <w:p>
            <w:pPr>
              <w:pStyle w:val="18"/>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签订合同日期</w:t>
            </w:r>
          </w:p>
        </w:tc>
        <w:tc>
          <w:tcPr>
            <w:tcW w:w="5220" w:type="dxa"/>
            <w:vAlign w:val="center"/>
          </w:tcPr>
          <w:p>
            <w:pPr>
              <w:pStyle w:val="18"/>
              <w:snapToGrid w:val="0"/>
              <w:spacing w:after="0" w:line="360" w:lineRule="exact"/>
              <w:rPr>
                <w:rFonts w:ascii="宋体" w:hAnsi="宋体"/>
                <w:bCs/>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自中标通知书发出之日起三十日内签订完毕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08" w:type="dxa"/>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2520" w:type="dxa"/>
            <w:vAlign w:val="center"/>
          </w:tcPr>
          <w:p>
            <w:pPr>
              <w:pStyle w:val="18"/>
              <w:snapToGrid w:val="0"/>
              <w:spacing w:line="380" w:lineRule="exact"/>
              <w:jc w:val="center"/>
              <w:rPr>
                <w:rFonts w:hint="eastAsia" w:ascii="宋体" w:hAnsi="宋体" w:eastAsia="宋体"/>
                <w:b/>
                <w:bCs/>
                <w:color w:val="000000" w:themeColor="text1"/>
                <w:sz w:val="24"/>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质保期</w:t>
            </w:r>
          </w:p>
        </w:tc>
        <w:tc>
          <w:tcPr>
            <w:tcW w:w="5220" w:type="dxa"/>
            <w:vAlign w:val="center"/>
          </w:tcPr>
          <w:p>
            <w:pPr>
              <w:pStyle w:val="18"/>
              <w:snapToGrid w:val="0"/>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质保期</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年，质保期起计日为合同标的经验收合格交付之日起计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exact"/>
        </w:trPr>
        <w:tc>
          <w:tcPr>
            <w:tcW w:w="1008" w:type="dxa"/>
            <w:vAlign w:val="center"/>
          </w:tcPr>
          <w:p>
            <w:pPr>
              <w:pStyle w:val="18"/>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2520" w:type="dxa"/>
            <w:vAlign w:val="center"/>
          </w:tcPr>
          <w:p>
            <w:pPr>
              <w:pStyle w:val="18"/>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合同价款支付方式和条件</w:t>
            </w:r>
          </w:p>
        </w:tc>
        <w:tc>
          <w:tcPr>
            <w:tcW w:w="5220" w:type="dxa"/>
            <w:vAlign w:val="center"/>
          </w:tcPr>
          <w:p>
            <w:pPr>
              <w:pStyle w:val="18"/>
              <w:snapToGrid w:val="0"/>
              <w:spacing w:line="360" w:lineRule="exac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经采购人或其它有关部门验收合格后按照合同支付价格。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exact"/>
        </w:trPr>
        <w:tc>
          <w:tcPr>
            <w:tcW w:w="1008" w:type="dxa"/>
            <w:vAlign w:val="center"/>
          </w:tcPr>
          <w:p>
            <w:pPr>
              <w:pStyle w:val="18"/>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2520" w:type="dxa"/>
            <w:vAlign w:val="center"/>
          </w:tcPr>
          <w:p>
            <w:pPr>
              <w:pStyle w:val="18"/>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伴随服务</w:t>
            </w:r>
          </w:p>
        </w:tc>
        <w:tc>
          <w:tcPr>
            <w:tcW w:w="5220" w:type="dxa"/>
            <w:vAlign w:val="center"/>
          </w:tcPr>
          <w:p>
            <w:pPr>
              <w:pStyle w:val="18"/>
              <w:snapToGrid w:val="0"/>
              <w:spacing w:line="340" w:lineRule="exac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按通用条款执行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08" w:type="dxa"/>
            <w:vAlign w:val="center"/>
          </w:tcPr>
          <w:p>
            <w:pPr>
              <w:pStyle w:val="18"/>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2520" w:type="dxa"/>
            <w:vAlign w:val="center"/>
          </w:tcPr>
          <w:p>
            <w:pPr>
              <w:pStyle w:val="18"/>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解决争议的方式</w:t>
            </w:r>
          </w:p>
        </w:tc>
        <w:tc>
          <w:tcPr>
            <w:tcW w:w="5220" w:type="dxa"/>
            <w:vAlign w:val="center"/>
          </w:tcPr>
          <w:p>
            <w:pPr>
              <w:pStyle w:val="18"/>
              <w:snapToGrid w:val="0"/>
              <w:spacing w:line="400" w:lineRule="exac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向甲方所在地人民法院提起诉讼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08" w:type="dxa"/>
            <w:vAlign w:val="center"/>
          </w:tcPr>
          <w:p>
            <w:pPr>
              <w:pStyle w:val="18"/>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2520" w:type="dxa"/>
            <w:vAlign w:val="center"/>
          </w:tcPr>
          <w:p>
            <w:pPr>
              <w:pStyle w:val="18"/>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合同未尽事项</w:t>
            </w:r>
          </w:p>
        </w:tc>
        <w:tc>
          <w:tcPr>
            <w:tcW w:w="5220" w:type="dxa"/>
            <w:vAlign w:val="center"/>
          </w:tcPr>
          <w:p>
            <w:pPr>
              <w:pStyle w:val="18"/>
              <w:snapToGrid w:val="0"/>
              <w:spacing w:line="400" w:lineRule="exac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双方协商</w:t>
            </w:r>
          </w:p>
        </w:tc>
      </w:tr>
    </w:tbl>
    <w:p>
      <w:pPr>
        <w:pStyle w:val="18"/>
        <w:snapToGrid w:val="0"/>
        <w:ind w:left="105" w:leftChars="50"/>
        <w:jc w:val="center"/>
        <w:rPr>
          <w:rFonts w:ascii="宋体" w:hAnsi="宋体"/>
          <w:b/>
          <w:bCs/>
          <w:color w:val="000000" w:themeColor="text1"/>
          <w:sz w:val="24"/>
          <w14:textFill>
            <w14:solidFill>
              <w14:schemeClr w14:val="tx1"/>
            </w14:solidFill>
          </w14:textFill>
        </w:rPr>
      </w:pPr>
    </w:p>
    <w:p>
      <w:pPr>
        <w:spacing w:line="36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ab/>
      </w:r>
    </w:p>
    <w:p>
      <w:pPr>
        <w:spacing w:line="360" w:lineRule="exact"/>
        <w:jc w:val="center"/>
        <w:rPr>
          <w:rFonts w:ascii="宋体" w:hAnsi="宋体"/>
          <w:b/>
          <w:color w:val="000000" w:themeColor="text1"/>
          <w:szCs w:val="21"/>
          <w14:textFill>
            <w14:solidFill>
              <w14:schemeClr w14:val="tx1"/>
            </w14:solidFill>
          </w14:textFill>
        </w:rPr>
      </w:pPr>
    </w:p>
    <w:p>
      <w:pPr>
        <w:spacing w:line="360" w:lineRule="exact"/>
        <w:jc w:val="center"/>
        <w:rPr>
          <w:rFonts w:ascii="宋体" w:hAnsi="宋体"/>
          <w:b/>
          <w:color w:val="000000" w:themeColor="text1"/>
          <w:szCs w:val="21"/>
          <w14:textFill>
            <w14:solidFill>
              <w14:schemeClr w14:val="tx1"/>
            </w14:solidFill>
          </w14:textFill>
        </w:rPr>
      </w:pPr>
    </w:p>
    <w:p>
      <w:pPr>
        <w:spacing w:line="360" w:lineRule="exact"/>
        <w:jc w:val="center"/>
        <w:rPr>
          <w:rFonts w:ascii="宋体" w:hAnsi="宋体"/>
          <w:b/>
          <w:color w:val="000000" w:themeColor="text1"/>
          <w:szCs w:val="21"/>
          <w14:textFill>
            <w14:solidFill>
              <w14:schemeClr w14:val="tx1"/>
            </w14:solidFill>
          </w14:textFill>
        </w:rPr>
      </w:pPr>
    </w:p>
    <w:p>
      <w:pPr>
        <w:spacing w:after="156" w:line="560" w:lineRule="exact"/>
        <w:ind w:firstLine="480"/>
        <w:rPr>
          <w:color w:val="000000" w:themeColor="text1"/>
          <w14:textFill>
            <w14:solidFill>
              <w14:schemeClr w14:val="tx1"/>
            </w14:solidFill>
          </w14:textFill>
        </w:rPr>
      </w:pPr>
    </w:p>
    <w:p>
      <w:pPr>
        <w:pStyle w:val="4"/>
        <w:spacing w:line="240" w:lineRule="atLeast"/>
        <w:ind w:left="1080" w:leftChars="257" w:hanging="540"/>
        <w:rPr>
          <w:rFonts w:ascii="仿宋_GB2312" w:hAnsi="宋体" w:eastAsia="仿宋_GB2312"/>
          <w:color w:val="000000" w:themeColor="text1"/>
          <w14:textFill>
            <w14:solidFill>
              <w14:schemeClr w14:val="tx1"/>
            </w14:solidFill>
          </w14:textFill>
        </w:rPr>
      </w:pPr>
    </w:p>
    <w:p>
      <w:pPr>
        <w:rPr>
          <w:color w:val="000000" w:themeColor="text1"/>
          <w14:textFill>
            <w14:solidFill>
              <w14:schemeClr w14:val="tx1"/>
            </w14:solidFill>
          </w14:textFill>
        </w:rPr>
      </w:pPr>
    </w:p>
    <w:bookmarkEnd w:id="32"/>
    <w:p>
      <w:pPr>
        <w:pStyle w:val="18"/>
        <w:snapToGrid w:val="0"/>
        <w:jc w:val="left"/>
        <w:rPr>
          <w:rFonts w:ascii="宋体" w:hAnsi="宋体"/>
          <w:b/>
          <w:color w:val="000000" w:themeColor="text1"/>
          <w:sz w:val="28"/>
          <w:szCs w:val="28"/>
          <w14:textFill>
            <w14:solidFill>
              <w14:schemeClr w14:val="tx1"/>
            </w14:solidFill>
          </w14:textFill>
        </w:rPr>
      </w:pPr>
      <w:bookmarkStart w:id="193" w:name="_Toc420948021"/>
      <w:bookmarkStart w:id="194" w:name="_Toc474235954"/>
      <w:r>
        <w:rPr>
          <w:rFonts w:hint="eastAsia" w:ascii="宋体" w:hAnsi="宋体"/>
          <w:b/>
          <w:color w:val="000000" w:themeColor="text1"/>
          <w:sz w:val="32"/>
          <w:szCs w:val="32"/>
          <w14:textFill>
            <w14:solidFill>
              <w14:schemeClr w14:val="tx1"/>
            </w14:solidFill>
          </w14:textFill>
        </w:rPr>
        <w:br w:type="page"/>
      </w:r>
      <w:r>
        <w:rPr>
          <w:rFonts w:hint="eastAsia" w:ascii="宋体" w:hAnsi="宋体"/>
          <w:b/>
          <w:color w:val="000000" w:themeColor="text1"/>
          <w:sz w:val="28"/>
          <w:szCs w:val="28"/>
          <w14:textFill>
            <w14:solidFill>
              <w14:schemeClr w14:val="tx1"/>
            </w14:solidFill>
          </w14:textFill>
        </w:rPr>
        <w:t>四、验收书</w:t>
      </w:r>
    </w:p>
    <w:p>
      <w:pPr>
        <w:spacing w:line="720" w:lineRule="auto"/>
        <w:jc w:val="center"/>
        <w:rPr>
          <w:rFonts w:ascii="宋体" w:hAnsi="宋体"/>
          <w:bCs/>
          <w:color w:val="000000" w:themeColor="text1"/>
          <w:sz w:val="32"/>
          <w:szCs w:val="32"/>
          <w14:textFill>
            <w14:solidFill>
              <w14:schemeClr w14:val="tx1"/>
            </w14:solidFill>
          </w14:textFill>
        </w:rPr>
      </w:pPr>
      <w:r>
        <w:rPr>
          <w:rFonts w:hint="eastAsia" w:ascii="宋体" w:hAnsi="宋体"/>
          <w:bCs/>
          <w:color w:val="000000" w:themeColor="text1"/>
          <w:sz w:val="32"/>
          <w:szCs w:val="32"/>
          <w14:textFill>
            <w14:solidFill>
              <w14:schemeClr w14:val="tx1"/>
            </w14:solidFill>
          </w14:textFill>
        </w:rPr>
        <w:t>政府采购项目验收书</w:t>
      </w:r>
    </w:p>
    <w:p>
      <w:pPr>
        <w:pStyle w:val="3"/>
        <w:spacing w:line="360" w:lineRule="auto"/>
        <w:rPr>
          <w:rFonts w:ascii="宋体" w:hAnsi="宋体"/>
          <w:b w:val="0"/>
          <w:bCs w:val="0"/>
          <w:color w:val="000000" w:themeColor="text1"/>
          <w:sz w:val="21"/>
          <w:szCs w:val="21"/>
          <w14:textFill>
            <w14:solidFill>
              <w14:schemeClr w14:val="tx1"/>
            </w14:solidFill>
          </w14:textFill>
        </w:rPr>
      </w:pPr>
      <w:r>
        <w:rPr>
          <w:rFonts w:hint="eastAsia" w:ascii="宋体" w:hAnsi="宋体"/>
          <w:b w:val="0"/>
          <w:bCs w:val="0"/>
          <w:color w:val="000000" w:themeColor="text1"/>
          <w:sz w:val="21"/>
          <w:szCs w:val="21"/>
          <w14:textFill>
            <w14:solidFill>
              <w14:schemeClr w14:val="tx1"/>
            </w14:solidFill>
          </w14:textFill>
        </w:rPr>
        <w:t>（本验收书为验收书样稿，最终稿由双方协商后确定）</w:t>
      </w:r>
    </w:p>
    <w:tbl>
      <w:tblPr>
        <w:tblStyle w:val="47"/>
        <w:tblW w:w="9330"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908"/>
        <w:gridCol w:w="1837"/>
        <w:gridCol w:w="301"/>
        <w:gridCol w:w="1409"/>
        <w:gridCol w:w="2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920" w:type="dxa"/>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项目名称及编号</w:t>
            </w:r>
          </w:p>
        </w:tc>
        <w:tc>
          <w:tcPr>
            <w:tcW w:w="7410" w:type="dxa"/>
            <w:gridSpan w:val="5"/>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霍尔果斯市                   项目</w:t>
            </w:r>
          </w:p>
          <w:p>
            <w:pPr>
              <w:pStyle w:val="18"/>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HEGSCG-20   -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920" w:type="dxa"/>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验收单位</w:t>
            </w:r>
          </w:p>
        </w:tc>
        <w:tc>
          <w:tcPr>
            <w:tcW w:w="3046" w:type="dxa"/>
            <w:gridSpan w:val="3"/>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p>
        </w:tc>
        <w:tc>
          <w:tcPr>
            <w:tcW w:w="1409" w:type="dxa"/>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交货单位</w:t>
            </w:r>
          </w:p>
        </w:tc>
        <w:tc>
          <w:tcPr>
            <w:tcW w:w="2955" w:type="dxa"/>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920" w:type="dxa"/>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验收人</w:t>
            </w:r>
          </w:p>
        </w:tc>
        <w:tc>
          <w:tcPr>
            <w:tcW w:w="3046" w:type="dxa"/>
            <w:gridSpan w:val="3"/>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p>
        </w:tc>
        <w:tc>
          <w:tcPr>
            <w:tcW w:w="1409" w:type="dxa"/>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交货人</w:t>
            </w:r>
          </w:p>
        </w:tc>
        <w:tc>
          <w:tcPr>
            <w:tcW w:w="2955" w:type="dxa"/>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920" w:type="dxa"/>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联系电话</w:t>
            </w:r>
          </w:p>
        </w:tc>
        <w:tc>
          <w:tcPr>
            <w:tcW w:w="3046" w:type="dxa"/>
            <w:gridSpan w:val="3"/>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p>
        </w:tc>
        <w:tc>
          <w:tcPr>
            <w:tcW w:w="1409" w:type="dxa"/>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联系电话</w:t>
            </w:r>
          </w:p>
        </w:tc>
        <w:tc>
          <w:tcPr>
            <w:tcW w:w="2955" w:type="dxa"/>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828" w:type="dxa"/>
            <w:gridSpan w:val="2"/>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提供服务名称</w:t>
            </w:r>
          </w:p>
        </w:tc>
        <w:tc>
          <w:tcPr>
            <w:tcW w:w="2138" w:type="dxa"/>
            <w:gridSpan w:val="2"/>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数量（单位）</w:t>
            </w:r>
          </w:p>
        </w:tc>
        <w:tc>
          <w:tcPr>
            <w:tcW w:w="4364" w:type="dxa"/>
            <w:gridSpan w:val="2"/>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相关服务要求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828" w:type="dxa"/>
            <w:gridSpan w:val="2"/>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p>
        </w:tc>
        <w:tc>
          <w:tcPr>
            <w:tcW w:w="2138" w:type="dxa"/>
            <w:gridSpan w:val="2"/>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p>
        </w:tc>
        <w:tc>
          <w:tcPr>
            <w:tcW w:w="4364" w:type="dxa"/>
            <w:gridSpan w:val="2"/>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828" w:type="dxa"/>
            <w:gridSpan w:val="2"/>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p>
        </w:tc>
        <w:tc>
          <w:tcPr>
            <w:tcW w:w="2138" w:type="dxa"/>
            <w:gridSpan w:val="2"/>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p>
        </w:tc>
        <w:tc>
          <w:tcPr>
            <w:tcW w:w="4364" w:type="dxa"/>
            <w:gridSpan w:val="2"/>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828" w:type="dxa"/>
            <w:gridSpan w:val="2"/>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p>
        </w:tc>
        <w:tc>
          <w:tcPr>
            <w:tcW w:w="2138" w:type="dxa"/>
            <w:gridSpan w:val="2"/>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p>
        </w:tc>
        <w:tc>
          <w:tcPr>
            <w:tcW w:w="4364" w:type="dxa"/>
            <w:gridSpan w:val="2"/>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828" w:type="dxa"/>
            <w:gridSpan w:val="2"/>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p>
        </w:tc>
        <w:tc>
          <w:tcPr>
            <w:tcW w:w="2138" w:type="dxa"/>
            <w:gridSpan w:val="2"/>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p>
        </w:tc>
        <w:tc>
          <w:tcPr>
            <w:tcW w:w="4364" w:type="dxa"/>
            <w:gridSpan w:val="2"/>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828" w:type="dxa"/>
            <w:gridSpan w:val="2"/>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p>
        </w:tc>
        <w:tc>
          <w:tcPr>
            <w:tcW w:w="2138" w:type="dxa"/>
            <w:gridSpan w:val="2"/>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p>
        </w:tc>
        <w:tc>
          <w:tcPr>
            <w:tcW w:w="4364" w:type="dxa"/>
            <w:gridSpan w:val="2"/>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828" w:type="dxa"/>
            <w:gridSpan w:val="2"/>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138" w:type="dxa"/>
            <w:gridSpan w:val="2"/>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4364" w:type="dxa"/>
            <w:gridSpan w:val="2"/>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2828" w:type="dxa"/>
            <w:gridSpan w:val="2"/>
            <w:tcBorders>
              <w:bottom w:val="single" w:color="auto" w:sz="4" w:space="0"/>
            </w:tcBorders>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验收情况</w:t>
            </w:r>
          </w:p>
        </w:tc>
        <w:tc>
          <w:tcPr>
            <w:tcW w:w="6502" w:type="dxa"/>
            <w:gridSpan w:val="4"/>
            <w:tcBorders>
              <w:bottom w:val="single" w:color="auto" w:sz="4" w:space="0"/>
            </w:tcBorders>
            <w:vAlign w:val="center"/>
          </w:tcPr>
          <w:p>
            <w:pPr>
              <w:pStyle w:val="18"/>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4665" w:type="dxa"/>
            <w:gridSpan w:val="3"/>
            <w:tcBorders>
              <w:top w:val="single" w:color="auto" w:sz="4" w:space="0"/>
              <w:left w:val="single" w:color="auto" w:sz="4" w:space="0"/>
              <w:bottom w:val="single" w:color="auto" w:sz="4" w:space="0"/>
              <w:right w:val="single" w:color="auto" w:sz="4" w:space="0"/>
            </w:tcBorders>
            <w:vAlign w:val="center"/>
          </w:tcPr>
          <w:p>
            <w:pPr>
              <w:pStyle w:val="18"/>
              <w:snapToGri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验收单位（盖章）：</w:t>
            </w:r>
          </w:p>
          <w:p>
            <w:pPr>
              <w:pStyle w:val="18"/>
              <w:snapToGrid w:val="0"/>
              <w:spacing w:line="380" w:lineRule="exact"/>
              <w:jc w:val="center"/>
              <w:rPr>
                <w:rFonts w:ascii="宋体" w:hAnsi="宋体"/>
                <w:color w:val="000000" w:themeColor="text1"/>
                <w:szCs w:val="21"/>
                <w14:textFill>
                  <w14:solidFill>
                    <w14:schemeClr w14:val="tx1"/>
                  </w14:solidFill>
                </w14:textFill>
              </w:rPr>
            </w:pPr>
          </w:p>
          <w:p>
            <w:pPr>
              <w:pStyle w:val="18"/>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w:t>
            </w:r>
          </w:p>
        </w:tc>
        <w:tc>
          <w:tcPr>
            <w:tcW w:w="4665" w:type="dxa"/>
            <w:gridSpan w:val="3"/>
            <w:tcBorders>
              <w:top w:val="single" w:color="auto" w:sz="4" w:space="0"/>
              <w:left w:val="single" w:color="auto" w:sz="4" w:space="0"/>
              <w:bottom w:val="single" w:color="auto" w:sz="4" w:space="0"/>
              <w:right w:val="single" w:color="auto" w:sz="4" w:space="0"/>
            </w:tcBorders>
            <w:vAlign w:val="center"/>
          </w:tcPr>
          <w:p>
            <w:pPr>
              <w:pStyle w:val="18"/>
              <w:snapToGri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交货单位（盖章）：</w:t>
            </w:r>
          </w:p>
          <w:p>
            <w:pPr>
              <w:pStyle w:val="18"/>
              <w:snapToGrid w:val="0"/>
              <w:spacing w:line="380" w:lineRule="exact"/>
              <w:jc w:val="center"/>
              <w:rPr>
                <w:rFonts w:ascii="宋体" w:hAnsi="宋体"/>
                <w:color w:val="000000" w:themeColor="text1"/>
                <w:szCs w:val="21"/>
                <w14:textFill>
                  <w14:solidFill>
                    <w14:schemeClr w14:val="tx1"/>
                  </w14:solidFill>
                </w14:textFill>
              </w:rPr>
            </w:pPr>
          </w:p>
          <w:p>
            <w:pPr>
              <w:pStyle w:val="18"/>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w:t>
            </w:r>
          </w:p>
        </w:tc>
      </w:tr>
    </w:tbl>
    <w:p>
      <w:pPr>
        <w:ind w:firstLine="630" w:firstLineChars="300"/>
        <w:outlineLvl w:val="0"/>
        <w:rPr>
          <w:rFonts w:ascii="宋体" w:hAnsi="宋体"/>
          <w:color w:val="000000" w:themeColor="text1"/>
          <w:szCs w:val="21"/>
          <w14:textFill>
            <w14:solidFill>
              <w14:schemeClr w14:val="tx1"/>
            </w14:solidFill>
          </w14:textFill>
        </w:rPr>
      </w:pPr>
    </w:p>
    <w:p>
      <w:pPr>
        <w:outlineLvl w:val="0"/>
        <w:rPr>
          <w:rFonts w:ascii="宋体" w:hAnsi="宋体"/>
          <w:color w:val="000000" w:themeColor="text1"/>
          <w:szCs w:val="21"/>
          <w14:textFill>
            <w14:solidFill>
              <w14:schemeClr w14:val="tx1"/>
            </w14:solidFill>
          </w14:textFill>
        </w:rPr>
        <w:sectPr>
          <w:footerReference r:id="rId17" w:type="first"/>
          <w:headerReference r:id="rId15" w:type="default"/>
          <w:footerReference r:id="rId16" w:type="default"/>
          <w:pgSz w:w="11906" w:h="16838"/>
          <w:pgMar w:top="1134" w:right="1134" w:bottom="1134" w:left="1418" w:header="851" w:footer="992" w:gutter="0"/>
          <w:pgBorders>
            <w:top w:val="none" w:sz="0" w:space="0"/>
            <w:left w:val="none" w:sz="0" w:space="0"/>
            <w:bottom w:val="none" w:sz="0" w:space="0"/>
            <w:right w:val="none" w:sz="0" w:space="0"/>
          </w:pgBorders>
          <w:cols w:space="720" w:num="1"/>
          <w:docGrid w:type="lines" w:linePitch="333" w:charSpace="0"/>
        </w:sectPr>
      </w:pPr>
      <w:r>
        <w:rPr>
          <w:rFonts w:hint="eastAsia" w:ascii="宋体" w:hAnsi="宋体"/>
          <w:color w:val="000000" w:themeColor="text1"/>
          <w:szCs w:val="21"/>
          <w14:textFill>
            <w14:solidFill>
              <w14:schemeClr w14:val="tx1"/>
            </w14:solidFill>
          </w14:textFill>
        </w:rPr>
        <w:t>备注：本验收书一式四份，采购单位、中标供应商各一份，并报送采购办、采购中心留档</w:t>
      </w:r>
    </w:p>
    <w:p>
      <w:pPr>
        <w:numPr>
          <w:ilvl w:val="0"/>
          <w:numId w:val="5"/>
        </w:numPr>
        <w:jc w:val="center"/>
        <w:outlineLvl w:val="0"/>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采购需求</w:t>
      </w:r>
    </w:p>
    <w:tbl>
      <w:tblPr>
        <w:tblStyle w:val="48"/>
        <w:tblpPr w:leftFromText="180" w:rightFromText="180" w:vertAnchor="text" w:horzAnchor="page" w:tblpX="1572" w:tblpY="244"/>
        <w:tblOverlap w:val="never"/>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261"/>
        <w:gridCol w:w="1408"/>
        <w:gridCol w:w="8501"/>
        <w:gridCol w:w="853"/>
        <w:gridCol w:w="773"/>
        <w:gridCol w:w="6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7"/>
            <w:tcBorders>
              <w:tl2br w:val="nil"/>
              <w:tr2bl w:val="nil"/>
            </w:tcBorders>
            <w:vAlign w:val="center"/>
          </w:tcPr>
          <w:p>
            <w:pPr>
              <w:widowControl/>
              <w:jc w:val="left"/>
              <w:textAlignment w:val="center"/>
              <w:rPr>
                <w:rFonts w:hint="eastAsia" w:ascii="黑体" w:hAnsi="黑体" w:eastAsia="黑体" w:cs="黑体"/>
                <w:color w:val="000000"/>
                <w:sz w:val="20"/>
                <w:szCs w:val="20"/>
                <w:lang w:eastAsia="zh-CN" w:bidi="ar"/>
              </w:rPr>
            </w:pPr>
            <w:bookmarkStart w:id="195" w:name="_Toc474235955"/>
            <w:r>
              <w:rPr>
                <w:rFonts w:hint="eastAsia" w:ascii="黑体" w:hAnsi="黑体" w:eastAsia="黑体" w:cs="黑体"/>
                <w:sz w:val="20"/>
                <w:szCs w:val="20"/>
                <w:highlight w:val="yellow"/>
                <w:lang w:val="en-US" w:eastAsia="zh-CN"/>
              </w:rPr>
              <w:t>标项：霍尔果斯市技工学校实训设备采购项目（标段三）</w:t>
            </w:r>
          </w:p>
        </w:tc>
      </w:tr>
      <w:bookmarkEnd w:id="193"/>
      <w:bookmarkEnd w:id="194"/>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序号</w:t>
            </w:r>
          </w:p>
        </w:tc>
        <w:tc>
          <w:tcPr>
            <w:tcW w:w="445" w:type="pct"/>
            <w:tcBorders>
              <w:tl2br w:val="nil"/>
              <w:tr2bl w:val="nil"/>
            </w:tcBorders>
            <w:vAlign w:val="center"/>
          </w:tcPr>
          <w:p>
            <w:pPr>
              <w:widowControl/>
              <w:jc w:val="center"/>
              <w:textAlignment w:val="center"/>
              <w:rPr>
                <w:rFonts w:hint="default"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标的物名称</w:t>
            </w:r>
          </w:p>
        </w:tc>
        <w:tc>
          <w:tcPr>
            <w:tcW w:w="497" w:type="pct"/>
            <w:tcBorders>
              <w:tl2br w:val="nil"/>
              <w:tr2bl w:val="nil"/>
            </w:tcBorders>
            <w:vAlign w:val="center"/>
          </w:tcPr>
          <w:p>
            <w:pPr>
              <w:widowControl/>
              <w:jc w:val="center"/>
              <w:textAlignment w:val="center"/>
              <w:rPr>
                <w:rFonts w:hint="default"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标的物所属行业</w:t>
            </w:r>
          </w:p>
        </w:tc>
        <w:tc>
          <w:tcPr>
            <w:tcW w:w="3001"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技术参数</w:t>
            </w:r>
          </w:p>
        </w:tc>
        <w:tc>
          <w:tcPr>
            <w:tcW w:w="301"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数量</w:t>
            </w:r>
          </w:p>
        </w:tc>
        <w:tc>
          <w:tcPr>
            <w:tcW w:w="272"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单位</w:t>
            </w:r>
          </w:p>
        </w:tc>
        <w:tc>
          <w:tcPr>
            <w:tcW w:w="240"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1</w:t>
            </w:r>
          </w:p>
        </w:tc>
        <w:tc>
          <w:tcPr>
            <w:tcW w:w="445"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无线RF手持终端</w:t>
            </w:r>
          </w:p>
        </w:tc>
        <w:tc>
          <w:tcPr>
            <w:tcW w:w="497" w:type="pct"/>
            <w:tcBorders>
              <w:tl2br w:val="nil"/>
              <w:tr2bl w:val="nil"/>
            </w:tcBorders>
            <w:vAlign w:val="center"/>
          </w:tcPr>
          <w:p>
            <w:pPr>
              <w:widowControl/>
              <w:jc w:val="center"/>
              <w:textAlignment w:val="center"/>
              <w:rPr>
                <w:rFonts w:hint="default"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工业</w:t>
            </w:r>
          </w:p>
        </w:tc>
        <w:tc>
          <w:tcPr>
            <w:tcW w:w="3001" w:type="pct"/>
            <w:tcBorders>
              <w:tl2br w:val="nil"/>
              <w:tr2bl w:val="nil"/>
            </w:tcBorders>
            <w:vAlign w:val="center"/>
          </w:tcPr>
          <w:p>
            <w:pPr>
              <w:widowControl/>
              <w:spacing w:line="300" w:lineRule="exact"/>
              <w:jc w:val="left"/>
              <w:rPr>
                <w:rFonts w:hint="eastAsia" w:ascii="黑体" w:hAnsi="黑体" w:eastAsia="黑体" w:cs="黑体"/>
                <w:sz w:val="20"/>
                <w:szCs w:val="20"/>
              </w:rPr>
            </w:pPr>
            <w:r>
              <w:rPr>
                <w:rFonts w:hint="eastAsia" w:ascii="黑体" w:hAnsi="黑体" w:eastAsia="黑体" w:cs="黑体"/>
                <w:sz w:val="20"/>
                <w:szCs w:val="20"/>
              </w:rPr>
              <w:t>1.CPU：≥Cortex™-A53 八核1.8GHz  ；</w:t>
            </w:r>
          </w:p>
          <w:p>
            <w:pPr>
              <w:widowControl/>
              <w:spacing w:line="300" w:lineRule="exact"/>
              <w:jc w:val="left"/>
              <w:rPr>
                <w:rFonts w:hint="eastAsia" w:ascii="黑体" w:hAnsi="黑体" w:eastAsia="黑体" w:cs="黑体"/>
                <w:sz w:val="20"/>
                <w:szCs w:val="20"/>
              </w:rPr>
            </w:pPr>
            <w:r>
              <w:rPr>
                <w:rFonts w:hint="eastAsia" w:ascii="黑体" w:hAnsi="黑体" w:eastAsia="黑体" w:cs="黑体"/>
                <w:sz w:val="20"/>
                <w:szCs w:val="20"/>
              </w:rPr>
              <w:t>2.操作系统：≥Android9.0；</w:t>
            </w:r>
          </w:p>
          <w:p>
            <w:pPr>
              <w:widowControl/>
              <w:spacing w:line="300" w:lineRule="exact"/>
              <w:jc w:val="left"/>
              <w:rPr>
                <w:rFonts w:hint="eastAsia" w:ascii="黑体" w:hAnsi="黑体" w:eastAsia="黑体" w:cs="黑体"/>
                <w:sz w:val="20"/>
                <w:szCs w:val="20"/>
              </w:rPr>
            </w:pPr>
            <w:r>
              <w:rPr>
                <w:rFonts w:hint="eastAsia" w:ascii="黑体" w:hAnsi="黑体" w:eastAsia="黑体" w:cs="黑体"/>
                <w:sz w:val="20"/>
                <w:szCs w:val="20"/>
              </w:rPr>
              <w:t>3.RAM：≥3GB；</w:t>
            </w:r>
          </w:p>
          <w:p>
            <w:pPr>
              <w:widowControl/>
              <w:spacing w:line="300" w:lineRule="exact"/>
              <w:jc w:val="left"/>
              <w:rPr>
                <w:rFonts w:hint="eastAsia" w:ascii="黑体" w:hAnsi="黑体" w:eastAsia="黑体" w:cs="黑体"/>
                <w:sz w:val="20"/>
                <w:szCs w:val="20"/>
              </w:rPr>
            </w:pPr>
            <w:r>
              <w:rPr>
                <w:rFonts w:hint="eastAsia" w:ascii="黑体" w:hAnsi="黑体" w:eastAsia="黑体" w:cs="黑体"/>
                <w:sz w:val="20"/>
                <w:szCs w:val="20"/>
              </w:rPr>
              <w:t>4.ROM：≥16GB；</w:t>
            </w:r>
          </w:p>
          <w:p>
            <w:pPr>
              <w:widowControl/>
              <w:spacing w:line="300" w:lineRule="exact"/>
              <w:jc w:val="left"/>
              <w:rPr>
                <w:rFonts w:hint="eastAsia" w:ascii="黑体" w:hAnsi="黑体" w:eastAsia="黑体" w:cs="黑体"/>
                <w:sz w:val="20"/>
                <w:szCs w:val="20"/>
              </w:rPr>
            </w:pPr>
            <w:r>
              <w:rPr>
                <w:rFonts w:hint="eastAsia" w:ascii="黑体" w:hAnsi="黑体" w:eastAsia="黑体" w:cs="黑体"/>
                <w:sz w:val="20"/>
                <w:szCs w:val="20"/>
              </w:rPr>
              <w:t>5.Micro SD Card最大兼容32G，支持USB2.0， HighSpeed，支持OTG；</w:t>
            </w:r>
          </w:p>
          <w:p>
            <w:pPr>
              <w:widowControl/>
              <w:spacing w:line="300" w:lineRule="exact"/>
              <w:jc w:val="left"/>
              <w:rPr>
                <w:rFonts w:hint="eastAsia" w:ascii="黑体" w:hAnsi="黑体" w:eastAsia="黑体" w:cs="黑体"/>
                <w:sz w:val="20"/>
                <w:szCs w:val="20"/>
                <w:lang w:eastAsia="zh-CN"/>
              </w:rPr>
            </w:pPr>
            <w:r>
              <w:rPr>
                <w:rFonts w:hint="eastAsia" w:ascii="黑体" w:hAnsi="黑体" w:eastAsia="黑体" w:cs="黑体"/>
                <w:sz w:val="20"/>
                <w:szCs w:val="20"/>
                <w:lang w:eastAsia="zh-CN"/>
              </w:rPr>
              <w:t>6.键盘：31键，LED透光（主键盘按键带背光）；</w:t>
            </w:r>
          </w:p>
          <w:p>
            <w:pPr>
              <w:widowControl/>
              <w:spacing w:line="300" w:lineRule="exact"/>
              <w:jc w:val="left"/>
              <w:rPr>
                <w:rFonts w:hint="eastAsia" w:ascii="黑体" w:hAnsi="黑体" w:eastAsia="黑体" w:cs="黑体"/>
                <w:sz w:val="20"/>
                <w:szCs w:val="20"/>
                <w:lang w:eastAsia="zh-CN"/>
              </w:rPr>
            </w:pPr>
            <w:r>
              <w:rPr>
                <w:rFonts w:hint="eastAsia" w:ascii="黑体" w:hAnsi="黑体" w:eastAsia="黑体" w:cs="黑体"/>
                <w:sz w:val="20"/>
                <w:szCs w:val="20"/>
                <w:lang w:eastAsia="zh-CN"/>
              </w:rPr>
              <w:t>7.显示屏幕：4英寸工业级耐低温电容式触摸屏,支持戴手套/带水触摸；</w:t>
            </w:r>
          </w:p>
          <w:p>
            <w:pPr>
              <w:widowControl/>
              <w:spacing w:line="300" w:lineRule="exact"/>
              <w:jc w:val="left"/>
              <w:rPr>
                <w:rFonts w:hint="eastAsia" w:ascii="黑体" w:hAnsi="黑体" w:eastAsia="黑体" w:cs="黑体"/>
                <w:sz w:val="20"/>
                <w:szCs w:val="20"/>
                <w:lang w:eastAsia="zh-CN"/>
              </w:rPr>
            </w:pPr>
            <w:r>
              <w:rPr>
                <w:rFonts w:hint="eastAsia" w:ascii="黑体" w:hAnsi="黑体" w:eastAsia="黑体" w:cs="黑体"/>
                <w:sz w:val="20"/>
                <w:szCs w:val="20"/>
                <w:lang w:eastAsia="zh-CN"/>
              </w:rPr>
              <w:t>8.电池：≥5500毫安，可拆卸3.7V锂离子充电电池；</w:t>
            </w:r>
          </w:p>
          <w:p>
            <w:pPr>
              <w:widowControl/>
              <w:spacing w:line="300" w:lineRule="exact"/>
              <w:jc w:val="left"/>
              <w:rPr>
                <w:rFonts w:hint="eastAsia" w:ascii="黑体" w:hAnsi="黑体" w:eastAsia="黑体" w:cs="黑体"/>
                <w:sz w:val="20"/>
                <w:szCs w:val="20"/>
                <w:lang w:eastAsia="zh-CN"/>
              </w:rPr>
            </w:pPr>
            <w:r>
              <w:rPr>
                <w:rFonts w:hint="eastAsia" w:ascii="黑体" w:hAnsi="黑体" w:eastAsia="黑体" w:cs="黑体"/>
                <w:sz w:val="20"/>
                <w:szCs w:val="20"/>
                <w:lang w:eastAsia="zh-CN"/>
              </w:rPr>
              <w:t>9.扬声器、麦克风：内置扬声器，内置麦克风；</w:t>
            </w:r>
          </w:p>
          <w:p>
            <w:pPr>
              <w:widowControl/>
              <w:spacing w:line="300" w:lineRule="exact"/>
              <w:jc w:val="left"/>
              <w:rPr>
                <w:rFonts w:hint="eastAsia" w:ascii="黑体" w:hAnsi="黑体" w:eastAsia="黑体" w:cs="黑体"/>
                <w:sz w:val="20"/>
                <w:szCs w:val="20"/>
                <w:lang w:eastAsia="zh-CN"/>
              </w:rPr>
            </w:pPr>
            <w:r>
              <w:rPr>
                <w:rFonts w:hint="eastAsia" w:ascii="黑体" w:hAnsi="黑体" w:eastAsia="黑体" w:cs="黑体"/>
                <w:sz w:val="20"/>
                <w:szCs w:val="20"/>
                <w:lang w:eastAsia="zh-CN"/>
              </w:rPr>
              <w:t>10.防水防尘工业等级：IP65；</w:t>
            </w:r>
          </w:p>
          <w:p>
            <w:pPr>
              <w:widowControl/>
              <w:spacing w:line="300" w:lineRule="exact"/>
              <w:jc w:val="left"/>
              <w:rPr>
                <w:rFonts w:hint="eastAsia" w:ascii="黑体" w:hAnsi="黑体" w:eastAsia="黑体" w:cs="黑体"/>
                <w:sz w:val="20"/>
                <w:szCs w:val="20"/>
                <w:lang w:eastAsia="zh-CN"/>
              </w:rPr>
            </w:pPr>
            <w:r>
              <w:rPr>
                <w:rFonts w:hint="eastAsia" w:ascii="黑体" w:hAnsi="黑体" w:eastAsia="黑体" w:cs="黑体"/>
                <w:sz w:val="20"/>
                <w:szCs w:val="20"/>
                <w:lang w:eastAsia="zh-CN"/>
              </w:rPr>
              <w:t>11.最大分辨率：3264 * 2448（拍照），1080P 60fps（摄像）自动对焦 1300万像素；</w:t>
            </w:r>
          </w:p>
          <w:p>
            <w:pPr>
              <w:widowControl/>
              <w:spacing w:line="300" w:lineRule="exact"/>
              <w:jc w:val="left"/>
              <w:rPr>
                <w:rFonts w:hint="eastAsia" w:ascii="黑体" w:hAnsi="黑体" w:eastAsia="黑体" w:cs="黑体"/>
                <w:kern w:val="2"/>
                <w:sz w:val="20"/>
                <w:szCs w:val="20"/>
                <w:lang w:eastAsia="zh-CN"/>
              </w:rPr>
            </w:pPr>
            <w:r>
              <w:rPr>
                <w:rFonts w:hint="eastAsia" w:ascii="黑体" w:hAnsi="黑体" w:eastAsia="黑体" w:cs="黑体"/>
                <w:sz w:val="20"/>
                <w:szCs w:val="20"/>
              </w:rPr>
              <w:t>12.通讯协议：IEEE 802.11a/b/g/n/ac（2.4G/5G双频WIFI）。</w:t>
            </w:r>
          </w:p>
        </w:tc>
        <w:tc>
          <w:tcPr>
            <w:tcW w:w="301"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5</w:t>
            </w:r>
          </w:p>
        </w:tc>
        <w:tc>
          <w:tcPr>
            <w:tcW w:w="272"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台</w:t>
            </w:r>
          </w:p>
        </w:tc>
        <w:tc>
          <w:tcPr>
            <w:tcW w:w="240"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2</w:t>
            </w:r>
          </w:p>
        </w:tc>
        <w:tc>
          <w:tcPr>
            <w:tcW w:w="445"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无线AP</w:t>
            </w:r>
          </w:p>
        </w:tc>
        <w:tc>
          <w:tcPr>
            <w:tcW w:w="497" w:type="pct"/>
            <w:tcBorders>
              <w:tl2br w:val="nil"/>
              <w:tr2bl w:val="nil"/>
            </w:tcBorders>
            <w:vAlign w:val="center"/>
          </w:tcPr>
          <w:p>
            <w:pPr>
              <w:widowControl/>
              <w:jc w:val="center"/>
              <w:textAlignment w:val="center"/>
              <w:rPr>
                <w:rFonts w:hint="default"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工业</w:t>
            </w:r>
          </w:p>
        </w:tc>
        <w:tc>
          <w:tcPr>
            <w:tcW w:w="3001" w:type="pct"/>
            <w:tcBorders>
              <w:tl2br w:val="nil"/>
              <w:tr2bl w:val="nil"/>
            </w:tcBorders>
            <w:vAlign w:val="center"/>
          </w:tcPr>
          <w:p>
            <w:pPr>
              <w:widowControl/>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1.传输速率：2.4GHz：1148Mbps；5GHz：4804Mbps；</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2.网络接口：1个10/100/1000M RJ45 LAN端口；1个USB接口；</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3.天线类型：外置天线。</w:t>
            </w:r>
          </w:p>
        </w:tc>
        <w:tc>
          <w:tcPr>
            <w:tcW w:w="301"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1</w:t>
            </w:r>
          </w:p>
        </w:tc>
        <w:tc>
          <w:tcPr>
            <w:tcW w:w="272"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台</w:t>
            </w:r>
          </w:p>
        </w:tc>
        <w:tc>
          <w:tcPr>
            <w:tcW w:w="240" w:type="pct"/>
            <w:tcBorders>
              <w:tl2br w:val="nil"/>
              <w:tr2bl w:val="nil"/>
            </w:tcBorders>
            <w:vAlign w:val="center"/>
          </w:tcPr>
          <w:p>
            <w:pPr>
              <w:widowControl w:val="0"/>
              <w:jc w:val="center"/>
              <w:rPr>
                <w:rFonts w:hint="eastAsia" w:ascii="黑体" w:hAnsi="黑体" w:eastAsia="黑体" w:cs="黑体"/>
                <w:color w:val="000000"/>
                <w:sz w:val="20"/>
                <w:szCs w:val="20"/>
                <w:lang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3</w:t>
            </w:r>
          </w:p>
        </w:tc>
        <w:tc>
          <w:tcPr>
            <w:tcW w:w="445"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托盘货架</w:t>
            </w:r>
          </w:p>
        </w:tc>
        <w:tc>
          <w:tcPr>
            <w:tcW w:w="497" w:type="pct"/>
            <w:tcBorders>
              <w:tl2br w:val="nil"/>
              <w:tr2bl w:val="nil"/>
            </w:tcBorders>
            <w:vAlign w:val="center"/>
          </w:tcPr>
          <w:p>
            <w:pPr>
              <w:widowControl/>
              <w:jc w:val="center"/>
              <w:textAlignment w:val="center"/>
              <w:rPr>
                <w:rFonts w:hint="default"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工业</w:t>
            </w:r>
          </w:p>
        </w:tc>
        <w:tc>
          <w:tcPr>
            <w:tcW w:w="3001" w:type="pct"/>
            <w:tcBorders>
              <w:tl2br w:val="nil"/>
              <w:tr2bl w:val="nil"/>
            </w:tcBorders>
            <w:vAlign w:val="center"/>
          </w:tcPr>
          <w:p>
            <w:pPr>
              <w:widowControl/>
              <w:spacing w:line="300" w:lineRule="exact"/>
              <w:jc w:val="left"/>
              <w:rPr>
                <w:rFonts w:hint="eastAsia" w:ascii="黑体" w:hAnsi="黑体" w:eastAsia="黑体" w:cs="黑体"/>
                <w:sz w:val="20"/>
                <w:szCs w:val="20"/>
                <w:lang w:eastAsia="zh-CN"/>
              </w:rPr>
            </w:pPr>
            <w:r>
              <w:rPr>
                <w:rFonts w:hint="eastAsia" w:ascii="黑体" w:hAnsi="黑体" w:eastAsia="黑体" w:cs="黑体"/>
                <w:sz w:val="20"/>
                <w:szCs w:val="20"/>
                <w:lang w:eastAsia="zh-CN"/>
              </w:rPr>
              <w:t>1.规格：约2480*800*4200mm；</w:t>
            </w:r>
          </w:p>
          <w:p>
            <w:pPr>
              <w:widowControl/>
              <w:spacing w:line="300" w:lineRule="exact"/>
              <w:jc w:val="left"/>
              <w:rPr>
                <w:rFonts w:hint="eastAsia" w:ascii="黑体" w:hAnsi="黑体" w:eastAsia="黑体" w:cs="黑体"/>
                <w:sz w:val="20"/>
                <w:szCs w:val="20"/>
                <w:lang w:eastAsia="zh-CN"/>
              </w:rPr>
            </w:pPr>
            <w:r>
              <w:rPr>
                <w:rFonts w:hint="eastAsia" w:ascii="黑体" w:hAnsi="黑体" w:eastAsia="黑体" w:cs="黑体"/>
                <w:sz w:val="20"/>
                <w:szCs w:val="20"/>
                <w:lang w:eastAsia="zh-CN"/>
              </w:rPr>
              <w:t>2.层数：3层（地面一层＋三层横梁）；</w:t>
            </w:r>
          </w:p>
          <w:p>
            <w:pPr>
              <w:widowControl/>
              <w:spacing w:line="300" w:lineRule="exact"/>
              <w:jc w:val="left"/>
              <w:rPr>
                <w:rFonts w:hint="eastAsia" w:ascii="黑体" w:hAnsi="黑体" w:eastAsia="黑体" w:cs="黑体"/>
                <w:sz w:val="20"/>
                <w:szCs w:val="20"/>
                <w:lang w:eastAsia="zh-CN"/>
              </w:rPr>
            </w:pPr>
            <w:r>
              <w:rPr>
                <w:rFonts w:hint="eastAsia" w:ascii="黑体" w:hAnsi="黑体" w:eastAsia="黑体" w:cs="黑体"/>
                <w:sz w:val="20"/>
                <w:szCs w:val="20"/>
                <w:lang w:eastAsia="zh-CN"/>
              </w:rPr>
              <w:t>3.材质：优质钢材+静电喷塑+酸洗+磷化处理；</w:t>
            </w:r>
          </w:p>
          <w:p>
            <w:pPr>
              <w:widowControl/>
              <w:spacing w:line="300" w:lineRule="exact"/>
              <w:jc w:val="left"/>
              <w:rPr>
                <w:rFonts w:hint="eastAsia" w:ascii="黑体" w:hAnsi="黑体" w:eastAsia="黑体" w:cs="黑体"/>
                <w:sz w:val="20"/>
                <w:szCs w:val="20"/>
                <w:lang w:eastAsia="zh-CN"/>
              </w:rPr>
            </w:pPr>
            <w:r>
              <w:rPr>
                <w:rFonts w:hint="eastAsia" w:ascii="黑体" w:hAnsi="黑体" w:eastAsia="黑体" w:cs="黑体"/>
                <w:sz w:val="20"/>
                <w:szCs w:val="20"/>
                <w:lang w:eastAsia="zh-CN"/>
              </w:rPr>
              <w:t>4.单元承重：≥1吨；</w:t>
            </w:r>
          </w:p>
          <w:p>
            <w:pPr>
              <w:widowControl/>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sz w:val="20"/>
                <w:szCs w:val="20"/>
                <w:lang w:eastAsia="zh-CN"/>
              </w:rPr>
              <w:t>5.适用托盘尺寸：1200×1000×160mm左右。</w:t>
            </w:r>
          </w:p>
        </w:tc>
        <w:tc>
          <w:tcPr>
            <w:tcW w:w="301"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6</w:t>
            </w:r>
          </w:p>
        </w:tc>
        <w:tc>
          <w:tcPr>
            <w:tcW w:w="272"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组</w:t>
            </w:r>
          </w:p>
        </w:tc>
        <w:tc>
          <w:tcPr>
            <w:tcW w:w="240"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4</w:t>
            </w:r>
          </w:p>
        </w:tc>
        <w:tc>
          <w:tcPr>
            <w:tcW w:w="445"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流利式货架</w:t>
            </w:r>
          </w:p>
        </w:tc>
        <w:tc>
          <w:tcPr>
            <w:tcW w:w="497" w:type="pct"/>
            <w:tcBorders>
              <w:tl2br w:val="nil"/>
              <w:tr2bl w:val="nil"/>
            </w:tcBorders>
            <w:vAlign w:val="center"/>
          </w:tcPr>
          <w:p>
            <w:pPr>
              <w:widowControl/>
              <w:jc w:val="center"/>
              <w:textAlignment w:val="center"/>
              <w:rPr>
                <w:rFonts w:hint="default"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工业</w:t>
            </w:r>
          </w:p>
        </w:tc>
        <w:tc>
          <w:tcPr>
            <w:tcW w:w="3001" w:type="pct"/>
            <w:tcBorders>
              <w:tl2br w:val="nil"/>
              <w:tr2bl w:val="nil"/>
            </w:tcBorders>
            <w:vAlign w:val="center"/>
          </w:tcPr>
          <w:p>
            <w:pPr>
              <w:widowControl/>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1.规格：约1500×1000×1900mm；</w:t>
            </w:r>
          </w:p>
          <w:p>
            <w:pPr>
              <w:widowControl/>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2.层数：三层横梁；</w:t>
            </w:r>
          </w:p>
          <w:p>
            <w:pPr>
              <w:widowControl/>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3.材质：优质钢材+静电喷塑；</w:t>
            </w:r>
          </w:p>
          <w:p>
            <w:pPr>
              <w:widowControl/>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4.承重：≥50kg；</w:t>
            </w:r>
          </w:p>
          <w:p>
            <w:pPr>
              <w:widowControl/>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5.适用容器尺寸：380*277*145mm左右；</w:t>
            </w:r>
          </w:p>
          <w:p>
            <w:pPr>
              <w:widowControl/>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6.每层三排流利链；倾斜角度可调整，标准为5度左右。前端可安装电子标签辅助拣货设备。</w:t>
            </w:r>
          </w:p>
        </w:tc>
        <w:tc>
          <w:tcPr>
            <w:tcW w:w="301"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4</w:t>
            </w:r>
          </w:p>
        </w:tc>
        <w:tc>
          <w:tcPr>
            <w:tcW w:w="272"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组</w:t>
            </w:r>
          </w:p>
        </w:tc>
        <w:tc>
          <w:tcPr>
            <w:tcW w:w="240"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5</w:t>
            </w:r>
          </w:p>
        </w:tc>
        <w:tc>
          <w:tcPr>
            <w:tcW w:w="445"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电子标签</w:t>
            </w:r>
          </w:p>
        </w:tc>
        <w:tc>
          <w:tcPr>
            <w:tcW w:w="497" w:type="pct"/>
            <w:tcBorders>
              <w:tl2br w:val="nil"/>
              <w:tr2bl w:val="nil"/>
            </w:tcBorders>
            <w:vAlign w:val="center"/>
          </w:tcPr>
          <w:p>
            <w:pPr>
              <w:widowControl/>
              <w:jc w:val="center"/>
              <w:textAlignment w:val="center"/>
              <w:rPr>
                <w:rFonts w:hint="default"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工业</w:t>
            </w:r>
          </w:p>
        </w:tc>
        <w:tc>
          <w:tcPr>
            <w:tcW w:w="3001" w:type="pct"/>
            <w:tcBorders>
              <w:tl2br w:val="nil"/>
              <w:tr2bl w:val="nil"/>
            </w:tcBorders>
            <w:vAlign w:val="center"/>
          </w:tcPr>
          <w:p>
            <w:pPr>
              <w:widowControl/>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一、具体组成</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控制器、完成器、和显示器，12片电子标签以及配套辅助材料等。</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二、设备参数</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1.电子标签：5位数7段式LED显示；至少1个确认按钮及1个功能键，含指示灯；</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2.电压／电流：DC12V／100mA；</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3.工作温度：0℃~4 0℃。</w:t>
            </w:r>
          </w:p>
        </w:tc>
        <w:tc>
          <w:tcPr>
            <w:tcW w:w="301"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1</w:t>
            </w:r>
          </w:p>
        </w:tc>
        <w:tc>
          <w:tcPr>
            <w:tcW w:w="272"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套</w:t>
            </w:r>
          </w:p>
        </w:tc>
        <w:tc>
          <w:tcPr>
            <w:tcW w:w="240"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6</w:t>
            </w:r>
          </w:p>
        </w:tc>
        <w:tc>
          <w:tcPr>
            <w:tcW w:w="445"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无动力辊筒链</w:t>
            </w:r>
          </w:p>
        </w:tc>
        <w:tc>
          <w:tcPr>
            <w:tcW w:w="497" w:type="pct"/>
            <w:tcBorders>
              <w:tl2br w:val="nil"/>
              <w:tr2bl w:val="nil"/>
            </w:tcBorders>
            <w:vAlign w:val="center"/>
          </w:tcPr>
          <w:p>
            <w:pPr>
              <w:widowControl/>
              <w:jc w:val="center"/>
              <w:textAlignment w:val="center"/>
              <w:rPr>
                <w:rFonts w:hint="default"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工业</w:t>
            </w:r>
          </w:p>
        </w:tc>
        <w:tc>
          <w:tcPr>
            <w:tcW w:w="3001" w:type="pct"/>
            <w:tcBorders>
              <w:tl2br w:val="nil"/>
              <w:tr2bl w:val="nil"/>
            </w:tcBorders>
            <w:vAlign w:val="center"/>
          </w:tcPr>
          <w:p>
            <w:pPr>
              <w:widowControl/>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1.辊筒支架：金属方管及铝型材表面烤漆制造；</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2.辊筒：采用直径ф60mm，长度550mm不锈钢辊筒；</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3.整体尺寸：3000×500×750mm左右；</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4.用途：用于同电子标签人工拣选货架配合进行货物分拣。</w:t>
            </w:r>
          </w:p>
        </w:tc>
        <w:tc>
          <w:tcPr>
            <w:tcW w:w="301"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1</w:t>
            </w:r>
          </w:p>
        </w:tc>
        <w:tc>
          <w:tcPr>
            <w:tcW w:w="272"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组</w:t>
            </w:r>
          </w:p>
        </w:tc>
        <w:tc>
          <w:tcPr>
            <w:tcW w:w="240"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7</w:t>
            </w:r>
          </w:p>
        </w:tc>
        <w:tc>
          <w:tcPr>
            <w:tcW w:w="445"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周转箱（可插式）</w:t>
            </w:r>
          </w:p>
        </w:tc>
        <w:tc>
          <w:tcPr>
            <w:tcW w:w="497" w:type="pct"/>
            <w:tcBorders>
              <w:tl2br w:val="nil"/>
              <w:tr2bl w:val="nil"/>
            </w:tcBorders>
            <w:vAlign w:val="center"/>
          </w:tcPr>
          <w:p>
            <w:pPr>
              <w:widowControl/>
              <w:jc w:val="center"/>
              <w:textAlignment w:val="center"/>
              <w:rPr>
                <w:rFonts w:hint="default"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工业</w:t>
            </w:r>
          </w:p>
        </w:tc>
        <w:tc>
          <w:tcPr>
            <w:tcW w:w="3001" w:type="pct"/>
            <w:tcBorders>
              <w:tl2br w:val="nil"/>
              <w:tr2bl w:val="nil"/>
            </w:tcBorders>
            <w:vAlign w:val="center"/>
          </w:tcPr>
          <w:p>
            <w:pPr>
              <w:widowControl/>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1.材料：工程塑料；</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2.尺寸：600mm×400mm×280mm左右；</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3.其他：带盖。</w:t>
            </w:r>
          </w:p>
        </w:tc>
        <w:tc>
          <w:tcPr>
            <w:tcW w:w="301"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12</w:t>
            </w:r>
          </w:p>
        </w:tc>
        <w:tc>
          <w:tcPr>
            <w:tcW w:w="272"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个</w:t>
            </w:r>
          </w:p>
        </w:tc>
        <w:tc>
          <w:tcPr>
            <w:tcW w:w="240"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8</w:t>
            </w:r>
          </w:p>
        </w:tc>
        <w:tc>
          <w:tcPr>
            <w:tcW w:w="445"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物料盒</w:t>
            </w:r>
          </w:p>
        </w:tc>
        <w:tc>
          <w:tcPr>
            <w:tcW w:w="497"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val="en-US" w:eastAsia="zh-CN" w:bidi="ar"/>
              </w:rPr>
              <w:t>工业</w:t>
            </w:r>
          </w:p>
        </w:tc>
        <w:tc>
          <w:tcPr>
            <w:tcW w:w="3001" w:type="pct"/>
            <w:tcBorders>
              <w:tl2br w:val="nil"/>
              <w:tr2bl w:val="nil"/>
            </w:tcBorders>
            <w:vAlign w:val="center"/>
          </w:tcPr>
          <w:p>
            <w:pPr>
              <w:widowControl/>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1.材质：塑料；</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2.尺寸：约380*270*145MM；</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3.用途：用于流利货架补货，拣货和配送。</w:t>
            </w:r>
          </w:p>
        </w:tc>
        <w:tc>
          <w:tcPr>
            <w:tcW w:w="301"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30</w:t>
            </w:r>
          </w:p>
        </w:tc>
        <w:tc>
          <w:tcPr>
            <w:tcW w:w="272"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个</w:t>
            </w:r>
          </w:p>
        </w:tc>
        <w:tc>
          <w:tcPr>
            <w:tcW w:w="240"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9</w:t>
            </w:r>
          </w:p>
        </w:tc>
        <w:tc>
          <w:tcPr>
            <w:tcW w:w="445"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手动搬运车</w:t>
            </w:r>
          </w:p>
        </w:tc>
        <w:tc>
          <w:tcPr>
            <w:tcW w:w="497"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val="en-US" w:eastAsia="zh-CN" w:bidi="ar"/>
              </w:rPr>
              <w:t>工业</w:t>
            </w:r>
          </w:p>
        </w:tc>
        <w:tc>
          <w:tcPr>
            <w:tcW w:w="3001" w:type="pct"/>
            <w:tcBorders>
              <w:tl2br w:val="nil"/>
              <w:tr2bl w:val="nil"/>
            </w:tcBorders>
            <w:vAlign w:val="center"/>
          </w:tcPr>
          <w:p>
            <w:pPr>
              <w:widowControl/>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1.动力：手动；</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2.驾驶方式：步行式；</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3.额定负载：≥2500kg；</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4.货叉尺寸：约160*50 mm；</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5.货叉长度：约1150mm。</w:t>
            </w:r>
          </w:p>
        </w:tc>
        <w:tc>
          <w:tcPr>
            <w:tcW w:w="301" w:type="pct"/>
            <w:tcBorders>
              <w:tl2br w:val="nil"/>
              <w:tr2bl w:val="nil"/>
            </w:tcBorders>
            <w:vAlign w:val="center"/>
          </w:tcPr>
          <w:p>
            <w:pPr>
              <w:widowControl/>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3</w:t>
            </w:r>
          </w:p>
        </w:tc>
        <w:tc>
          <w:tcPr>
            <w:tcW w:w="272"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辆</w:t>
            </w:r>
          </w:p>
        </w:tc>
        <w:tc>
          <w:tcPr>
            <w:tcW w:w="240"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10</w:t>
            </w:r>
          </w:p>
        </w:tc>
        <w:tc>
          <w:tcPr>
            <w:tcW w:w="445"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手推车</w:t>
            </w:r>
          </w:p>
        </w:tc>
        <w:tc>
          <w:tcPr>
            <w:tcW w:w="497"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val="en-US" w:eastAsia="zh-CN" w:bidi="ar"/>
              </w:rPr>
              <w:t>工业</w:t>
            </w:r>
          </w:p>
        </w:tc>
        <w:tc>
          <w:tcPr>
            <w:tcW w:w="3001" w:type="pct"/>
            <w:tcBorders>
              <w:tl2br w:val="nil"/>
              <w:tr2bl w:val="nil"/>
            </w:tcBorders>
            <w:vAlign w:val="center"/>
          </w:tcPr>
          <w:p>
            <w:pPr>
              <w:widowControl/>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1.尺寸：约750*480*80mm；</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2.载重：≥100Kg；</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3.其他：轮式可折叠。</w:t>
            </w:r>
          </w:p>
        </w:tc>
        <w:tc>
          <w:tcPr>
            <w:tcW w:w="301"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4</w:t>
            </w:r>
          </w:p>
        </w:tc>
        <w:tc>
          <w:tcPr>
            <w:tcW w:w="272"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辆</w:t>
            </w:r>
          </w:p>
        </w:tc>
        <w:tc>
          <w:tcPr>
            <w:tcW w:w="240"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11</w:t>
            </w:r>
          </w:p>
        </w:tc>
        <w:tc>
          <w:tcPr>
            <w:tcW w:w="445"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半自动堆高车（液压）</w:t>
            </w:r>
          </w:p>
        </w:tc>
        <w:tc>
          <w:tcPr>
            <w:tcW w:w="497"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val="en-US" w:eastAsia="zh-CN" w:bidi="ar"/>
              </w:rPr>
              <w:t>工业</w:t>
            </w:r>
          </w:p>
        </w:tc>
        <w:tc>
          <w:tcPr>
            <w:tcW w:w="3001" w:type="pct"/>
            <w:tcBorders>
              <w:tl2br w:val="nil"/>
              <w:tr2bl w:val="nil"/>
            </w:tcBorders>
            <w:vAlign w:val="center"/>
          </w:tcPr>
          <w:p>
            <w:pPr>
              <w:widowControl/>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1.动力 ：手动</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2.驾驶方式：步行式</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 xml:space="preserve">3.额定承载能力：≥1000kg        </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 xml:space="preserve">4.载荷中心距：≥600mm        </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5.降低时门架高度：≤1828mm</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6.提升：≥2500mm</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7.门架可延伸高度：≥3066mm</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8.降低时高度：≤82mm</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 xml:space="preserve">9.货叉尺寸s/e/l： 60/160/1150mm </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 xml:space="preserve">10.转弯半径：≤1350 mm  </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11.提升速度 满载/空载：0.08/0.14 m/s</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12.下降速度 满载/空载： 0.11/0.096 m/s</w:t>
            </w:r>
          </w:p>
        </w:tc>
        <w:tc>
          <w:tcPr>
            <w:tcW w:w="301"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2</w:t>
            </w:r>
          </w:p>
        </w:tc>
        <w:tc>
          <w:tcPr>
            <w:tcW w:w="272"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台</w:t>
            </w:r>
          </w:p>
        </w:tc>
        <w:tc>
          <w:tcPr>
            <w:tcW w:w="240"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12</w:t>
            </w:r>
          </w:p>
        </w:tc>
        <w:tc>
          <w:tcPr>
            <w:tcW w:w="445"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条码打印机</w:t>
            </w:r>
          </w:p>
        </w:tc>
        <w:tc>
          <w:tcPr>
            <w:tcW w:w="497" w:type="pct"/>
            <w:tcBorders>
              <w:tl2br w:val="nil"/>
              <w:tr2bl w:val="nil"/>
            </w:tcBorders>
            <w:vAlign w:val="center"/>
          </w:tcPr>
          <w:p>
            <w:pPr>
              <w:widowControl/>
              <w:jc w:val="center"/>
              <w:textAlignment w:val="center"/>
              <w:rPr>
                <w:rFonts w:hint="default"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工业</w:t>
            </w:r>
          </w:p>
        </w:tc>
        <w:tc>
          <w:tcPr>
            <w:tcW w:w="3001" w:type="pct"/>
            <w:tcBorders>
              <w:tl2br w:val="nil"/>
              <w:tr2bl w:val="nil"/>
            </w:tcBorders>
            <w:vAlign w:val="center"/>
          </w:tcPr>
          <w:p>
            <w:pPr>
              <w:widowControl/>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1.打印方式：热转印、热敏</w:t>
            </w:r>
            <w:r>
              <w:rPr>
                <w:rFonts w:hint="eastAsia" w:ascii="黑体" w:hAnsi="黑体" w:eastAsia="黑体" w:cs="黑体"/>
                <w:color w:val="000000"/>
                <w:sz w:val="20"/>
                <w:szCs w:val="20"/>
                <w:lang w:val="en-US" w:eastAsia="zh-CN" w:bidi="ar"/>
              </w:rPr>
              <w:t>打印</w:t>
            </w:r>
            <w:r>
              <w:rPr>
                <w:rFonts w:hint="eastAsia" w:ascii="黑体" w:hAnsi="黑体" w:eastAsia="黑体" w:cs="黑体"/>
                <w:color w:val="000000"/>
                <w:sz w:val="20"/>
                <w:szCs w:val="20"/>
                <w:lang w:eastAsia="zh-CN" w:bidi="ar"/>
              </w:rPr>
              <w:t xml:space="preserve"> ；</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2.打印分辨率：≥203DPI；</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3.打印速度：≥2IPS-5IPS；</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4.最大打印宽度：≥108毫米；</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5.打印长度：15毫米-1200毫米；</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6.通讯接口：USB接口≥1、 串口≥1、 以太网口≥1、选配蓝牙 wifi；</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7.储存器：≥内存32MB、闪存16MB；</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8.可靠性：热写头寿命≥50千米 、切刀寿命≥30万次裁切；</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9.条码规格：条形码code39 code93 code128 codabar interleave2of5,EAN13,UCC/EAN128,UPC-A,UPC–E,PLESSEY,POSTNET,RSS-Stacked,GS1DataBar,code11;</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10.二维码：PDF417 DataMatrix,QR,Code,Aztec。</w:t>
            </w:r>
          </w:p>
        </w:tc>
        <w:tc>
          <w:tcPr>
            <w:tcW w:w="301"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1</w:t>
            </w:r>
          </w:p>
        </w:tc>
        <w:tc>
          <w:tcPr>
            <w:tcW w:w="272"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台</w:t>
            </w:r>
          </w:p>
        </w:tc>
        <w:tc>
          <w:tcPr>
            <w:tcW w:w="240"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eastAsia="zh-CN" w:bidi="ar"/>
              </w:rPr>
              <w:t>1</w:t>
            </w:r>
            <w:r>
              <w:rPr>
                <w:rFonts w:hint="eastAsia" w:ascii="黑体" w:hAnsi="黑体" w:eastAsia="黑体" w:cs="黑体"/>
                <w:color w:val="000000"/>
                <w:sz w:val="20"/>
                <w:szCs w:val="20"/>
                <w:lang w:val="en-US" w:eastAsia="zh-CN" w:bidi="ar"/>
              </w:rPr>
              <w:t>3</w:t>
            </w:r>
          </w:p>
        </w:tc>
        <w:tc>
          <w:tcPr>
            <w:tcW w:w="445"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hAnsi="宋体"/>
                <w:sz w:val="24"/>
              </w:rPr>
              <w:t>■</w:t>
            </w:r>
            <w:r>
              <w:rPr>
                <w:rFonts w:hint="eastAsia" w:ascii="黑体" w:hAnsi="黑体" w:eastAsia="黑体" w:cs="黑体"/>
                <w:color w:val="000000"/>
                <w:sz w:val="20"/>
                <w:szCs w:val="20"/>
                <w:lang w:eastAsia="zh-CN" w:bidi="ar"/>
              </w:rPr>
              <w:t>针式打印机</w:t>
            </w:r>
          </w:p>
        </w:tc>
        <w:tc>
          <w:tcPr>
            <w:tcW w:w="497" w:type="pct"/>
            <w:tcBorders>
              <w:tl2br w:val="nil"/>
              <w:tr2bl w:val="nil"/>
            </w:tcBorders>
            <w:vAlign w:val="center"/>
          </w:tcPr>
          <w:p>
            <w:pPr>
              <w:widowControl/>
              <w:jc w:val="center"/>
              <w:textAlignment w:val="center"/>
              <w:rPr>
                <w:rFonts w:hint="default"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工业</w:t>
            </w:r>
          </w:p>
        </w:tc>
        <w:tc>
          <w:tcPr>
            <w:tcW w:w="3001" w:type="pct"/>
            <w:tcBorders>
              <w:tl2br w:val="nil"/>
              <w:tr2bl w:val="nil"/>
            </w:tcBorders>
            <w:vAlign w:val="center"/>
          </w:tcPr>
          <w:p>
            <w:pPr>
              <w:widowControl/>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1.打印方式：24针点阵击打式；</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2.打印列数：≥80列；</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3.打印速度：≥168字/秒(7.5cpi)；</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4.介质宽度： 90~257mm；</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5.厚度：打印厚度：0.065~0.53mm；</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6.拷贝能力：7份（1份原件+6份拷贝）；</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7.接口：USB≥1个，双向并口≥1个；</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8.噪声：&lt;56dB；</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9.打印头寿命：4亿次击打/针。</w:t>
            </w:r>
          </w:p>
        </w:tc>
        <w:tc>
          <w:tcPr>
            <w:tcW w:w="301"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1</w:t>
            </w:r>
          </w:p>
        </w:tc>
        <w:tc>
          <w:tcPr>
            <w:tcW w:w="272"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台</w:t>
            </w:r>
          </w:p>
        </w:tc>
        <w:tc>
          <w:tcPr>
            <w:tcW w:w="240"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eastAsia="zh-CN" w:bidi="ar"/>
              </w:rPr>
              <w:t>1</w:t>
            </w:r>
            <w:r>
              <w:rPr>
                <w:rFonts w:hint="eastAsia" w:ascii="黑体" w:hAnsi="黑体" w:eastAsia="黑体" w:cs="黑体"/>
                <w:color w:val="000000"/>
                <w:sz w:val="20"/>
                <w:szCs w:val="20"/>
                <w:lang w:val="en-US" w:eastAsia="zh-CN" w:bidi="ar"/>
              </w:rPr>
              <w:t>4</w:t>
            </w:r>
          </w:p>
        </w:tc>
        <w:tc>
          <w:tcPr>
            <w:tcW w:w="445"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hAnsi="宋体"/>
                <w:sz w:val="24"/>
              </w:rPr>
              <w:t>■</w:t>
            </w:r>
            <w:r>
              <w:rPr>
                <w:rFonts w:hint="eastAsia" w:ascii="黑体" w:hAnsi="黑体" w:eastAsia="黑体" w:cs="黑体"/>
                <w:color w:val="000000"/>
                <w:sz w:val="20"/>
                <w:szCs w:val="20"/>
                <w:lang w:eastAsia="zh-CN" w:bidi="ar"/>
              </w:rPr>
              <w:t>激光打印机</w:t>
            </w:r>
          </w:p>
        </w:tc>
        <w:tc>
          <w:tcPr>
            <w:tcW w:w="497"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val="en-US" w:eastAsia="zh-CN" w:bidi="ar"/>
              </w:rPr>
              <w:t>工业</w:t>
            </w:r>
          </w:p>
        </w:tc>
        <w:tc>
          <w:tcPr>
            <w:tcW w:w="3001" w:type="pct"/>
            <w:tcBorders>
              <w:tl2br w:val="nil"/>
              <w:tr2bl w:val="nil"/>
            </w:tcBorders>
            <w:vAlign w:val="center"/>
          </w:tcPr>
          <w:p>
            <w:pPr>
              <w:widowControl/>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 xml:space="preserve">1.处理器：≥400MHz </w:t>
            </w:r>
          </w:p>
          <w:p>
            <w:pPr>
              <w:widowControl/>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2.内存：≥64MB</w:t>
            </w:r>
          </w:p>
          <w:p>
            <w:pPr>
              <w:widowControl/>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3.接口：USB2.0≥1个</w:t>
            </w:r>
          </w:p>
          <w:p>
            <w:pPr>
              <w:widowControl/>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4.最大打印幅面：≥A4</w:t>
            </w:r>
          </w:p>
          <w:p>
            <w:pPr>
              <w:widowControl/>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5.最高分辨率：≥1200×1200dpi</w:t>
            </w:r>
          </w:p>
          <w:p>
            <w:pPr>
              <w:widowControl/>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6.首页打印时间：A4≤8.3秒</w:t>
            </w:r>
          </w:p>
          <w:p>
            <w:pPr>
              <w:widowControl/>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7.最大打印速度：≥20ppm（A4）</w:t>
            </w:r>
          </w:p>
          <w:p>
            <w:pPr>
              <w:widowControl/>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8.月打印负荷：≥10000页</w:t>
            </w:r>
          </w:p>
          <w:p>
            <w:pPr>
              <w:widowControl/>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工作温度：10-30度，</w:t>
            </w:r>
          </w:p>
        </w:tc>
        <w:tc>
          <w:tcPr>
            <w:tcW w:w="301"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1</w:t>
            </w:r>
          </w:p>
        </w:tc>
        <w:tc>
          <w:tcPr>
            <w:tcW w:w="272"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台</w:t>
            </w:r>
          </w:p>
        </w:tc>
        <w:tc>
          <w:tcPr>
            <w:tcW w:w="240"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eastAsia="zh-CN" w:bidi="ar"/>
              </w:rPr>
              <w:t>1</w:t>
            </w:r>
            <w:r>
              <w:rPr>
                <w:rFonts w:hint="eastAsia" w:ascii="黑体" w:hAnsi="黑体" w:eastAsia="黑体" w:cs="黑体"/>
                <w:color w:val="000000"/>
                <w:sz w:val="20"/>
                <w:szCs w:val="20"/>
                <w:lang w:val="en-US" w:eastAsia="zh-CN" w:bidi="ar"/>
              </w:rPr>
              <w:t>5</w:t>
            </w:r>
          </w:p>
        </w:tc>
        <w:tc>
          <w:tcPr>
            <w:tcW w:w="445"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托盘</w:t>
            </w:r>
          </w:p>
        </w:tc>
        <w:tc>
          <w:tcPr>
            <w:tcW w:w="497" w:type="pct"/>
            <w:tcBorders>
              <w:tl2br w:val="nil"/>
              <w:tr2bl w:val="nil"/>
            </w:tcBorders>
            <w:vAlign w:val="center"/>
          </w:tcPr>
          <w:p>
            <w:pPr>
              <w:widowControl/>
              <w:jc w:val="center"/>
              <w:textAlignment w:val="center"/>
              <w:rPr>
                <w:rFonts w:hint="default"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工业</w:t>
            </w:r>
          </w:p>
        </w:tc>
        <w:tc>
          <w:tcPr>
            <w:tcW w:w="3001" w:type="pct"/>
            <w:tcBorders>
              <w:tl2br w:val="nil"/>
              <w:tr2bl w:val="nil"/>
            </w:tcBorders>
            <w:vAlign w:val="center"/>
          </w:tcPr>
          <w:p>
            <w:pPr>
              <w:widowControl/>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1.材质：木制作；</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2.尺寸：约1200mm*1000mm。</w:t>
            </w:r>
          </w:p>
        </w:tc>
        <w:tc>
          <w:tcPr>
            <w:tcW w:w="301" w:type="pct"/>
            <w:tcBorders>
              <w:tl2br w:val="nil"/>
              <w:tr2bl w:val="nil"/>
            </w:tcBorders>
            <w:vAlign w:val="center"/>
          </w:tcPr>
          <w:p>
            <w:pPr>
              <w:widowControl/>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30</w:t>
            </w:r>
          </w:p>
        </w:tc>
        <w:tc>
          <w:tcPr>
            <w:tcW w:w="272"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个</w:t>
            </w:r>
          </w:p>
        </w:tc>
        <w:tc>
          <w:tcPr>
            <w:tcW w:w="240"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eastAsia="zh-CN" w:bidi="ar"/>
              </w:rPr>
              <w:t>1</w:t>
            </w:r>
            <w:r>
              <w:rPr>
                <w:rFonts w:hint="eastAsia" w:ascii="黑体" w:hAnsi="黑体" w:eastAsia="黑体" w:cs="黑体"/>
                <w:color w:val="000000"/>
                <w:sz w:val="20"/>
                <w:szCs w:val="20"/>
                <w:lang w:val="en-US" w:eastAsia="zh-CN" w:bidi="ar"/>
              </w:rPr>
              <w:t>6</w:t>
            </w:r>
          </w:p>
        </w:tc>
        <w:tc>
          <w:tcPr>
            <w:tcW w:w="445"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电脑桌椅</w:t>
            </w:r>
          </w:p>
        </w:tc>
        <w:tc>
          <w:tcPr>
            <w:tcW w:w="497" w:type="pct"/>
            <w:tcBorders>
              <w:tl2br w:val="nil"/>
              <w:tr2bl w:val="nil"/>
            </w:tcBorders>
            <w:vAlign w:val="center"/>
          </w:tcPr>
          <w:p>
            <w:pPr>
              <w:widowControl/>
              <w:jc w:val="center"/>
              <w:textAlignment w:val="center"/>
              <w:rPr>
                <w:rFonts w:hint="default"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工业</w:t>
            </w:r>
          </w:p>
        </w:tc>
        <w:tc>
          <w:tcPr>
            <w:tcW w:w="3001" w:type="pct"/>
            <w:tcBorders>
              <w:tl2br w:val="nil"/>
              <w:tr2bl w:val="nil"/>
            </w:tcBorders>
            <w:vAlign w:val="center"/>
          </w:tcPr>
          <w:p>
            <w:pPr>
              <w:widowControl/>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1.材质：环保板材；</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2.</w:t>
            </w:r>
            <w:r>
              <w:rPr>
                <w:rFonts w:hint="eastAsia" w:ascii="黑体" w:hAnsi="黑体" w:eastAsia="黑体" w:cs="黑体"/>
                <w:color w:val="000000"/>
                <w:sz w:val="20"/>
                <w:szCs w:val="20"/>
                <w:lang w:val="en-US" w:eastAsia="zh-CN" w:bidi="ar"/>
              </w:rPr>
              <w:t>桌子</w:t>
            </w:r>
            <w:r>
              <w:rPr>
                <w:rFonts w:hint="eastAsia" w:ascii="黑体" w:hAnsi="黑体" w:eastAsia="黑体" w:cs="黑体"/>
                <w:color w:val="000000"/>
                <w:sz w:val="20"/>
                <w:szCs w:val="20"/>
                <w:lang w:eastAsia="zh-CN" w:bidi="ar"/>
              </w:rPr>
              <w:t>尺寸：约1200*600*750MM；</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3.配套座椅；</w:t>
            </w:r>
          </w:p>
        </w:tc>
        <w:tc>
          <w:tcPr>
            <w:tcW w:w="301"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2</w:t>
            </w:r>
          </w:p>
        </w:tc>
        <w:tc>
          <w:tcPr>
            <w:tcW w:w="272"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套</w:t>
            </w:r>
          </w:p>
        </w:tc>
        <w:tc>
          <w:tcPr>
            <w:tcW w:w="240"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eastAsia="zh-CN" w:bidi="ar"/>
              </w:rPr>
              <w:t>1</w:t>
            </w:r>
            <w:r>
              <w:rPr>
                <w:rFonts w:hint="eastAsia" w:ascii="黑体" w:hAnsi="黑体" w:eastAsia="黑体" w:cs="黑体"/>
                <w:color w:val="000000"/>
                <w:sz w:val="20"/>
                <w:szCs w:val="20"/>
                <w:lang w:val="en-US" w:eastAsia="zh-CN" w:bidi="ar"/>
              </w:rPr>
              <w:t>7</w:t>
            </w:r>
          </w:p>
        </w:tc>
        <w:tc>
          <w:tcPr>
            <w:tcW w:w="445"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模拟货品</w:t>
            </w:r>
          </w:p>
        </w:tc>
        <w:tc>
          <w:tcPr>
            <w:tcW w:w="497" w:type="pct"/>
            <w:tcBorders>
              <w:tl2br w:val="nil"/>
              <w:tr2bl w:val="nil"/>
            </w:tcBorders>
            <w:vAlign w:val="center"/>
          </w:tcPr>
          <w:p>
            <w:pPr>
              <w:widowControl/>
              <w:jc w:val="center"/>
              <w:textAlignment w:val="center"/>
              <w:rPr>
                <w:rFonts w:hint="default"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工业</w:t>
            </w:r>
          </w:p>
        </w:tc>
        <w:tc>
          <w:tcPr>
            <w:tcW w:w="3001" w:type="pct"/>
            <w:tcBorders>
              <w:tl2br w:val="nil"/>
              <w:tr2bl w:val="nil"/>
            </w:tcBorders>
            <w:vAlign w:val="center"/>
          </w:tcPr>
          <w:p>
            <w:pPr>
              <w:widowControl/>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1.货品种类：大于 15 种。</w:t>
            </w:r>
          </w:p>
        </w:tc>
        <w:tc>
          <w:tcPr>
            <w:tcW w:w="301"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1</w:t>
            </w:r>
          </w:p>
        </w:tc>
        <w:tc>
          <w:tcPr>
            <w:tcW w:w="272"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批</w:t>
            </w:r>
          </w:p>
        </w:tc>
        <w:tc>
          <w:tcPr>
            <w:tcW w:w="240"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18</w:t>
            </w:r>
          </w:p>
        </w:tc>
        <w:tc>
          <w:tcPr>
            <w:tcW w:w="445"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交换机</w:t>
            </w:r>
          </w:p>
        </w:tc>
        <w:tc>
          <w:tcPr>
            <w:tcW w:w="497" w:type="pct"/>
            <w:tcBorders>
              <w:tl2br w:val="nil"/>
              <w:tr2bl w:val="nil"/>
            </w:tcBorders>
            <w:vAlign w:val="center"/>
          </w:tcPr>
          <w:p>
            <w:pPr>
              <w:widowControl/>
              <w:jc w:val="center"/>
              <w:textAlignment w:val="center"/>
              <w:rPr>
                <w:rFonts w:hint="default"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工业</w:t>
            </w:r>
          </w:p>
        </w:tc>
        <w:tc>
          <w:tcPr>
            <w:tcW w:w="3001" w:type="pct"/>
            <w:tcBorders>
              <w:tl2br w:val="nil"/>
              <w:tr2bl w:val="nil"/>
            </w:tcBorders>
            <w:vAlign w:val="center"/>
          </w:tcPr>
          <w:p>
            <w:pPr>
              <w:widowControl/>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auto"/>
                <w:sz w:val="20"/>
                <w:szCs w:val="20"/>
                <w:lang w:eastAsia="zh-CN" w:bidi="ar"/>
              </w:rPr>
              <w:t>1.交换容量（全双工）：≥336Gbps</w:t>
            </w:r>
            <w:r>
              <w:rPr>
                <w:rFonts w:hint="eastAsia" w:ascii="黑体" w:hAnsi="黑体" w:eastAsia="黑体" w:cs="黑体"/>
                <w:color w:val="auto"/>
                <w:sz w:val="20"/>
                <w:szCs w:val="20"/>
                <w:lang w:eastAsia="zh-CN" w:bidi="ar"/>
              </w:rPr>
              <w:br w:type="textWrapping"/>
            </w:r>
            <w:r>
              <w:rPr>
                <w:rFonts w:hint="eastAsia" w:ascii="黑体" w:hAnsi="黑体" w:eastAsia="黑体" w:cs="黑体"/>
                <w:color w:val="auto"/>
                <w:sz w:val="20"/>
                <w:szCs w:val="20"/>
                <w:lang w:eastAsia="zh-CN" w:bidi="ar"/>
              </w:rPr>
              <w:t>2.包转发率（整机）：≥96Mpps/108Mpps</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3.管理端口：≥1个Console口</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4.业务端口：≥24个10/100/1000Base-T以太网端口，≥4个1000Base-X SFP以太网端口</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5.工作环境温度：-5℃～45℃</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工作环境相对湿度（非凝露）：5%～95%</w:t>
            </w:r>
          </w:p>
        </w:tc>
        <w:tc>
          <w:tcPr>
            <w:tcW w:w="301"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1</w:t>
            </w:r>
          </w:p>
        </w:tc>
        <w:tc>
          <w:tcPr>
            <w:tcW w:w="272"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台</w:t>
            </w:r>
          </w:p>
        </w:tc>
        <w:tc>
          <w:tcPr>
            <w:tcW w:w="240"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19</w:t>
            </w:r>
          </w:p>
        </w:tc>
        <w:tc>
          <w:tcPr>
            <w:tcW w:w="445"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机柜</w:t>
            </w:r>
          </w:p>
        </w:tc>
        <w:tc>
          <w:tcPr>
            <w:tcW w:w="497" w:type="pct"/>
            <w:tcBorders>
              <w:tl2br w:val="nil"/>
              <w:tr2bl w:val="nil"/>
            </w:tcBorders>
            <w:vAlign w:val="center"/>
          </w:tcPr>
          <w:p>
            <w:pPr>
              <w:widowControl/>
              <w:jc w:val="center"/>
              <w:textAlignment w:val="center"/>
              <w:rPr>
                <w:rFonts w:hint="default"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工业</w:t>
            </w:r>
          </w:p>
        </w:tc>
        <w:tc>
          <w:tcPr>
            <w:tcW w:w="3001" w:type="pct"/>
            <w:tcBorders>
              <w:tl2br w:val="nil"/>
              <w:tr2bl w:val="nil"/>
            </w:tcBorders>
            <w:vAlign w:val="center"/>
          </w:tcPr>
          <w:p>
            <w:pPr>
              <w:widowControl/>
              <w:numPr>
                <w:ilvl w:val="0"/>
                <w:numId w:val="0"/>
              </w:num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val="en-US" w:eastAsia="zh-CN" w:bidi="ar"/>
              </w:rPr>
              <w:t>1.</w:t>
            </w:r>
            <w:r>
              <w:rPr>
                <w:rFonts w:hint="eastAsia" w:ascii="黑体" w:hAnsi="黑体" w:eastAsia="黑体" w:cs="黑体"/>
                <w:color w:val="000000"/>
                <w:sz w:val="20"/>
                <w:szCs w:val="20"/>
                <w:lang w:eastAsia="zh-CN" w:bidi="ar"/>
              </w:rPr>
              <w:t xml:space="preserve">类型：网络服务器机柜 </w:t>
            </w:r>
          </w:p>
          <w:p>
            <w:pPr>
              <w:widowControl/>
              <w:numPr>
                <w:ilvl w:val="0"/>
                <w:numId w:val="0"/>
              </w:num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 xml:space="preserve">2.容量：32U </w:t>
            </w:r>
          </w:p>
          <w:p>
            <w:pPr>
              <w:widowControl/>
              <w:numPr>
                <w:ilvl w:val="0"/>
                <w:numId w:val="0"/>
              </w:num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 xml:space="preserve">3.标准：19"国际标准 </w:t>
            </w:r>
          </w:p>
          <w:p>
            <w:pPr>
              <w:widowControl/>
              <w:numPr>
                <w:ilvl w:val="0"/>
                <w:numId w:val="0"/>
              </w:num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 xml:space="preserve">4.门及门锁：前后高宽度网门 </w:t>
            </w:r>
          </w:p>
          <w:p>
            <w:pPr>
              <w:widowControl/>
              <w:numPr>
                <w:ilvl w:val="0"/>
                <w:numId w:val="0"/>
              </w:num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 xml:space="preserve">5.材料及工：优质鞍钢冷轧钢板 </w:t>
            </w:r>
          </w:p>
          <w:p>
            <w:pPr>
              <w:widowControl/>
              <w:numPr>
                <w:ilvl w:val="0"/>
                <w:numId w:val="0"/>
              </w:num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 xml:space="preserve">6.高度：约1600mm </w:t>
            </w:r>
          </w:p>
          <w:p>
            <w:pPr>
              <w:widowControl/>
              <w:numPr>
                <w:ilvl w:val="0"/>
                <w:numId w:val="0"/>
              </w:num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 xml:space="preserve">7.宽度：约600mm </w:t>
            </w:r>
          </w:p>
          <w:p>
            <w:pPr>
              <w:widowControl/>
              <w:numPr>
                <w:ilvl w:val="0"/>
                <w:numId w:val="0"/>
              </w:numPr>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8.深度：约800mm 附加功能：最大净载800KG</w:t>
            </w:r>
          </w:p>
        </w:tc>
        <w:tc>
          <w:tcPr>
            <w:tcW w:w="301"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1</w:t>
            </w:r>
          </w:p>
        </w:tc>
        <w:tc>
          <w:tcPr>
            <w:tcW w:w="272"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个</w:t>
            </w:r>
          </w:p>
        </w:tc>
        <w:tc>
          <w:tcPr>
            <w:tcW w:w="240"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eastAsia="zh-CN" w:bidi="ar"/>
              </w:rPr>
              <w:t>2</w:t>
            </w:r>
            <w:r>
              <w:rPr>
                <w:rFonts w:hint="eastAsia" w:ascii="黑体" w:hAnsi="黑体" w:eastAsia="黑体" w:cs="黑体"/>
                <w:color w:val="000000"/>
                <w:sz w:val="20"/>
                <w:szCs w:val="20"/>
                <w:lang w:val="en-US" w:eastAsia="zh-CN" w:bidi="ar"/>
              </w:rPr>
              <w:t>0</w:t>
            </w:r>
          </w:p>
        </w:tc>
        <w:tc>
          <w:tcPr>
            <w:tcW w:w="445"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现代物流综合作业系统</w:t>
            </w:r>
          </w:p>
        </w:tc>
        <w:tc>
          <w:tcPr>
            <w:tcW w:w="497"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b w:val="0"/>
                <w:bCs/>
                <w:color w:val="000000"/>
                <w:sz w:val="20"/>
                <w:szCs w:val="20"/>
              </w:rPr>
              <w:t>软件和信息技术服务业</w:t>
            </w:r>
          </w:p>
        </w:tc>
        <w:tc>
          <w:tcPr>
            <w:tcW w:w="3001" w:type="pct"/>
            <w:tcBorders>
              <w:tl2br w:val="nil"/>
              <w:tr2bl w:val="nil"/>
            </w:tcBorders>
            <w:vAlign w:val="center"/>
          </w:tcPr>
          <w:p>
            <w:pPr>
              <w:widowControl/>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技术要求</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1.系统采用B/S架构，易于升级和维护，便于数据的管理并能充分保证数据的安全；</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2.系统采用稳定的J2EE体系三层架构，可靠额业务模块和组装等技术手段，充分保证系统的运行稳定、可靠、高效性；</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3.在界面展示、网络传输、业务逻辑处理等多个层面保证系统的效率；</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4.简单易用，界面统一、整洁、操作灵活方便；</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5.系统支持SAAS化部署，减少服务器等硬件基础设备采购成本，同时能够同步使用最新升级版软件；</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6.系统具备完善的权限管理，能进行数据权限、菜单权限等设置，可从登录界面、登录网址等区分不同端口、各类角色的登录，保障信息安全。</w:t>
            </w:r>
          </w:p>
          <w:p>
            <w:pPr>
              <w:keepNext w:val="0"/>
              <w:keepLines w:val="0"/>
              <w:widowControl/>
              <w:suppressLineNumbers w:val="0"/>
              <w:jc w:val="left"/>
              <w:rPr>
                <w:rFonts w:hint="eastAsia" w:ascii="黑体" w:hAnsi="黑体" w:eastAsia="黑体" w:cs="黑体"/>
                <w:sz w:val="20"/>
                <w:szCs w:val="20"/>
              </w:rPr>
            </w:pPr>
            <w:r>
              <w:rPr>
                <w:rFonts w:hint="eastAsia" w:ascii="黑体" w:hAnsi="黑体" w:eastAsia="黑体" w:cs="黑体"/>
                <w:color w:val="000000"/>
                <w:sz w:val="20"/>
                <w:szCs w:val="20"/>
                <w:lang w:eastAsia="zh-CN" w:bidi="ar"/>
              </w:rPr>
              <w:t>项目建成后需能够面向社会、行业、物流相关人员进行培训，软件制造商需具备协助院校完成物流专业涉及的培训内容、考核、认证的能力，提供</w:t>
            </w:r>
            <w:r>
              <w:rPr>
                <w:rFonts w:hint="eastAsia" w:ascii="黑体" w:hAnsi="黑体" w:eastAsia="黑体" w:cs="黑体"/>
                <w:color w:val="000000"/>
                <w:sz w:val="20"/>
                <w:szCs w:val="20"/>
                <w:u w:val="none"/>
                <w:lang w:eastAsia="zh-CN" w:bidi="ar"/>
              </w:rPr>
              <w:t>授权或承诺等相关</w:t>
            </w:r>
            <w:r>
              <w:rPr>
                <w:rFonts w:hint="eastAsia" w:ascii="黑体" w:hAnsi="黑体" w:eastAsia="黑体" w:cs="黑体"/>
                <w:color w:val="000000"/>
                <w:sz w:val="20"/>
                <w:szCs w:val="20"/>
                <w:lang w:eastAsia="zh-CN" w:bidi="ar"/>
              </w:rPr>
              <w:t>证明材料。</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二、功能清单</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kern w:val="0"/>
                <w:sz w:val="20"/>
                <w:szCs w:val="20"/>
                <w:lang w:val="en-US" w:eastAsia="zh-CN" w:bidi="ar"/>
              </w:rPr>
              <w:t xml:space="preserve">1.客户管理：系统需具备客户信息管理、收货信息管理和取货信息管理功能； </w:t>
            </w:r>
          </w:p>
          <w:p>
            <w:pPr>
              <w:keepNext w:val="0"/>
              <w:keepLines w:val="0"/>
              <w:widowControl/>
              <w:numPr>
                <w:ilvl w:val="0"/>
                <w:numId w:val="6"/>
              </w:numPr>
              <w:suppressLineNumbers w:val="0"/>
              <w:jc w:val="left"/>
              <w:rPr>
                <w:rFonts w:hint="eastAsia" w:ascii="黑体" w:hAnsi="黑体" w:eastAsia="黑体" w:cs="黑体"/>
                <w:color w:val="000000"/>
                <w:sz w:val="20"/>
                <w:szCs w:val="20"/>
                <w:lang w:eastAsia="zh-CN" w:bidi="ar"/>
              </w:rPr>
            </w:pPr>
            <w:r>
              <w:rPr>
                <w:rFonts w:hint="eastAsia" w:ascii="黑体" w:hAnsi="黑体" w:eastAsia="黑体" w:cs="黑体"/>
                <w:color w:val="000000"/>
                <w:kern w:val="0"/>
                <w:sz w:val="20"/>
                <w:szCs w:val="20"/>
                <w:lang w:val="en-US" w:eastAsia="zh-CN" w:bidi="ar"/>
              </w:rPr>
              <w:t>运输资源管理：系统需具备取派运力、运力、路由、人力资源管理和车辆资源管理功能；</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3.订单录入：系统需具备盘点任务、补货订单、取/送货单、运输订单和移库作业单功能；</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4.基础管理：系统需具备月台管理、库房管理、区/储位管理和货品管理功能；</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5.库存管理：系统需具备库存查询和可视化库存功能；</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6.配置管理：系统需具备策略配置、货品操作配置、基础策略配置、作业配置、作业任务配置、储位规划、电子拣选配置和补货设置功能；</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7.入库管理：系统需具备入库预报、ASN操作和ASN单查询等功能；</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8.出库管理：系统需具备出库预报、出库审核、波次计划、</w:t>
            </w:r>
            <w:r>
              <w:rPr>
                <w:rFonts w:hint="eastAsia" w:ascii="黑体" w:hAnsi="黑体" w:eastAsia="黑体" w:cs="黑体"/>
                <w:color w:val="000000"/>
                <w:sz w:val="20"/>
                <w:szCs w:val="20"/>
                <w:lang w:val="en-US" w:eastAsia="zh-CN" w:bidi="ar"/>
              </w:rPr>
              <w:t>拣选单打印和SO单查询等功能</w:t>
            </w:r>
            <w:r>
              <w:rPr>
                <w:rFonts w:hint="eastAsia" w:ascii="黑体" w:hAnsi="黑体" w:eastAsia="黑体" w:cs="黑体"/>
                <w:color w:val="000000"/>
                <w:sz w:val="20"/>
                <w:szCs w:val="20"/>
                <w:lang w:eastAsia="zh-CN" w:bidi="ar"/>
              </w:rPr>
              <w:t>；</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9.在库作业：系统需具备加工订单、盘点任务、补货查询、移库单查询、盘点作业、盘点结果打印、补货任务、移库作业和移库作业单功能；</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10.仓储综合查询：系统需具备盘点查询、可视化库存和作业明细查询功能；</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11.场站作业：系统需具备单据打印、取派操作、自提自送、干线发运和干线到达功能；</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12.运单管理：系统需具备运单查询、补录信息和签收录入的功能；</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13.调度作业：系统需具备干线调度、取/派调度、发运通知和到货通知功能；</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14.基础管理：系统需具备数据管理、案例数据导入和用户管理功能。</w:t>
            </w:r>
          </w:p>
          <w:p>
            <w:pPr>
              <w:keepNext w:val="0"/>
              <w:keepLines w:val="0"/>
              <w:widowControl/>
              <w:numPr>
                <w:ilvl w:val="0"/>
                <w:numId w:val="0"/>
              </w:numPr>
              <w:suppressLineNumbers w:val="0"/>
              <w:jc w:val="left"/>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val="en-US" w:eastAsia="zh-CN" w:bidi="ar"/>
              </w:rPr>
              <w:t>15.车辆资源管理：系统需具备车辆资源管理功能，支持对车辆的新增、修改、删除、查看功能。</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三、教师端功能</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1.用户管理：系统需具备用户管理功能，可支持单账号新增、删除、修改机构；可根据输入的账号前缀、起始编码、批量个数和补齐长度等信息批量生成账号；可通过Excel文件批量导入用户信息；</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2.数据管理：系统需具备案例及案例数据可配置功能，可进行仓储基础数据和运输基础数据配置。仓储基础数据可配置内容至少包括库房名称、库房地址、区名称、存储功能、储位划分、硬件厂商、月台编号、月台名称、月台类型、对应区域、作业时间1起、作业时间2起、储位硬件配置、货品名称、条形码、规格、类别、每托箱数、箱装数、存储区间、产品名称、所需原料、数量和库存；运输基础数据可配置内容至少包括取派运力、车牌号、司机、客户名称、拼音码、联系人、电话、邮编、客户地址、取货地址信息、联系人、取货单位、客户收货人信息、分拣口、员工信息、车辆信息、车品牌、可载货长、可载货宽、可载货高、载重量、车型、站点信息、始发站信息、运力、运力编号、运力类型、车型、起始地、目的地、路由信息、运单信息和运单货品；</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3.数据导入：系统需具备案例数据导入功能，可以将exe格式的数据包导入到系统中实现完整案例数据导入。</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四、学生端功能</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1.客户信息管理：系统需具备客户信息管理功能，支持新增、修改、查看和删除操作；</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2.取货地址管理：系统需具备取货信息管理功能，支持新增、修改、查看和删除操作；</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3.路由：系统需具备路由功能，支持对路由信息的新增、修改、删除、查看功能；</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4.取派运力：系统需具备取派运力功能，支持对取派运力的新增、修改、删除、查看功能；</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5.月台管理：系统需具备月台管理功能，支持对月台信息进行查询、新增、修改和删除操作；</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6.库房管理：系统需具备库房管理功能，对库房信息进行新增、修改、查看和删除操作；</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7.区/储位管理：系统需具备区/储位管理功能，对区/储位信息进行通道管理、新增、修改、查看、删除和分配储位操作；支持通过设置货架数、层数、界面数、通道号自动生成可视化的货架信息；</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8.货品管理：系统需具备货品管理功能，支持对货品信息进行查询、新增、修改、删除和货品同步操作；支持针对每个商品配置上架策略、下架策略和货品数量对照配置等规则设置；针对货品属性需具备28种包装单位、22种货品类别、120种货品子分类的设置；</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9.货品操作配置：系统需具备货品操作配置功能，可以针对不同客户、不同商品的作业类型、操作类型、操作顺序进行配置。支持的作业类型不少于12种；支持的操作类型不少于14种；</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10.作业任务配置：系统需具备作业任务配置功能，可以根据作业类型和操作类型进行设置。作业类型不少于12中；操作类型不少于15种；</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11.储位规划：系统需具备储位规划功能，可以针对每种商品的存储储位进行规划设计，上架时系统按照设定的规则自动分配上架储位；</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12.电子拣选配置：系统需具备电子拣选配置功能，可以配置电子拣选区的每个储位与硬件设备ID号对应关系；当从电子拣选区拣选出库时，可以通过调用接口点亮电子标签实现拣选操作（此功能需与硬件配套使用）；</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13.补货设置：系统需具备补货设置功能，可对具体储位的商品进行补货设置，当该储位商品低于补货点时，系统可根据该规则生成补货单，实现补货功能；</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14.入库预报：系统需具备入库预报功能，支持对入库订单进行查询、新增、修改、删除、发送审核和返回操作；</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15.ASN操作：系统需具备ASN操作功能，可进行月台计划设置、单据提交、单据打印、越库操作和指令退回等功能;</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16.月台计划：系统需具备月台计划功能，支持对入库订单分配月台操作;</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17.ASN单查询：系统需具备ASN订单查询功能，支持根据ASN号、入库单号和订单号对订单进行查询和单据打印操作;</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18.出库预报：系统需具备出库预报功能，支持对出库订单进行查询、新增、修改、删除、发送审核和返回操作；</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19.出库审核：系统需具备出库审核功能，支持根据SO编号、出库单号和货主信息进行模糊查询，支持针对出库单进行退回操作功能，指令退回后可在出库预报功能修改订单信息；</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20.波次计划：系统需具备波次计划功能，支持根据波次编号对拣选单进行查询，支持波次计划新增、修改、删除、分配、下达、拣选单打印和返回操作；</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21.SO单查询：系统需具备SO单查询功能，并支持SO单打印、退回和返回操作；</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22.加工订单：系统需具备加工订单功能；支持查询、新增、修改、删除和发送审核操作；</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23.补货查询：系统需具备补货查询功能，支持对补货单进行查询、退回和返回操作；</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24.移库单查询：系统需具备移库单查询功能，支持对移库单进行查询、退回和返回操作；</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25.盘点任务：系统需具备盘点任务功能，支持查询、新增、修改、删除、发送审核和返回操作。盘点任务支持明盘和忙盘两种作业方式；</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26.盘点结果打印：系统需具备盘点结果打印功能，支持根据任务编码和作业单号对盘点结果进行查询、打印和返回操作；</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27.库存查询：系统需具备库存查询功能，可以根据区名称、条形码和货品名称对库存进行查询，查看的内容包括库房、区名称、储位、条形码、货品名称、托盘标签、规格、型号、批次、单位、数量、SKU数量；</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28.作业查询：系统需具备作业查询功能，支持查看作业单信息，查看的内容包括作业计划单号、订单号、客户码、类型、库房编码、状态、生成时间和完成时间；</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29.可视化库存：系统需具备可视化库存功能，对库房进行可视化查询，查询结果显示信息包括托盘货架区和电子拣选区等；</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30.干线发运：系统需具备干线发运功能，支持根据运力编号查询运力信息，并操作运力出站；</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31.干线到达：系统需具备干线到达功能，支持根据运力编号查询运力信息，并操作运力入站；</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32.干线调度：系统需具备干线调度功能，可根据订单信息选择路由、始发站、运输方式、中转站、目的站、路径、时限和运力等信息，完成干线单据调度；</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33.发运通知：系统需具备发运通知功能，支持根据集货单号和路由编号查询集货信息，对发运的订单进行查看、装车、发运和返回操作，查看的内容包括待集货运单信息和当前集货单下的运单列表信息；</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34.到货通知：系统需具备到货通知功能，支持根据运力编号和交接单号查询运力信息，对到货通知单进行查看、到货和返回操作；</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35.单据打印：系统需具备运输单据打印功能，支持根据运单号、托运人和收货人对运单进行查询、单据打印、退回和返回操作；</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36.签收录入：系统需具备签收录入功能，支持根据输入运单号和签收类型查询签收录入的运单信息；</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37.运输订单录入：系统需具备运输订单录入功能，新增的内容包括订单号、客户指令号、始发站、 目的站、取货时间、到货时间、是否取送、签单返回、客户码、客户单位、客户姓名、客户电话、客户地址、取货联系人、取货联系人电话、取货地址、收货人帐号、收货人邮编、收货人单位、收货人地址、收货人姓名、收货人电话、备注、制单人、受理日期、受理单位和添加商品；</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38.取派调度：系统需具备取派调度功能，支持取派调度单的新增、修改、删除、查询、打印、提交功能；</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39.取派操作：系统需具备取派操作功能，支持根据取派单号对取派订单进行出站、入站和返回操作；</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40.自提自送：系统需具备自提自送功能，支持对自提自送的订单进行场站扫描和查看操作。</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五、其他要求</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1.系统需为成熟产品，投标人投标时应提供《计算机软件著作权登记证书》复印件并加盖制造商公章；</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2.系统需支持对接RF手持系统无缝对接。</w:t>
            </w:r>
          </w:p>
        </w:tc>
        <w:tc>
          <w:tcPr>
            <w:tcW w:w="301"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1</w:t>
            </w:r>
          </w:p>
        </w:tc>
        <w:tc>
          <w:tcPr>
            <w:tcW w:w="272"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套</w:t>
            </w:r>
          </w:p>
        </w:tc>
        <w:tc>
          <w:tcPr>
            <w:tcW w:w="240"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eastAsia="zh-CN" w:bidi="ar"/>
              </w:rPr>
              <w:t>2</w:t>
            </w:r>
            <w:r>
              <w:rPr>
                <w:rFonts w:hint="eastAsia" w:ascii="黑体" w:hAnsi="黑体" w:eastAsia="黑体" w:cs="黑体"/>
                <w:color w:val="000000"/>
                <w:sz w:val="20"/>
                <w:szCs w:val="20"/>
                <w:lang w:val="en-US" w:eastAsia="zh-CN" w:bidi="ar"/>
              </w:rPr>
              <w:t>1</w:t>
            </w:r>
          </w:p>
        </w:tc>
        <w:tc>
          <w:tcPr>
            <w:tcW w:w="445"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RF软件</w:t>
            </w:r>
          </w:p>
        </w:tc>
        <w:tc>
          <w:tcPr>
            <w:tcW w:w="497"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b w:val="0"/>
                <w:bCs/>
                <w:color w:val="000000"/>
                <w:sz w:val="20"/>
                <w:szCs w:val="20"/>
              </w:rPr>
              <w:t>软件和信息技术服务业</w:t>
            </w:r>
          </w:p>
        </w:tc>
        <w:tc>
          <w:tcPr>
            <w:tcW w:w="3001" w:type="pct"/>
            <w:tcBorders>
              <w:tl2br w:val="nil"/>
              <w:tr2bl w:val="nil"/>
            </w:tcBorders>
            <w:vAlign w:val="center"/>
          </w:tcPr>
          <w:p>
            <w:pPr>
              <w:widowControl/>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一、仓储功能</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1.入库理货：系统需具备对待理货的订单进行组托操作；</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2.入库搬运：系统需具备入库搬运功能，扫描托盘标签号获取商品信息和需要搬运地点，按照信息要求完成入库搬运操作；</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3.入库上架：系统需具备入库上架功能，通过扫描托盘条码获取商品名称、规格、批号、数量和储位标签等信息，可根据提示的储位完成上架操作；</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4.出库理货：系统需具备出库理货功能，点击开始功能将电子拣选区和托盘货架区的作业指令下发，开始出库作业；</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5.下架作业：系统需具备下架作业功能，通过扫描储位标签、托盘标签信息可进行出库货品的下架操作；</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6.搬运作业：系统需具备搬运作业功能，通过扫描托盘条码获取货品名称、数量和到达地点，按照信息要求完成搬运作业；</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7.返库上架：系统需具备返库上架功能，通过扫描托盘标签号获取返库上架货位，根据系统提示进行</w:t>
            </w:r>
            <w:r>
              <w:rPr>
                <w:rFonts w:hint="eastAsia" w:ascii="黑体" w:hAnsi="黑体" w:eastAsia="黑体" w:cs="黑体"/>
                <w:color w:val="auto"/>
                <w:sz w:val="20"/>
                <w:szCs w:val="20"/>
                <w:lang w:eastAsia="zh-CN" w:bidi="ar"/>
              </w:rPr>
              <w:t>反馈操作；</w:t>
            </w:r>
            <w:r>
              <w:rPr>
                <w:rFonts w:hint="eastAsia" w:ascii="黑体" w:hAnsi="黑体" w:eastAsia="黑体" w:cs="黑体"/>
                <w:color w:val="auto"/>
                <w:sz w:val="20"/>
                <w:szCs w:val="20"/>
                <w:lang w:eastAsia="zh-CN" w:bidi="ar"/>
              </w:rPr>
              <w:br w:type="textWrapping"/>
            </w:r>
            <w:r>
              <w:rPr>
                <w:rFonts w:hint="eastAsia" w:ascii="黑体" w:hAnsi="黑体" w:eastAsia="黑体" w:cs="黑体"/>
                <w:color w:val="auto"/>
                <w:sz w:val="20"/>
                <w:szCs w:val="20"/>
                <w:lang w:eastAsia="zh-CN" w:bidi="ar"/>
              </w:rPr>
              <w:t>8.电子拣选：系统需具备电子拣选功能，扫描出库单条码和周转箱条码发送指令至电子标签，结合电子标签硬件设备显示内容完成电子拣选操作；</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9.移库作业：系统需具备下架作业功能，通过扫描托盘标签号获取商品信息，扫描源储位和目标储位实现在库货品的移库操作；</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10.补货作业：系统需具备补货作业功能，支持在库货品的补货操作，补货的信息包括货品条码、货品名称、目标储位和数量；</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11.盘点作业：系统需具备盘点作业功能，可以根据盘点的类型指令不同下发，盘点类型为明盘则点亮电子标签设备实现明盘操作，盘点类型为盲盘时可结合手持完成盘点操作；</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二、运输功能</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1.取/派出站：系统需具备取/派出站功能，支持对待出站的运单进行扫描和出站操作；</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2.现场取货：系统需具备现场取货功能，支持对待取货的订单进行现场取货操作；</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3.取/派入站：系统需具备取/派入站功能，支持对待入站的运单进行扫描和入站操作；</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4.现场派货：系统需具备现场派货功能，支持对待派货的订单进行送货和签收操作。</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三、其他功能</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auto"/>
                <w:sz w:val="20"/>
                <w:szCs w:val="20"/>
                <w:lang w:eastAsia="zh-CN" w:bidi="ar"/>
              </w:rPr>
              <w:t>1.RF手持系统可以现代物流综合作业系统无缝对接，实现手持系统全部功能；</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2.系统需为成熟产品，投标人投标时应提供《计算机软件著作权登记证书》复印件并加盖制造商公章。</w:t>
            </w:r>
          </w:p>
        </w:tc>
        <w:tc>
          <w:tcPr>
            <w:tcW w:w="301"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5</w:t>
            </w:r>
          </w:p>
        </w:tc>
        <w:tc>
          <w:tcPr>
            <w:tcW w:w="272"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套</w:t>
            </w:r>
          </w:p>
        </w:tc>
        <w:tc>
          <w:tcPr>
            <w:tcW w:w="240"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eastAsia="zh-CN" w:bidi="ar"/>
              </w:rPr>
              <w:t>2</w:t>
            </w:r>
            <w:r>
              <w:rPr>
                <w:rFonts w:hint="eastAsia" w:ascii="黑体" w:hAnsi="黑体" w:eastAsia="黑体" w:cs="黑体"/>
                <w:color w:val="000000"/>
                <w:sz w:val="20"/>
                <w:szCs w:val="20"/>
                <w:lang w:val="en-US" w:eastAsia="zh-CN" w:bidi="ar"/>
              </w:rPr>
              <w:t>2</w:t>
            </w:r>
          </w:p>
        </w:tc>
        <w:tc>
          <w:tcPr>
            <w:tcW w:w="445"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电子拣选控制系统</w:t>
            </w:r>
          </w:p>
        </w:tc>
        <w:tc>
          <w:tcPr>
            <w:tcW w:w="497"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b w:val="0"/>
                <w:bCs/>
                <w:color w:val="000000"/>
                <w:sz w:val="20"/>
                <w:szCs w:val="20"/>
              </w:rPr>
              <w:t>软件和信息技术服务业</w:t>
            </w:r>
          </w:p>
        </w:tc>
        <w:tc>
          <w:tcPr>
            <w:tcW w:w="3001" w:type="pct"/>
            <w:tcBorders>
              <w:tl2br w:val="nil"/>
              <w:tr2bl w:val="nil"/>
            </w:tcBorders>
            <w:vAlign w:val="center"/>
          </w:tcPr>
          <w:p>
            <w:pPr>
              <w:widowControl/>
              <w:jc w:val="left"/>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电子拣选控制系统与WMS系统实现业务对接，通过网络实时监控WMS系统下达的指令。系统根据指令内容点亮相应的电子标签并将作业信息显示到LED显示屏上。现场人员根据电子标签显示内容进行作业，电子拣选控制系统监控作业人员灭灯动作并及时的将作业结果反馈到WMS系统。</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一、功能要求</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1.开始监控：系统需具备开始监控功能，可以监控WMS系统下达的作业指令；</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2.结束监控：系统需具备结束监控功能，结束指令监控释放所有占用的资源；</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3.配置：系统需具备配置功能，可对服务器接口、电子标签设备信息进行配置；</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4.系统能够支持电子拣选、播种作业、货到人拣选、拣货台车等多种作业类型。</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二、其他要求</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1.系统需具备与WMS系统进行无缝对接功能；</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2.系统需支持电子拣选、播种等多种作业方式；</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3.系统需支持多任务下达功能；</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4.系统需为成熟产品，投标人投标时应提供《计算机软件著作权登记证书》复印件并加盖制造商公章。</w:t>
            </w:r>
          </w:p>
        </w:tc>
        <w:tc>
          <w:tcPr>
            <w:tcW w:w="301"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1</w:t>
            </w:r>
          </w:p>
        </w:tc>
        <w:tc>
          <w:tcPr>
            <w:tcW w:w="272"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套</w:t>
            </w:r>
          </w:p>
        </w:tc>
        <w:tc>
          <w:tcPr>
            <w:tcW w:w="240"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sz w:val="20"/>
                <w:szCs w:val="20"/>
                <w:lang w:val="en-US" w:eastAsia="zh-CN" w:bidi="ar"/>
              </w:rPr>
            </w:pPr>
            <w:r>
              <w:rPr>
                <w:rFonts w:hint="eastAsia" w:ascii="黑体" w:hAnsi="黑体" w:eastAsia="黑体" w:cs="黑体"/>
                <w:color w:val="000000"/>
                <w:sz w:val="20"/>
                <w:szCs w:val="20"/>
                <w:lang w:eastAsia="zh-CN" w:bidi="ar"/>
              </w:rPr>
              <w:t>2</w:t>
            </w:r>
            <w:r>
              <w:rPr>
                <w:rFonts w:hint="eastAsia" w:ascii="黑体" w:hAnsi="黑体" w:eastAsia="黑体" w:cs="黑体"/>
                <w:color w:val="000000"/>
                <w:sz w:val="20"/>
                <w:szCs w:val="20"/>
                <w:lang w:val="en-US" w:eastAsia="zh-CN" w:bidi="ar"/>
              </w:rPr>
              <w:t>3</w:t>
            </w:r>
          </w:p>
        </w:tc>
        <w:tc>
          <w:tcPr>
            <w:tcW w:w="445"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highlight w:val="none"/>
                <w:lang w:eastAsia="zh-CN" w:bidi="ar"/>
              </w:rPr>
              <w:t>电瓶式叉车</w:t>
            </w:r>
          </w:p>
        </w:tc>
        <w:tc>
          <w:tcPr>
            <w:tcW w:w="497" w:type="pct"/>
            <w:tcBorders>
              <w:tl2br w:val="nil"/>
              <w:tr2bl w:val="nil"/>
            </w:tcBorders>
            <w:vAlign w:val="center"/>
          </w:tcPr>
          <w:p>
            <w:pPr>
              <w:widowControl/>
              <w:jc w:val="center"/>
              <w:textAlignment w:val="center"/>
              <w:rPr>
                <w:rFonts w:hint="default" w:ascii="黑体" w:hAnsi="黑体" w:eastAsia="黑体" w:cs="黑体"/>
                <w:color w:val="000000"/>
                <w:sz w:val="20"/>
                <w:szCs w:val="20"/>
                <w:highlight w:val="darkGreen"/>
                <w:lang w:val="en-US" w:eastAsia="zh-CN" w:bidi="ar"/>
              </w:rPr>
            </w:pPr>
            <w:r>
              <w:rPr>
                <w:rFonts w:hint="eastAsia" w:ascii="黑体" w:hAnsi="黑体" w:eastAsia="黑体" w:cs="黑体"/>
                <w:color w:val="000000"/>
                <w:sz w:val="20"/>
                <w:szCs w:val="20"/>
                <w:highlight w:val="none"/>
                <w:lang w:val="en-US" w:eastAsia="zh-CN" w:bidi="ar"/>
              </w:rPr>
              <w:t>工业</w:t>
            </w:r>
          </w:p>
        </w:tc>
        <w:tc>
          <w:tcPr>
            <w:tcW w:w="3001" w:type="pct"/>
            <w:tcBorders>
              <w:tl2br w:val="nil"/>
              <w:tr2bl w:val="nil"/>
            </w:tcBorders>
            <w:vAlign w:val="center"/>
          </w:tcPr>
          <w:p>
            <w:pPr>
              <w:widowControl w:val="0"/>
              <w:jc w:val="left"/>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1.叉车形式：电动；</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2.操作形式：座驾式；</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3.额定载重量：≥1500kg；</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4.额定载荷中心距：≤500mm；</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5.自重: ≤3150 kg；</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6.门架前后倾角（前/后）:6/10（°）；</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7.门架静止高度: ≤1995mm；</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8.自由提升高度: ≥155mm；</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9.标配门架起升高度:3000mm；</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10.门架起升时最大高度: ≥ 3955mm；</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11.标配护顶架高度:2070mm；</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12.货叉尺寸s/e/l:约35/100/920mm；</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13.最小转弯半径: ≤1900mm；</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14.最大行驶速度（满载/空载）: ≥16/17 km/h；</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15.最大起升速度（满载/空载）: ≥370/650 mm/s；</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16.下降速度（满载/空载）: ≥450/500 mm/s；</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17.最大爬坡度（满载/空载）: ≥19/20%；</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18标配蓄电池电压/容量：48/420 V/Ah；</w:t>
            </w:r>
            <w:r>
              <w:rPr>
                <w:rFonts w:hint="eastAsia" w:ascii="黑体" w:hAnsi="黑体" w:eastAsia="黑体" w:cs="黑体"/>
                <w:color w:val="000000"/>
                <w:sz w:val="20"/>
                <w:szCs w:val="20"/>
                <w:lang w:eastAsia="zh-CN" w:bidi="ar"/>
              </w:rPr>
              <w:br w:type="textWrapping"/>
            </w:r>
            <w:r>
              <w:rPr>
                <w:rFonts w:hint="eastAsia" w:ascii="黑体" w:hAnsi="黑体" w:eastAsia="黑体" w:cs="黑体"/>
                <w:color w:val="000000"/>
                <w:sz w:val="20"/>
                <w:szCs w:val="20"/>
                <w:lang w:eastAsia="zh-CN" w:bidi="ar"/>
              </w:rPr>
              <w:t>19.特设功能：教学版遥控制动系统。</w:t>
            </w:r>
          </w:p>
        </w:tc>
        <w:tc>
          <w:tcPr>
            <w:tcW w:w="301"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2</w:t>
            </w:r>
          </w:p>
        </w:tc>
        <w:tc>
          <w:tcPr>
            <w:tcW w:w="272"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r>
              <w:rPr>
                <w:rFonts w:hint="eastAsia" w:ascii="黑体" w:hAnsi="黑体" w:eastAsia="黑体" w:cs="黑体"/>
                <w:color w:val="000000"/>
                <w:sz w:val="20"/>
                <w:szCs w:val="20"/>
                <w:lang w:eastAsia="zh-CN" w:bidi="ar"/>
              </w:rPr>
              <w:t>台</w:t>
            </w:r>
          </w:p>
        </w:tc>
        <w:tc>
          <w:tcPr>
            <w:tcW w:w="240" w:type="pct"/>
            <w:tcBorders>
              <w:tl2br w:val="nil"/>
              <w:tr2bl w:val="nil"/>
            </w:tcBorders>
            <w:vAlign w:val="center"/>
          </w:tcPr>
          <w:p>
            <w:pPr>
              <w:widowControl/>
              <w:jc w:val="center"/>
              <w:textAlignment w:val="center"/>
              <w:rPr>
                <w:rFonts w:hint="eastAsia" w:ascii="黑体" w:hAnsi="黑体" w:eastAsia="黑体" w:cs="黑体"/>
                <w:color w:val="000000"/>
                <w:sz w:val="20"/>
                <w:szCs w:val="20"/>
                <w:lang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24</w:t>
            </w:r>
          </w:p>
        </w:tc>
        <w:tc>
          <w:tcPr>
            <w:tcW w:w="445"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宋体" w:hAnsi="宋体"/>
                <w:sz w:val="24"/>
              </w:rPr>
              <w:t>▲</w:t>
            </w:r>
            <w:r>
              <w:rPr>
                <w:rFonts w:hint="eastAsia" w:ascii="黑体" w:hAnsi="黑体" w:eastAsia="黑体" w:cs="黑体"/>
                <w:color w:val="auto"/>
                <w:kern w:val="0"/>
                <w:sz w:val="20"/>
                <w:szCs w:val="20"/>
                <w:highlight w:val="none"/>
                <w:lang w:bidi="ar"/>
              </w:rPr>
              <w:t>普通车床</w:t>
            </w:r>
          </w:p>
        </w:tc>
        <w:tc>
          <w:tcPr>
            <w:tcW w:w="497" w:type="pct"/>
            <w:tcBorders>
              <w:tl2br w:val="nil"/>
              <w:tr2bl w:val="nil"/>
            </w:tcBorders>
            <w:vAlign w:val="center"/>
          </w:tcPr>
          <w:p>
            <w:pPr>
              <w:widowControl/>
              <w:jc w:val="center"/>
              <w:textAlignment w:val="center"/>
              <w:rPr>
                <w:rFonts w:hint="eastAsia" w:ascii="黑体" w:hAnsi="黑体" w:eastAsia="黑体" w:cs="黑体"/>
                <w:color w:val="auto"/>
                <w:kern w:val="0"/>
                <w:sz w:val="20"/>
                <w:szCs w:val="20"/>
                <w:highlight w:val="darkGreen"/>
                <w:lang w:val="en-US" w:eastAsia="zh-CN" w:bidi="ar"/>
              </w:rPr>
            </w:pPr>
            <w:r>
              <w:rPr>
                <w:rFonts w:hint="eastAsia" w:ascii="黑体" w:hAnsi="黑体" w:eastAsia="黑体" w:cs="黑体"/>
                <w:color w:val="auto"/>
                <w:kern w:val="0"/>
                <w:sz w:val="20"/>
                <w:szCs w:val="20"/>
                <w:highlight w:val="none"/>
                <w:lang w:val="en-US" w:eastAsia="zh-CN" w:bidi="ar"/>
              </w:rPr>
              <w:t>工业</w:t>
            </w:r>
          </w:p>
        </w:tc>
        <w:tc>
          <w:tcPr>
            <w:tcW w:w="3001" w:type="pct"/>
            <w:tcBorders>
              <w:tl2br w:val="nil"/>
              <w:tr2bl w:val="nil"/>
            </w:tcBorders>
            <w:vAlign w:val="center"/>
          </w:tcPr>
          <w:p>
            <w:pPr>
              <w:widowControl/>
              <w:tabs>
                <w:tab w:val="left" w:pos="410"/>
              </w:tabs>
              <w:textAlignment w:val="center"/>
              <w:rPr>
                <w:rFonts w:hint="eastAsia" w:ascii="黑体" w:hAnsi="黑体" w:eastAsia="黑体" w:cs="黑体"/>
                <w:color w:val="auto"/>
                <w:kern w:val="0"/>
                <w:sz w:val="20"/>
                <w:szCs w:val="20"/>
                <w:lang w:bidi="ar"/>
              </w:rPr>
            </w:pPr>
            <w:r>
              <w:rPr>
                <w:rFonts w:hint="eastAsia" w:ascii="黑体" w:hAnsi="黑体" w:eastAsia="黑体" w:cs="黑体"/>
                <w:color w:val="auto"/>
                <w:kern w:val="0"/>
                <w:sz w:val="20"/>
                <w:szCs w:val="20"/>
                <w:lang w:val="en-US" w:eastAsia="zh-CN" w:bidi="ar"/>
              </w:rPr>
              <w:t>规格：</w:t>
            </w:r>
            <w:r>
              <w:rPr>
                <w:rFonts w:hint="eastAsia" w:ascii="黑体" w:hAnsi="黑体" w:eastAsia="黑体" w:cs="黑体"/>
                <w:color w:val="auto"/>
                <w:kern w:val="0"/>
                <w:sz w:val="20"/>
                <w:szCs w:val="20"/>
                <w:lang w:bidi="ar"/>
              </w:rPr>
              <w:t>C</w:t>
            </w:r>
            <w:r>
              <w:rPr>
                <w:rFonts w:hint="eastAsia" w:ascii="黑体" w:hAnsi="黑体" w:eastAsia="黑体" w:cs="黑体"/>
                <w:color w:val="auto"/>
                <w:kern w:val="0"/>
                <w:sz w:val="20"/>
                <w:szCs w:val="20"/>
                <w:lang w:val="en-US" w:eastAsia="zh-CN" w:bidi="ar"/>
              </w:rPr>
              <w:t>A</w:t>
            </w:r>
            <w:r>
              <w:rPr>
                <w:rFonts w:hint="eastAsia" w:ascii="黑体" w:hAnsi="黑体" w:eastAsia="黑体" w:cs="黑体"/>
                <w:color w:val="auto"/>
                <w:kern w:val="0"/>
                <w:sz w:val="20"/>
                <w:szCs w:val="20"/>
                <w:lang w:bidi="ar"/>
              </w:rPr>
              <w:t>6140</w:t>
            </w:r>
          </w:p>
          <w:p>
            <w:pPr>
              <w:widowControl/>
              <w:tabs>
                <w:tab w:val="left" w:pos="410"/>
              </w:tabs>
              <w:textAlignment w:val="center"/>
              <w:rPr>
                <w:rFonts w:hint="eastAsia" w:ascii="黑体" w:hAnsi="黑体" w:eastAsia="黑体" w:cs="黑体"/>
                <w:color w:val="auto"/>
                <w:kern w:val="0"/>
                <w:sz w:val="20"/>
                <w:szCs w:val="20"/>
                <w:lang w:bidi="ar"/>
              </w:rPr>
            </w:pPr>
            <w:r>
              <w:rPr>
                <w:rFonts w:hint="eastAsia" w:ascii="黑体" w:hAnsi="黑体" w:eastAsia="黑体" w:cs="黑体"/>
                <w:color w:val="auto"/>
                <w:kern w:val="0"/>
                <w:sz w:val="20"/>
                <w:szCs w:val="20"/>
                <w:lang w:bidi="ar"/>
              </w:rPr>
              <w:t>一、技术参数：</w:t>
            </w:r>
          </w:p>
          <w:p>
            <w:pPr>
              <w:widowControl/>
              <w:tabs>
                <w:tab w:val="left" w:pos="410"/>
              </w:tabs>
              <w:textAlignment w:val="center"/>
              <w:rPr>
                <w:rFonts w:hint="eastAsia" w:ascii="黑体" w:hAnsi="黑体" w:eastAsia="黑体" w:cs="黑体"/>
                <w:color w:val="auto"/>
                <w:kern w:val="0"/>
                <w:sz w:val="20"/>
                <w:szCs w:val="20"/>
                <w:lang w:bidi="ar"/>
              </w:rPr>
            </w:pPr>
            <w:r>
              <w:rPr>
                <w:rFonts w:hint="eastAsia" w:ascii="黑体" w:hAnsi="黑体" w:eastAsia="黑体" w:cs="黑体"/>
                <w:color w:val="auto"/>
                <w:kern w:val="0"/>
                <w:sz w:val="20"/>
                <w:szCs w:val="20"/>
                <w:lang w:bidi="ar"/>
              </w:rPr>
              <w:t>1、床身回转直径：400mm；</w:t>
            </w:r>
          </w:p>
          <w:p>
            <w:pPr>
              <w:widowControl/>
              <w:tabs>
                <w:tab w:val="left" w:pos="410"/>
              </w:tabs>
              <w:textAlignment w:val="center"/>
              <w:rPr>
                <w:rFonts w:hint="eastAsia" w:ascii="黑体" w:hAnsi="黑体" w:eastAsia="黑体" w:cs="黑体"/>
                <w:color w:val="auto"/>
                <w:kern w:val="0"/>
                <w:sz w:val="20"/>
                <w:szCs w:val="20"/>
                <w:lang w:bidi="ar"/>
              </w:rPr>
            </w:pPr>
            <w:r>
              <w:rPr>
                <w:rFonts w:hint="eastAsia" w:ascii="黑体" w:hAnsi="黑体" w:eastAsia="黑体" w:cs="黑体"/>
                <w:color w:val="auto"/>
                <w:kern w:val="0"/>
                <w:sz w:val="20"/>
                <w:szCs w:val="20"/>
                <w:lang w:bidi="ar"/>
              </w:rPr>
              <w:t>2、刀架回转直径：</w:t>
            </w:r>
            <w:r>
              <w:rPr>
                <w:rFonts w:hint="eastAsia" w:ascii="黑体" w:hAnsi="黑体" w:eastAsia="黑体" w:cs="黑体"/>
                <w:color w:val="auto"/>
                <w:kern w:val="0"/>
                <w:sz w:val="20"/>
                <w:szCs w:val="20"/>
                <w:lang w:val="en-US" w:eastAsia="zh-CN" w:bidi="ar"/>
              </w:rPr>
              <w:t>21</w:t>
            </w:r>
            <w:r>
              <w:rPr>
                <w:rFonts w:hint="eastAsia" w:ascii="黑体" w:hAnsi="黑体" w:eastAsia="黑体" w:cs="黑体"/>
                <w:color w:val="auto"/>
                <w:kern w:val="0"/>
                <w:sz w:val="20"/>
                <w:szCs w:val="20"/>
                <w:lang w:bidi="ar"/>
              </w:rPr>
              <w:t>0mm；</w:t>
            </w:r>
          </w:p>
          <w:p>
            <w:pPr>
              <w:widowControl/>
              <w:tabs>
                <w:tab w:val="left" w:pos="410"/>
              </w:tabs>
              <w:textAlignment w:val="center"/>
              <w:rPr>
                <w:rFonts w:hint="eastAsia" w:ascii="黑体" w:hAnsi="黑体" w:eastAsia="黑体" w:cs="黑体"/>
                <w:color w:val="auto"/>
                <w:kern w:val="0"/>
                <w:sz w:val="20"/>
                <w:szCs w:val="20"/>
                <w:lang w:bidi="ar"/>
              </w:rPr>
            </w:pPr>
            <w:r>
              <w:rPr>
                <w:rFonts w:hint="eastAsia" w:ascii="黑体" w:hAnsi="黑体" w:eastAsia="黑体" w:cs="黑体"/>
                <w:color w:val="auto"/>
                <w:kern w:val="0"/>
                <w:sz w:val="20"/>
                <w:szCs w:val="20"/>
                <w:lang w:bidi="ar"/>
              </w:rPr>
              <w:t>3、可装夹的工件长度：1000mm；</w:t>
            </w:r>
          </w:p>
          <w:p>
            <w:pPr>
              <w:widowControl/>
              <w:tabs>
                <w:tab w:val="left" w:pos="410"/>
              </w:tabs>
              <w:textAlignment w:val="center"/>
              <w:rPr>
                <w:rFonts w:hint="eastAsia" w:ascii="黑体" w:hAnsi="黑体" w:eastAsia="黑体" w:cs="黑体"/>
                <w:color w:val="auto"/>
                <w:kern w:val="0"/>
                <w:sz w:val="20"/>
                <w:szCs w:val="20"/>
                <w:lang w:bidi="ar"/>
              </w:rPr>
            </w:pPr>
            <w:r>
              <w:rPr>
                <w:rFonts w:hint="eastAsia" w:ascii="黑体" w:hAnsi="黑体" w:eastAsia="黑体" w:cs="黑体"/>
                <w:color w:val="auto"/>
                <w:kern w:val="0"/>
                <w:sz w:val="20"/>
                <w:szCs w:val="20"/>
                <w:lang w:bidi="ar"/>
              </w:rPr>
              <w:t>4、机床刀具可车削长度：900mm；</w:t>
            </w:r>
          </w:p>
          <w:p>
            <w:pPr>
              <w:widowControl/>
              <w:tabs>
                <w:tab w:val="left" w:pos="410"/>
              </w:tabs>
              <w:textAlignment w:val="center"/>
              <w:rPr>
                <w:rFonts w:hint="eastAsia" w:ascii="黑体" w:hAnsi="黑体" w:eastAsia="黑体" w:cs="黑体"/>
                <w:color w:val="auto"/>
                <w:kern w:val="0"/>
                <w:sz w:val="20"/>
                <w:szCs w:val="20"/>
                <w:lang w:bidi="ar"/>
              </w:rPr>
            </w:pPr>
            <w:r>
              <w:rPr>
                <w:rFonts w:hint="eastAsia" w:ascii="黑体" w:hAnsi="黑体" w:eastAsia="黑体" w:cs="黑体"/>
                <w:color w:val="auto"/>
                <w:kern w:val="0"/>
                <w:sz w:val="20"/>
                <w:szCs w:val="20"/>
                <w:lang w:bidi="ar"/>
              </w:rPr>
              <w:t>5、主轴至床身平面导轨：200mm；</w:t>
            </w:r>
          </w:p>
          <w:p>
            <w:pPr>
              <w:widowControl/>
              <w:tabs>
                <w:tab w:val="left" w:pos="410"/>
              </w:tabs>
              <w:textAlignment w:val="center"/>
              <w:rPr>
                <w:rFonts w:hint="eastAsia" w:ascii="黑体" w:hAnsi="黑体" w:eastAsia="黑体" w:cs="黑体"/>
                <w:color w:val="auto"/>
                <w:kern w:val="0"/>
                <w:sz w:val="20"/>
                <w:szCs w:val="20"/>
                <w:lang w:bidi="ar"/>
              </w:rPr>
            </w:pPr>
            <w:r>
              <w:rPr>
                <w:rFonts w:hint="eastAsia" w:ascii="黑体" w:hAnsi="黑体" w:eastAsia="黑体" w:cs="黑体"/>
                <w:color w:val="auto"/>
                <w:kern w:val="0"/>
                <w:sz w:val="20"/>
                <w:szCs w:val="20"/>
                <w:lang w:bidi="ar"/>
              </w:rPr>
              <w:t>6、主轴转速级数（正转）：24 级；</w:t>
            </w:r>
          </w:p>
          <w:p>
            <w:pPr>
              <w:widowControl/>
              <w:tabs>
                <w:tab w:val="left" w:pos="410"/>
              </w:tabs>
              <w:textAlignment w:val="center"/>
              <w:rPr>
                <w:rFonts w:hint="eastAsia" w:ascii="黑体" w:hAnsi="黑体" w:eastAsia="黑体" w:cs="黑体"/>
                <w:color w:val="auto"/>
                <w:kern w:val="0"/>
                <w:sz w:val="20"/>
                <w:szCs w:val="20"/>
                <w:lang w:bidi="ar"/>
              </w:rPr>
            </w:pPr>
            <w:r>
              <w:rPr>
                <w:rFonts w:hint="eastAsia" w:ascii="黑体" w:hAnsi="黑体" w:eastAsia="黑体" w:cs="黑体"/>
                <w:color w:val="auto"/>
                <w:kern w:val="0"/>
                <w:sz w:val="20"/>
                <w:szCs w:val="20"/>
                <w:lang w:bidi="ar"/>
              </w:rPr>
              <w:t>7、主轴转速级数：≥2 级；</w:t>
            </w:r>
          </w:p>
          <w:p>
            <w:pPr>
              <w:widowControl/>
              <w:tabs>
                <w:tab w:val="left" w:pos="410"/>
              </w:tabs>
              <w:textAlignment w:val="center"/>
              <w:rPr>
                <w:rFonts w:hint="eastAsia" w:ascii="黑体" w:hAnsi="黑体" w:eastAsia="黑体" w:cs="黑体"/>
                <w:color w:val="auto"/>
                <w:kern w:val="0"/>
                <w:sz w:val="20"/>
                <w:szCs w:val="20"/>
                <w:lang w:bidi="ar"/>
              </w:rPr>
            </w:pPr>
            <w:r>
              <w:rPr>
                <w:rFonts w:hint="eastAsia" w:ascii="黑体" w:hAnsi="黑体" w:eastAsia="黑体" w:cs="黑体"/>
                <w:color w:val="auto"/>
                <w:kern w:val="0"/>
                <w:sz w:val="20"/>
                <w:szCs w:val="20"/>
                <w:lang w:bidi="ar"/>
              </w:rPr>
              <w:t>8、主轴转速范围（正转）：11-1600r/min；</w:t>
            </w:r>
          </w:p>
          <w:p>
            <w:pPr>
              <w:widowControl/>
              <w:tabs>
                <w:tab w:val="left" w:pos="410"/>
              </w:tabs>
              <w:textAlignment w:val="center"/>
              <w:rPr>
                <w:rFonts w:hint="eastAsia" w:ascii="黑体" w:hAnsi="黑体" w:eastAsia="黑体" w:cs="黑体"/>
                <w:color w:val="auto"/>
                <w:kern w:val="0"/>
                <w:sz w:val="20"/>
                <w:szCs w:val="20"/>
                <w:lang w:bidi="ar"/>
              </w:rPr>
            </w:pPr>
            <w:r>
              <w:rPr>
                <w:rFonts w:hint="eastAsia" w:ascii="黑体" w:hAnsi="黑体" w:eastAsia="黑体" w:cs="黑体"/>
                <w:color w:val="auto"/>
                <w:kern w:val="0"/>
                <w:sz w:val="20"/>
                <w:szCs w:val="20"/>
                <w:lang w:bidi="ar"/>
              </w:rPr>
              <w:t>9、主轴转速范围（反转）：14-1580r/min；</w:t>
            </w:r>
          </w:p>
          <w:p>
            <w:pPr>
              <w:widowControl/>
              <w:tabs>
                <w:tab w:val="left" w:pos="410"/>
              </w:tabs>
              <w:textAlignment w:val="center"/>
              <w:rPr>
                <w:rFonts w:hint="eastAsia" w:ascii="黑体" w:hAnsi="黑体" w:eastAsia="黑体" w:cs="黑体"/>
                <w:color w:val="auto"/>
                <w:kern w:val="0"/>
                <w:sz w:val="20"/>
                <w:szCs w:val="20"/>
                <w:lang w:bidi="ar"/>
              </w:rPr>
            </w:pPr>
            <w:r>
              <w:rPr>
                <w:rFonts w:hint="eastAsia" w:ascii="黑体" w:hAnsi="黑体" w:eastAsia="黑体" w:cs="黑体"/>
                <w:color w:val="auto"/>
                <w:kern w:val="0"/>
                <w:sz w:val="20"/>
                <w:szCs w:val="20"/>
                <w:lang w:bidi="ar"/>
              </w:rPr>
              <w:t>10、纵向进给量范围（64 种）：标准进给：0.0</w:t>
            </w:r>
            <w:r>
              <w:rPr>
                <w:rFonts w:hint="eastAsia" w:ascii="黑体" w:hAnsi="黑体" w:eastAsia="黑体" w:cs="黑体"/>
                <w:color w:val="auto"/>
                <w:kern w:val="0"/>
                <w:sz w:val="20"/>
                <w:szCs w:val="20"/>
                <w:lang w:val="en-US" w:eastAsia="zh-CN" w:bidi="ar"/>
              </w:rPr>
              <w:t>2</w:t>
            </w:r>
            <w:r>
              <w:rPr>
                <w:rFonts w:hint="eastAsia" w:ascii="黑体" w:hAnsi="黑体" w:eastAsia="黑体" w:cs="黑体"/>
                <w:color w:val="auto"/>
                <w:kern w:val="0"/>
                <w:sz w:val="20"/>
                <w:szCs w:val="20"/>
                <w:lang w:bidi="ar"/>
              </w:rPr>
              <w:t>8-</w:t>
            </w:r>
            <w:r>
              <w:rPr>
                <w:rFonts w:hint="eastAsia" w:ascii="黑体" w:hAnsi="黑体" w:eastAsia="黑体" w:cs="黑体"/>
                <w:color w:val="auto"/>
                <w:kern w:val="0"/>
                <w:sz w:val="20"/>
                <w:szCs w:val="20"/>
                <w:lang w:val="en-US" w:eastAsia="zh-CN" w:bidi="ar"/>
              </w:rPr>
              <w:t>6.33</w:t>
            </w:r>
            <w:r>
              <w:rPr>
                <w:rFonts w:hint="eastAsia" w:ascii="黑体" w:hAnsi="黑体" w:eastAsia="黑体" w:cs="黑体"/>
                <w:color w:val="auto"/>
                <w:kern w:val="0"/>
                <w:sz w:val="20"/>
                <w:szCs w:val="20"/>
                <w:lang w:bidi="ar"/>
              </w:rPr>
              <w:t xml:space="preserve"> mm/r；</w:t>
            </w:r>
          </w:p>
          <w:p>
            <w:pPr>
              <w:widowControl/>
              <w:tabs>
                <w:tab w:val="left" w:pos="410"/>
              </w:tabs>
              <w:textAlignment w:val="center"/>
              <w:rPr>
                <w:rFonts w:hint="eastAsia" w:ascii="黑体" w:hAnsi="黑体" w:eastAsia="黑体" w:cs="黑体"/>
                <w:color w:val="auto"/>
                <w:kern w:val="0"/>
                <w:sz w:val="20"/>
                <w:szCs w:val="20"/>
                <w:lang w:bidi="ar"/>
              </w:rPr>
            </w:pPr>
            <w:r>
              <w:rPr>
                <w:rFonts w:hint="eastAsia" w:ascii="黑体" w:hAnsi="黑体" w:eastAsia="黑体" w:cs="黑体"/>
                <w:color w:val="auto"/>
                <w:kern w:val="0"/>
                <w:sz w:val="20"/>
                <w:szCs w:val="20"/>
                <w:lang w:bidi="ar"/>
              </w:rPr>
              <w:t>11、横向进给量范围（</w:t>
            </w:r>
            <w:r>
              <w:rPr>
                <w:rFonts w:hint="eastAsia" w:ascii="黑体" w:hAnsi="黑体" w:eastAsia="黑体" w:cs="黑体"/>
                <w:color w:val="auto"/>
                <w:kern w:val="0"/>
                <w:sz w:val="20"/>
                <w:szCs w:val="20"/>
                <w:lang w:val="en-US" w:eastAsia="zh-CN" w:bidi="ar"/>
              </w:rPr>
              <w:t>32</w:t>
            </w:r>
            <w:r>
              <w:rPr>
                <w:rFonts w:hint="eastAsia" w:ascii="黑体" w:hAnsi="黑体" w:eastAsia="黑体" w:cs="黑体"/>
                <w:color w:val="auto"/>
                <w:kern w:val="0"/>
                <w:sz w:val="20"/>
                <w:szCs w:val="20"/>
                <w:lang w:bidi="ar"/>
              </w:rPr>
              <w:t xml:space="preserve"> 种）：标准进给：0.014-</w:t>
            </w:r>
            <w:r>
              <w:rPr>
                <w:rFonts w:hint="eastAsia" w:ascii="黑体" w:hAnsi="黑体" w:eastAsia="黑体" w:cs="黑体"/>
                <w:color w:val="auto"/>
                <w:kern w:val="0"/>
                <w:sz w:val="20"/>
                <w:szCs w:val="20"/>
                <w:lang w:val="en-US" w:eastAsia="zh-CN" w:bidi="ar"/>
              </w:rPr>
              <w:t>3.165</w:t>
            </w:r>
            <w:r>
              <w:rPr>
                <w:rFonts w:hint="eastAsia" w:ascii="黑体" w:hAnsi="黑体" w:eastAsia="黑体" w:cs="黑体"/>
                <w:color w:val="auto"/>
                <w:kern w:val="0"/>
                <w:sz w:val="20"/>
                <w:szCs w:val="20"/>
                <w:lang w:bidi="ar"/>
              </w:rPr>
              <w:t>mm/r；</w:t>
            </w:r>
          </w:p>
          <w:p>
            <w:pPr>
              <w:widowControl/>
              <w:tabs>
                <w:tab w:val="left" w:pos="410"/>
              </w:tabs>
              <w:textAlignment w:val="center"/>
              <w:rPr>
                <w:rFonts w:hint="eastAsia" w:ascii="黑体" w:hAnsi="黑体" w:eastAsia="黑体" w:cs="黑体"/>
                <w:color w:val="auto"/>
                <w:kern w:val="0"/>
                <w:sz w:val="20"/>
                <w:szCs w:val="20"/>
                <w:lang w:bidi="ar"/>
              </w:rPr>
            </w:pPr>
            <w:r>
              <w:rPr>
                <w:rFonts w:hint="eastAsia" w:ascii="黑体" w:hAnsi="黑体" w:eastAsia="黑体" w:cs="黑体"/>
                <w:color w:val="auto"/>
                <w:kern w:val="0"/>
                <w:sz w:val="20"/>
                <w:szCs w:val="20"/>
                <w:lang w:bidi="ar"/>
              </w:rPr>
              <w:t>加大进给：0.86-3.16mm/r；</w:t>
            </w:r>
          </w:p>
          <w:p>
            <w:pPr>
              <w:widowControl/>
              <w:tabs>
                <w:tab w:val="left" w:pos="410"/>
              </w:tabs>
              <w:textAlignment w:val="center"/>
              <w:rPr>
                <w:rFonts w:hint="eastAsia" w:ascii="黑体" w:hAnsi="黑体" w:eastAsia="黑体" w:cs="黑体"/>
                <w:color w:val="auto"/>
                <w:kern w:val="0"/>
                <w:sz w:val="20"/>
                <w:szCs w:val="20"/>
                <w:lang w:bidi="ar"/>
              </w:rPr>
            </w:pPr>
            <w:r>
              <w:rPr>
                <w:rFonts w:hint="eastAsia" w:ascii="黑体" w:hAnsi="黑体" w:eastAsia="黑体" w:cs="黑体"/>
                <w:color w:val="auto"/>
                <w:kern w:val="0"/>
                <w:sz w:val="20"/>
                <w:szCs w:val="20"/>
                <w:lang w:bidi="ar"/>
              </w:rPr>
              <w:t>12、刀架纵/横向的快移速度：纵向4 m/min，横向2 m/min；</w:t>
            </w:r>
          </w:p>
          <w:p>
            <w:pPr>
              <w:widowControl/>
              <w:tabs>
                <w:tab w:val="left" w:pos="410"/>
              </w:tabs>
              <w:textAlignment w:val="center"/>
              <w:rPr>
                <w:rFonts w:hint="eastAsia" w:ascii="黑体" w:hAnsi="黑体" w:eastAsia="黑体" w:cs="黑体"/>
                <w:color w:val="auto"/>
                <w:kern w:val="0"/>
                <w:sz w:val="20"/>
                <w:szCs w:val="20"/>
                <w:lang w:bidi="ar"/>
              </w:rPr>
            </w:pPr>
            <w:r>
              <w:rPr>
                <w:rFonts w:hint="eastAsia" w:ascii="黑体" w:hAnsi="黑体" w:eastAsia="黑体" w:cs="黑体"/>
                <w:color w:val="auto"/>
                <w:kern w:val="0"/>
                <w:sz w:val="20"/>
                <w:szCs w:val="20"/>
                <w:lang w:bidi="ar"/>
              </w:rPr>
              <w:t>13、加工螺纹范围：公制螺纹44 种：1-192mm；模数螺纹39 种：0.25-48mm；英制螺纹21 种：2-24 牙/寸；径节螺纹37 种：1-96；</w:t>
            </w:r>
          </w:p>
          <w:p>
            <w:pPr>
              <w:widowControl/>
              <w:tabs>
                <w:tab w:val="left" w:pos="410"/>
              </w:tabs>
              <w:textAlignment w:val="center"/>
              <w:rPr>
                <w:rFonts w:hint="eastAsia" w:ascii="黑体" w:hAnsi="黑体" w:eastAsia="黑体" w:cs="黑体"/>
                <w:color w:val="auto"/>
                <w:kern w:val="0"/>
                <w:sz w:val="20"/>
                <w:szCs w:val="20"/>
                <w:lang w:bidi="ar"/>
              </w:rPr>
            </w:pPr>
            <w:r>
              <w:rPr>
                <w:rFonts w:hint="eastAsia" w:ascii="黑体" w:hAnsi="黑体" w:eastAsia="黑体" w:cs="黑体"/>
                <w:color w:val="auto"/>
                <w:kern w:val="0"/>
                <w:sz w:val="20"/>
                <w:szCs w:val="20"/>
                <w:lang w:bidi="ar"/>
              </w:rPr>
              <w:t>14、上刀架行程：140mm；15、下刀架行程：320mm；</w:t>
            </w:r>
          </w:p>
          <w:p>
            <w:pPr>
              <w:widowControl/>
              <w:tabs>
                <w:tab w:val="left" w:pos="410"/>
              </w:tabs>
              <w:textAlignment w:val="center"/>
              <w:rPr>
                <w:rFonts w:hint="eastAsia" w:ascii="黑体" w:hAnsi="黑体" w:eastAsia="黑体" w:cs="黑体"/>
                <w:color w:val="auto"/>
                <w:kern w:val="0"/>
                <w:sz w:val="20"/>
                <w:szCs w:val="20"/>
                <w:lang w:bidi="ar"/>
              </w:rPr>
            </w:pPr>
            <w:r>
              <w:rPr>
                <w:rFonts w:hint="eastAsia" w:ascii="黑体" w:hAnsi="黑体" w:eastAsia="黑体" w:cs="黑体"/>
                <w:color w:val="auto"/>
                <w:kern w:val="0"/>
                <w:sz w:val="20"/>
                <w:szCs w:val="20"/>
                <w:lang w:bidi="ar"/>
              </w:rPr>
              <w:t>16、刀架转盘回转角度：±90°；</w:t>
            </w:r>
          </w:p>
          <w:p>
            <w:pPr>
              <w:widowControl/>
              <w:tabs>
                <w:tab w:val="left" w:pos="410"/>
              </w:tabs>
              <w:textAlignment w:val="center"/>
              <w:rPr>
                <w:rFonts w:hint="eastAsia" w:ascii="黑体" w:hAnsi="黑体" w:eastAsia="黑体" w:cs="黑体"/>
                <w:color w:val="auto"/>
                <w:kern w:val="0"/>
                <w:sz w:val="20"/>
                <w:szCs w:val="20"/>
                <w:lang w:bidi="ar"/>
              </w:rPr>
            </w:pPr>
            <w:r>
              <w:rPr>
                <w:rFonts w:hint="eastAsia" w:ascii="黑体" w:hAnsi="黑体" w:eastAsia="黑体" w:cs="黑体"/>
                <w:color w:val="auto"/>
                <w:kern w:val="0"/>
                <w:sz w:val="20"/>
                <w:szCs w:val="20"/>
                <w:lang w:bidi="ar"/>
              </w:rPr>
              <w:t>17、主轴中心线至刀具支承面距离：26mm；</w:t>
            </w:r>
          </w:p>
          <w:p>
            <w:pPr>
              <w:widowControl/>
              <w:tabs>
                <w:tab w:val="left" w:pos="410"/>
              </w:tabs>
              <w:textAlignment w:val="center"/>
              <w:rPr>
                <w:rFonts w:hint="eastAsia" w:ascii="黑体" w:hAnsi="黑体" w:eastAsia="黑体" w:cs="黑体"/>
                <w:color w:val="auto"/>
                <w:kern w:val="0"/>
                <w:sz w:val="20"/>
                <w:szCs w:val="20"/>
                <w:lang w:val="en-US" w:eastAsia="zh-CN" w:bidi="ar"/>
              </w:rPr>
            </w:pPr>
            <w:r>
              <w:rPr>
                <w:rFonts w:hint="eastAsia" w:ascii="黑体" w:hAnsi="黑体" w:eastAsia="黑体" w:cs="黑体"/>
                <w:color w:val="auto"/>
                <w:kern w:val="0"/>
                <w:sz w:val="20"/>
                <w:szCs w:val="20"/>
                <w:lang w:bidi="ar"/>
              </w:rPr>
              <w:t>18、刀杆截面尺寸：长25 mm，宽25mm；</w:t>
            </w:r>
          </w:p>
        </w:tc>
        <w:tc>
          <w:tcPr>
            <w:tcW w:w="301"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2</w:t>
            </w:r>
          </w:p>
        </w:tc>
        <w:tc>
          <w:tcPr>
            <w:tcW w:w="272"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台</w:t>
            </w:r>
          </w:p>
        </w:tc>
        <w:tc>
          <w:tcPr>
            <w:tcW w:w="240"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25</w:t>
            </w:r>
          </w:p>
        </w:tc>
        <w:tc>
          <w:tcPr>
            <w:tcW w:w="445"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高度游标尺</w:t>
            </w:r>
          </w:p>
        </w:tc>
        <w:tc>
          <w:tcPr>
            <w:tcW w:w="497"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工业</w:t>
            </w:r>
          </w:p>
        </w:tc>
        <w:tc>
          <w:tcPr>
            <w:tcW w:w="3001" w:type="pct"/>
            <w:tcBorders>
              <w:tl2br w:val="nil"/>
              <w:tr2bl w:val="nil"/>
            </w:tcBorders>
            <w:vAlign w:val="center"/>
          </w:tcPr>
          <w:p>
            <w:pPr>
              <w:widowControl/>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val="en-US" w:eastAsia="zh-CN" w:bidi="ar"/>
              </w:rPr>
              <w:t>规格</w:t>
            </w:r>
            <w:r>
              <w:rPr>
                <w:rFonts w:hint="eastAsia" w:ascii="黑体" w:hAnsi="黑体" w:eastAsia="黑体" w:cs="黑体"/>
                <w:color w:val="000000"/>
                <w:kern w:val="0"/>
                <w:sz w:val="20"/>
                <w:szCs w:val="20"/>
                <w:lang w:bidi="ar"/>
              </w:rPr>
              <w:t>300mm</w:t>
            </w:r>
          </w:p>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量程：0～300mm 精度：0.02mm</w:t>
            </w:r>
          </w:p>
        </w:tc>
        <w:tc>
          <w:tcPr>
            <w:tcW w:w="301"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sz w:val="20"/>
                <w:szCs w:val="20"/>
                <w:lang w:val="en-US" w:eastAsia="zh-CN"/>
              </w:rPr>
              <w:t>5</w:t>
            </w:r>
          </w:p>
        </w:tc>
        <w:tc>
          <w:tcPr>
            <w:tcW w:w="272"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套</w:t>
            </w:r>
          </w:p>
        </w:tc>
        <w:tc>
          <w:tcPr>
            <w:tcW w:w="240"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26</w:t>
            </w:r>
          </w:p>
        </w:tc>
        <w:tc>
          <w:tcPr>
            <w:tcW w:w="445"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钢锯架</w:t>
            </w:r>
          </w:p>
        </w:tc>
        <w:tc>
          <w:tcPr>
            <w:tcW w:w="497"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工业</w:t>
            </w:r>
          </w:p>
        </w:tc>
        <w:tc>
          <w:tcPr>
            <w:tcW w:w="3001" w:type="pct"/>
            <w:tcBorders>
              <w:tl2br w:val="nil"/>
              <w:tr2bl w:val="nil"/>
            </w:tcBorders>
            <w:vAlign w:val="center"/>
          </w:tcPr>
          <w:p>
            <w:pPr>
              <w:widowControl/>
              <w:textAlignment w:val="center"/>
              <w:rPr>
                <w:rFonts w:hint="eastAsia" w:ascii="黑体" w:hAnsi="黑体" w:eastAsia="黑体" w:cs="黑体"/>
                <w:color w:val="000000"/>
                <w:sz w:val="20"/>
                <w:szCs w:val="20"/>
              </w:rPr>
            </w:pPr>
            <w:r>
              <w:rPr>
                <w:rFonts w:hint="eastAsia" w:ascii="黑体" w:hAnsi="黑体" w:eastAsia="黑体" w:cs="黑体"/>
                <w:color w:val="000000"/>
                <w:sz w:val="20"/>
                <w:szCs w:val="20"/>
              </w:rPr>
              <w:t>200-300mm</w:t>
            </w:r>
          </w:p>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钢板制可调节式</w:t>
            </w:r>
          </w:p>
        </w:tc>
        <w:tc>
          <w:tcPr>
            <w:tcW w:w="301"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50</w:t>
            </w:r>
          </w:p>
        </w:tc>
        <w:tc>
          <w:tcPr>
            <w:tcW w:w="272"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个</w:t>
            </w:r>
          </w:p>
        </w:tc>
        <w:tc>
          <w:tcPr>
            <w:tcW w:w="240"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27</w:t>
            </w:r>
          </w:p>
        </w:tc>
        <w:tc>
          <w:tcPr>
            <w:tcW w:w="445"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圆锉刀</w:t>
            </w:r>
          </w:p>
        </w:tc>
        <w:tc>
          <w:tcPr>
            <w:tcW w:w="497"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工业</w:t>
            </w:r>
          </w:p>
        </w:tc>
        <w:tc>
          <w:tcPr>
            <w:tcW w:w="3001" w:type="pct"/>
            <w:tcBorders>
              <w:tl2br w:val="nil"/>
              <w:tr2bl w:val="nil"/>
            </w:tcBorders>
            <w:vAlign w:val="center"/>
          </w:tcPr>
          <w:p>
            <w:pPr>
              <w:widowControl/>
              <w:textAlignment w:val="center"/>
              <w:rPr>
                <w:rFonts w:hint="eastAsia" w:ascii="黑体" w:hAnsi="黑体" w:eastAsia="黑体" w:cs="黑体"/>
                <w:color w:val="000000"/>
                <w:sz w:val="20"/>
                <w:szCs w:val="20"/>
              </w:rPr>
            </w:pPr>
            <w:r>
              <w:rPr>
                <w:rFonts w:hint="eastAsia" w:ascii="黑体" w:hAnsi="黑体" w:eastAsia="黑体" w:cs="黑体"/>
                <w:color w:val="000000"/>
                <w:sz w:val="20"/>
                <w:szCs w:val="20"/>
              </w:rPr>
              <w:t>8寸、12寸</w:t>
            </w:r>
          </w:p>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碳素工具钢</w:t>
            </w:r>
          </w:p>
        </w:tc>
        <w:tc>
          <w:tcPr>
            <w:tcW w:w="301"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val="en-US" w:eastAsia="zh-CN" w:bidi="ar"/>
              </w:rPr>
              <w:t>50</w:t>
            </w:r>
          </w:p>
        </w:tc>
        <w:tc>
          <w:tcPr>
            <w:tcW w:w="272"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个</w:t>
            </w:r>
          </w:p>
        </w:tc>
        <w:tc>
          <w:tcPr>
            <w:tcW w:w="240"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各</w:t>
            </w:r>
            <w:r>
              <w:rPr>
                <w:rFonts w:hint="eastAsia" w:ascii="黑体" w:hAnsi="黑体" w:eastAsia="黑体" w:cs="黑体"/>
                <w:color w:val="000000"/>
                <w:kern w:val="0"/>
                <w:sz w:val="20"/>
                <w:szCs w:val="20"/>
                <w:lang w:val="en-US" w:eastAsia="zh-CN" w:bidi="ar"/>
              </w:rPr>
              <w:t>25</w:t>
            </w:r>
            <w:r>
              <w:rPr>
                <w:rFonts w:hint="eastAsia" w:ascii="黑体" w:hAnsi="黑体" w:eastAsia="黑体" w:cs="黑体"/>
                <w:color w:val="000000"/>
                <w:kern w:val="0"/>
                <w:sz w:val="20"/>
                <w:szCs w:val="20"/>
                <w:lang w:bidi="ar"/>
              </w:rPr>
              <w:t>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28</w:t>
            </w:r>
          </w:p>
        </w:tc>
        <w:tc>
          <w:tcPr>
            <w:tcW w:w="445"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半圆锉刀</w:t>
            </w:r>
          </w:p>
        </w:tc>
        <w:tc>
          <w:tcPr>
            <w:tcW w:w="497"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工业</w:t>
            </w:r>
          </w:p>
        </w:tc>
        <w:tc>
          <w:tcPr>
            <w:tcW w:w="3001" w:type="pct"/>
            <w:tcBorders>
              <w:tl2br w:val="nil"/>
              <w:tr2bl w:val="nil"/>
            </w:tcBorders>
            <w:vAlign w:val="center"/>
          </w:tcPr>
          <w:p>
            <w:pPr>
              <w:widowControl/>
              <w:textAlignment w:val="center"/>
              <w:rPr>
                <w:rFonts w:hint="eastAsia" w:ascii="黑体" w:hAnsi="黑体" w:eastAsia="黑体" w:cs="黑体"/>
                <w:color w:val="000000"/>
                <w:sz w:val="20"/>
                <w:szCs w:val="20"/>
              </w:rPr>
            </w:pPr>
            <w:r>
              <w:rPr>
                <w:rFonts w:hint="eastAsia" w:ascii="黑体" w:hAnsi="黑体" w:eastAsia="黑体" w:cs="黑体"/>
                <w:color w:val="000000"/>
                <w:sz w:val="20"/>
                <w:szCs w:val="20"/>
              </w:rPr>
              <w:t>8寸、12寸</w:t>
            </w:r>
          </w:p>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碳素工具钢</w:t>
            </w:r>
          </w:p>
        </w:tc>
        <w:tc>
          <w:tcPr>
            <w:tcW w:w="301"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val="en-US" w:eastAsia="zh-CN" w:bidi="ar"/>
              </w:rPr>
              <w:t>50</w:t>
            </w:r>
          </w:p>
        </w:tc>
        <w:tc>
          <w:tcPr>
            <w:tcW w:w="272"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个</w:t>
            </w:r>
          </w:p>
        </w:tc>
        <w:tc>
          <w:tcPr>
            <w:tcW w:w="240"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各</w:t>
            </w:r>
            <w:r>
              <w:rPr>
                <w:rFonts w:hint="eastAsia" w:ascii="黑体" w:hAnsi="黑体" w:eastAsia="黑体" w:cs="黑体"/>
                <w:color w:val="000000"/>
                <w:kern w:val="0"/>
                <w:sz w:val="20"/>
                <w:szCs w:val="20"/>
                <w:lang w:val="en-US" w:eastAsia="zh-CN" w:bidi="ar"/>
              </w:rPr>
              <w:t>25</w:t>
            </w:r>
            <w:r>
              <w:rPr>
                <w:rFonts w:hint="eastAsia" w:ascii="黑体" w:hAnsi="黑体" w:eastAsia="黑体" w:cs="黑体"/>
                <w:color w:val="000000"/>
                <w:kern w:val="0"/>
                <w:sz w:val="20"/>
                <w:szCs w:val="20"/>
                <w:lang w:bidi="ar"/>
              </w:rPr>
              <w:t>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29</w:t>
            </w:r>
          </w:p>
        </w:tc>
        <w:tc>
          <w:tcPr>
            <w:tcW w:w="445"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扁锉刀</w:t>
            </w:r>
          </w:p>
        </w:tc>
        <w:tc>
          <w:tcPr>
            <w:tcW w:w="497"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工业</w:t>
            </w:r>
          </w:p>
        </w:tc>
        <w:tc>
          <w:tcPr>
            <w:tcW w:w="3001" w:type="pct"/>
            <w:tcBorders>
              <w:tl2br w:val="nil"/>
              <w:tr2bl w:val="nil"/>
            </w:tcBorders>
            <w:vAlign w:val="center"/>
          </w:tcPr>
          <w:p>
            <w:pPr>
              <w:widowControl/>
              <w:textAlignment w:val="center"/>
              <w:rPr>
                <w:rFonts w:hint="eastAsia" w:ascii="黑体" w:hAnsi="黑体" w:eastAsia="黑体" w:cs="黑体"/>
                <w:color w:val="000000"/>
                <w:sz w:val="20"/>
                <w:szCs w:val="20"/>
              </w:rPr>
            </w:pPr>
            <w:r>
              <w:rPr>
                <w:rFonts w:hint="eastAsia" w:ascii="黑体" w:hAnsi="黑体" w:eastAsia="黑体" w:cs="黑体"/>
                <w:color w:val="000000"/>
                <w:sz w:val="20"/>
                <w:szCs w:val="20"/>
              </w:rPr>
              <w:t>8寸、12寸</w:t>
            </w:r>
          </w:p>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碳素工具钢</w:t>
            </w:r>
          </w:p>
        </w:tc>
        <w:tc>
          <w:tcPr>
            <w:tcW w:w="301"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sz w:val="20"/>
                <w:szCs w:val="20"/>
                <w:lang w:val="en-US" w:eastAsia="zh-CN"/>
              </w:rPr>
              <w:t>50</w:t>
            </w:r>
          </w:p>
        </w:tc>
        <w:tc>
          <w:tcPr>
            <w:tcW w:w="272"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个</w:t>
            </w:r>
          </w:p>
        </w:tc>
        <w:tc>
          <w:tcPr>
            <w:tcW w:w="240"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各</w:t>
            </w:r>
            <w:r>
              <w:rPr>
                <w:rFonts w:hint="eastAsia" w:ascii="黑体" w:hAnsi="黑体" w:eastAsia="黑体" w:cs="黑体"/>
                <w:color w:val="000000"/>
                <w:kern w:val="0"/>
                <w:sz w:val="20"/>
                <w:szCs w:val="20"/>
                <w:lang w:val="en-US" w:eastAsia="zh-CN" w:bidi="ar"/>
              </w:rPr>
              <w:t>25</w:t>
            </w:r>
            <w:r>
              <w:rPr>
                <w:rFonts w:hint="eastAsia" w:ascii="黑体" w:hAnsi="黑体" w:eastAsia="黑体" w:cs="黑体"/>
                <w:color w:val="000000"/>
                <w:kern w:val="0"/>
                <w:sz w:val="20"/>
                <w:szCs w:val="20"/>
                <w:lang w:bidi="ar"/>
              </w:rPr>
              <w:t>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30</w:t>
            </w:r>
          </w:p>
        </w:tc>
        <w:tc>
          <w:tcPr>
            <w:tcW w:w="445"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方锉刀</w:t>
            </w:r>
          </w:p>
        </w:tc>
        <w:tc>
          <w:tcPr>
            <w:tcW w:w="497"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val="en-US" w:eastAsia="zh-CN" w:bidi="ar"/>
              </w:rPr>
              <w:t>工业</w:t>
            </w:r>
          </w:p>
        </w:tc>
        <w:tc>
          <w:tcPr>
            <w:tcW w:w="3001" w:type="pct"/>
            <w:tcBorders>
              <w:tl2br w:val="nil"/>
              <w:tr2bl w:val="nil"/>
            </w:tcBorders>
            <w:vAlign w:val="center"/>
          </w:tcPr>
          <w:p>
            <w:pPr>
              <w:widowControl/>
              <w:textAlignment w:val="center"/>
              <w:rPr>
                <w:rFonts w:hint="eastAsia" w:ascii="黑体" w:hAnsi="黑体" w:eastAsia="黑体" w:cs="黑体"/>
                <w:color w:val="000000"/>
                <w:sz w:val="20"/>
                <w:szCs w:val="20"/>
              </w:rPr>
            </w:pPr>
            <w:r>
              <w:rPr>
                <w:rFonts w:hint="eastAsia" w:ascii="黑体" w:hAnsi="黑体" w:eastAsia="黑体" w:cs="黑体"/>
                <w:color w:val="000000"/>
                <w:sz w:val="20"/>
                <w:szCs w:val="20"/>
              </w:rPr>
              <w:t>8寸、12寸</w:t>
            </w:r>
          </w:p>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碳素工具钢</w:t>
            </w:r>
          </w:p>
        </w:tc>
        <w:tc>
          <w:tcPr>
            <w:tcW w:w="301"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val="en-US" w:eastAsia="zh-CN" w:bidi="ar"/>
              </w:rPr>
              <w:t>50</w:t>
            </w:r>
          </w:p>
        </w:tc>
        <w:tc>
          <w:tcPr>
            <w:tcW w:w="272"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个</w:t>
            </w:r>
          </w:p>
        </w:tc>
        <w:tc>
          <w:tcPr>
            <w:tcW w:w="240"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各</w:t>
            </w:r>
            <w:r>
              <w:rPr>
                <w:rFonts w:hint="eastAsia" w:ascii="黑体" w:hAnsi="黑体" w:eastAsia="黑体" w:cs="黑体"/>
                <w:color w:val="000000"/>
                <w:kern w:val="0"/>
                <w:sz w:val="20"/>
                <w:szCs w:val="20"/>
                <w:lang w:val="en-US" w:eastAsia="zh-CN" w:bidi="ar"/>
              </w:rPr>
              <w:t>25</w:t>
            </w:r>
            <w:r>
              <w:rPr>
                <w:rFonts w:hint="eastAsia" w:ascii="黑体" w:hAnsi="黑体" w:eastAsia="黑体" w:cs="黑体"/>
                <w:color w:val="000000"/>
                <w:kern w:val="0"/>
                <w:sz w:val="20"/>
                <w:szCs w:val="20"/>
                <w:lang w:bidi="ar"/>
              </w:rPr>
              <w:t>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31</w:t>
            </w:r>
          </w:p>
        </w:tc>
        <w:tc>
          <w:tcPr>
            <w:tcW w:w="445"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三角锉刀</w:t>
            </w:r>
          </w:p>
        </w:tc>
        <w:tc>
          <w:tcPr>
            <w:tcW w:w="497"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val="en-US" w:eastAsia="zh-CN" w:bidi="ar"/>
              </w:rPr>
              <w:t>工业</w:t>
            </w:r>
          </w:p>
        </w:tc>
        <w:tc>
          <w:tcPr>
            <w:tcW w:w="3001" w:type="pct"/>
            <w:tcBorders>
              <w:tl2br w:val="nil"/>
              <w:tr2bl w:val="nil"/>
            </w:tcBorders>
            <w:vAlign w:val="center"/>
          </w:tcPr>
          <w:p>
            <w:pPr>
              <w:widowControl/>
              <w:textAlignment w:val="center"/>
              <w:rPr>
                <w:rFonts w:hint="eastAsia" w:ascii="黑体" w:hAnsi="黑体" w:eastAsia="黑体" w:cs="黑体"/>
                <w:color w:val="000000"/>
                <w:sz w:val="20"/>
                <w:szCs w:val="20"/>
              </w:rPr>
            </w:pPr>
            <w:r>
              <w:rPr>
                <w:rFonts w:hint="eastAsia" w:ascii="黑体" w:hAnsi="黑体" w:eastAsia="黑体" w:cs="黑体"/>
                <w:color w:val="000000"/>
                <w:sz w:val="20"/>
                <w:szCs w:val="20"/>
              </w:rPr>
              <w:t>8寸、12寸</w:t>
            </w:r>
          </w:p>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碳素工具钢</w:t>
            </w:r>
          </w:p>
        </w:tc>
        <w:tc>
          <w:tcPr>
            <w:tcW w:w="301"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val="en-US" w:eastAsia="zh-CN" w:bidi="ar"/>
              </w:rPr>
              <w:t>50</w:t>
            </w:r>
          </w:p>
        </w:tc>
        <w:tc>
          <w:tcPr>
            <w:tcW w:w="272"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个</w:t>
            </w:r>
          </w:p>
        </w:tc>
        <w:tc>
          <w:tcPr>
            <w:tcW w:w="240"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各</w:t>
            </w:r>
            <w:r>
              <w:rPr>
                <w:rFonts w:hint="eastAsia" w:ascii="黑体" w:hAnsi="黑体" w:eastAsia="黑体" w:cs="黑体"/>
                <w:color w:val="000000"/>
                <w:kern w:val="0"/>
                <w:sz w:val="20"/>
                <w:szCs w:val="20"/>
                <w:lang w:val="en-US" w:eastAsia="zh-CN" w:bidi="ar"/>
              </w:rPr>
              <w:t>25</w:t>
            </w:r>
            <w:r>
              <w:rPr>
                <w:rFonts w:hint="eastAsia" w:ascii="黑体" w:hAnsi="黑体" w:eastAsia="黑体" w:cs="黑体"/>
                <w:color w:val="000000"/>
                <w:kern w:val="0"/>
                <w:sz w:val="20"/>
                <w:szCs w:val="20"/>
                <w:lang w:bidi="ar"/>
              </w:rPr>
              <w:t>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32</w:t>
            </w:r>
          </w:p>
        </w:tc>
        <w:tc>
          <w:tcPr>
            <w:tcW w:w="445"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sz w:val="20"/>
                <w:szCs w:val="20"/>
                <w:lang w:val="en-US" w:eastAsia="zh-CN"/>
              </w:rPr>
              <w:t>圆头木柄锤</w:t>
            </w:r>
          </w:p>
        </w:tc>
        <w:tc>
          <w:tcPr>
            <w:tcW w:w="497" w:type="pct"/>
            <w:tcBorders>
              <w:tl2br w:val="nil"/>
              <w:tr2bl w:val="nil"/>
            </w:tcBorders>
            <w:vAlign w:val="center"/>
          </w:tcPr>
          <w:p>
            <w:pPr>
              <w:widowControl/>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kern w:val="0"/>
                <w:sz w:val="20"/>
                <w:szCs w:val="20"/>
                <w:lang w:val="en-US" w:eastAsia="zh-CN" w:bidi="ar"/>
              </w:rPr>
              <w:t>工业</w:t>
            </w:r>
          </w:p>
        </w:tc>
        <w:tc>
          <w:tcPr>
            <w:tcW w:w="3001"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sz w:val="20"/>
                <w:szCs w:val="20"/>
                <w:lang w:val="en-US" w:eastAsia="zh-CN"/>
              </w:rPr>
              <w:t>两磅、</w:t>
            </w:r>
            <w:r>
              <w:rPr>
                <w:rFonts w:hint="eastAsia" w:ascii="黑体" w:hAnsi="黑体" w:eastAsia="黑体" w:cs="黑体"/>
                <w:color w:val="000000"/>
                <w:kern w:val="0"/>
                <w:sz w:val="20"/>
                <w:szCs w:val="20"/>
                <w:lang w:bidi="ar"/>
              </w:rPr>
              <w:t>碳钢</w:t>
            </w:r>
          </w:p>
        </w:tc>
        <w:tc>
          <w:tcPr>
            <w:tcW w:w="301"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30</w:t>
            </w:r>
          </w:p>
        </w:tc>
        <w:tc>
          <w:tcPr>
            <w:tcW w:w="272"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个</w:t>
            </w:r>
          </w:p>
        </w:tc>
        <w:tc>
          <w:tcPr>
            <w:tcW w:w="240"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33</w:t>
            </w:r>
          </w:p>
        </w:tc>
        <w:tc>
          <w:tcPr>
            <w:tcW w:w="445"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宽座</w:t>
            </w:r>
            <w:r>
              <w:rPr>
                <w:rFonts w:hint="eastAsia" w:ascii="黑体" w:hAnsi="黑体" w:eastAsia="黑体" w:cs="黑体"/>
                <w:color w:val="000000"/>
                <w:kern w:val="0"/>
                <w:sz w:val="20"/>
                <w:szCs w:val="20"/>
                <w:lang w:bidi="ar"/>
              </w:rPr>
              <w:br w:type="textWrapping"/>
            </w:r>
            <w:r>
              <w:rPr>
                <w:rFonts w:hint="eastAsia" w:ascii="黑体" w:hAnsi="黑体" w:eastAsia="黑体" w:cs="黑体"/>
                <w:color w:val="000000"/>
                <w:kern w:val="0"/>
                <w:sz w:val="20"/>
                <w:szCs w:val="20"/>
                <w:lang w:bidi="ar"/>
              </w:rPr>
              <w:t>直角尺</w:t>
            </w:r>
          </w:p>
        </w:tc>
        <w:tc>
          <w:tcPr>
            <w:tcW w:w="497"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val="en-US" w:eastAsia="zh-CN" w:bidi="ar"/>
              </w:rPr>
              <w:t>工业</w:t>
            </w:r>
          </w:p>
        </w:tc>
        <w:tc>
          <w:tcPr>
            <w:tcW w:w="3001" w:type="pct"/>
            <w:tcBorders>
              <w:tl2br w:val="nil"/>
              <w:tr2bl w:val="nil"/>
            </w:tcBorders>
            <w:vAlign w:val="center"/>
          </w:tcPr>
          <w:p>
            <w:pPr>
              <w:widowControl/>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bidi="ar"/>
              </w:rPr>
              <w:t>200mm×125mm</w:t>
            </w:r>
          </w:p>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不锈钢90°平口</w:t>
            </w:r>
          </w:p>
        </w:tc>
        <w:tc>
          <w:tcPr>
            <w:tcW w:w="301"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48</w:t>
            </w:r>
          </w:p>
        </w:tc>
        <w:tc>
          <w:tcPr>
            <w:tcW w:w="272"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个</w:t>
            </w:r>
          </w:p>
        </w:tc>
        <w:tc>
          <w:tcPr>
            <w:tcW w:w="240"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34</w:t>
            </w:r>
          </w:p>
        </w:tc>
        <w:tc>
          <w:tcPr>
            <w:tcW w:w="445"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整体刀口角尺</w:t>
            </w:r>
          </w:p>
        </w:tc>
        <w:tc>
          <w:tcPr>
            <w:tcW w:w="497"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工业</w:t>
            </w:r>
          </w:p>
        </w:tc>
        <w:tc>
          <w:tcPr>
            <w:tcW w:w="3001"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125X125mm</w:t>
            </w:r>
          </w:p>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不锈钢材质</w:t>
            </w:r>
          </w:p>
        </w:tc>
        <w:tc>
          <w:tcPr>
            <w:tcW w:w="301"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20</w:t>
            </w:r>
          </w:p>
        </w:tc>
        <w:tc>
          <w:tcPr>
            <w:tcW w:w="272"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把</w:t>
            </w:r>
          </w:p>
        </w:tc>
        <w:tc>
          <w:tcPr>
            <w:tcW w:w="240"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35</w:t>
            </w:r>
          </w:p>
        </w:tc>
        <w:tc>
          <w:tcPr>
            <w:tcW w:w="445"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钢直尺</w:t>
            </w:r>
          </w:p>
        </w:tc>
        <w:tc>
          <w:tcPr>
            <w:tcW w:w="497"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val="en-US" w:eastAsia="zh-CN" w:bidi="ar"/>
              </w:rPr>
              <w:t>工业</w:t>
            </w:r>
          </w:p>
        </w:tc>
        <w:tc>
          <w:tcPr>
            <w:tcW w:w="3001"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150mm</w:t>
            </w:r>
          </w:p>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不锈钢</w:t>
            </w:r>
          </w:p>
        </w:tc>
        <w:tc>
          <w:tcPr>
            <w:tcW w:w="301"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24</w:t>
            </w:r>
          </w:p>
        </w:tc>
        <w:tc>
          <w:tcPr>
            <w:tcW w:w="272"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个</w:t>
            </w:r>
          </w:p>
        </w:tc>
        <w:tc>
          <w:tcPr>
            <w:tcW w:w="240"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36</w:t>
            </w:r>
          </w:p>
        </w:tc>
        <w:tc>
          <w:tcPr>
            <w:tcW w:w="445"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钢直尺</w:t>
            </w:r>
          </w:p>
        </w:tc>
        <w:tc>
          <w:tcPr>
            <w:tcW w:w="497"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工业</w:t>
            </w:r>
          </w:p>
        </w:tc>
        <w:tc>
          <w:tcPr>
            <w:tcW w:w="3001"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1500mm</w:t>
            </w:r>
          </w:p>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不锈钢</w:t>
            </w:r>
          </w:p>
        </w:tc>
        <w:tc>
          <w:tcPr>
            <w:tcW w:w="301"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2</w:t>
            </w:r>
          </w:p>
        </w:tc>
        <w:tc>
          <w:tcPr>
            <w:tcW w:w="272"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个</w:t>
            </w:r>
          </w:p>
        </w:tc>
        <w:tc>
          <w:tcPr>
            <w:tcW w:w="240"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37</w:t>
            </w:r>
          </w:p>
        </w:tc>
        <w:tc>
          <w:tcPr>
            <w:tcW w:w="445"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钢角尺</w:t>
            </w:r>
          </w:p>
        </w:tc>
        <w:tc>
          <w:tcPr>
            <w:tcW w:w="497"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工业</w:t>
            </w:r>
          </w:p>
        </w:tc>
        <w:tc>
          <w:tcPr>
            <w:tcW w:w="3001"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300mm</w:t>
            </w:r>
          </w:p>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不锈钢</w:t>
            </w:r>
          </w:p>
        </w:tc>
        <w:tc>
          <w:tcPr>
            <w:tcW w:w="301"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15</w:t>
            </w:r>
          </w:p>
        </w:tc>
        <w:tc>
          <w:tcPr>
            <w:tcW w:w="272"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个</w:t>
            </w:r>
          </w:p>
        </w:tc>
        <w:tc>
          <w:tcPr>
            <w:tcW w:w="240"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38</w:t>
            </w:r>
          </w:p>
        </w:tc>
        <w:tc>
          <w:tcPr>
            <w:tcW w:w="445"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钢角尺</w:t>
            </w:r>
          </w:p>
        </w:tc>
        <w:tc>
          <w:tcPr>
            <w:tcW w:w="497"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工业</w:t>
            </w:r>
          </w:p>
        </w:tc>
        <w:tc>
          <w:tcPr>
            <w:tcW w:w="3001"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500mm</w:t>
            </w:r>
          </w:p>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不锈钢</w:t>
            </w:r>
          </w:p>
        </w:tc>
        <w:tc>
          <w:tcPr>
            <w:tcW w:w="301"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10</w:t>
            </w:r>
          </w:p>
        </w:tc>
        <w:tc>
          <w:tcPr>
            <w:tcW w:w="272"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个</w:t>
            </w:r>
          </w:p>
        </w:tc>
        <w:tc>
          <w:tcPr>
            <w:tcW w:w="240"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39</w:t>
            </w:r>
          </w:p>
        </w:tc>
        <w:tc>
          <w:tcPr>
            <w:tcW w:w="445"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划针(钨</w:t>
            </w:r>
            <w:r>
              <w:rPr>
                <w:rFonts w:hint="eastAsia" w:ascii="黑体" w:hAnsi="黑体" w:eastAsia="黑体" w:cs="黑体"/>
                <w:color w:val="000000"/>
                <w:kern w:val="0"/>
                <w:sz w:val="20"/>
                <w:szCs w:val="20"/>
                <w:lang w:bidi="ar"/>
              </w:rPr>
              <w:br w:type="textWrapping"/>
            </w:r>
            <w:r>
              <w:rPr>
                <w:rFonts w:hint="eastAsia" w:ascii="黑体" w:hAnsi="黑体" w:eastAsia="黑体" w:cs="黑体"/>
                <w:color w:val="000000"/>
                <w:kern w:val="0"/>
                <w:sz w:val="20"/>
                <w:szCs w:val="20"/>
                <w:lang w:bidi="ar"/>
              </w:rPr>
              <w:t>钢头)</w:t>
            </w:r>
          </w:p>
        </w:tc>
        <w:tc>
          <w:tcPr>
            <w:tcW w:w="497"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val="en-US" w:eastAsia="zh-CN" w:bidi="ar"/>
              </w:rPr>
              <w:t>工业</w:t>
            </w:r>
          </w:p>
        </w:tc>
        <w:tc>
          <w:tcPr>
            <w:tcW w:w="3001"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长120mm</w:t>
            </w:r>
          </w:p>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碳钢</w:t>
            </w:r>
          </w:p>
        </w:tc>
        <w:tc>
          <w:tcPr>
            <w:tcW w:w="301"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50</w:t>
            </w:r>
          </w:p>
        </w:tc>
        <w:tc>
          <w:tcPr>
            <w:tcW w:w="272"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个</w:t>
            </w:r>
          </w:p>
        </w:tc>
        <w:tc>
          <w:tcPr>
            <w:tcW w:w="240"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40</w:t>
            </w:r>
          </w:p>
        </w:tc>
        <w:tc>
          <w:tcPr>
            <w:tcW w:w="445"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内外卡钳</w:t>
            </w:r>
          </w:p>
        </w:tc>
        <w:tc>
          <w:tcPr>
            <w:tcW w:w="497"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val="en-US" w:eastAsia="zh-CN" w:bidi="ar"/>
              </w:rPr>
              <w:t>工业</w:t>
            </w:r>
          </w:p>
        </w:tc>
        <w:tc>
          <w:tcPr>
            <w:tcW w:w="3001"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6寸</w:t>
            </w:r>
          </w:p>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铸铁</w:t>
            </w:r>
          </w:p>
        </w:tc>
        <w:tc>
          <w:tcPr>
            <w:tcW w:w="301"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60</w:t>
            </w:r>
          </w:p>
        </w:tc>
        <w:tc>
          <w:tcPr>
            <w:tcW w:w="272"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个</w:t>
            </w:r>
          </w:p>
        </w:tc>
        <w:tc>
          <w:tcPr>
            <w:tcW w:w="240"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auto"/>
                <w:kern w:val="0"/>
                <w:sz w:val="20"/>
                <w:szCs w:val="20"/>
                <w:lang w:val="en-US" w:eastAsia="zh-CN" w:bidi="ar"/>
              </w:rPr>
            </w:pPr>
            <w:r>
              <w:rPr>
                <w:rFonts w:hint="eastAsia" w:ascii="黑体" w:hAnsi="黑体" w:eastAsia="黑体" w:cs="黑体"/>
                <w:color w:val="auto"/>
                <w:kern w:val="0"/>
                <w:sz w:val="20"/>
                <w:szCs w:val="20"/>
                <w:lang w:val="en-US" w:eastAsia="zh-CN" w:bidi="ar"/>
              </w:rPr>
              <w:t>41</w:t>
            </w:r>
          </w:p>
        </w:tc>
        <w:tc>
          <w:tcPr>
            <w:tcW w:w="445" w:type="pct"/>
            <w:tcBorders>
              <w:tl2br w:val="nil"/>
              <w:tr2bl w:val="nil"/>
            </w:tcBorders>
            <w:vAlign w:val="center"/>
          </w:tcPr>
          <w:p>
            <w:pPr>
              <w:widowControl/>
              <w:textAlignment w:val="center"/>
              <w:rPr>
                <w:rFonts w:hint="eastAsia" w:ascii="黑体" w:hAnsi="黑体" w:eastAsia="黑体" w:cs="黑体"/>
                <w:color w:val="auto"/>
                <w:kern w:val="0"/>
                <w:sz w:val="20"/>
                <w:szCs w:val="20"/>
                <w:lang w:val="en-US" w:eastAsia="zh-CN" w:bidi="ar"/>
              </w:rPr>
            </w:pPr>
            <w:r>
              <w:rPr>
                <w:rFonts w:hint="eastAsia" w:ascii="黑体" w:hAnsi="黑体" w:eastAsia="黑体" w:cs="黑体"/>
                <w:color w:val="auto"/>
                <w:kern w:val="0"/>
                <w:sz w:val="20"/>
                <w:szCs w:val="20"/>
                <w:lang w:val="en-US" w:eastAsia="zh-CN" w:bidi="ar"/>
              </w:rPr>
              <w:t>机用平口钳</w:t>
            </w:r>
          </w:p>
        </w:tc>
        <w:tc>
          <w:tcPr>
            <w:tcW w:w="497" w:type="pct"/>
            <w:tcBorders>
              <w:tl2br w:val="nil"/>
              <w:tr2bl w:val="nil"/>
            </w:tcBorders>
            <w:vAlign w:val="center"/>
          </w:tcPr>
          <w:p>
            <w:pPr>
              <w:widowControl/>
              <w:jc w:val="center"/>
              <w:textAlignment w:val="center"/>
              <w:rPr>
                <w:rFonts w:hint="eastAsia" w:ascii="黑体" w:hAnsi="黑体" w:eastAsia="黑体" w:cs="黑体"/>
                <w:color w:val="auto"/>
                <w:kern w:val="0"/>
                <w:sz w:val="20"/>
                <w:szCs w:val="20"/>
                <w:lang w:val="en-US" w:eastAsia="zh-CN" w:bidi="ar"/>
              </w:rPr>
            </w:pPr>
            <w:r>
              <w:rPr>
                <w:rFonts w:hint="eastAsia" w:ascii="黑体" w:hAnsi="黑体" w:eastAsia="黑体" w:cs="黑体"/>
                <w:color w:val="000000"/>
                <w:kern w:val="0"/>
                <w:sz w:val="20"/>
                <w:szCs w:val="20"/>
                <w:lang w:val="en-US" w:eastAsia="zh-CN" w:bidi="ar"/>
              </w:rPr>
              <w:t>工业</w:t>
            </w:r>
          </w:p>
        </w:tc>
        <w:tc>
          <w:tcPr>
            <w:tcW w:w="3001" w:type="pct"/>
            <w:tcBorders>
              <w:tl2br w:val="nil"/>
              <w:tr2bl w:val="nil"/>
            </w:tcBorders>
            <w:vAlign w:val="center"/>
          </w:tcPr>
          <w:p>
            <w:pPr>
              <w:widowControl/>
              <w:textAlignment w:val="center"/>
              <w:rPr>
                <w:rFonts w:hint="eastAsia" w:ascii="黑体" w:hAnsi="黑体" w:eastAsia="黑体" w:cs="黑体"/>
                <w:color w:val="auto"/>
                <w:kern w:val="0"/>
                <w:sz w:val="20"/>
                <w:szCs w:val="20"/>
                <w:lang w:val="en-US" w:eastAsia="zh-CN" w:bidi="ar"/>
              </w:rPr>
            </w:pPr>
            <w:r>
              <w:rPr>
                <w:rFonts w:hint="eastAsia" w:ascii="黑体" w:hAnsi="黑体" w:eastAsia="黑体" w:cs="黑体"/>
                <w:color w:val="auto"/>
                <w:kern w:val="0"/>
                <w:sz w:val="20"/>
                <w:szCs w:val="20"/>
                <w:lang w:val="en-US" w:eastAsia="zh-CN" w:bidi="ar"/>
              </w:rPr>
              <w:t>160mm</w:t>
            </w:r>
          </w:p>
          <w:p>
            <w:pPr>
              <w:widowControl/>
              <w:textAlignment w:val="center"/>
              <w:rPr>
                <w:rFonts w:hint="eastAsia" w:ascii="黑体" w:hAnsi="黑体" w:eastAsia="黑体" w:cs="黑体"/>
                <w:color w:val="auto"/>
                <w:kern w:val="0"/>
                <w:sz w:val="20"/>
                <w:szCs w:val="20"/>
                <w:lang w:val="en-US" w:eastAsia="zh-CN" w:bidi="ar"/>
              </w:rPr>
            </w:pPr>
            <w:r>
              <w:rPr>
                <w:rFonts w:hint="eastAsia" w:ascii="黑体" w:hAnsi="黑体" w:eastAsia="黑体" w:cs="黑体"/>
                <w:color w:val="auto"/>
                <w:kern w:val="0"/>
                <w:sz w:val="20"/>
                <w:szCs w:val="20"/>
                <w:lang w:val="en-US" w:eastAsia="zh-CN" w:bidi="ar"/>
              </w:rPr>
              <w:t>钳口高度57mm，最大张开度125mm</w:t>
            </w:r>
          </w:p>
        </w:tc>
        <w:tc>
          <w:tcPr>
            <w:tcW w:w="301" w:type="pct"/>
            <w:tcBorders>
              <w:tl2br w:val="nil"/>
              <w:tr2bl w:val="nil"/>
            </w:tcBorders>
            <w:vAlign w:val="center"/>
          </w:tcPr>
          <w:p>
            <w:pPr>
              <w:widowControl/>
              <w:textAlignment w:val="center"/>
              <w:rPr>
                <w:rFonts w:hint="eastAsia" w:ascii="黑体" w:hAnsi="黑体" w:eastAsia="黑体" w:cs="黑体"/>
                <w:color w:val="auto"/>
                <w:kern w:val="0"/>
                <w:sz w:val="20"/>
                <w:szCs w:val="20"/>
                <w:lang w:val="en-US" w:eastAsia="zh-CN" w:bidi="ar"/>
              </w:rPr>
            </w:pPr>
            <w:r>
              <w:rPr>
                <w:rFonts w:hint="eastAsia" w:ascii="黑体" w:hAnsi="黑体" w:eastAsia="黑体" w:cs="黑体"/>
                <w:color w:val="auto"/>
                <w:kern w:val="0"/>
                <w:sz w:val="20"/>
                <w:szCs w:val="20"/>
                <w:lang w:val="en-US" w:eastAsia="zh-CN" w:bidi="ar"/>
              </w:rPr>
              <w:t>5</w:t>
            </w:r>
          </w:p>
        </w:tc>
        <w:tc>
          <w:tcPr>
            <w:tcW w:w="272" w:type="pct"/>
            <w:tcBorders>
              <w:tl2br w:val="nil"/>
              <w:tr2bl w:val="nil"/>
            </w:tcBorders>
            <w:vAlign w:val="center"/>
          </w:tcPr>
          <w:p>
            <w:pPr>
              <w:widowControl/>
              <w:textAlignment w:val="center"/>
              <w:rPr>
                <w:rFonts w:hint="eastAsia" w:ascii="黑体" w:hAnsi="黑体" w:eastAsia="黑体" w:cs="黑体"/>
                <w:color w:val="auto"/>
                <w:kern w:val="0"/>
                <w:sz w:val="20"/>
                <w:szCs w:val="20"/>
                <w:lang w:val="en-US" w:eastAsia="zh-CN" w:bidi="ar"/>
              </w:rPr>
            </w:pPr>
            <w:r>
              <w:rPr>
                <w:rFonts w:hint="eastAsia" w:ascii="黑体" w:hAnsi="黑体" w:eastAsia="黑体" w:cs="黑体"/>
                <w:color w:val="auto"/>
                <w:kern w:val="0"/>
                <w:sz w:val="20"/>
                <w:szCs w:val="20"/>
                <w:lang w:val="en-US" w:eastAsia="zh-CN" w:bidi="ar"/>
              </w:rPr>
              <w:t>个</w:t>
            </w:r>
          </w:p>
        </w:tc>
        <w:tc>
          <w:tcPr>
            <w:tcW w:w="240" w:type="pct"/>
            <w:tcBorders>
              <w:tl2br w:val="nil"/>
              <w:tr2bl w:val="nil"/>
            </w:tcBorders>
            <w:vAlign w:val="center"/>
          </w:tcPr>
          <w:p>
            <w:pPr>
              <w:widowControl/>
              <w:textAlignment w:val="center"/>
              <w:rPr>
                <w:rFonts w:hint="eastAsia" w:ascii="黑体" w:hAnsi="黑体" w:eastAsia="黑体" w:cs="黑体"/>
                <w:color w:val="FF0000"/>
                <w:kern w:val="0"/>
                <w:sz w:val="20"/>
                <w:szCs w:val="20"/>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auto"/>
                <w:kern w:val="0"/>
                <w:sz w:val="20"/>
                <w:szCs w:val="20"/>
                <w:lang w:val="en-US" w:eastAsia="zh-CN" w:bidi="ar"/>
              </w:rPr>
            </w:pPr>
            <w:r>
              <w:rPr>
                <w:rFonts w:hint="eastAsia" w:ascii="黑体" w:hAnsi="黑体" w:eastAsia="黑体" w:cs="黑体"/>
                <w:color w:val="auto"/>
                <w:kern w:val="0"/>
                <w:sz w:val="20"/>
                <w:szCs w:val="20"/>
                <w:lang w:val="en-US" w:eastAsia="zh-CN" w:bidi="ar"/>
              </w:rPr>
              <w:t>42</w:t>
            </w:r>
          </w:p>
        </w:tc>
        <w:tc>
          <w:tcPr>
            <w:tcW w:w="445" w:type="pct"/>
            <w:tcBorders>
              <w:tl2br w:val="nil"/>
              <w:tr2bl w:val="nil"/>
            </w:tcBorders>
            <w:vAlign w:val="center"/>
          </w:tcPr>
          <w:p>
            <w:pPr>
              <w:widowControl/>
              <w:textAlignment w:val="center"/>
              <w:rPr>
                <w:rFonts w:hint="eastAsia" w:ascii="黑体" w:hAnsi="黑体" w:eastAsia="黑体" w:cs="黑体"/>
                <w:color w:val="auto"/>
                <w:kern w:val="0"/>
                <w:sz w:val="20"/>
                <w:szCs w:val="20"/>
                <w:lang w:val="en-US" w:eastAsia="zh-CN" w:bidi="ar"/>
              </w:rPr>
            </w:pPr>
            <w:r>
              <w:rPr>
                <w:rFonts w:hint="eastAsia" w:ascii="黑体" w:hAnsi="黑体" w:eastAsia="黑体" w:cs="黑体"/>
                <w:color w:val="auto"/>
                <w:kern w:val="0"/>
                <w:sz w:val="20"/>
                <w:szCs w:val="20"/>
                <w:lang w:val="en-US" w:eastAsia="zh-CN" w:bidi="ar"/>
              </w:rPr>
              <w:t>台式钻床</w:t>
            </w:r>
          </w:p>
        </w:tc>
        <w:tc>
          <w:tcPr>
            <w:tcW w:w="497" w:type="pct"/>
            <w:tcBorders>
              <w:tl2br w:val="nil"/>
              <w:tr2bl w:val="nil"/>
            </w:tcBorders>
            <w:vAlign w:val="center"/>
          </w:tcPr>
          <w:p>
            <w:pPr>
              <w:widowControl/>
              <w:jc w:val="center"/>
              <w:textAlignment w:val="center"/>
              <w:rPr>
                <w:rFonts w:hint="eastAsia" w:ascii="黑体" w:hAnsi="黑体" w:eastAsia="黑体" w:cs="黑体"/>
                <w:color w:val="auto"/>
                <w:kern w:val="0"/>
                <w:sz w:val="20"/>
                <w:szCs w:val="20"/>
                <w:lang w:val="en-US" w:eastAsia="zh-CN" w:bidi="ar"/>
              </w:rPr>
            </w:pPr>
            <w:r>
              <w:rPr>
                <w:rFonts w:hint="eastAsia" w:ascii="黑体" w:hAnsi="黑体" w:eastAsia="黑体" w:cs="黑体"/>
                <w:color w:val="000000"/>
                <w:kern w:val="0"/>
                <w:sz w:val="20"/>
                <w:szCs w:val="20"/>
                <w:lang w:val="en-US" w:eastAsia="zh-CN" w:bidi="ar"/>
              </w:rPr>
              <w:t>工业</w:t>
            </w:r>
          </w:p>
        </w:tc>
        <w:tc>
          <w:tcPr>
            <w:tcW w:w="3001" w:type="pct"/>
            <w:tcBorders>
              <w:tl2br w:val="nil"/>
              <w:tr2bl w:val="nil"/>
            </w:tcBorders>
            <w:vAlign w:val="center"/>
          </w:tcPr>
          <w:p>
            <w:pPr>
              <w:widowControl/>
              <w:textAlignment w:val="center"/>
              <w:rPr>
                <w:rFonts w:hint="eastAsia" w:ascii="黑体" w:hAnsi="黑体" w:eastAsia="黑体" w:cs="黑体"/>
                <w:color w:val="auto"/>
                <w:kern w:val="0"/>
                <w:sz w:val="20"/>
                <w:szCs w:val="20"/>
                <w:lang w:val="en-US" w:eastAsia="zh-CN" w:bidi="ar"/>
              </w:rPr>
            </w:pPr>
            <w:r>
              <w:rPr>
                <w:rFonts w:hint="eastAsia" w:ascii="黑体" w:hAnsi="黑体" w:eastAsia="黑体" w:cs="黑体"/>
                <w:color w:val="auto"/>
                <w:kern w:val="0"/>
                <w:sz w:val="20"/>
                <w:szCs w:val="20"/>
                <w:lang w:val="en-US" w:eastAsia="zh-CN" w:bidi="ar"/>
              </w:rPr>
              <w:t>最大直径16mm,电压220V，功率450W</w:t>
            </w:r>
          </w:p>
        </w:tc>
        <w:tc>
          <w:tcPr>
            <w:tcW w:w="301" w:type="pct"/>
            <w:tcBorders>
              <w:tl2br w:val="nil"/>
              <w:tr2bl w:val="nil"/>
            </w:tcBorders>
            <w:vAlign w:val="center"/>
          </w:tcPr>
          <w:p>
            <w:pPr>
              <w:widowControl/>
              <w:textAlignment w:val="center"/>
              <w:rPr>
                <w:rFonts w:hint="eastAsia" w:ascii="黑体" w:hAnsi="黑体" w:eastAsia="黑体" w:cs="黑体"/>
                <w:color w:val="auto"/>
                <w:kern w:val="0"/>
                <w:sz w:val="20"/>
                <w:szCs w:val="20"/>
                <w:lang w:val="en-US" w:eastAsia="zh-CN" w:bidi="ar"/>
              </w:rPr>
            </w:pPr>
            <w:r>
              <w:rPr>
                <w:rFonts w:hint="eastAsia" w:ascii="黑体" w:hAnsi="黑体" w:eastAsia="黑体" w:cs="黑体"/>
                <w:color w:val="auto"/>
                <w:kern w:val="0"/>
                <w:sz w:val="20"/>
                <w:szCs w:val="20"/>
                <w:lang w:val="en-US" w:eastAsia="zh-CN" w:bidi="ar"/>
              </w:rPr>
              <w:t>5</w:t>
            </w:r>
          </w:p>
        </w:tc>
        <w:tc>
          <w:tcPr>
            <w:tcW w:w="272" w:type="pct"/>
            <w:tcBorders>
              <w:tl2br w:val="nil"/>
              <w:tr2bl w:val="nil"/>
            </w:tcBorders>
            <w:vAlign w:val="center"/>
          </w:tcPr>
          <w:p>
            <w:pPr>
              <w:widowControl/>
              <w:textAlignment w:val="center"/>
              <w:rPr>
                <w:rFonts w:hint="eastAsia" w:ascii="黑体" w:hAnsi="黑体" w:eastAsia="黑体" w:cs="黑体"/>
                <w:color w:val="auto"/>
                <w:kern w:val="0"/>
                <w:sz w:val="20"/>
                <w:szCs w:val="20"/>
                <w:lang w:val="en-US" w:eastAsia="zh-CN" w:bidi="ar"/>
              </w:rPr>
            </w:pPr>
            <w:r>
              <w:rPr>
                <w:rFonts w:hint="eastAsia" w:ascii="黑体" w:hAnsi="黑体" w:eastAsia="黑体" w:cs="黑体"/>
                <w:color w:val="auto"/>
                <w:kern w:val="0"/>
                <w:sz w:val="20"/>
                <w:szCs w:val="20"/>
                <w:lang w:val="en-US" w:eastAsia="zh-CN" w:bidi="ar"/>
              </w:rPr>
              <w:t>台</w:t>
            </w:r>
          </w:p>
        </w:tc>
        <w:tc>
          <w:tcPr>
            <w:tcW w:w="240" w:type="pct"/>
            <w:tcBorders>
              <w:tl2br w:val="nil"/>
              <w:tr2bl w:val="nil"/>
            </w:tcBorders>
            <w:vAlign w:val="center"/>
          </w:tcPr>
          <w:p>
            <w:pPr>
              <w:widowControl/>
              <w:textAlignment w:val="center"/>
              <w:rPr>
                <w:rFonts w:hint="eastAsia" w:ascii="黑体" w:hAnsi="黑体" w:eastAsia="黑体" w:cs="黑体"/>
                <w:color w:val="FF0000"/>
                <w:kern w:val="0"/>
                <w:sz w:val="20"/>
                <w:szCs w:val="20"/>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43</w:t>
            </w:r>
          </w:p>
        </w:tc>
        <w:tc>
          <w:tcPr>
            <w:tcW w:w="445"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丝锥</w:t>
            </w:r>
          </w:p>
        </w:tc>
        <w:tc>
          <w:tcPr>
            <w:tcW w:w="497"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val="en-US" w:eastAsia="zh-CN" w:bidi="ar"/>
              </w:rPr>
              <w:t>工业</w:t>
            </w:r>
          </w:p>
        </w:tc>
        <w:tc>
          <w:tcPr>
            <w:tcW w:w="3001"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合金钢</w:t>
            </w:r>
          </w:p>
        </w:tc>
        <w:tc>
          <w:tcPr>
            <w:tcW w:w="301"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20</w:t>
            </w:r>
          </w:p>
        </w:tc>
        <w:tc>
          <w:tcPr>
            <w:tcW w:w="272"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sz w:val="20"/>
                <w:szCs w:val="20"/>
              </w:rPr>
              <w:t>套</w:t>
            </w:r>
          </w:p>
        </w:tc>
        <w:tc>
          <w:tcPr>
            <w:tcW w:w="240"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44</w:t>
            </w:r>
          </w:p>
        </w:tc>
        <w:tc>
          <w:tcPr>
            <w:tcW w:w="445"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圆板牙</w:t>
            </w:r>
          </w:p>
        </w:tc>
        <w:tc>
          <w:tcPr>
            <w:tcW w:w="497"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val="en-US" w:eastAsia="zh-CN" w:bidi="ar"/>
              </w:rPr>
              <w:t>工业</w:t>
            </w:r>
          </w:p>
        </w:tc>
        <w:tc>
          <w:tcPr>
            <w:tcW w:w="3001"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sz w:val="20"/>
                <w:szCs w:val="20"/>
              </w:rPr>
              <w:t>M6、8、10、12、14</w:t>
            </w:r>
          </w:p>
          <w:p>
            <w:pPr>
              <w:widowControl/>
              <w:textAlignment w:val="center"/>
              <w:rPr>
                <w:rFonts w:hint="eastAsia" w:ascii="黑体" w:hAnsi="黑体" w:eastAsia="黑体" w:cs="黑体"/>
                <w:kern w:val="2"/>
                <w:sz w:val="20"/>
                <w:szCs w:val="20"/>
                <w:lang w:val="en-US" w:eastAsia="zh-CN" w:bidi="ar"/>
              </w:rPr>
            </w:pPr>
            <w:r>
              <w:rPr>
                <w:rFonts w:hint="eastAsia" w:ascii="黑体" w:hAnsi="黑体" w:eastAsia="黑体" w:cs="黑体"/>
                <w:color w:val="000000"/>
                <w:kern w:val="0"/>
                <w:sz w:val="20"/>
                <w:szCs w:val="20"/>
                <w:lang w:bidi="ar"/>
              </w:rPr>
              <w:t>高速钢</w:t>
            </w:r>
          </w:p>
        </w:tc>
        <w:tc>
          <w:tcPr>
            <w:tcW w:w="301"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sz w:val="20"/>
                <w:szCs w:val="20"/>
              </w:rPr>
              <w:t>50</w:t>
            </w:r>
          </w:p>
        </w:tc>
        <w:tc>
          <w:tcPr>
            <w:tcW w:w="272"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个</w:t>
            </w:r>
          </w:p>
        </w:tc>
        <w:tc>
          <w:tcPr>
            <w:tcW w:w="240"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各10个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45</w:t>
            </w:r>
          </w:p>
        </w:tc>
        <w:tc>
          <w:tcPr>
            <w:tcW w:w="445"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錾子  (扁)</w:t>
            </w:r>
            <w:r>
              <w:rPr>
                <w:rFonts w:hint="eastAsia" w:ascii="黑体" w:hAnsi="黑体" w:eastAsia="黑体" w:cs="黑体"/>
                <w:color w:val="000000"/>
                <w:kern w:val="0"/>
                <w:sz w:val="20"/>
                <w:szCs w:val="20"/>
                <w:lang w:bidi="ar"/>
              </w:rPr>
              <w:br w:type="textWrapping"/>
            </w:r>
            <w:r>
              <w:rPr>
                <w:rFonts w:hint="eastAsia" w:ascii="黑体" w:hAnsi="黑体" w:eastAsia="黑体" w:cs="黑体"/>
                <w:color w:val="000000"/>
                <w:kern w:val="0"/>
                <w:sz w:val="20"/>
                <w:szCs w:val="20"/>
                <w:lang w:bidi="ar"/>
              </w:rPr>
              <w:t>(尖)</w:t>
            </w:r>
          </w:p>
        </w:tc>
        <w:tc>
          <w:tcPr>
            <w:tcW w:w="497"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val="en-US" w:eastAsia="zh-CN" w:bidi="ar"/>
              </w:rPr>
              <w:t>工业</w:t>
            </w:r>
          </w:p>
        </w:tc>
        <w:tc>
          <w:tcPr>
            <w:tcW w:w="3001"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合金钢</w:t>
            </w:r>
          </w:p>
        </w:tc>
        <w:tc>
          <w:tcPr>
            <w:tcW w:w="301"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sz w:val="20"/>
                <w:szCs w:val="20"/>
                <w:lang w:val="en-US" w:eastAsia="zh-CN"/>
              </w:rPr>
              <w:t>30</w:t>
            </w:r>
          </w:p>
        </w:tc>
        <w:tc>
          <w:tcPr>
            <w:tcW w:w="272"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个</w:t>
            </w:r>
          </w:p>
        </w:tc>
        <w:tc>
          <w:tcPr>
            <w:tcW w:w="240"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46</w:t>
            </w:r>
          </w:p>
        </w:tc>
        <w:tc>
          <w:tcPr>
            <w:tcW w:w="445"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什锦锉</w:t>
            </w:r>
          </w:p>
        </w:tc>
        <w:tc>
          <w:tcPr>
            <w:tcW w:w="497"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val="en-US" w:eastAsia="zh-CN" w:bidi="ar"/>
              </w:rPr>
              <w:t>工业</w:t>
            </w:r>
          </w:p>
        </w:tc>
        <w:tc>
          <w:tcPr>
            <w:tcW w:w="3001"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一组</w:t>
            </w:r>
          </w:p>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碳素工具钢</w:t>
            </w:r>
          </w:p>
        </w:tc>
        <w:tc>
          <w:tcPr>
            <w:tcW w:w="301"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sz w:val="20"/>
                <w:szCs w:val="20"/>
                <w:lang w:val="en-US" w:eastAsia="zh-CN"/>
              </w:rPr>
              <w:t>30</w:t>
            </w:r>
          </w:p>
        </w:tc>
        <w:tc>
          <w:tcPr>
            <w:tcW w:w="272"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个</w:t>
            </w:r>
          </w:p>
        </w:tc>
        <w:tc>
          <w:tcPr>
            <w:tcW w:w="240"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47</w:t>
            </w:r>
          </w:p>
        </w:tc>
        <w:tc>
          <w:tcPr>
            <w:tcW w:w="445"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手虎钳</w:t>
            </w:r>
          </w:p>
        </w:tc>
        <w:tc>
          <w:tcPr>
            <w:tcW w:w="497"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val="en-US" w:eastAsia="zh-CN" w:bidi="ar"/>
              </w:rPr>
              <w:t>工业</w:t>
            </w:r>
          </w:p>
        </w:tc>
        <w:tc>
          <w:tcPr>
            <w:tcW w:w="3001"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40mm</w:t>
            </w:r>
          </w:p>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碳钢</w:t>
            </w:r>
          </w:p>
        </w:tc>
        <w:tc>
          <w:tcPr>
            <w:tcW w:w="301"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sz w:val="20"/>
                <w:szCs w:val="20"/>
                <w:lang w:val="en-US" w:eastAsia="zh-CN"/>
              </w:rPr>
              <w:t>30</w:t>
            </w:r>
          </w:p>
        </w:tc>
        <w:tc>
          <w:tcPr>
            <w:tcW w:w="272"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个</w:t>
            </w:r>
          </w:p>
        </w:tc>
        <w:tc>
          <w:tcPr>
            <w:tcW w:w="240"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48</w:t>
            </w:r>
          </w:p>
        </w:tc>
        <w:tc>
          <w:tcPr>
            <w:tcW w:w="445"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活动扳手</w:t>
            </w:r>
          </w:p>
        </w:tc>
        <w:tc>
          <w:tcPr>
            <w:tcW w:w="497"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val="en-US" w:eastAsia="zh-CN" w:bidi="ar"/>
              </w:rPr>
              <w:t>工业</w:t>
            </w:r>
          </w:p>
        </w:tc>
        <w:tc>
          <w:tcPr>
            <w:tcW w:w="3001"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sz w:val="20"/>
                <w:szCs w:val="20"/>
              </w:rPr>
              <w:t>8寸</w:t>
            </w:r>
          </w:p>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合金钢</w:t>
            </w:r>
          </w:p>
        </w:tc>
        <w:tc>
          <w:tcPr>
            <w:tcW w:w="301"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10</w:t>
            </w:r>
          </w:p>
        </w:tc>
        <w:tc>
          <w:tcPr>
            <w:tcW w:w="272"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个</w:t>
            </w:r>
          </w:p>
        </w:tc>
        <w:tc>
          <w:tcPr>
            <w:tcW w:w="240"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49</w:t>
            </w:r>
          </w:p>
        </w:tc>
        <w:tc>
          <w:tcPr>
            <w:tcW w:w="445"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一字螺丝刀</w:t>
            </w:r>
          </w:p>
        </w:tc>
        <w:tc>
          <w:tcPr>
            <w:tcW w:w="497"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val="en-US" w:eastAsia="zh-CN" w:bidi="ar"/>
              </w:rPr>
              <w:t>工业</w:t>
            </w:r>
          </w:p>
        </w:tc>
        <w:tc>
          <w:tcPr>
            <w:tcW w:w="3001"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sz w:val="20"/>
                <w:szCs w:val="20"/>
              </w:rPr>
              <w:t>300mm</w:t>
            </w:r>
          </w:p>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碳钢</w:t>
            </w:r>
          </w:p>
        </w:tc>
        <w:tc>
          <w:tcPr>
            <w:tcW w:w="301"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30</w:t>
            </w:r>
          </w:p>
        </w:tc>
        <w:tc>
          <w:tcPr>
            <w:tcW w:w="272"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个</w:t>
            </w:r>
          </w:p>
        </w:tc>
        <w:tc>
          <w:tcPr>
            <w:tcW w:w="240"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50</w:t>
            </w:r>
          </w:p>
        </w:tc>
        <w:tc>
          <w:tcPr>
            <w:tcW w:w="445"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十字</w:t>
            </w:r>
            <w:r>
              <w:rPr>
                <w:rFonts w:hint="eastAsia" w:ascii="黑体" w:hAnsi="黑体" w:eastAsia="黑体" w:cs="黑体"/>
                <w:color w:val="000000"/>
                <w:kern w:val="0"/>
                <w:sz w:val="20"/>
                <w:szCs w:val="20"/>
                <w:lang w:bidi="ar"/>
              </w:rPr>
              <w:br w:type="textWrapping"/>
            </w:r>
            <w:r>
              <w:rPr>
                <w:rFonts w:hint="eastAsia" w:ascii="黑体" w:hAnsi="黑体" w:eastAsia="黑体" w:cs="黑体"/>
                <w:color w:val="000000"/>
                <w:kern w:val="0"/>
                <w:sz w:val="20"/>
                <w:szCs w:val="20"/>
                <w:lang w:bidi="ar"/>
              </w:rPr>
              <w:t>螺丝刀</w:t>
            </w:r>
          </w:p>
        </w:tc>
        <w:tc>
          <w:tcPr>
            <w:tcW w:w="497"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val="en-US" w:eastAsia="zh-CN" w:bidi="ar"/>
              </w:rPr>
              <w:t>工业</w:t>
            </w:r>
          </w:p>
        </w:tc>
        <w:tc>
          <w:tcPr>
            <w:tcW w:w="3001"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sz w:val="20"/>
                <w:szCs w:val="20"/>
              </w:rPr>
              <w:t>300mm</w:t>
            </w:r>
          </w:p>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碳钢</w:t>
            </w:r>
          </w:p>
        </w:tc>
        <w:tc>
          <w:tcPr>
            <w:tcW w:w="301"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30</w:t>
            </w:r>
          </w:p>
        </w:tc>
        <w:tc>
          <w:tcPr>
            <w:tcW w:w="272"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个</w:t>
            </w:r>
          </w:p>
        </w:tc>
        <w:tc>
          <w:tcPr>
            <w:tcW w:w="240"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51</w:t>
            </w:r>
          </w:p>
        </w:tc>
        <w:tc>
          <w:tcPr>
            <w:tcW w:w="445"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活扳手</w:t>
            </w:r>
          </w:p>
        </w:tc>
        <w:tc>
          <w:tcPr>
            <w:tcW w:w="497"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val="en-US" w:eastAsia="zh-CN" w:bidi="ar"/>
              </w:rPr>
              <w:t>工业</w:t>
            </w:r>
          </w:p>
        </w:tc>
        <w:tc>
          <w:tcPr>
            <w:tcW w:w="3001"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12寸</w:t>
            </w:r>
          </w:p>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碳钢</w:t>
            </w:r>
          </w:p>
        </w:tc>
        <w:tc>
          <w:tcPr>
            <w:tcW w:w="301"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48</w:t>
            </w:r>
          </w:p>
        </w:tc>
        <w:tc>
          <w:tcPr>
            <w:tcW w:w="272"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个</w:t>
            </w:r>
          </w:p>
        </w:tc>
        <w:tc>
          <w:tcPr>
            <w:tcW w:w="240"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52</w:t>
            </w:r>
          </w:p>
        </w:tc>
        <w:tc>
          <w:tcPr>
            <w:tcW w:w="445"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丝攻扳手</w:t>
            </w:r>
          </w:p>
        </w:tc>
        <w:tc>
          <w:tcPr>
            <w:tcW w:w="497"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val="en-US" w:eastAsia="zh-CN" w:bidi="ar"/>
              </w:rPr>
              <w:t>工业</w:t>
            </w:r>
          </w:p>
        </w:tc>
        <w:tc>
          <w:tcPr>
            <w:tcW w:w="3001"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sz w:val="20"/>
                <w:szCs w:val="20"/>
              </w:rPr>
              <w:t>M6、8、10、12、14</w:t>
            </w:r>
          </w:p>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合金钢</w:t>
            </w:r>
          </w:p>
        </w:tc>
        <w:tc>
          <w:tcPr>
            <w:tcW w:w="301"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sz w:val="20"/>
                <w:szCs w:val="20"/>
                <w:lang w:val="en-US" w:eastAsia="zh-CN"/>
              </w:rPr>
              <w:t>50</w:t>
            </w:r>
          </w:p>
        </w:tc>
        <w:tc>
          <w:tcPr>
            <w:tcW w:w="272"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个</w:t>
            </w:r>
          </w:p>
        </w:tc>
        <w:tc>
          <w:tcPr>
            <w:tcW w:w="240"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各10个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53</w:t>
            </w:r>
          </w:p>
        </w:tc>
        <w:tc>
          <w:tcPr>
            <w:tcW w:w="445"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扳牙扳手</w:t>
            </w:r>
          </w:p>
        </w:tc>
        <w:tc>
          <w:tcPr>
            <w:tcW w:w="497"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val="en-US" w:eastAsia="zh-CN" w:bidi="ar"/>
              </w:rPr>
              <w:t>工业</w:t>
            </w:r>
          </w:p>
        </w:tc>
        <w:tc>
          <w:tcPr>
            <w:tcW w:w="3001"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碳钢</w:t>
            </w:r>
          </w:p>
        </w:tc>
        <w:tc>
          <w:tcPr>
            <w:tcW w:w="301" w:type="pct"/>
            <w:tcBorders>
              <w:tl2br w:val="nil"/>
              <w:tr2bl w:val="nil"/>
            </w:tcBorders>
            <w:vAlign w:val="center"/>
          </w:tcPr>
          <w:p>
            <w:pPr>
              <w:widowControl/>
              <w:jc w:val="center"/>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60</w:t>
            </w:r>
          </w:p>
        </w:tc>
        <w:tc>
          <w:tcPr>
            <w:tcW w:w="272"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个</w:t>
            </w:r>
          </w:p>
        </w:tc>
        <w:tc>
          <w:tcPr>
            <w:tcW w:w="240"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54</w:t>
            </w:r>
          </w:p>
        </w:tc>
        <w:tc>
          <w:tcPr>
            <w:tcW w:w="445"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尖嘴钳</w:t>
            </w:r>
          </w:p>
        </w:tc>
        <w:tc>
          <w:tcPr>
            <w:tcW w:w="497"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val="en-US" w:eastAsia="zh-CN" w:bidi="ar"/>
              </w:rPr>
              <w:t>工业</w:t>
            </w:r>
          </w:p>
        </w:tc>
        <w:tc>
          <w:tcPr>
            <w:tcW w:w="3001"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sz w:val="20"/>
                <w:szCs w:val="20"/>
              </w:rPr>
              <w:t>160mm</w:t>
            </w:r>
          </w:p>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中碳钢</w:t>
            </w:r>
          </w:p>
        </w:tc>
        <w:tc>
          <w:tcPr>
            <w:tcW w:w="301" w:type="pct"/>
            <w:tcBorders>
              <w:tl2br w:val="nil"/>
              <w:tr2bl w:val="nil"/>
            </w:tcBorders>
            <w:vAlign w:val="center"/>
          </w:tcPr>
          <w:p>
            <w:pPr>
              <w:widowControl/>
              <w:jc w:val="center"/>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48</w:t>
            </w:r>
          </w:p>
        </w:tc>
        <w:tc>
          <w:tcPr>
            <w:tcW w:w="272"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个</w:t>
            </w:r>
          </w:p>
        </w:tc>
        <w:tc>
          <w:tcPr>
            <w:tcW w:w="240"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55</w:t>
            </w:r>
          </w:p>
        </w:tc>
        <w:tc>
          <w:tcPr>
            <w:tcW w:w="445"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铜丝刷</w:t>
            </w:r>
          </w:p>
        </w:tc>
        <w:tc>
          <w:tcPr>
            <w:tcW w:w="497"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val="en-US" w:eastAsia="zh-CN" w:bidi="ar"/>
              </w:rPr>
              <w:t>工业</w:t>
            </w:r>
          </w:p>
        </w:tc>
        <w:tc>
          <w:tcPr>
            <w:tcW w:w="3001" w:type="pct"/>
            <w:tcBorders>
              <w:tl2br w:val="nil"/>
              <w:tr2bl w:val="nil"/>
            </w:tcBorders>
            <w:vAlign w:val="center"/>
          </w:tcPr>
          <w:p>
            <w:pPr>
              <w:widowControl w:val="0"/>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sz w:val="20"/>
                <w:szCs w:val="20"/>
              </w:rPr>
              <w:t>200×25×8mm</w:t>
            </w:r>
          </w:p>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铜丝</w:t>
            </w:r>
          </w:p>
        </w:tc>
        <w:tc>
          <w:tcPr>
            <w:tcW w:w="301" w:type="pct"/>
            <w:tcBorders>
              <w:tl2br w:val="nil"/>
              <w:tr2bl w:val="nil"/>
            </w:tcBorders>
            <w:vAlign w:val="center"/>
          </w:tcPr>
          <w:p>
            <w:pPr>
              <w:widowControl/>
              <w:jc w:val="center"/>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90</w:t>
            </w:r>
          </w:p>
        </w:tc>
        <w:tc>
          <w:tcPr>
            <w:tcW w:w="272"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个</w:t>
            </w:r>
          </w:p>
        </w:tc>
        <w:tc>
          <w:tcPr>
            <w:tcW w:w="240"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56</w:t>
            </w:r>
          </w:p>
        </w:tc>
        <w:tc>
          <w:tcPr>
            <w:tcW w:w="445"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样冲</w:t>
            </w:r>
          </w:p>
        </w:tc>
        <w:tc>
          <w:tcPr>
            <w:tcW w:w="497"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val="en-US" w:eastAsia="zh-CN" w:bidi="ar"/>
              </w:rPr>
              <w:t>工业</w:t>
            </w:r>
          </w:p>
        </w:tc>
        <w:tc>
          <w:tcPr>
            <w:tcW w:w="3001"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高碳钢</w:t>
            </w:r>
          </w:p>
        </w:tc>
        <w:tc>
          <w:tcPr>
            <w:tcW w:w="301" w:type="pct"/>
            <w:tcBorders>
              <w:tl2br w:val="nil"/>
              <w:tr2bl w:val="nil"/>
            </w:tcBorders>
            <w:vAlign w:val="center"/>
          </w:tcPr>
          <w:p>
            <w:pPr>
              <w:widowControl/>
              <w:jc w:val="center"/>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30</w:t>
            </w:r>
          </w:p>
        </w:tc>
        <w:tc>
          <w:tcPr>
            <w:tcW w:w="272"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sz w:val="20"/>
                <w:szCs w:val="20"/>
              </w:rPr>
              <w:t>套</w:t>
            </w:r>
          </w:p>
        </w:tc>
        <w:tc>
          <w:tcPr>
            <w:tcW w:w="240"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57</w:t>
            </w:r>
          </w:p>
        </w:tc>
        <w:tc>
          <w:tcPr>
            <w:tcW w:w="445"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钻头</w:t>
            </w:r>
          </w:p>
        </w:tc>
        <w:tc>
          <w:tcPr>
            <w:tcW w:w="497"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val="en-US" w:eastAsia="zh-CN" w:bidi="ar"/>
              </w:rPr>
              <w:t>工业</w:t>
            </w:r>
          </w:p>
        </w:tc>
        <w:tc>
          <w:tcPr>
            <w:tcW w:w="3001"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sz w:val="20"/>
                <w:szCs w:val="20"/>
              </w:rPr>
              <w:t>Φ6、8、10、12、14</w:t>
            </w:r>
          </w:p>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硬质合金钢</w:t>
            </w:r>
          </w:p>
        </w:tc>
        <w:tc>
          <w:tcPr>
            <w:tcW w:w="301" w:type="pct"/>
            <w:tcBorders>
              <w:tl2br w:val="nil"/>
              <w:tr2bl w:val="nil"/>
            </w:tcBorders>
            <w:vAlign w:val="center"/>
          </w:tcPr>
          <w:p>
            <w:pPr>
              <w:widowControl/>
              <w:jc w:val="center"/>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sz w:val="20"/>
                <w:szCs w:val="20"/>
              </w:rPr>
              <w:t>50</w:t>
            </w:r>
          </w:p>
        </w:tc>
        <w:tc>
          <w:tcPr>
            <w:tcW w:w="272"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个</w:t>
            </w:r>
          </w:p>
        </w:tc>
        <w:tc>
          <w:tcPr>
            <w:tcW w:w="240"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各10个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58</w:t>
            </w:r>
          </w:p>
        </w:tc>
        <w:tc>
          <w:tcPr>
            <w:tcW w:w="445"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千分尺</w:t>
            </w:r>
          </w:p>
        </w:tc>
        <w:tc>
          <w:tcPr>
            <w:tcW w:w="497"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val="en-US" w:eastAsia="zh-CN" w:bidi="ar"/>
              </w:rPr>
              <w:t>工业</w:t>
            </w:r>
          </w:p>
        </w:tc>
        <w:tc>
          <w:tcPr>
            <w:tcW w:w="3001"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0-25mm内外径</w:t>
            </w:r>
          </w:p>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合金工具钢</w:t>
            </w:r>
          </w:p>
        </w:tc>
        <w:tc>
          <w:tcPr>
            <w:tcW w:w="301" w:type="pct"/>
            <w:tcBorders>
              <w:tl2br w:val="nil"/>
              <w:tr2bl w:val="nil"/>
            </w:tcBorders>
            <w:vAlign w:val="top"/>
          </w:tcPr>
          <w:p>
            <w:pPr>
              <w:widowControl/>
              <w:jc w:val="center"/>
              <w:textAlignment w:val="center"/>
              <w:rPr>
                <w:rFonts w:hint="eastAsia" w:ascii="黑体" w:hAnsi="黑体" w:eastAsia="黑体" w:cs="黑体"/>
                <w:color w:val="000000"/>
                <w:kern w:val="0"/>
                <w:sz w:val="20"/>
                <w:szCs w:val="20"/>
                <w:lang w:bidi="ar"/>
              </w:rPr>
            </w:pPr>
          </w:p>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20</w:t>
            </w:r>
          </w:p>
        </w:tc>
        <w:tc>
          <w:tcPr>
            <w:tcW w:w="272"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kern w:val="0"/>
                <w:sz w:val="20"/>
                <w:szCs w:val="20"/>
                <w:lang w:bidi="ar"/>
              </w:rPr>
              <w:t>个</w:t>
            </w:r>
          </w:p>
        </w:tc>
        <w:tc>
          <w:tcPr>
            <w:tcW w:w="240"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各10个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59</w:t>
            </w:r>
          </w:p>
        </w:tc>
        <w:tc>
          <w:tcPr>
            <w:tcW w:w="445"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千分尺</w:t>
            </w:r>
          </w:p>
        </w:tc>
        <w:tc>
          <w:tcPr>
            <w:tcW w:w="497"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工业</w:t>
            </w:r>
          </w:p>
        </w:tc>
        <w:tc>
          <w:tcPr>
            <w:tcW w:w="3001"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25-50mm</w:t>
            </w:r>
          </w:p>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合金工具钢</w:t>
            </w:r>
          </w:p>
        </w:tc>
        <w:tc>
          <w:tcPr>
            <w:tcW w:w="301"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20</w:t>
            </w:r>
          </w:p>
        </w:tc>
        <w:tc>
          <w:tcPr>
            <w:tcW w:w="272"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个</w:t>
            </w:r>
          </w:p>
        </w:tc>
        <w:tc>
          <w:tcPr>
            <w:tcW w:w="240"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60</w:t>
            </w:r>
          </w:p>
        </w:tc>
        <w:tc>
          <w:tcPr>
            <w:tcW w:w="445"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千分尺</w:t>
            </w:r>
          </w:p>
        </w:tc>
        <w:tc>
          <w:tcPr>
            <w:tcW w:w="497"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工业</w:t>
            </w:r>
          </w:p>
        </w:tc>
        <w:tc>
          <w:tcPr>
            <w:tcW w:w="3001"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50-75mm</w:t>
            </w:r>
          </w:p>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合金工具钢</w:t>
            </w:r>
          </w:p>
        </w:tc>
        <w:tc>
          <w:tcPr>
            <w:tcW w:w="301"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20</w:t>
            </w:r>
          </w:p>
        </w:tc>
        <w:tc>
          <w:tcPr>
            <w:tcW w:w="272"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个</w:t>
            </w:r>
          </w:p>
        </w:tc>
        <w:tc>
          <w:tcPr>
            <w:tcW w:w="240"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61</w:t>
            </w:r>
          </w:p>
        </w:tc>
        <w:tc>
          <w:tcPr>
            <w:tcW w:w="445"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千分尺</w:t>
            </w:r>
          </w:p>
        </w:tc>
        <w:tc>
          <w:tcPr>
            <w:tcW w:w="497"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工业</w:t>
            </w:r>
          </w:p>
        </w:tc>
        <w:tc>
          <w:tcPr>
            <w:tcW w:w="3001"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75-100mm</w:t>
            </w:r>
          </w:p>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合金工具钢</w:t>
            </w:r>
          </w:p>
        </w:tc>
        <w:tc>
          <w:tcPr>
            <w:tcW w:w="301"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20</w:t>
            </w:r>
          </w:p>
        </w:tc>
        <w:tc>
          <w:tcPr>
            <w:tcW w:w="272"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个</w:t>
            </w:r>
          </w:p>
        </w:tc>
        <w:tc>
          <w:tcPr>
            <w:tcW w:w="240"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62</w:t>
            </w:r>
          </w:p>
        </w:tc>
        <w:tc>
          <w:tcPr>
            <w:tcW w:w="445"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等离子割嘴</w:t>
            </w:r>
          </w:p>
        </w:tc>
        <w:tc>
          <w:tcPr>
            <w:tcW w:w="497"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工业</w:t>
            </w:r>
          </w:p>
        </w:tc>
        <w:tc>
          <w:tcPr>
            <w:tcW w:w="3001"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P80</w:t>
            </w:r>
          </w:p>
        </w:tc>
        <w:tc>
          <w:tcPr>
            <w:tcW w:w="301"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100</w:t>
            </w:r>
          </w:p>
        </w:tc>
        <w:tc>
          <w:tcPr>
            <w:tcW w:w="272"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套</w:t>
            </w:r>
          </w:p>
        </w:tc>
        <w:tc>
          <w:tcPr>
            <w:tcW w:w="240"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63</w:t>
            </w:r>
          </w:p>
        </w:tc>
        <w:tc>
          <w:tcPr>
            <w:tcW w:w="445"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陶瓷保护套</w:t>
            </w:r>
          </w:p>
        </w:tc>
        <w:tc>
          <w:tcPr>
            <w:tcW w:w="497"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工业</w:t>
            </w:r>
          </w:p>
        </w:tc>
        <w:tc>
          <w:tcPr>
            <w:tcW w:w="3001"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P80</w:t>
            </w:r>
          </w:p>
        </w:tc>
        <w:tc>
          <w:tcPr>
            <w:tcW w:w="301"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5</w:t>
            </w:r>
          </w:p>
        </w:tc>
        <w:tc>
          <w:tcPr>
            <w:tcW w:w="272"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个</w:t>
            </w:r>
          </w:p>
        </w:tc>
        <w:tc>
          <w:tcPr>
            <w:tcW w:w="240"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64</w:t>
            </w:r>
          </w:p>
        </w:tc>
        <w:tc>
          <w:tcPr>
            <w:tcW w:w="445"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烘干箱</w:t>
            </w:r>
          </w:p>
        </w:tc>
        <w:tc>
          <w:tcPr>
            <w:tcW w:w="497"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工业</w:t>
            </w:r>
          </w:p>
        </w:tc>
        <w:tc>
          <w:tcPr>
            <w:tcW w:w="3001"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焊条容量10KG,温度10-500度</w:t>
            </w:r>
          </w:p>
        </w:tc>
        <w:tc>
          <w:tcPr>
            <w:tcW w:w="301"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sz w:val="20"/>
                <w:szCs w:val="20"/>
                <w:lang w:val="en-US" w:eastAsia="zh-CN"/>
              </w:rPr>
              <w:t>1</w:t>
            </w:r>
          </w:p>
        </w:tc>
        <w:tc>
          <w:tcPr>
            <w:tcW w:w="272"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台</w:t>
            </w:r>
          </w:p>
        </w:tc>
        <w:tc>
          <w:tcPr>
            <w:tcW w:w="240"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65</w:t>
            </w:r>
          </w:p>
        </w:tc>
        <w:tc>
          <w:tcPr>
            <w:tcW w:w="445"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highlight w:val="none"/>
                <w:lang w:bidi="ar"/>
              </w:rPr>
              <w:t>数字化手工/氩弧焊机</w:t>
            </w:r>
          </w:p>
        </w:tc>
        <w:tc>
          <w:tcPr>
            <w:tcW w:w="497"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highlight w:val="darkGreen"/>
                <w:lang w:val="en-US" w:eastAsia="zh-CN" w:bidi="ar"/>
              </w:rPr>
            </w:pPr>
            <w:r>
              <w:rPr>
                <w:rFonts w:hint="eastAsia" w:ascii="黑体" w:hAnsi="黑体" w:eastAsia="黑体" w:cs="黑体"/>
                <w:color w:val="000000"/>
                <w:kern w:val="0"/>
                <w:sz w:val="20"/>
                <w:szCs w:val="20"/>
                <w:highlight w:val="none"/>
                <w:lang w:val="en-US" w:eastAsia="zh-CN" w:bidi="ar"/>
              </w:rPr>
              <w:t>工业</w:t>
            </w:r>
          </w:p>
        </w:tc>
        <w:tc>
          <w:tcPr>
            <w:tcW w:w="3001" w:type="pct"/>
            <w:tcBorders>
              <w:tl2br w:val="nil"/>
              <w:tr2bl w:val="nil"/>
            </w:tcBorders>
            <w:vAlign w:val="center"/>
          </w:tcPr>
          <w:p>
            <w:pPr>
              <w:widowControl/>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bidi="ar"/>
              </w:rPr>
              <w:t>采用IGBT逆变技术</w:t>
            </w:r>
          </w:p>
          <w:p>
            <w:pPr>
              <w:widowControl/>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bidi="ar"/>
              </w:rPr>
              <w:t>工作电压范围宽</w:t>
            </w:r>
          </w:p>
          <w:p>
            <w:pPr>
              <w:widowControl/>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bidi="ar"/>
              </w:rPr>
              <w:t>产品一致性好</w:t>
            </w:r>
          </w:p>
          <w:p>
            <w:pPr>
              <w:widowControl/>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bidi="ar"/>
              </w:rPr>
              <w:t>具有多种氩弧操作方式</w:t>
            </w:r>
          </w:p>
          <w:p>
            <w:pPr>
              <w:widowControl/>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bidi="ar"/>
              </w:rPr>
              <w:t>高频引弧，焊接渗透力强</w:t>
            </w:r>
          </w:p>
          <w:p>
            <w:pPr>
              <w:widowControl/>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bidi="ar"/>
              </w:rPr>
              <w:t>性能稳定，抗干扰能力强</w:t>
            </w:r>
          </w:p>
          <w:p>
            <w:pPr>
              <w:widowControl/>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bidi="ar"/>
              </w:rPr>
              <w:t>散热设计合理，保护功能完善</w:t>
            </w:r>
          </w:p>
          <w:p>
            <w:pPr>
              <w:widowControl/>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bidi="ar"/>
              </w:rPr>
              <w:t>数显表显示并精确预设焊接电流</w:t>
            </w:r>
          </w:p>
          <w:p>
            <w:pPr>
              <w:widowControl/>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bidi="ar"/>
              </w:rPr>
              <w:t>具备普通手工焊功能（200A以上型号）</w:t>
            </w:r>
          </w:p>
          <w:p>
            <w:pPr>
              <w:widowControl/>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bidi="ar"/>
              </w:rPr>
              <w:t>DSP数字化焊机，可选配纤维素焊功能</w:t>
            </w:r>
          </w:p>
          <w:p>
            <w:pPr>
              <w:widowControl/>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bidi="ar"/>
              </w:rPr>
              <w:t>具有RS-485通讯接口可与RC-6、RC-7遥控器讯</w:t>
            </w:r>
          </w:p>
          <w:p>
            <w:pPr>
              <w:widowControl/>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bidi="ar"/>
              </w:rPr>
              <w:t>可使用</w:t>
            </w:r>
            <w:r>
              <w:rPr>
                <w:rFonts w:hint="eastAsia" w:ascii="黑体" w:hAnsi="黑体" w:eastAsia="黑体" w:cs="黑体"/>
                <w:color w:val="000000"/>
                <w:kern w:val="0"/>
                <w:sz w:val="20"/>
                <w:szCs w:val="20"/>
                <w:lang w:val="en-US" w:eastAsia="zh-CN" w:bidi="ar"/>
              </w:rPr>
              <w:t>相关</w:t>
            </w:r>
            <w:r>
              <w:rPr>
                <w:rFonts w:hint="eastAsia" w:ascii="黑体" w:hAnsi="黑体" w:eastAsia="黑体" w:cs="黑体"/>
                <w:color w:val="000000"/>
                <w:kern w:val="0"/>
                <w:sz w:val="20"/>
                <w:szCs w:val="20"/>
                <w:lang w:bidi="ar"/>
              </w:rPr>
              <w:t>焊接生产管理系统与计算机通讯实现远程和监理注塑壳体，美观大方</w:t>
            </w:r>
          </w:p>
          <w:p>
            <w:pPr>
              <w:widowControl/>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bidi="ar"/>
              </w:rPr>
              <w:t>技术参数</w:t>
            </w:r>
          </w:p>
          <w:p>
            <w:pPr>
              <w:widowControl/>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bidi="ar"/>
              </w:rPr>
              <w:t>输入电压 3相266～456V 50～60Hz</w:t>
            </w:r>
          </w:p>
          <w:p>
            <w:pPr>
              <w:widowControl/>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bidi="ar"/>
              </w:rPr>
              <w:t>额定输入功率 17KW</w:t>
            </w:r>
          </w:p>
          <w:p>
            <w:pPr>
              <w:widowControl/>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bidi="ar"/>
              </w:rPr>
              <w:t>输出电流调节范围 5A～410A</w:t>
            </w:r>
          </w:p>
          <w:p>
            <w:pPr>
              <w:widowControl/>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bidi="ar"/>
              </w:rPr>
              <w:t>空载电压 50V～70V</w:t>
            </w:r>
          </w:p>
          <w:p>
            <w:pPr>
              <w:widowControl/>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bidi="ar"/>
              </w:rPr>
              <w:t>推力范围(MMA) 0～150A/ms</w:t>
            </w:r>
          </w:p>
          <w:p>
            <w:pPr>
              <w:widowControl/>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bidi="ar"/>
              </w:rPr>
              <w:t>引弧时间范围(MMA) 0.01～1s</w:t>
            </w:r>
          </w:p>
          <w:p>
            <w:pPr>
              <w:widowControl/>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bidi="ar"/>
              </w:rPr>
              <w:t>弧长调节范围(MMA)  20～80V</w:t>
            </w:r>
          </w:p>
          <w:p>
            <w:pPr>
              <w:widowControl/>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bidi="ar"/>
              </w:rPr>
              <w:t>上坡时间（TIG） 0.1～99.9s</w:t>
            </w:r>
          </w:p>
          <w:p>
            <w:pPr>
              <w:widowControl/>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bidi="ar"/>
              </w:rPr>
              <w:t>下坡时间（TIG） 0.1～99.9s</w:t>
            </w:r>
          </w:p>
          <w:p>
            <w:pPr>
              <w:widowControl/>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bidi="ar"/>
              </w:rPr>
              <w:t>提前送气时间（TIG） 0～13s</w:t>
            </w:r>
          </w:p>
          <w:p>
            <w:pPr>
              <w:widowControl/>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bidi="ar"/>
              </w:rPr>
              <w:t>滞后关气时间（TIG） 0.1～50s</w:t>
            </w:r>
          </w:p>
          <w:p>
            <w:pPr>
              <w:widowControl/>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bidi="ar"/>
              </w:rPr>
              <w:t>额定负载持续率 60%</w:t>
            </w:r>
          </w:p>
          <w:p>
            <w:pPr>
              <w:widowControl/>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bidi="ar"/>
              </w:rPr>
              <w:t>功率因数 0.93</w:t>
            </w:r>
          </w:p>
          <w:p>
            <w:pPr>
              <w:widowControl/>
              <w:textAlignment w:val="center"/>
              <w:rPr>
                <w:rFonts w:hint="eastAsia" w:ascii="黑体" w:hAnsi="黑体" w:eastAsia="黑体" w:cs="黑体"/>
                <w:color w:val="000000"/>
                <w:kern w:val="0"/>
                <w:sz w:val="20"/>
                <w:szCs w:val="20"/>
                <w:lang w:bidi="ar"/>
              </w:rPr>
            </w:pPr>
            <w:r>
              <w:rPr>
                <w:rFonts w:hint="eastAsia" w:ascii="黑体" w:hAnsi="黑体" w:eastAsia="黑体" w:cs="黑体"/>
                <w:color w:val="000000"/>
                <w:kern w:val="0"/>
                <w:sz w:val="20"/>
                <w:szCs w:val="20"/>
                <w:lang w:bidi="ar"/>
              </w:rPr>
              <w:t>效率 90%</w:t>
            </w:r>
            <w:r>
              <w:rPr>
                <w:rFonts w:hint="eastAsia" w:ascii="黑体" w:hAnsi="黑体" w:eastAsia="黑体" w:cs="黑体"/>
                <w:color w:val="000000"/>
                <w:kern w:val="0"/>
                <w:sz w:val="20"/>
                <w:szCs w:val="20"/>
                <w:lang w:eastAsia="zh-CN" w:bidi="ar"/>
              </w:rPr>
              <w:t>；</w:t>
            </w:r>
            <w:r>
              <w:rPr>
                <w:rFonts w:hint="eastAsia" w:ascii="黑体" w:hAnsi="黑体" w:eastAsia="黑体" w:cs="黑体"/>
                <w:color w:val="000000"/>
                <w:kern w:val="0"/>
                <w:sz w:val="20"/>
                <w:szCs w:val="20"/>
                <w:lang w:val="en-US" w:eastAsia="zh-CN" w:bidi="ar"/>
              </w:rPr>
              <w:t>绝</w:t>
            </w:r>
            <w:r>
              <w:rPr>
                <w:rFonts w:hint="eastAsia" w:ascii="黑体" w:hAnsi="黑体" w:eastAsia="黑体" w:cs="黑体"/>
                <w:color w:val="000000"/>
                <w:kern w:val="0"/>
                <w:sz w:val="20"/>
                <w:szCs w:val="20"/>
                <w:lang w:bidi="ar"/>
              </w:rPr>
              <w:t>缘等级 F</w:t>
            </w:r>
          </w:p>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外壳防护等级 IP23S</w:t>
            </w:r>
            <w:r>
              <w:rPr>
                <w:rFonts w:hint="eastAsia" w:ascii="黑体" w:hAnsi="黑体" w:eastAsia="黑体" w:cs="黑体"/>
                <w:color w:val="000000"/>
                <w:kern w:val="0"/>
                <w:sz w:val="20"/>
                <w:szCs w:val="20"/>
                <w:lang w:eastAsia="zh-CN" w:bidi="ar"/>
              </w:rPr>
              <w:t>；</w:t>
            </w:r>
          </w:p>
        </w:tc>
        <w:tc>
          <w:tcPr>
            <w:tcW w:w="301"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sz w:val="20"/>
                <w:szCs w:val="20"/>
                <w:lang w:val="en-US" w:eastAsia="zh-CN"/>
              </w:rPr>
              <w:t>6</w:t>
            </w:r>
          </w:p>
        </w:tc>
        <w:tc>
          <w:tcPr>
            <w:tcW w:w="272"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台</w:t>
            </w:r>
          </w:p>
        </w:tc>
        <w:tc>
          <w:tcPr>
            <w:tcW w:w="240"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66</w:t>
            </w:r>
          </w:p>
        </w:tc>
        <w:tc>
          <w:tcPr>
            <w:tcW w:w="445"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bidi="ar"/>
              </w:rPr>
              <w:t>数字化C0</w:t>
            </w:r>
            <w:r>
              <w:rPr>
                <w:rFonts w:hint="eastAsia" w:ascii="黑体" w:hAnsi="黑体" w:eastAsia="黑体" w:cs="黑体"/>
                <w:color w:val="000000" w:themeColor="text1"/>
                <w:kern w:val="0"/>
                <w:sz w:val="20"/>
                <w:szCs w:val="20"/>
                <w:highlight w:val="none"/>
                <w:vertAlign w:val="subscript"/>
                <w:lang w:bidi="ar"/>
                <w14:textFill>
                  <w14:solidFill>
                    <w14:schemeClr w14:val="tx1"/>
                  </w14:solidFill>
                </w14:textFill>
              </w:rPr>
              <w:t>2</w:t>
            </w:r>
            <w:r>
              <w:rPr>
                <w:rFonts w:hint="eastAsia" w:ascii="黑体" w:hAnsi="黑体" w:eastAsia="黑体" w:cs="黑体"/>
                <w:color w:val="000000"/>
                <w:kern w:val="0"/>
                <w:sz w:val="20"/>
                <w:szCs w:val="20"/>
                <w:lang w:bidi="ar"/>
              </w:rPr>
              <w:t>气保焊机</w:t>
            </w:r>
          </w:p>
        </w:tc>
        <w:tc>
          <w:tcPr>
            <w:tcW w:w="497" w:type="pct"/>
            <w:tcBorders>
              <w:tl2br w:val="nil"/>
              <w:tr2bl w:val="nil"/>
            </w:tcBorders>
            <w:vAlign w:val="center"/>
          </w:tcPr>
          <w:p>
            <w:pPr>
              <w:widowControl/>
              <w:jc w:val="center"/>
              <w:textAlignment w:val="center"/>
              <w:rPr>
                <w:rFonts w:hint="default"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工业</w:t>
            </w:r>
          </w:p>
        </w:tc>
        <w:tc>
          <w:tcPr>
            <w:tcW w:w="3001" w:type="pct"/>
            <w:tcBorders>
              <w:tl2br w:val="nil"/>
              <w:tr2bl w:val="nil"/>
            </w:tcBorders>
            <w:vAlign w:val="center"/>
          </w:tcPr>
          <w:p>
            <w:pPr>
              <w:widowControl w:val="0"/>
              <w:rPr>
                <w:rFonts w:hint="eastAsia" w:ascii="黑体" w:hAnsi="黑体" w:eastAsia="黑体" w:cs="黑体"/>
                <w:sz w:val="20"/>
                <w:szCs w:val="20"/>
              </w:rPr>
            </w:pPr>
            <w:r>
              <w:rPr>
                <w:rFonts w:hint="eastAsia" w:ascii="黑体" w:hAnsi="黑体" w:eastAsia="黑体" w:cs="黑体"/>
                <w:sz w:val="20"/>
                <w:szCs w:val="20"/>
              </w:rPr>
              <w:t>双轮驱动送丝机、4米综合线缆、350a焊枪、2米地线、地线夹，工具、CO</w:t>
            </w:r>
            <w:r>
              <w:rPr>
                <w:rFonts w:hint="eastAsia" w:ascii="黑体" w:hAnsi="黑体" w:eastAsia="黑体" w:cs="黑体"/>
                <w:sz w:val="20"/>
                <w:szCs w:val="20"/>
                <w:vertAlign w:val="subscript"/>
              </w:rPr>
              <w:t>2</w:t>
            </w:r>
            <w:r>
              <w:rPr>
                <w:rFonts w:hint="eastAsia" w:ascii="黑体" w:hAnsi="黑体" w:eastAsia="黑体" w:cs="黑体"/>
                <w:sz w:val="20"/>
                <w:szCs w:val="20"/>
              </w:rPr>
              <w:t>表、资料一套，含视频操作软件一套</w:t>
            </w:r>
          </w:p>
          <w:p>
            <w:pPr>
              <w:widowControl w:val="0"/>
              <w:rPr>
                <w:rFonts w:hint="eastAsia" w:ascii="黑体" w:hAnsi="黑体" w:eastAsia="黑体" w:cs="黑体"/>
                <w:sz w:val="20"/>
                <w:szCs w:val="20"/>
              </w:rPr>
            </w:pPr>
            <w:r>
              <w:rPr>
                <w:rFonts w:hint="eastAsia" w:ascii="黑体" w:hAnsi="黑体" w:eastAsia="黑体" w:cs="黑体"/>
                <w:sz w:val="20"/>
                <w:szCs w:val="20"/>
                <w:lang w:val="en-US" w:eastAsia="zh-CN"/>
              </w:rPr>
              <w:t>2、功能要求：GBT逆变技术 ，电源电压适应范围宽，焊接操作方式分二步/四步，数字显示焊接电压，焊接电流慢送丝启动，提高引弧成功率，送丝机构为双轮驱动，具有收弧去小球功能。采用单片机控制，性能可靠、稳定；采用波形控制，焊接过程稳定、飞溅小，电源动态品质优异，焊接全过程实时波控，具有预设焊接电压、送丝速度及焊丝直径选择等功能，干伸长变化适应性强；配50mm</w:t>
            </w:r>
            <w:r>
              <w:rPr>
                <w:rFonts w:hint="eastAsia" w:ascii="黑体" w:hAnsi="黑体" w:eastAsia="黑体" w:cs="黑体"/>
                <w:sz w:val="20"/>
                <w:szCs w:val="20"/>
                <w:vertAlign w:val="superscript"/>
                <w:lang w:val="en-US" w:eastAsia="zh-CN"/>
              </w:rPr>
              <w:t>2</w:t>
            </w:r>
            <w:r>
              <w:rPr>
                <w:rFonts w:hint="eastAsia" w:ascii="黑体" w:hAnsi="黑体" w:eastAsia="黑体" w:cs="黑体"/>
                <w:sz w:val="20"/>
                <w:szCs w:val="20"/>
                <w:lang w:val="en-US" w:eastAsia="zh-CN"/>
              </w:rPr>
              <w:t xml:space="preserve">国标综合线缆；注塑壳体，人性化设计。 </w:t>
            </w:r>
          </w:p>
          <w:p>
            <w:pPr>
              <w:widowControl w:val="0"/>
              <w:rPr>
                <w:rFonts w:hint="eastAsia" w:ascii="黑体" w:hAnsi="黑体" w:eastAsia="黑体" w:cs="黑体"/>
                <w:sz w:val="20"/>
                <w:szCs w:val="20"/>
              </w:rPr>
            </w:pPr>
            <w:r>
              <w:rPr>
                <w:rFonts w:hint="eastAsia" w:ascii="黑体" w:hAnsi="黑体" w:eastAsia="黑体" w:cs="黑体"/>
                <w:sz w:val="20"/>
                <w:szCs w:val="20"/>
                <w:lang w:val="en-US" w:eastAsia="zh-CN"/>
              </w:rPr>
              <w:t xml:space="preserve">输入电压 3相 380V±15% 50~60Hz </w:t>
            </w:r>
          </w:p>
          <w:p>
            <w:pPr>
              <w:widowControl w:val="0"/>
              <w:rPr>
                <w:rFonts w:hint="eastAsia" w:ascii="黑体" w:hAnsi="黑体" w:eastAsia="黑体" w:cs="黑体"/>
                <w:sz w:val="20"/>
                <w:szCs w:val="20"/>
              </w:rPr>
            </w:pPr>
            <w:r>
              <w:rPr>
                <w:rFonts w:hint="eastAsia" w:ascii="黑体" w:hAnsi="黑体" w:eastAsia="黑体" w:cs="黑体"/>
                <w:sz w:val="20"/>
                <w:szCs w:val="20"/>
                <w:lang w:val="en-US" w:eastAsia="zh-CN"/>
              </w:rPr>
              <w:t xml:space="preserve">额定输入电流（A） 22 </w:t>
            </w:r>
          </w:p>
          <w:p>
            <w:pPr>
              <w:widowControl w:val="0"/>
              <w:rPr>
                <w:rFonts w:hint="eastAsia" w:ascii="黑体" w:hAnsi="黑体" w:eastAsia="黑体" w:cs="黑体"/>
                <w:sz w:val="20"/>
                <w:szCs w:val="20"/>
              </w:rPr>
            </w:pPr>
            <w:r>
              <w:rPr>
                <w:rFonts w:hint="eastAsia" w:ascii="黑体" w:hAnsi="黑体" w:eastAsia="黑体" w:cs="黑体"/>
                <w:sz w:val="20"/>
                <w:szCs w:val="20"/>
                <w:lang w:val="en-US" w:eastAsia="zh-CN"/>
              </w:rPr>
              <w:t>额定输入功率（kw）</w:t>
            </w:r>
            <w:r>
              <w:rPr>
                <w:rFonts w:hint="eastAsia" w:ascii="黑体" w:hAnsi="黑体" w:eastAsia="黑体" w:cs="黑体"/>
                <w:sz w:val="20"/>
                <w:szCs w:val="20"/>
              </w:rPr>
              <w:tab/>
            </w:r>
            <w:r>
              <w:rPr>
                <w:rFonts w:hint="eastAsia" w:ascii="黑体" w:hAnsi="黑体" w:eastAsia="黑体" w:cs="黑体"/>
                <w:sz w:val="20"/>
                <w:szCs w:val="20"/>
                <w:lang w:val="en-US" w:eastAsia="zh-CN"/>
              </w:rPr>
              <w:t xml:space="preserve">14.5 </w:t>
            </w:r>
          </w:p>
          <w:p>
            <w:pPr>
              <w:widowControl w:val="0"/>
              <w:rPr>
                <w:rFonts w:hint="eastAsia" w:ascii="黑体" w:hAnsi="黑体" w:eastAsia="黑体" w:cs="黑体"/>
                <w:sz w:val="20"/>
                <w:szCs w:val="20"/>
              </w:rPr>
            </w:pPr>
            <w:r>
              <w:rPr>
                <w:rFonts w:hint="eastAsia" w:ascii="黑体" w:hAnsi="黑体" w:eastAsia="黑体" w:cs="黑体"/>
                <w:sz w:val="20"/>
                <w:szCs w:val="20"/>
                <w:lang w:val="en-US" w:eastAsia="zh-CN"/>
              </w:rPr>
              <w:t xml:space="preserve">电压调节范围（V）15~40 </w:t>
            </w:r>
          </w:p>
          <w:p>
            <w:pPr>
              <w:widowControl w:val="0"/>
              <w:rPr>
                <w:rFonts w:hint="eastAsia" w:ascii="黑体" w:hAnsi="黑体" w:eastAsia="黑体" w:cs="黑体"/>
                <w:sz w:val="20"/>
                <w:szCs w:val="20"/>
              </w:rPr>
            </w:pPr>
            <w:r>
              <w:rPr>
                <w:rFonts w:hint="eastAsia" w:ascii="黑体" w:hAnsi="黑体" w:eastAsia="黑体" w:cs="黑体"/>
                <w:sz w:val="20"/>
                <w:szCs w:val="20"/>
                <w:lang w:val="en-US" w:eastAsia="zh-CN"/>
              </w:rPr>
              <w:t xml:space="preserve">空载电压 （V）66±5% </w:t>
            </w:r>
          </w:p>
          <w:p>
            <w:pPr>
              <w:widowControl w:val="0"/>
              <w:rPr>
                <w:rFonts w:hint="eastAsia" w:ascii="黑体" w:hAnsi="黑体" w:eastAsia="黑体" w:cs="黑体"/>
                <w:sz w:val="20"/>
                <w:szCs w:val="20"/>
              </w:rPr>
            </w:pPr>
            <w:r>
              <w:rPr>
                <w:rFonts w:hint="eastAsia" w:ascii="黑体" w:hAnsi="黑体" w:eastAsia="黑体" w:cs="黑体"/>
                <w:sz w:val="20"/>
                <w:szCs w:val="20"/>
                <w:lang w:val="en-US" w:eastAsia="zh-CN"/>
              </w:rPr>
              <w:t xml:space="preserve">输出电流调节范围（A）20~350 </w:t>
            </w:r>
          </w:p>
          <w:p>
            <w:pPr>
              <w:widowControl w:val="0"/>
              <w:rPr>
                <w:rFonts w:hint="eastAsia" w:ascii="黑体" w:hAnsi="黑体" w:eastAsia="黑体" w:cs="黑体"/>
                <w:sz w:val="20"/>
                <w:szCs w:val="20"/>
              </w:rPr>
            </w:pPr>
            <w:r>
              <w:rPr>
                <w:rFonts w:hint="eastAsia" w:ascii="黑体" w:hAnsi="黑体" w:eastAsia="黑体" w:cs="黑体"/>
                <w:sz w:val="20"/>
                <w:szCs w:val="20"/>
                <w:lang w:val="en-US" w:eastAsia="zh-CN"/>
              </w:rPr>
              <w:t xml:space="preserve">送丝速度范围（m/min）2~25 </w:t>
            </w:r>
          </w:p>
          <w:p>
            <w:pPr>
              <w:widowControl w:val="0"/>
              <w:rPr>
                <w:rFonts w:hint="eastAsia" w:ascii="黑体" w:hAnsi="黑体" w:eastAsia="黑体" w:cs="黑体"/>
                <w:sz w:val="20"/>
                <w:szCs w:val="20"/>
              </w:rPr>
            </w:pPr>
            <w:r>
              <w:rPr>
                <w:rFonts w:hint="eastAsia" w:ascii="黑体" w:hAnsi="黑体" w:eastAsia="黑体" w:cs="黑体"/>
                <w:sz w:val="20"/>
                <w:szCs w:val="20"/>
                <w:lang w:val="en-US" w:eastAsia="zh-CN"/>
              </w:rPr>
              <w:t xml:space="preserve">适用焊丝直径Ф0.8/Ф1.0/Ф1.2(碳钢) </w:t>
            </w:r>
          </w:p>
          <w:p>
            <w:pPr>
              <w:widowControl w:val="0"/>
              <w:rPr>
                <w:rFonts w:hint="eastAsia" w:ascii="黑体" w:hAnsi="黑体" w:eastAsia="黑体" w:cs="黑体"/>
                <w:sz w:val="20"/>
                <w:szCs w:val="20"/>
              </w:rPr>
            </w:pPr>
            <w:r>
              <w:rPr>
                <w:rFonts w:hint="eastAsia" w:ascii="黑体" w:hAnsi="黑体" w:eastAsia="黑体" w:cs="黑体"/>
                <w:sz w:val="20"/>
                <w:szCs w:val="20"/>
                <w:lang w:val="en-US" w:eastAsia="zh-CN"/>
              </w:rPr>
              <w:t xml:space="preserve">适用焊丝规格 </w:t>
            </w:r>
            <w:r>
              <w:rPr>
                <w:rFonts w:hint="eastAsia" w:ascii="黑体" w:hAnsi="黑体" w:eastAsia="黑体" w:cs="黑体"/>
                <w:sz w:val="20"/>
                <w:szCs w:val="20"/>
              </w:rPr>
              <w:tab/>
            </w:r>
            <w:r>
              <w:rPr>
                <w:rFonts w:hint="eastAsia" w:ascii="黑体" w:hAnsi="黑体" w:eastAsia="黑体" w:cs="黑体"/>
                <w:sz w:val="20"/>
                <w:szCs w:val="20"/>
                <w:lang w:val="en-US" w:eastAsia="zh-CN"/>
              </w:rPr>
              <w:t xml:space="preserve">实芯/药芯 </w:t>
            </w:r>
          </w:p>
          <w:p>
            <w:pPr>
              <w:widowControl w:val="0"/>
              <w:rPr>
                <w:rFonts w:hint="eastAsia" w:ascii="黑体" w:hAnsi="黑体" w:eastAsia="黑体" w:cs="黑体"/>
                <w:sz w:val="20"/>
                <w:szCs w:val="20"/>
              </w:rPr>
            </w:pPr>
            <w:r>
              <w:rPr>
                <w:rFonts w:hint="eastAsia" w:ascii="黑体" w:hAnsi="黑体" w:eastAsia="黑体" w:cs="黑体"/>
                <w:sz w:val="20"/>
                <w:szCs w:val="20"/>
                <w:lang w:val="en-US" w:eastAsia="zh-CN"/>
              </w:rPr>
              <w:t xml:space="preserve">额定负载持续率（40℃） 60％ </w:t>
            </w:r>
          </w:p>
          <w:p>
            <w:pPr>
              <w:widowControl w:val="0"/>
              <w:rPr>
                <w:rFonts w:hint="eastAsia" w:ascii="黑体" w:hAnsi="黑体" w:eastAsia="黑体" w:cs="黑体"/>
                <w:sz w:val="20"/>
                <w:szCs w:val="20"/>
              </w:rPr>
            </w:pPr>
            <w:r>
              <w:rPr>
                <w:rFonts w:hint="eastAsia" w:ascii="黑体" w:hAnsi="黑体" w:eastAsia="黑体" w:cs="黑体"/>
                <w:sz w:val="20"/>
                <w:szCs w:val="20"/>
                <w:lang w:val="en-US" w:eastAsia="zh-CN"/>
              </w:rPr>
              <w:t xml:space="preserve">效率 85％ </w:t>
            </w:r>
          </w:p>
          <w:p>
            <w:pPr>
              <w:widowControl w:val="0"/>
              <w:rPr>
                <w:rFonts w:hint="eastAsia" w:ascii="黑体" w:hAnsi="黑体" w:eastAsia="黑体" w:cs="黑体"/>
                <w:sz w:val="20"/>
                <w:szCs w:val="20"/>
              </w:rPr>
            </w:pPr>
            <w:r>
              <w:rPr>
                <w:rFonts w:hint="eastAsia" w:ascii="黑体" w:hAnsi="黑体" w:eastAsia="黑体" w:cs="黑体"/>
                <w:sz w:val="20"/>
                <w:szCs w:val="20"/>
                <w:lang w:val="en-US" w:eastAsia="zh-CN"/>
              </w:rPr>
              <w:t xml:space="preserve">功率因数 0.93 </w:t>
            </w:r>
          </w:p>
          <w:p>
            <w:pPr>
              <w:widowControl w:val="0"/>
              <w:rPr>
                <w:rFonts w:hint="eastAsia" w:ascii="黑体" w:hAnsi="黑体" w:eastAsia="黑体" w:cs="黑体"/>
                <w:sz w:val="20"/>
                <w:szCs w:val="20"/>
              </w:rPr>
            </w:pPr>
            <w:r>
              <w:rPr>
                <w:rFonts w:hint="eastAsia" w:ascii="黑体" w:hAnsi="黑体" w:eastAsia="黑体" w:cs="黑体"/>
                <w:sz w:val="20"/>
                <w:szCs w:val="20"/>
                <w:lang w:val="en-US" w:eastAsia="zh-CN"/>
              </w:rPr>
              <w:t xml:space="preserve">绝缘等级 F </w:t>
            </w:r>
          </w:p>
          <w:p>
            <w:pPr>
              <w:widowControl w:val="0"/>
              <w:rPr>
                <w:rFonts w:hint="eastAsia" w:ascii="黑体" w:hAnsi="黑体" w:eastAsia="黑体" w:cs="黑体"/>
                <w:sz w:val="20"/>
                <w:szCs w:val="20"/>
              </w:rPr>
            </w:pPr>
            <w:r>
              <w:rPr>
                <w:rFonts w:hint="eastAsia" w:ascii="黑体" w:hAnsi="黑体" w:eastAsia="黑体" w:cs="黑体"/>
                <w:sz w:val="20"/>
                <w:szCs w:val="20"/>
                <w:lang w:val="en-US" w:eastAsia="zh-CN"/>
              </w:rPr>
              <w:t xml:space="preserve">外壳防护等级 IP23 </w:t>
            </w:r>
          </w:p>
          <w:p>
            <w:pPr>
              <w:widowControl w:val="0"/>
              <w:rPr>
                <w:rFonts w:hint="eastAsia" w:ascii="黑体" w:hAnsi="黑体" w:eastAsia="黑体" w:cs="黑体"/>
                <w:sz w:val="20"/>
                <w:szCs w:val="20"/>
              </w:rPr>
            </w:pPr>
            <w:r>
              <w:rPr>
                <w:rFonts w:hint="eastAsia" w:ascii="黑体" w:hAnsi="黑体" w:eastAsia="黑体" w:cs="黑体"/>
                <w:sz w:val="20"/>
                <w:szCs w:val="20"/>
                <w:lang w:val="en-US" w:eastAsia="zh-CN"/>
              </w:rPr>
              <w:t xml:space="preserve">冷却方式 风冷 </w:t>
            </w:r>
          </w:p>
          <w:p>
            <w:pPr>
              <w:widowControl w:val="0"/>
              <w:rPr>
                <w:rFonts w:hint="eastAsia" w:ascii="黑体" w:hAnsi="黑体" w:eastAsia="黑体" w:cs="黑体"/>
                <w:sz w:val="20"/>
                <w:szCs w:val="20"/>
              </w:rPr>
            </w:pPr>
            <w:r>
              <w:rPr>
                <w:rFonts w:hint="eastAsia" w:ascii="黑体" w:hAnsi="黑体" w:eastAsia="黑体" w:cs="黑体"/>
                <w:sz w:val="20"/>
                <w:szCs w:val="20"/>
                <w:lang w:val="en-US" w:eastAsia="zh-CN"/>
              </w:rPr>
              <w:t xml:space="preserve">电源外形尺寸（mm）560×300×530 </w:t>
            </w:r>
          </w:p>
          <w:p>
            <w:pPr>
              <w:widowControl w:val="0"/>
              <w:rPr>
                <w:rFonts w:hint="eastAsia" w:ascii="黑体" w:hAnsi="黑体" w:eastAsia="黑体" w:cs="黑体"/>
                <w:sz w:val="20"/>
                <w:szCs w:val="20"/>
              </w:rPr>
            </w:pPr>
            <w:r>
              <w:rPr>
                <w:rFonts w:hint="eastAsia" w:ascii="黑体" w:hAnsi="黑体" w:eastAsia="黑体" w:cs="黑体"/>
                <w:sz w:val="20"/>
                <w:szCs w:val="20"/>
                <w:lang w:val="en-US" w:eastAsia="zh-CN"/>
              </w:rPr>
              <w:t xml:space="preserve">电源重量（Kg） 40 </w:t>
            </w:r>
          </w:p>
          <w:p>
            <w:pPr>
              <w:widowControl/>
              <w:textAlignment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 xml:space="preserve">送丝机重量（Kg） 9 </w:t>
            </w:r>
          </w:p>
          <w:p>
            <w:pPr>
              <w:widowControl w:val="0"/>
              <w:rPr>
                <w:rFonts w:hint="eastAsia" w:ascii="黑体" w:hAnsi="黑体" w:eastAsia="黑体" w:cs="黑体"/>
                <w:sz w:val="20"/>
                <w:szCs w:val="20"/>
              </w:rPr>
            </w:pPr>
            <w:r>
              <w:rPr>
                <w:rFonts w:hint="eastAsia" w:ascii="黑体" w:hAnsi="黑体" w:eastAsia="黑体" w:cs="黑体"/>
                <w:sz w:val="20"/>
                <w:szCs w:val="20"/>
              </w:rPr>
              <w:t>视频操作培训软件一套主要功能有：（视频教程内容主要由气焊与气割工艺、焊条电弧焊、二氧化碳气体保护焊、手工钨极氩弧焊、等离子弧</w:t>
            </w:r>
            <w:r>
              <w:rPr>
                <w:rFonts w:hint="eastAsia" w:ascii="黑体" w:hAnsi="黑体" w:eastAsia="黑体" w:cs="黑体"/>
                <w:sz w:val="20"/>
                <w:szCs w:val="20"/>
                <w:lang w:eastAsia="zh-CN"/>
              </w:rPr>
              <w:t>、</w:t>
            </w:r>
            <w:r>
              <w:rPr>
                <w:rFonts w:hint="eastAsia" w:ascii="黑体" w:hAnsi="黑体" w:eastAsia="黑体" w:cs="黑体"/>
                <w:sz w:val="20"/>
                <w:szCs w:val="20"/>
              </w:rPr>
              <w:t>常用有色金属的焊接及压力容器（管道）</w:t>
            </w:r>
            <w:r>
              <w:rPr>
                <w:rFonts w:hint="eastAsia" w:ascii="黑体" w:hAnsi="黑体" w:eastAsia="黑体" w:cs="黑体"/>
                <w:sz w:val="20"/>
                <w:szCs w:val="20"/>
                <w:lang w:eastAsia="zh-CN"/>
              </w:rPr>
              <w:t>、</w:t>
            </w:r>
            <w:r>
              <w:rPr>
                <w:rFonts w:hint="eastAsia" w:ascii="黑体" w:hAnsi="黑体" w:eastAsia="黑体" w:cs="黑体"/>
                <w:sz w:val="20"/>
                <w:szCs w:val="20"/>
              </w:rPr>
              <w:t>常用的氩电联焊等高级焊工应具备的操作技能。为了培养学生综合分析和解决问题的能力，</w:t>
            </w:r>
            <w:r>
              <w:rPr>
                <w:rFonts w:hint="eastAsia" w:ascii="黑体" w:hAnsi="黑体" w:eastAsia="黑体" w:cs="黑体"/>
                <w:sz w:val="20"/>
                <w:szCs w:val="20"/>
                <w:lang w:eastAsia="zh-CN"/>
              </w:rPr>
              <w:t>课程中需包含</w:t>
            </w:r>
            <w:r>
              <w:rPr>
                <w:rFonts w:hint="eastAsia" w:ascii="黑体" w:hAnsi="黑体" w:eastAsia="黑体" w:cs="黑体"/>
                <w:sz w:val="20"/>
                <w:szCs w:val="20"/>
              </w:rPr>
              <w:t>典型结构的焊接工艺。将焊接的理论知识和操作技能融合到实际应用中，从基础知识到典型工件焊接，由浅入深，循序渐进的为中级、高级焊工提供了焊接技能强化训练教程。 对气焊与气割、手工焊条电弧焊、手工钨极氩弧焊、CO</w:t>
            </w:r>
            <w:r>
              <w:rPr>
                <w:rFonts w:hint="eastAsia" w:ascii="黑体" w:hAnsi="黑体" w:eastAsia="黑体" w:cs="黑体"/>
                <w:sz w:val="20"/>
                <w:szCs w:val="20"/>
                <w:vertAlign w:val="subscript"/>
              </w:rPr>
              <w:t>2</w:t>
            </w:r>
            <w:r>
              <w:rPr>
                <w:rFonts w:hint="eastAsia" w:ascii="黑体" w:hAnsi="黑体" w:eastAsia="黑体" w:cs="黑体"/>
                <w:sz w:val="20"/>
                <w:szCs w:val="20"/>
              </w:rPr>
              <w:t>气体保护焊的全位置焊接提供视频教程。重点对焊接基础知识包含焊接标注包含了焊接接头与坡口形式、焊缝的形状及标注等。视频讲解手工焊条电弧焊包含了电弧焊的原理及特点、焊接电弧、电焊条、手工焊条电弧焊常用设备及工具、劳保用品的选择，焊接工艺参数选择、手弧焊的基本操作、常见电弧焊接缺陷及防治措施、焊接实例等。视频讲解气焊与气割包含了气焊与气割简介、气焊、气焊实例、气割、气割实例。视频讲解手工钨极氩弧焊包含了钨极氩弧焊的过程、手工钨极氩弧焊常用设备及工具、钨极氩弧焊的基本操作、焊接实例有铝合金，纯铜，不锈钢的焊接。视频讲解CO2气体保护焊包含焊接原理简介，对平焊、立焊、横焊、仰焊以及管对焊实例进行讲解。</w:t>
            </w:r>
          </w:p>
          <w:p>
            <w:pPr>
              <w:widowControl w:val="0"/>
              <w:rPr>
                <w:rFonts w:hint="eastAsia" w:ascii="黑体" w:hAnsi="黑体" w:eastAsia="黑体" w:cs="黑体"/>
                <w:color w:val="000000"/>
                <w:kern w:val="0"/>
                <w:sz w:val="20"/>
                <w:szCs w:val="20"/>
                <w:lang w:val="en-US" w:eastAsia="zh-CN" w:bidi="ar"/>
              </w:rPr>
            </w:pPr>
            <w:r>
              <w:rPr>
                <w:rFonts w:hint="eastAsia" w:ascii="黑体" w:hAnsi="黑体" w:eastAsia="黑体" w:cs="黑体"/>
                <w:sz w:val="20"/>
                <w:szCs w:val="20"/>
              </w:rPr>
              <w:t>每一视频单元讲解完，配有课后测试，包含PPT教程。）</w:t>
            </w:r>
          </w:p>
        </w:tc>
        <w:tc>
          <w:tcPr>
            <w:tcW w:w="301"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sz w:val="20"/>
                <w:szCs w:val="20"/>
                <w:lang w:val="en-US" w:eastAsia="zh-CN"/>
              </w:rPr>
              <w:t>6</w:t>
            </w:r>
          </w:p>
        </w:tc>
        <w:tc>
          <w:tcPr>
            <w:tcW w:w="272"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台</w:t>
            </w:r>
          </w:p>
        </w:tc>
        <w:tc>
          <w:tcPr>
            <w:tcW w:w="240"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67</w:t>
            </w:r>
          </w:p>
        </w:tc>
        <w:tc>
          <w:tcPr>
            <w:tcW w:w="445"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sz w:val="20"/>
                <w:szCs w:val="20"/>
                <w:lang w:eastAsia="zh-CN"/>
              </w:rPr>
              <w:t>焊接工位及排烟设施建设</w:t>
            </w:r>
          </w:p>
        </w:tc>
        <w:tc>
          <w:tcPr>
            <w:tcW w:w="497" w:type="pct"/>
            <w:tcBorders>
              <w:tl2br w:val="nil"/>
              <w:tr2bl w:val="nil"/>
            </w:tcBorders>
            <w:vAlign w:val="center"/>
          </w:tcPr>
          <w:p>
            <w:pPr>
              <w:widowControl/>
              <w:jc w:val="center"/>
              <w:textAlignment w:val="center"/>
              <w:rPr>
                <w:rFonts w:hint="default"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工业</w:t>
            </w:r>
          </w:p>
        </w:tc>
        <w:tc>
          <w:tcPr>
            <w:tcW w:w="3001" w:type="pct"/>
            <w:tcBorders>
              <w:tl2br w:val="nil"/>
              <w:tr2bl w:val="nil"/>
            </w:tcBorders>
            <w:vAlign w:val="center"/>
          </w:tcPr>
          <w:p>
            <w:pPr>
              <w:widowControl/>
              <w:textAlignment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5</w:t>
            </w:r>
            <w:r>
              <w:rPr>
                <w:rFonts w:hint="eastAsia" w:ascii="黑体" w:hAnsi="黑体" w:eastAsia="黑体" w:cs="黑体"/>
                <w:sz w:val="20"/>
                <w:szCs w:val="20"/>
              </w:rPr>
              <w:t>个工位，每个工位包含焊机摆放架，焊接工位架，气瓶固定装置，工位配电箱，吸弧帘，每个工位安装一个监控探头安装位置共</w:t>
            </w:r>
            <w:r>
              <w:rPr>
                <w:rFonts w:hint="eastAsia" w:ascii="黑体" w:hAnsi="黑体" w:eastAsia="黑体" w:cs="黑体"/>
                <w:sz w:val="20"/>
                <w:szCs w:val="20"/>
                <w:lang w:val="en-US" w:eastAsia="zh-CN"/>
              </w:rPr>
              <w:t>5</w:t>
            </w:r>
            <w:r>
              <w:rPr>
                <w:rFonts w:hint="eastAsia" w:ascii="黑体" w:hAnsi="黑体" w:eastAsia="黑体" w:cs="黑体"/>
                <w:sz w:val="20"/>
                <w:szCs w:val="20"/>
              </w:rPr>
              <w:t>个</w:t>
            </w:r>
            <w:r>
              <w:rPr>
                <w:rFonts w:hint="eastAsia" w:ascii="黑体" w:hAnsi="黑体" w:eastAsia="黑体" w:cs="黑体"/>
                <w:sz w:val="20"/>
                <w:szCs w:val="20"/>
                <w:lang w:eastAsia="zh-CN"/>
              </w:rPr>
              <w:t>，</w:t>
            </w:r>
            <w:r>
              <w:rPr>
                <w:rFonts w:hint="eastAsia" w:ascii="黑体" w:hAnsi="黑体" w:eastAsia="黑体" w:cs="黑体"/>
                <w:sz w:val="20"/>
                <w:szCs w:val="20"/>
                <w:lang w:val="en-US" w:eastAsia="zh-CN"/>
              </w:rPr>
              <w:t>一个工具箱</w:t>
            </w:r>
            <w:r>
              <w:rPr>
                <w:rFonts w:hint="eastAsia" w:ascii="黑体" w:hAnsi="黑体" w:eastAsia="黑体" w:cs="黑体"/>
                <w:sz w:val="20"/>
                <w:szCs w:val="20"/>
              </w:rPr>
              <w:t>具体技术参数如</w:t>
            </w:r>
            <w:r>
              <w:rPr>
                <w:rFonts w:hint="eastAsia" w:ascii="黑体" w:hAnsi="黑体" w:eastAsia="黑体" w:cs="黑体"/>
                <w:sz w:val="20"/>
                <w:szCs w:val="20"/>
                <w:lang w:val="en-US" w:eastAsia="zh-CN"/>
              </w:rPr>
              <w:t xml:space="preserve">下：具体技术参数如下：风量：≧6000m³/H    </w:t>
            </w:r>
          </w:p>
          <w:p>
            <w:pPr>
              <w:widowControl/>
              <w:textAlignment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1.离心风机功率：≥7.5w 1台</w:t>
            </w:r>
          </w:p>
          <w:p>
            <w:pPr>
              <w:widowControl/>
              <w:textAlignment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2.噪音：≤68分贝</w:t>
            </w:r>
          </w:p>
          <w:p>
            <w:pPr>
              <w:widowControl/>
              <w:textAlignment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允许通过硬质颗粒物浓度：150mg/m³；</w:t>
            </w:r>
          </w:p>
          <w:p>
            <w:pPr>
              <w:widowControl/>
              <w:textAlignment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允许通过酸性气体PH值：≥4；</w:t>
            </w:r>
          </w:p>
          <w:p>
            <w:pPr>
              <w:widowControl/>
              <w:textAlignment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允许通过气体温度：≥300℃；</w:t>
            </w:r>
          </w:p>
          <w:p>
            <w:pPr>
              <w:widowControl/>
              <w:textAlignment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平均噪声阀值：≤68dB；</w:t>
            </w:r>
          </w:p>
          <w:p>
            <w:pPr>
              <w:widowControl/>
              <w:textAlignment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主电机采用变频器调节；</w:t>
            </w:r>
          </w:p>
          <w:p>
            <w:pPr>
              <w:widowControl/>
              <w:textAlignment w:val="center"/>
              <w:rPr>
                <w:rFonts w:hint="eastAsia" w:ascii="黑体" w:hAnsi="黑体" w:eastAsia="黑体" w:cs="黑体"/>
                <w:sz w:val="20"/>
                <w:szCs w:val="20"/>
              </w:rPr>
            </w:pPr>
            <w:r>
              <w:rPr>
                <w:rFonts w:hint="eastAsia" w:ascii="黑体" w:hAnsi="黑体" w:eastAsia="黑体" w:cs="黑体"/>
                <w:sz w:val="20"/>
                <w:szCs w:val="20"/>
              </w:rPr>
              <w:t>万向臂自带悬挂系统，口径：≥Φ160（内径）可360°自由旋转，覆盖工位内任意位置；</w:t>
            </w:r>
          </w:p>
          <w:p>
            <w:pPr>
              <w:widowControl/>
              <w:textAlignment w:val="center"/>
              <w:rPr>
                <w:rFonts w:hint="eastAsia" w:ascii="黑体" w:hAnsi="黑体" w:eastAsia="黑体" w:cs="黑体"/>
                <w:sz w:val="20"/>
                <w:szCs w:val="20"/>
              </w:rPr>
            </w:pPr>
            <w:r>
              <w:rPr>
                <w:rFonts w:hint="eastAsia" w:ascii="黑体" w:hAnsi="黑体" w:eastAsia="黑体" w:cs="黑体"/>
                <w:sz w:val="20"/>
                <w:szCs w:val="20"/>
              </w:rPr>
              <w:t xml:space="preserve">工作半径（悬臂长度）：≥2米  </w:t>
            </w:r>
          </w:p>
          <w:p>
            <w:pPr>
              <w:widowControl/>
              <w:textAlignment w:val="center"/>
              <w:rPr>
                <w:rFonts w:hint="eastAsia" w:ascii="黑体" w:hAnsi="黑体" w:eastAsia="黑体" w:cs="黑体"/>
                <w:sz w:val="20"/>
                <w:szCs w:val="20"/>
              </w:rPr>
            </w:pPr>
            <w:r>
              <w:rPr>
                <w:rFonts w:hint="eastAsia" w:ascii="黑体" w:hAnsi="黑体" w:eastAsia="黑体" w:cs="黑体"/>
                <w:sz w:val="20"/>
                <w:szCs w:val="20"/>
              </w:rPr>
              <w:t>悬停方式：内支架万向机械手臂</w:t>
            </w:r>
          </w:p>
          <w:p>
            <w:pPr>
              <w:widowControl/>
              <w:textAlignment w:val="center"/>
              <w:rPr>
                <w:rFonts w:hint="eastAsia" w:ascii="黑体" w:hAnsi="黑体" w:eastAsia="黑体" w:cs="黑体"/>
                <w:sz w:val="20"/>
                <w:szCs w:val="20"/>
              </w:rPr>
            </w:pPr>
            <w:r>
              <w:rPr>
                <w:rFonts w:hint="eastAsia" w:ascii="黑体" w:hAnsi="黑体" w:eastAsia="黑体" w:cs="黑体"/>
                <w:sz w:val="20"/>
                <w:szCs w:val="20"/>
              </w:rPr>
              <w:t>表面瞬时可承受高温：≥300°C</w:t>
            </w:r>
          </w:p>
          <w:p>
            <w:pPr>
              <w:widowControl/>
              <w:textAlignment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吸气罩口形状：喇叭形，整体冲压成型，无焊点；</w:t>
            </w:r>
          </w:p>
          <w:p>
            <w:pPr>
              <w:widowControl/>
              <w:textAlignment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表面处理工艺：镀膜；</w:t>
            </w:r>
          </w:p>
          <w:p>
            <w:pPr>
              <w:widowControl/>
              <w:textAlignment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自带安装底座、法兰以及安装支架；</w:t>
            </w:r>
          </w:p>
          <w:p>
            <w:pPr>
              <w:widowControl/>
              <w:textAlignment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材料：方钢立柱100*100mm，厚度大于3mm</w:t>
            </w:r>
          </w:p>
          <w:p>
            <w:pPr>
              <w:widowControl/>
              <w:textAlignment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底部钢板规格：≥200*200mm</w:t>
            </w:r>
          </w:p>
          <w:p>
            <w:pPr>
              <w:widowControl/>
              <w:textAlignment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底部钢板厚度：≥8mm</w:t>
            </w:r>
          </w:p>
          <w:p>
            <w:pPr>
              <w:widowControl/>
              <w:textAlignment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操作工位隔间规格：长宽高=3000*2500*1900mm；操作隔间材料：防火岩棉板，板材厚度：50mm。底部采用槽铝膨胀螺栓固定，槽铝角铝包边，门边和90度拐角50mm×50mm方钢固定。每个操作间进门采用吸弧帘</w:t>
            </w:r>
          </w:p>
          <w:p>
            <w:pPr>
              <w:widowControl/>
              <w:textAlignment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照明灯具采用LED；</w:t>
            </w:r>
          </w:p>
          <w:p>
            <w:pPr>
              <w:widowControl/>
              <w:textAlignment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输入电压AC220V</w:t>
            </w:r>
          </w:p>
          <w:p>
            <w:pPr>
              <w:widowControl/>
              <w:textAlignment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功率≥50W；</w:t>
            </w:r>
          </w:p>
          <w:p>
            <w:pPr>
              <w:widowControl/>
              <w:textAlignment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地面亮度≥300勒克斯；</w:t>
            </w:r>
          </w:p>
          <w:p>
            <w:pPr>
              <w:widowControl/>
              <w:textAlignment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和焊机分开控制</w:t>
            </w:r>
          </w:p>
          <w:p>
            <w:pPr>
              <w:widowControl/>
              <w:textAlignment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电焊机及相关附件不得落地，明快整洁易于打扫。气瓶必须有固定装置，稳固美观。国标电缆桥架布线，规范合理安全。</w:t>
            </w:r>
          </w:p>
          <w:p>
            <w:pPr>
              <w:widowControl/>
              <w:textAlignment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工位配电箱</w:t>
            </w:r>
          </w:p>
          <w:p>
            <w:pPr>
              <w:widowControl/>
              <w:textAlignment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60A带漏保空开1个；3P开关2个</w:t>
            </w:r>
          </w:p>
          <w:p>
            <w:pPr>
              <w:widowControl/>
              <w:textAlignment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220V三孔插座1个；</w:t>
            </w:r>
          </w:p>
          <w:p>
            <w:pPr>
              <w:widowControl/>
              <w:textAlignment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220V两空插座1个；</w:t>
            </w:r>
          </w:p>
          <w:p>
            <w:pPr>
              <w:widowControl/>
              <w:textAlignment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进线电缆：五芯铜电缆</w:t>
            </w:r>
          </w:p>
          <w:p>
            <w:pPr>
              <w:widowControl/>
              <w:textAlignment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进线电缆规格：≥国标6mm²</w:t>
            </w:r>
          </w:p>
          <w:p>
            <w:pPr>
              <w:widowControl/>
              <w:textAlignment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进线电缆单工位独立控制；</w:t>
            </w:r>
          </w:p>
          <w:p>
            <w:pPr>
              <w:widowControl/>
              <w:textAlignment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单工位控制柜规格：按实际工况使用要求；含接地线</w:t>
            </w:r>
          </w:p>
          <w:p>
            <w:pPr>
              <w:widowControl/>
              <w:textAlignment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元器件性能良好</w:t>
            </w:r>
            <w:r>
              <w:rPr>
                <w:rFonts w:hint="eastAsia" w:ascii="黑体" w:hAnsi="黑体" w:eastAsia="黑体" w:cs="黑体"/>
                <w:sz w:val="20"/>
                <w:szCs w:val="20"/>
                <w:highlight w:val="none"/>
                <w:lang w:val="en-US" w:eastAsia="zh-CN"/>
              </w:rPr>
              <w:t xml:space="preserve"> </w:t>
            </w:r>
          </w:p>
          <w:p>
            <w:pPr>
              <w:widowControl/>
              <w:textAlignment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风机房放置在厂房墙外，除尘管路采用镀锌螺旋风管，材料实用、耐腐蚀、耐酸碱度，管路安装美观易维护，管径φ160～φ450mm，厚度1.0mm。</w:t>
            </w:r>
          </w:p>
          <w:p>
            <w:pPr>
              <w:widowControl/>
              <w:textAlignment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视频监控含5个网络摄像机，直流电源，交换机设备箱，硬盘录像机，硬盘，交换机，显示器65寸，机柜，以及辅助材料。</w:t>
            </w:r>
          </w:p>
          <w:p>
            <w:pPr>
              <w:widowControl w:val="0"/>
              <w:autoSpaceDE w:val="0"/>
              <w:autoSpaceDN w:val="0"/>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1.焊接</w:t>
            </w:r>
            <w:r>
              <w:rPr>
                <w:rFonts w:hint="eastAsia" w:ascii="黑体" w:hAnsi="黑体" w:eastAsia="黑体" w:cs="黑体"/>
                <w:sz w:val="20"/>
                <w:szCs w:val="20"/>
              </w:rPr>
              <w:t>课程资源</w:t>
            </w:r>
            <w:r>
              <w:rPr>
                <w:rFonts w:hint="eastAsia" w:ascii="黑体" w:hAnsi="黑体" w:eastAsia="黑体" w:cs="黑体"/>
                <w:sz w:val="20"/>
                <w:szCs w:val="20"/>
                <w:lang w:val="en-US" w:eastAsia="zh-CN"/>
              </w:rPr>
              <w:t>及文化建设</w:t>
            </w:r>
          </w:p>
          <w:p>
            <w:pPr>
              <w:pStyle w:val="46"/>
              <w:widowControl w:val="0"/>
              <w:ind w:left="0" w:leftChars="0" w:firstLine="0" w:firstLineChars="0"/>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《焊接工艺与实训》课程包，课程包含盖8个教学项目，100个学习任务，课程包由PPT课件（40个）、试题库和素材包组成，提供现场演示。</w:t>
            </w:r>
          </w:p>
          <w:p>
            <w:pPr>
              <w:widowControl w:val="0"/>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1.</w:t>
            </w:r>
            <w:r>
              <w:rPr>
                <w:rFonts w:hint="eastAsia" w:ascii="黑体" w:hAnsi="黑体" w:eastAsia="黑体" w:cs="黑体"/>
                <w:sz w:val="20"/>
                <w:szCs w:val="20"/>
                <w:lang w:eastAsia="zh-CN"/>
              </w:rPr>
              <w:t>《</w:t>
            </w:r>
            <w:r>
              <w:rPr>
                <w:rFonts w:hint="eastAsia" w:ascii="黑体" w:hAnsi="黑体" w:eastAsia="黑体" w:cs="黑体"/>
                <w:sz w:val="20"/>
                <w:szCs w:val="20"/>
              </w:rPr>
              <w:t>焊接工艺与实训</w:t>
            </w:r>
            <w:r>
              <w:rPr>
                <w:rFonts w:hint="eastAsia" w:ascii="黑体" w:hAnsi="黑体" w:eastAsia="黑体" w:cs="黑体"/>
                <w:sz w:val="20"/>
                <w:szCs w:val="20"/>
                <w:lang w:eastAsia="zh-CN"/>
              </w:rPr>
              <w:t>》</w:t>
            </w:r>
            <w:r>
              <w:rPr>
                <w:rFonts w:hint="eastAsia" w:ascii="黑体" w:hAnsi="黑体" w:eastAsia="黑体" w:cs="黑体"/>
                <w:sz w:val="20"/>
                <w:szCs w:val="20"/>
                <w:lang w:val="en-US" w:eastAsia="zh-CN"/>
              </w:rPr>
              <w:t>教学项目及学习任务</w:t>
            </w:r>
          </w:p>
          <w:p>
            <w:pPr>
              <w:widowControl w:val="0"/>
              <w:rPr>
                <w:rFonts w:hint="eastAsia" w:ascii="黑体" w:hAnsi="黑体" w:eastAsia="黑体" w:cs="黑体"/>
                <w:sz w:val="20"/>
                <w:szCs w:val="20"/>
                <w:lang w:eastAsia="zh-CN"/>
              </w:rPr>
            </w:pPr>
            <w:r>
              <w:rPr>
                <w:rFonts w:hint="eastAsia" w:ascii="黑体" w:hAnsi="黑体" w:eastAsia="黑体" w:cs="黑体"/>
                <w:sz w:val="20"/>
                <w:szCs w:val="20"/>
                <w:lang w:eastAsia="zh-CN"/>
              </w:rPr>
              <w:t>（</w:t>
            </w:r>
            <w:r>
              <w:rPr>
                <w:rFonts w:hint="eastAsia" w:ascii="黑体" w:hAnsi="黑体" w:eastAsia="黑体" w:cs="黑体"/>
                <w:sz w:val="20"/>
                <w:szCs w:val="20"/>
              </w:rPr>
              <w:t>一</w:t>
            </w:r>
            <w:r>
              <w:rPr>
                <w:rFonts w:hint="eastAsia" w:ascii="黑体" w:hAnsi="黑体" w:eastAsia="黑体" w:cs="黑体"/>
                <w:sz w:val="20"/>
                <w:szCs w:val="20"/>
                <w:lang w:eastAsia="zh-CN"/>
              </w:rPr>
              <w:t>）</w:t>
            </w:r>
            <w:r>
              <w:rPr>
                <w:rFonts w:hint="eastAsia" w:ascii="黑体" w:hAnsi="黑体" w:eastAsia="黑体" w:cs="黑体"/>
                <w:sz w:val="20"/>
                <w:szCs w:val="20"/>
              </w:rPr>
              <w:t>、气焊与气割</w:t>
            </w:r>
            <w:r>
              <w:rPr>
                <w:rFonts w:hint="eastAsia" w:ascii="黑体" w:hAnsi="黑体" w:eastAsia="黑体" w:cs="黑体"/>
                <w:sz w:val="20"/>
                <w:szCs w:val="20"/>
                <w:lang w:eastAsia="zh-CN"/>
              </w:rPr>
              <w:t>：</w:t>
            </w:r>
            <w:r>
              <w:rPr>
                <w:rFonts w:hint="eastAsia" w:ascii="黑体" w:hAnsi="黑体" w:eastAsia="黑体" w:cs="黑体"/>
                <w:sz w:val="20"/>
                <w:szCs w:val="20"/>
              </w:rPr>
              <w:t>1.1</w:t>
            </w:r>
            <w:r>
              <w:rPr>
                <w:rFonts w:hint="eastAsia" w:ascii="黑体" w:hAnsi="黑体" w:eastAsia="黑体" w:cs="黑体"/>
                <w:sz w:val="20"/>
                <w:szCs w:val="20"/>
                <w:lang w:eastAsia="zh-CN"/>
              </w:rPr>
              <w:t>、</w:t>
            </w:r>
            <w:r>
              <w:rPr>
                <w:rFonts w:hint="eastAsia" w:ascii="黑体" w:hAnsi="黑体" w:eastAsia="黑体" w:cs="黑体"/>
                <w:sz w:val="20"/>
                <w:szCs w:val="20"/>
              </w:rPr>
              <w:t>气焊与气割使用的设备及工具</w:t>
            </w:r>
            <w:r>
              <w:rPr>
                <w:rFonts w:hint="eastAsia" w:ascii="黑体" w:hAnsi="黑体" w:eastAsia="黑体" w:cs="黑体"/>
                <w:sz w:val="20"/>
                <w:szCs w:val="20"/>
                <w:lang w:eastAsia="zh-CN"/>
              </w:rPr>
              <w:t>；</w:t>
            </w:r>
            <w:r>
              <w:rPr>
                <w:rFonts w:hint="eastAsia" w:ascii="黑体" w:hAnsi="黑体" w:eastAsia="黑体" w:cs="黑体"/>
                <w:sz w:val="20"/>
                <w:szCs w:val="20"/>
              </w:rPr>
              <w:t>1.2</w:t>
            </w:r>
            <w:r>
              <w:rPr>
                <w:rFonts w:hint="eastAsia" w:ascii="黑体" w:hAnsi="黑体" w:eastAsia="黑体" w:cs="黑体"/>
                <w:sz w:val="20"/>
                <w:szCs w:val="20"/>
                <w:lang w:eastAsia="zh-CN"/>
              </w:rPr>
              <w:t>、</w:t>
            </w:r>
            <w:r>
              <w:rPr>
                <w:rFonts w:hint="eastAsia" w:ascii="黑体" w:hAnsi="黑体" w:eastAsia="黑体" w:cs="黑体"/>
                <w:sz w:val="20"/>
                <w:szCs w:val="20"/>
              </w:rPr>
              <w:t>板对接平焊</w:t>
            </w:r>
            <w:r>
              <w:rPr>
                <w:rFonts w:hint="eastAsia" w:ascii="黑体" w:hAnsi="黑体" w:eastAsia="黑体" w:cs="黑体"/>
                <w:sz w:val="20"/>
                <w:szCs w:val="20"/>
                <w:lang w:eastAsia="zh-CN"/>
              </w:rPr>
              <w:t>；</w:t>
            </w:r>
            <w:r>
              <w:rPr>
                <w:rFonts w:hint="eastAsia" w:ascii="黑体" w:hAnsi="黑体" w:eastAsia="黑体" w:cs="黑体"/>
                <w:sz w:val="20"/>
                <w:szCs w:val="20"/>
              </w:rPr>
              <w:t>1.3</w:t>
            </w:r>
            <w:r>
              <w:rPr>
                <w:rFonts w:hint="eastAsia" w:ascii="黑体" w:hAnsi="黑体" w:eastAsia="黑体" w:cs="黑体"/>
                <w:sz w:val="20"/>
                <w:szCs w:val="20"/>
                <w:lang w:eastAsia="zh-CN"/>
              </w:rPr>
              <w:t>、</w:t>
            </w:r>
            <w:r>
              <w:rPr>
                <w:rFonts w:hint="eastAsia" w:ascii="黑体" w:hAnsi="黑体" w:eastAsia="黑体" w:cs="黑体"/>
                <w:sz w:val="20"/>
                <w:szCs w:val="20"/>
              </w:rPr>
              <w:t>板对接立焊</w:t>
            </w:r>
            <w:r>
              <w:rPr>
                <w:rFonts w:hint="eastAsia" w:ascii="黑体" w:hAnsi="黑体" w:eastAsia="黑体" w:cs="黑体"/>
                <w:sz w:val="20"/>
                <w:szCs w:val="20"/>
                <w:lang w:eastAsia="zh-CN"/>
              </w:rPr>
              <w:t>；</w:t>
            </w:r>
            <w:r>
              <w:rPr>
                <w:rFonts w:hint="eastAsia" w:ascii="黑体" w:hAnsi="黑体" w:eastAsia="黑体" w:cs="黑体"/>
                <w:sz w:val="20"/>
                <w:szCs w:val="20"/>
              </w:rPr>
              <w:t>1.4</w:t>
            </w:r>
            <w:r>
              <w:rPr>
                <w:rFonts w:hint="eastAsia" w:ascii="黑体" w:hAnsi="黑体" w:eastAsia="黑体" w:cs="黑体"/>
                <w:sz w:val="20"/>
                <w:szCs w:val="20"/>
                <w:lang w:eastAsia="zh-CN"/>
              </w:rPr>
              <w:t>、</w:t>
            </w:r>
            <w:r>
              <w:rPr>
                <w:rFonts w:hint="eastAsia" w:ascii="黑体" w:hAnsi="黑体" w:eastAsia="黑体" w:cs="黑体"/>
                <w:sz w:val="20"/>
                <w:szCs w:val="20"/>
              </w:rPr>
              <w:t>板对接横焊</w:t>
            </w:r>
            <w:r>
              <w:rPr>
                <w:rFonts w:hint="eastAsia" w:ascii="黑体" w:hAnsi="黑体" w:eastAsia="黑体" w:cs="黑体"/>
                <w:sz w:val="20"/>
                <w:szCs w:val="20"/>
                <w:lang w:eastAsia="zh-CN"/>
              </w:rPr>
              <w:t>；</w:t>
            </w:r>
            <w:r>
              <w:rPr>
                <w:rFonts w:hint="eastAsia" w:ascii="黑体" w:hAnsi="黑体" w:eastAsia="黑体" w:cs="黑体"/>
                <w:sz w:val="20"/>
                <w:szCs w:val="20"/>
              </w:rPr>
              <w:t>1.5</w:t>
            </w:r>
            <w:r>
              <w:rPr>
                <w:rFonts w:hint="eastAsia" w:ascii="黑体" w:hAnsi="黑体" w:eastAsia="黑体" w:cs="黑体"/>
                <w:sz w:val="20"/>
                <w:szCs w:val="20"/>
                <w:lang w:eastAsia="zh-CN"/>
              </w:rPr>
              <w:t>、</w:t>
            </w:r>
            <w:r>
              <w:rPr>
                <w:rFonts w:hint="eastAsia" w:ascii="黑体" w:hAnsi="黑体" w:eastAsia="黑体" w:cs="黑体"/>
                <w:sz w:val="20"/>
                <w:szCs w:val="20"/>
              </w:rPr>
              <w:t>板对接仰焊</w:t>
            </w:r>
            <w:r>
              <w:rPr>
                <w:rFonts w:hint="eastAsia" w:ascii="黑体" w:hAnsi="黑体" w:eastAsia="黑体" w:cs="黑体"/>
                <w:sz w:val="20"/>
                <w:szCs w:val="20"/>
                <w:lang w:eastAsia="zh-CN"/>
              </w:rPr>
              <w:t>；</w:t>
            </w:r>
            <w:r>
              <w:rPr>
                <w:rFonts w:hint="eastAsia" w:ascii="黑体" w:hAnsi="黑体" w:eastAsia="黑体" w:cs="黑体"/>
                <w:sz w:val="20"/>
                <w:szCs w:val="20"/>
              </w:rPr>
              <w:t>1.6</w:t>
            </w:r>
            <w:r>
              <w:rPr>
                <w:rFonts w:hint="eastAsia" w:ascii="黑体" w:hAnsi="黑体" w:eastAsia="黑体" w:cs="黑体"/>
                <w:sz w:val="20"/>
                <w:szCs w:val="20"/>
                <w:lang w:eastAsia="zh-CN"/>
              </w:rPr>
              <w:t>、</w:t>
            </w:r>
            <w:r>
              <w:rPr>
                <w:rFonts w:hint="eastAsia" w:ascii="黑体" w:hAnsi="黑体" w:eastAsia="黑体" w:cs="黑体"/>
                <w:sz w:val="20"/>
                <w:szCs w:val="20"/>
              </w:rPr>
              <w:t>气焊铸铁</w:t>
            </w:r>
            <w:r>
              <w:rPr>
                <w:rFonts w:hint="eastAsia" w:ascii="黑体" w:hAnsi="黑体" w:eastAsia="黑体" w:cs="黑体"/>
                <w:sz w:val="20"/>
                <w:szCs w:val="20"/>
                <w:lang w:eastAsia="zh-CN"/>
              </w:rPr>
              <w:t>；</w:t>
            </w:r>
            <w:r>
              <w:rPr>
                <w:rFonts w:hint="eastAsia" w:ascii="黑体" w:hAnsi="黑体" w:eastAsia="黑体" w:cs="黑体"/>
                <w:sz w:val="20"/>
                <w:szCs w:val="20"/>
              </w:rPr>
              <w:t>1.7</w:t>
            </w:r>
            <w:r>
              <w:rPr>
                <w:rFonts w:hint="eastAsia" w:ascii="黑体" w:hAnsi="黑体" w:eastAsia="黑体" w:cs="黑体"/>
                <w:sz w:val="20"/>
                <w:szCs w:val="20"/>
                <w:lang w:eastAsia="zh-CN"/>
              </w:rPr>
              <w:t>、</w:t>
            </w:r>
            <w:r>
              <w:rPr>
                <w:rFonts w:hint="eastAsia" w:ascii="黑体" w:hAnsi="黑体" w:eastAsia="黑体" w:cs="黑体"/>
                <w:sz w:val="20"/>
                <w:szCs w:val="20"/>
              </w:rPr>
              <w:t>低合金钢管对接45°固定气焊</w:t>
            </w:r>
            <w:r>
              <w:rPr>
                <w:rFonts w:hint="eastAsia" w:ascii="黑体" w:hAnsi="黑体" w:eastAsia="黑体" w:cs="黑体"/>
                <w:sz w:val="20"/>
                <w:szCs w:val="20"/>
                <w:lang w:eastAsia="zh-CN"/>
              </w:rPr>
              <w:t>；</w:t>
            </w:r>
            <w:r>
              <w:rPr>
                <w:rFonts w:hint="eastAsia" w:ascii="黑体" w:hAnsi="黑体" w:eastAsia="黑体" w:cs="黑体"/>
                <w:sz w:val="20"/>
                <w:szCs w:val="20"/>
              </w:rPr>
              <w:t>1.8</w:t>
            </w:r>
            <w:r>
              <w:rPr>
                <w:rFonts w:hint="eastAsia" w:ascii="黑体" w:hAnsi="黑体" w:eastAsia="黑体" w:cs="黑体"/>
                <w:sz w:val="20"/>
                <w:szCs w:val="20"/>
                <w:lang w:eastAsia="zh-CN"/>
              </w:rPr>
              <w:t>、</w:t>
            </w:r>
            <w:r>
              <w:rPr>
                <w:rFonts w:hint="eastAsia" w:ascii="黑体" w:hAnsi="黑体" w:eastAsia="黑体" w:cs="黑体"/>
                <w:sz w:val="20"/>
                <w:szCs w:val="20"/>
              </w:rPr>
              <w:t>气割基本操作技术</w:t>
            </w:r>
            <w:r>
              <w:rPr>
                <w:rFonts w:hint="eastAsia" w:ascii="黑体" w:hAnsi="黑体" w:eastAsia="黑体" w:cs="黑体"/>
                <w:sz w:val="20"/>
                <w:szCs w:val="20"/>
                <w:lang w:eastAsia="zh-CN"/>
              </w:rPr>
              <w:t>；</w:t>
            </w:r>
          </w:p>
          <w:p>
            <w:pPr>
              <w:widowControl w:val="0"/>
              <w:numPr>
                <w:ilvl w:val="0"/>
                <w:numId w:val="0"/>
              </w:numPr>
              <w:rPr>
                <w:rFonts w:hint="eastAsia" w:ascii="黑体" w:hAnsi="黑体" w:eastAsia="黑体" w:cs="黑体"/>
                <w:sz w:val="20"/>
                <w:szCs w:val="20"/>
              </w:rPr>
            </w:pPr>
            <w:r>
              <w:rPr>
                <w:rFonts w:hint="eastAsia" w:ascii="黑体" w:hAnsi="黑体" w:eastAsia="黑体" w:cs="黑体"/>
                <w:sz w:val="20"/>
                <w:szCs w:val="20"/>
                <w:lang w:eastAsia="zh-CN"/>
              </w:rPr>
              <w:t>（二）、手</w:t>
            </w:r>
            <w:r>
              <w:rPr>
                <w:rFonts w:hint="eastAsia" w:ascii="黑体" w:hAnsi="黑体" w:eastAsia="黑体" w:cs="黑体"/>
                <w:sz w:val="20"/>
                <w:szCs w:val="20"/>
              </w:rPr>
              <w:t>工焊条电弧焊</w:t>
            </w:r>
            <w:r>
              <w:rPr>
                <w:rFonts w:hint="eastAsia" w:ascii="黑体" w:hAnsi="黑体" w:eastAsia="黑体" w:cs="黑体"/>
                <w:sz w:val="20"/>
                <w:szCs w:val="20"/>
                <w:lang w:eastAsia="zh-CN"/>
              </w:rPr>
              <w:t>：</w:t>
            </w:r>
            <w:r>
              <w:rPr>
                <w:rFonts w:hint="eastAsia" w:ascii="黑体" w:hAnsi="黑体" w:eastAsia="黑体" w:cs="黑体"/>
                <w:sz w:val="20"/>
                <w:szCs w:val="20"/>
              </w:rPr>
              <w:t>2.1</w:t>
            </w:r>
            <w:r>
              <w:rPr>
                <w:rFonts w:hint="eastAsia" w:ascii="黑体" w:hAnsi="黑体" w:eastAsia="黑体" w:cs="黑体"/>
                <w:sz w:val="20"/>
                <w:szCs w:val="20"/>
                <w:lang w:eastAsia="zh-CN"/>
              </w:rPr>
              <w:t>、</w:t>
            </w:r>
            <w:r>
              <w:rPr>
                <w:rFonts w:hint="eastAsia" w:ascii="黑体" w:hAnsi="黑体" w:eastAsia="黑体" w:cs="黑体"/>
                <w:sz w:val="20"/>
                <w:szCs w:val="20"/>
              </w:rPr>
              <w:t>焊条电弧焊电源及使用2.2</w:t>
            </w:r>
            <w:r>
              <w:rPr>
                <w:rFonts w:hint="eastAsia" w:ascii="黑体" w:hAnsi="黑体" w:eastAsia="黑体" w:cs="黑体"/>
                <w:sz w:val="20"/>
                <w:szCs w:val="20"/>
                <w:lang w:eastAsia="zh-CN"/>
              </w:rPr>
              <w:t>、</w:t>
            </w:r>
            <w:r>
              <w:rPr>
                <w:rFonts w:hint="eastAsia" w:ascii="黑体" w:hAnsi="黑体" w:eastAsia="黑体" w:cs="黑体"/>
                <w:sz w:val="20"/>
                <w:szCs w:val="20"/>
              </w:rPr>
              <w:t>焊条电弧焊的工具及防护用品2.3</w:t>
            </w:r>
            <w:r>
              <w:rPr>
                <w:rFonts w:hint="eastAsia" w:ascii="黑体" w:hAnsi="黑体" w:eastAsia="黑体" w:cs="黑体"/>
                <w:sz w:val="20"/>
                <w:szCs w:val="20"/>
                <w:lang w:eastAsia="zh-CN"/>
              </w:rPr>
              <w:t>、</w:t>
            </w:r>
            <w:r>
              <w:rPr>
                <w:rFonts w:hint="eastAsia" w:ascii="黑体" w:hAnsi="黑体" w:eastAsia="黑体" w:cs="黑体"/>
                <w:sz w:val="20"/>
                <w:szCs w:val="20"/>
              </w:rPr>
              <w:t>焊条的组成、分类2.4</w:t>
            </w:r>
            <w:r>
              <w:rPr>
                <w:rFonts w:hint="eastAsia" w:ascii="黑体" w:hAnsi="黑体" w:eastAsia="黑体" w:cs="黑体"/>
                <w:sz w:val="20"/>
                <w:szCs w:val="20"/>
                <w:lang w:eastAsia="zh-CN"/>
              </w:rPr>
              <w:t>、</w:t>
            </w:r>
            <w:r>
              <w:rPr>
                <w:rFonts w:hint="eastAsia" w:ascii="黑体" w:hAnsi="黑体" w:eastAsia="黑体" w:cs="黑体"/>
                <w:sz w:val="20"/>
                <w:szCs w:val="20"/>
              </w:rPr>
              <w:t>焊接接头的形式、焊缝形式2.5</w:t>
            </w:r>
            <w:r>
              <w:rPr>
                <w:rFonts w:hint="eastAsia" w:ascii="黑体" w:hAnsi="黑体" w:eastAsia="黑体" w:cs="黑体"/>
                <w:sz w:val="20"/>
                <w:szCs w:val="20"/>
                <w:lang w:eastAsia="zh-CN"/>
              </w:rPr>
              <w:t>、</w:t>
            </w:r>
            <w:r>
              <w:rPr>
                <w:rFonts w:hint="eastAsia" w:ascii="黑体" w:hAnsi="黑体" w:eastAsia="黑体" w:cs="黑体"/>
                <w:sz w:val="20"/>
                <w:szCs w:val="20"/>
              </w:rPr>
              <w:t>焊条电弧焊基本操作2.6</w:t>
            </w:r>
            <w:r>
              <w:rPr>
                <w:rFonts w:hint="eastAsia" w:ascii="黑体" w:hAnsi="黑体" w:eastAsia="黑体" w:cs="黑体"/>
                <w:sz w:val="20"/>
                <w:szCs w:val="20"/>
                <w:lang w:eastAsia="zh-CN"/>
              </w:rPr>
              <w:t>、</w:t>
            </w:r>
            <w:r>
              <w:rPr>
                <w:rFonts w:hint="eastAsia" w:ascii="黑体" w:hAnsi="黑体" w:eastAsia="黑体" w:cs="黑体"/>
                <w:sz w:val="20"/>
                <w:szCs w:val="20"/>
                <w:lang w:val="en-US" w:eastAsia="zh-CN"/>
              </w:rPr>
              <w:t>I</w:t>
            </w:r>
            <w:r>
              <w:rPr>
                <w:rFonts w:hint="eastAsia" w:ascii="黑体" w:hAnsi="黑体" w:eastAsia="黑体" w:cs="黑体"/>
                <w:sz w:val="20"/>
                <w:szCs w:val="20"/>
              </w:rPr>
              <w:t>形坡口对接平焊2.7</w:t>
            </w:r>
            <w:r>
              <w:rPr>
                <w:rFonts w:hint="eastAsia" w:ascii="黑体" w:hAnsi="黑体" w:eastAsia="黑体" w:cs="黑体"/>
                <w:sz w:val="20"/>
                <w:szCs w:val="20"/>
                <w:lang w:eastAsia="zh-CN"/>
              </w:rPr>
              <w:t>、</w:t>
            </w:r>
            <w:r>
              <w:rPr>
                <w:rFonts w:hint="eastAsia" w:ascii="黑体" w:hAnsi="黑体" w:eastAsia="黑体" w:cs="黑体"/>
                <w:sz w:val="20"/>
                <w:szCs w:val="20"/>
              </w:rPr>
              <w:t>V形坡口对接平焊2.8</w:t>
            </w:r>
            <w:r>
              <w:rPr>
                <w:rFonts w:hint="eastAsia" w:ascii="黑体" w:hAnsi="黑体" w:eastAsia="黑体" w:cs="黑体"/>
                <w:sz w:val="20"/>
                <w:szCs w:val="20"/>
                <w:lang w:eastAsia="zh-CN"/>
              </w:rPr>
              <w:t>、</w:t>
            </w:r>
            <w:r>
              <w:rPr>
                <w:rFonts w:hint="eastAsia" w:ascii="黑体" w:hAnsi="黑体" w:eastAsia="黑体" w:cs="黑体"/>
                <w:sz w:val="20"/>
                <w:szCs w:val="20"/>
              </w:rPr>
              <w:t>T形接头平角焊2.9</w:t>
            </w:r>
            <w:r>
              <w:rPr>
                <w:rFonts w:hint="eastAsia" w:ascii="黑体" w:hAnsi="黑体" w:eastAsia="黑体" w:cs="黑体"/>
                <w:sz w:val="20"/>
                <w:szCs w:val="20"/>
                <w:lang w:eastAsia="zh-CN"/>
              </w:rPr>
              <w:t>、</w:t>
            </w:r>
            <w:r>
              <w:rPr>
                <w:rFonts w:hint="eastAsia" w:ascii="黑体" w:hAnsi="黑体" w:eastAsia="黑体" w:cs="黑体"/>
                <w:sz w:val="20"/>
                <w:szCs w:val="20"/>
              </w:rPr>
              <w:t>1形坡口对接横焊2.10</w:t>
            </w:r>
            <w:r>
              <w:rPr>
                <w:rFonts w:hint="eastAsia" w:ascii="黑体" w:hAnsi="黑体" w:eastAsia="黑体" w:cs="黑体"/>
                <w:sz w:val="20"/>
                <w:szCs w:val="20"/>
                <w:lang w:eastAsia="zh-CN"/>
              </w:rPr>
              <w:t>、</w:t>
            </w:r>
            <w:r>
              <w:rPr>
                <w:rFonts w:hint="eastAsia" w:ascii="黑体" w:hAnsi="黑体" w:eastAsia="黑体" w:cs="黑体"/>
                <w:sz w:val="20"/>
                <w:szCs w:val="20"/>
              </w:rPr>
              <w:t>V形坡口对接横焊2.11</w:t>
            </w:r>
            <w:r>
              <w:rPr>
                <w:rFonts w:hint="eastAsia" w:ascii="黑体" w:hAnsi="黑体" w:eastAsia="黑体" w:cs="黑体"/>
                <w:sz w:val="20"/>
                <w:szCs w:val="20"/>
                <w:lang w:eastAsia="zh-CN"/>
              </w:rPr>
              <w:t>、</w:t>
            </w:r>
            <w:r>
              <w:rPr>
                <w:rFonts w:hint="eastAsia" w:ascii="黑体" w:hAnsi="黑体" w:eastAsia="黑体" w:cs="黑体"/>
                <w:sz w:val="20"/>
                <w:szCs w:val="20"/>
              </w:rPr>
              <w:t>I形坡口对接立焊2.12</w:t>
            </w:r>
            <w:r>
              <w:rPr>
                <w:rFonts w:hint="eastAsia" w:ascii="黑体" w:hAnsi="黑体" w:eastAsia="黑体" w:cs="黑体"/>
                <w:sz w:val="20"/>
                <w:szCs w:val="20"/>
                <w:lang w:eastAsia="zh-CN"/>
              </w:rPr>
              <w:t>、</w:t>
            </w:r>
            <w:r>
              <w:rPr>
                <w:rFonts w:hint="eastAsia" w:ascii="黑体" w:hAnsi="黑体" w:eastAsia="黑体" w:cs="黑体"/>
                <w:sz w:val="20"/>
                <w:szCs w:val="20"/>
              </w:rPr>
              <w:t>V形坡口对接立焊2.13</w:t>
            </w:r>
            <w:r>
              <w:rPr>
                <w:rFonts w:hint="eastAsia" w:ascii="黑体" w:hAnsi="黑体" w:eastAsia="黑体" w:cs="黑体"/>
                <w:sz w:val="20"/>
                <w:szCs w:val="20"/>
                <w:lang w:eastAsia="zh-CN"/>
              </w:rPr>
              <w:t>、</w:t>
            </w:r>
            <w:r>
              <w:rPr>
                <w:rFonts w:hint="eastAsia" w:ascii="黑体" w:hAnsi="黑体" w:eastAsia="黑体" w:cs="黑体"/>
                <w:sz w:val="20"/>
                <w:szCs w:val="20"/>
              </w:rPr>
              <w:t>T形接头立焊2.14</w:t>
            </w:r>
            <w:r>
              <w:rPr>
                <w:rFonts w:hint="eastAsia" w:ascii="黑体" w:hAnsi="黑体" w:eastAsia="黑体" w:cs="黑体"/>
                <w:sz w:val="20"/>
                <w:szCs w:val="20"/>
                <w:lang w:eastAsia="zh-CN"/>
              </w:rPr>
              <w:t>、</w:t>
            </w:r>
            <w:r>
              <w:rPr>
                <w:rFonts w:hint="eastAsia" w:ascii="黑体" w:hAnsi="黑体" w:eastAsia="黑体" w:cs="黑体"/>
                <w:sz w:val="20"/>
                <w:szCs w:val="20"/>
              </w:rPr>
              <w:t>管对接水平固定焊2.15</w:t>
            </w:r>
            <w:r>
              <w:rPr>
                <w:rFonts w:hint="eastAsia" w:ascii="黑体" w:hAnsi="黑体" w:eastAsia="黑体" w:cs="黑体"/>
                <w:sz w:val="20"/>
                <w:szCs w:val="20"/>
                <w:lang w:eastAsia="zh-CN"/>
              </w:rPr>
              <w:t>、</w:t>
            </w:r>
            <w:r>
              <w:rPr>
                <w:rFonts w:hint="eastAsia" w:ascii="黑体" w:hAnsi="黑体" w:eastAsia="黑体" w:cs="黑体"/>
                <w:sz w:val="20"/>
                <w:szCs w:val="20"/>
              </w:rPr>
              <w:t>1形坡口对接仰焊2.16</w:t>
            </w:r>
            <w:r>
              <w:rPr>
                <w:rFonts w:hint="eastAsia" w:ascii="黑体" w:hAnsi="黑体" w:eastAsia="黑体" w:cs="黑体"/>
                <w:sz w:val="20"/>
                <w:szCs w:val="20"/>
                <w:lang w:eastAsia="zh-CN"/>
              </w:rPr>
              <w:t>、</w:t>
            </w:r>
            <w:r>
              <w:rPr>
                <w:rFonts w:hint="eastAsia" w:ascii="黑体" w:hAnsi="黑体" w:eastAsia="黑体" w:cs="黑体"/>
                <w:sz w:val="20"/>
                <w:szCs w:val="20"/>
              </w:rPr>
              <w:t>V形坡口对接仰焊2.17</w:t>
            </w:r>
            <w:r>
              <w:rPr>
                <w:rFonts w:hint="eastAsia" w:ascii="黑体" w:hAnsi="黑体" w:eastAsia="黑体" w:cs="黑体"/>
                <w:sz w:val="20"/>
                <w:szCs w:val="20"/>
                <w:lang w:eastAsia="zh-CN"/>
              </w:rPr>
              <w:t>、</w:t>
            </w:r>
            <w:r>
              <w:rPr>
                <w:rFonts w:hint="eastAsia" w:ascii="黑体" w:hAnsi="黑体" w:eastAsia="黑体" w:cs="黑体"/>
                <w:sz w:val="20"/>
                <w:szCs w:val="20"/>
              </w:rPr>
              <w:t>T形接头平仰焊2.18</w:t>
            </w:r>
            <w:r>
              <w:rPr>
                <w:rFonts w:hint="eastAsia" w:ascii="黑体" w:hAnsi="黑体" w:eastAsia="黑体" w:cs="黑体"/>
                <w:sz w:val="20"/>
                <w:szCs w:val="20"/>
                <w:lang w:eastAsia="zh-CN"/>
              </w:rPr>
              <w:t>、</w:t>
            </w:r>
            <w:r>
              <w:rPr>
                <w:rFonts w:hint="eastAsia" w:ascii="黑体" w:hAnsi="黑体" w:eastAsia="黑体" w:cs="黑体"/>
                <w:sz w:val="20"/>
                <w:szCs w:val="20"/>
              </w:rPr>
              <w:t>管对接垂直固定加障碍管焊接2.19</w:t>
            </w:r>
            <w:r>
              <w:rPr>
                <w:rFonts w:hint="eastAsia" w:ascii="黑体" w:hAnsi="黑体" w:eastAsia="黑体" w:cs="黑体"/>
                <w:sz w:val="20"/>
                <w:szCs w:val="20"/>
                <w:lang w:eastAsia="zh-CN"/>
              </w:rPr>
              <w:t>、</w:t>
            </w:r>
            <w:r>
              <w:rPr>
                <w:rFonts w:hint="eastAsia" w:ascii="黑体" w:hAnsi="黑体" w:eastAsia="黑体" w:cs="黑体"/>
                <w:sz w:val="20"/>
                <w:szCs w:val="20"/>
              </w:rPr>
              <w:t>管对接水平固定加障碍管焊接2.20</w:t>
            </w:r>
            <w:r>
              <w:rPr>
                <w:rFonts w:hint="eastAsia" w:ascii="黑体" w:hAnsi="黑体" w:eastAsia="黑体" w:cs="黑体"/>
                <w:sz w:val="20"/>
                <w:szCs w:val="20"/>
                <w:lang w:eastAsia="zh-CN"/>
              </w:rPr>
              <w:t>、</w:t>
            </w:r>
            <w:r>
              <w:rPr>
                <w:rFonts w:hint="eastAsia" w:ascii="黑体" w:hAnsi="黑体" w:eastAsia="黑体" w:cs="黑体"/>
                <w:sz w:val="20"/>
                <w:szCs w:val="20"/>
              </w:rPr>
              <w:t>异种钢管水平固定焊接</w:t>
            </w:r>
          </w:p>
          <w:p>
            <w:pPr>
              <w:widowControl w:val="0"/>
              <w:numPr>
                <w:ilvl w:val="0"/>
                <w:numId w:val="0"/>
              </w:numPr>
              <w:rPr>
                <w:rFonts w:hint="eastAsia" w:ascii="黑体" w:hAnsi="黑体" w:eastAsia="黑体" w:cs="黑体"/>
                <w:sz w:val="20"/>
                <w:szCs w:val="20"/>
              </w:rPr>
            </w:pPr>
            <w:r>
              <w:rPr>
                <w:rFonts w:hint="eastAsia" w:ascii="黑体" w:hAnsi="黑体" w:eastAsia="黑体" w:cs="黑体"/>
                <w:sz w:val="20"/>
                <w:szCs w:val="20"/>
              </w:rPr>
              <w:t>2.21</w:t>
            </w:r>
            <w:r>
              <w:rPr>
                <w:rFonts w:hint="eastAsia" w:ascii="黑体" w:hAnsi="黑体" w:eastAsia="黑体" w:cs="黑体"/>
                <w:sz w:val="20"/>
                <w:szCs w:val="20"/>
                <w:lang w:eastAsia="zh-CN"/>
              </w:rPr>
              <w:t>、</w:t>
            </w:r>
            <w:r>
              <w:rPr>
                <w:rFonts w:hint="eastAsia" w:ascii="黑体" w:hAnsi="黑体" w:eastAsia="黑体" w:cs="黑体"/>
                <w:sz w:val="20"/>
                <w:szCs w:val="20"/>
              </w:rPr>
              <w:t>骑坐式管-板仰焊2.22</w:t>
            </w:r>
            <w:r>
              <w:rPr>
                <w:rFonts w:hint="eastAsia" w:ascii="黑体" w:hAnsi="黑体" w:eastAsia="黑体" w:cs="黑体"/>
                <w:sz w:val="20"/>
                <w:szCs w:val="20"/>
                <w:lang w:eastAsia="zh-CN"/>
              </w:rPr>
              <w:t>、</w:t>
            </w:r>
            <w:r>
              <w:rPr>
                <w:rFonts w:hint="eastAsia" w:ascii="黑体" w:hAnsi="黑体" w:eastAsia="黑体" w:cs="黑体"/>
                <w:sz w:val="20"/>
                <w:szCs w:val="20"/>
              </w:rPr>
              <w:t>管斜45°焊2.23</w:t>
            </w:r>
            <w:r>
              <w:rPr>
                <w:rFonts w:hint="eastAsia" w:ascii="黑体" w:hAnsi="黑体" w:eastAsia="黑体" w:cs="黑体"/>
                <w:sz w:val="20"/>
                <w:szCs w:val="20"/>
                <w:lang w:eastAsia="zh-CN"/>
              </w:rPr>
              <w:t>、</w:t>
            </w:r>
            <w:r>
              <w:rPr>
                <w:rFonts w:hint="eastAsia" w:ascii="黑体" w:hAnsi="黑体" w:eastAsia="黑体" w:cs="黑体"/>
                <w:sz w:val="20"/>
                <w:szCs w:val="20"/>
              </w:rPr>
              <w:t>焊条电弧焊的原理及特点2.24</w:t>
            </w:r>
            <w:r>
              <w:rPr>
                <w:rFonts w:hint="eastAsia" w:ascii="黑体" w:hAnsi="黑体" w:eastAsia="黑体" w:cs="黑体"/>
                <w:sz w:val="20"/>
                <w:szCs w:val="20"/>
                <w:lang w:eastAsia="zh-CN"/>
              </w:rPr>
              <w:t>、</w:t>
            </w:r>
            <w:r>
              <w:rPr>
                <w:rFonts w:hint="eastAsia" w:ascii="黑体" w:hAnsi="黑体" w:eastAsia="黑体" w:cs="黑体"/>
                <w:sz w:val="20"/>
                <w:szCs w:val="20"/>
              </w:rPr>
              <w:t>焊接工艺参数2.25</w:t>
            </w:r>
            <w:r>
              <w:rPr>
                <w:rFonts w:hint="eastAsia" w:ascii="黑体" w:hAnsi="黑体" w:eastAsia="黑体" w:cs="黑体"/>
                <w:sz w:val="20"/>
                <w:szCs w:val="20"/>
                <w:lang w:eastAsia="zh-CN"/>
              </w:rPr>
              <w:t>、</w:t>
            </w:r>
            <w:r>
              <w:rPr>
                <w:rFonts w:hint="eastAsia" w:ascii="黑体" w:hAnsi="黑体" w:eastAsia="黑体" w:cs="黑体"/>
                <w:sz w:val="20"/>
                <w:szCs w:val="20"/>
              </w:rPr>
              <w:t>焊条、焊丝及母材的熔化2.26</w:t>
            </w:r>
            <w:r>
              <w:rPr>
                <w:rFonts w:hint="eastAsia" w:ascii="黑体" w:hAnsi="黑体" w:eastAsia="黑体" w:cs="黑体"/>
                <w:sz w:val="20"/>
                <w:szCs w:val="20"/>
                <w:lang w:eastAsia="zh-CN"/>
              </w:rPr>
              <w:t>、</w:t>
            </w:r>
            <w:r>
              <w:rPr>
                <w:rFonts w:hint="eastAsia" w:ascii="黑体" w:hAnsi="黑体" w:eastAsia="黑体" w:cs="黑体"/>
                <w:sz w:val="20"/>
                <w:szCs w:val="20"/>
              </w:rPr>
              <w:t>焊接化学冶金过程2.27</w:t>
            </w:r>
            <w:r>
              <w:rPr>
                <w:rFonts w:hint="eastAsia" w:ascii="黑体" w:hAnsi="黑体" w:eastAsia="黑体" w:cs="黑体"/>
                <w:sz w:val="20"/>
                <w:szCs w:val="20"/>
                <w:lang w:eastAsia="zh-CN"/>
              </w:rPr>
              <w:t>、</w:t>
            </w:r>
            <w:r>
              <w:rPr>
                <w:rFonts w:hint="eastAsia" w:ascii="黑体" w:hAnsi="黑体" w:eastAsia="黑体" w:cs="黑体"/>
                <w:sz w:val="20"/>
                <w:szCs w:val="20"/>
              </w:rPr>
              <w:t>有害元素对焊缝金属的作用2.28</w:t>
            </w:r>
            <w:r>
              <w:rPr>
                <w:rFonts w:hint="eastAsia" w:ascii="黑体" w:hAnsi="黑体" w:eastAsia="黑体" w:cs="黑体"/>
                <w:sz w:val="20"/>
                <w:szCs w:val="20"/>
                <w:lang w:eastAsia="zh-CN"/>
              </w:rPr>
              <w:t>、</w:t>
            </w:r>
            <w:r>
              <w:rPr>
                <w:rFonts w:hint="eastAsia" w:ascii="黑体" w:hAnsi="黑体" w:eastAsia="黑体" w:cs="黑体"/>
                <w:sz w:val="20"/>
                <w:szCs w:val="20"/>
              </w:rPr>
              <w:t>焊缝结晶过程</w:t>
            </w:r>
          </w:p>
          <w:p>
            <w:pPr>
              <w:widowControl w:val="0"/>
              <w:numPr>
                <w:ilvl w:val="0"/>
                <w:numId w:val="0"/>
              </w:numPr>
              <w:rPr>
                <w:rFonts w:hint="eastAsia" w:ascii="黑体" w:hAnsi="黑体" w:eastAsia="黑体" w:cs="黑体"/>
                <w:sz w:val="20"/>
                <w:szCs w:val="20"/>
              </w:rPr>
            </w:pPr>
            <w:r>
              <w:rPr>
                <w:rFonts w:hint="eastAsia" w:ascii="黑体" w:hAnsi="黑体" w:eastAsia="黑体" w:cs="黑体"/>
                <w:sz w:val="20"/>
                <w:szCs w:val="20"/>
              </w:rPr>
              <w:t>2.29</w:t>
            </w:r>
            <w:r>
              <w:rPr>
                <w:rFonts w:hint="eastAsia" w:ascii="黑体" w:hAnsi="黑体" w:eastAsia="黑体" w:cs="黑体"/>
                <w:sz w:val="20"/>
                <w:szCs w:val="20"/>
                <w:lang w:eastAsia="zh-CN"/>
              </w:rPr>
              <w:t>、</w:t>
            </w:r>
            <w:r>
              <w:rPr>
                <w:rFonts w:hint="eastAsia" w:ascii="黑体" w:hAnsi="黑体" w:eastAsia="黑体" w:cs="黑体"/>
                <w:sz w:val="20"/>
                <w:szCs w:val="20"/>
              </w:rPr>
              <w:t>焊缝结晶过程中的偏析2.30</w:t>
            </w:r>
            <w:r>
              <w:rPr>
                <w:rFonts w:hint="eastAsia" w:ascii="黑体" w:hAnsi="黑体" w:eastAsia="黑体" w:cs="黑体"/>
                <w:sz w:val="20"/>
                <w:szCs w:val="20"/>
                <w:lang w:eastAsia="zh-CN"/>
              </w:rPr>
              <w:t>、</w:t>
            </w:r>
            <w:r>
              <w:rPr>
                <w:rFonts w:hint="eastAsia" w:ascii="黑体" w:hAnsi="黑体" w:eastAsia="黑体" w:cs="黑体"/>
                <w:sz w:val="20"/>
                <w:szCs w:val="20"/>
              </w:rPr>
              <w:t>焊接热影响区的组织和性能2.31</w:t>
            </w:r>
            <w:r>
              <w:rPr>
                <w:rFonts w:hint="eastAsia" w:ascii="黑体" w:hAnsi="黑体" w:eastAsia="黑体" w:cs="黑体"/>
                <w:sz w:val="20"/>
                <w:szCs w:val="20"/>
                <w:lang w:eastAsia="zh-CN"/>
              </w:rPr>
              <w:t>、</w:t>
            </w:r>
            <w:r>
              <w:rPr>
                <w:rFonts w:hint="eastAsia" w:ascii="黑体" w:hAnsi="黑体" w:eastAsia="黑体" w:cs="黑体"/>
                <w:sz w:val="20"/>
                <w:szCs w:val="20"/>
              </w:rPr>
              <w:t>焊接热循环2.32</w:t>
            </w:r>
            <w:r>
              <w:rPr>
                <w:rFonts w:hint="eastAsia" w:ascii="黑体" w:hAnsi="黑体" w:eastAsia="黑体" w:cs="黑体"/>
                <w:sz w:val="20"/>
                <w:szCs w:val="20"/>
                <w:lang w:eastAsia="zh-CN"/>
              </w:rPr>
              <w:t>、</w:t>
            </w:r>
            <w:r>
              <w:rPr>
                <w:rFonts w:hint="eastAsia" w:ascii="黑体" w:hAnsi="黑体" w:eastAsia="黑体" w:cs="黑体"/>
                <w:sz w:val="20"/>
                <w:szCs w:val="20"/>
              </w:rPr>
              <w:t>控制和改善焊接接头性育的方法</w:t>
            </w:r>
          </w:p>
          <w:p>
            <w:pPr>
              <w:widowControl w:val="0"/>
              <w:numPr>
                <w:ilvl w:val="0"/>
                <w:numId w:val="0"/>
              </w:numPr>
              <w:rPr>
                <w:rFonts w:hint="eastAsia" w:ascii="黑体" w:hAnsi="黑体" w:eastAsia="黑体" w:cs="黑体"/>
                <w:sz w:val="20"/>
                <w:szCs w:val="20"/>
              </w:rPr>
            </w:pPr>
            <w:r>
              <w:rPr>
                <w:rFonts w:hint="eastAsia" w:ascii="黑体" w:hAnsi="黑体" w:eastAsia="黑体" w:cs="黑体"/>
                <w:sz w:val="20"/>
                <w:szCs w:val="20"/>
                <w:lang w:eastAsia="zh-CN"/>
              </w:rPr>
              <w:t>（</w:t>
            </w:r>
            <w:r>
              <w:rPr>
                <w:rFonts w:hint="eastAsia" w:ascii="黑体" w:hAnsi="黑体" w:eastAsia="黑体" w:cs="黑体"/>
                <w:sz w:val="20"/>
                <w:szCs w:val="20"/>
              </w:rPr>
              <w:t>三</w:t>
            </w:r>
            <w:r>
              <w:rPr>
                <w:rFonts w:hint="eastAsia" w:ascii="黑体" w:hAnsi="黑体" w:eastAsia="黑体" w:cs="黑体"/>
                <w:sz w:val="20"/>
                <w:szCs w:val="20"/>
                <w:lang w:eastAsia="zh-CN"/>
              </w:rPr>
              <w:t>）</w:t>
            </w:r>
            <w:r>
              <w:rPr>
                <w:rFonts w:hint="eastAsia" w:ascii="黑体" w:hAnsi="黑体" w:eastAsia="黑体" w:cs="黑体"/>
                <w:sz w:val="20"/>
                <w:szCs w:val="20"/>
              </w:rPr>
              <w:t>、二氧化碳气体保护焊3.1</w:t>
            </w:r>
            <w:r>
              <w:rPr>
                <w:rFonts w:hint="eastAsia" w:ascii="黑体" w:hAnsi="黑体" w:eastAsia="黑体" w:cs="黑体"/>
                <w:sz w:val="20"/>
                <w:szCs w:val="20"/>
                <w:lang w:eastAsia="zh-CN"/>
              </w:rPr>
              <w:t>、</w:t>
            </w:r>
            <w:r>
              <w:rPr>
                <w:rFonts w:hint="eastAsia" w:ascii="黑体" w:hAnsi="黑体" w:eastAsia="黑体" w:cs="黑体"/>
                <w:sz w:val="20"/>
                <w:szCs w:val="20"/>
              </w:rPr>
              <w:t>V形坡口对接横焊3.2</w:t>
            </w:r>
            <w:r>
              <w:rPr>
                <w:rFonts w:hint="eastAsia" w:ascii="黑体" w:hAnsi="黑体" w:eastAsia="黑体" w:cs="黑体"/>
                <w:sz w:val="20"/>
                <w:szCs w:val="20"/>
                <w:lang w:eastAsia="zh-CN"/>
              </w:rPr>
              <w:t>、</w:t>
            </w:r>
            <w:r>
              <w:rPr>
                <w:rFonts w:hint="eastAsia" w:ascii="黑体" w:hAnsi="黑体" w:eastAsia="黑体" w:cs="黑体"/>
                <w:sz w:val="20"/>
                <w:szCs w:val="20"/>
              </w:rPr>
              <w:t>V形坡口对接立焊3.3</w:t>
            </w:r>
            <w:r>
              <w:rPr>
                <w:rFonts w:hint="eastAsia" w:ascii="黑体" w:hAnsi="黑体" w:eastAsia="黑体" w:cs="黑体"/>
                <w:sz w:val="20"/>
                <w:szCs w:val="20"/>
                <w:lang w:eastAsia="zh-CN"/>
              </w:rPr>
              <w:t>、</w:t>
            </w:r>
            <w:r>
              <w:rPr>
                <w:rFonts w:hint="eastAsia" w:ascii="黑体" w:hAnsi="黑体" w:eastAsia="黑体" w:cs="黑体"/>
                <w:sz w:val="20"/>
                <w:szCs w:val="20"/>
              </w:rPr>
              <w:t>低碳钢管对接水平固定焊3.4</w:t>
            </w:r>
            <w:r>
              <w:rPr>
                <w:rFonts w:hint="eastAsia" w:ascii="黑体" w:hAnsi="黑体" w:eastAsia="黑体" w:cs="黑体"/>
                <w:sz w:val="20"/>
                <w:szCs w:val="20"/>
                <w:lang w:eastAsia="zh-CN"/>
              </w:rPr>
              <w:t>、</w:t>
            </w:r>
            <w:r>
              <w:rPr>
                <w:rFonts w:hint="eastAsia" w:ascii="黑体" w:hAnsi="黑体" w:eastAsia="黑体" w:cs="黑体"/>
                <w:sz w:val="20"/>
                <w:szCs w:val="20"/>
              </w:rPr>
              <w:t>低碳钢与低合金钢管水平固定焊</w:t>
            </w:r>
          </w:p>
          <w:p>
            <w:pPr>
              <w:widowControl w:val="0"/>
              <w:numPr>
                <w:ilvl w:val="0"/>
                <w:numId w:val="0"/>
              </w:numPr>
              <w:rPr>
                <w:rFonts w:hint="eastAsia" w:ascii="黑体" w:hAnsi="黑体" w:eastAsia="黑体" w:cs="黑体"/>
                <w:sz w:val="20"/>
                <w:szCs w:val="20"/>
              </w:rPr>
            </w:pPr>
            <w:r>
              <w:rPr>
                <w:rFonts w:hint="eastAsia" w:ascii="黑体" w:hAnsi="黑体" w:eastAsia="黑体" w:cs="黑体"/>
                <w:sz w:val="20"/>
                <w:szCs w:val="20"/>
              </w:rPr>
              <w:t>3.5</w:t>
            </w:r>
            <w:r>
              <w:rPr>
                <w:rFonts w:hint="eastAsia" w:ascii="黑体" w:hAnsi="黑体" w:eastAsia="黑体" w:cs="黑体"/>
                <w:sz w:val="20"/>
                <w:szCs w:val="20"/>
                <w:lang w:eastAsia="zh-CN"/>
              </w:rPr>
              <w:t>、</w:t>
            </w:r>
            <w:r>
              <w:rPr>
                <w:rFonts w:hint="eastAsia" w:ascii="黑体" w:hAnsi="黑体" w:eastAsia="黑体" w:cs="黑体"/>
                <w:sz w:val="20"/>
                <w:szCs w:val="20"/>
              </w:rPr>
              <w:t>药芯焊丝V形坡口对接横焊3.6</w:t>
            </w:r>
            <w:r>
              <w:rPr>
                <w:rFonts w:hint="eastAsia" w:ascii="黑体" w:hAnsi="黑体" w:eastAsia="黑体" w:cs="黑体"/>
                <w:sz w:val="20"/>
                <w:szCs w:val="20"/>
                <w:lang w:eastAsia="zh-CN"/>
              </w:rPr>
              <w:t>、</w:t>
            </w:r>
            <w:r>
              <w:rPr>
                <w:rFonts w:hint="eastAsia" w:ascii="黑体" w:hAnsi="黑体" w:eastAsia="黑体" w:cs="黑体"/>
                <w:sz w:val="20"/>
                <w:szCs w:val="20"/>
              </w:rPr>
              <w:t>T型接头平角焊3.7</w:t>
            </w:r>
            <w:r>
              <w:rPr>
                <w:rFonts w:hint="eastAsia" w:ascii="黑体" w:hAnsi="黑体" w:eastAsia="黑体" w:cs="黑体"/>
                <w:sz w:val="20"/>
                <w:szCs w:val="20"/>
                <w:lang w:eastAsia="zh-CN"/>
              </w:rPr>
              <w:t>、</w:t>
            </w:r>
            <w:r>
              <w:rPr>
                <w:rFonts w:hint="eastAsia" w:ascii="黑体" w:hAnsi="黑体" w:eastAsia="黑体" w:cs="黑体"/>
                <w:sz w:val="20"/>
                <w:szCs w:val="20"/>
              </w:rPr>
              <w:t>薄板对接单面焊双面成型3.8</w:t>
            </w:r>
            <w:r>
              <w:rPr>
                <w:rFonts w:hint="eastAsia" w:ascii="黑体" w:hAnsi="黑体" w:eastAsia="黑体" w:cs="黑体"/>
                <w:sz w:val="20"/>
                <w:szCs w:val="20"/>
                <w:lang w:eastAsia="zh-CN"/>
              </w:rPr>
              <w:t>、</w:t>
            </w:r>
            <w:r>
              <w:rPr>
                <w:rFonts w:hint="eastAsia" w:ascii="黑体" w:hAnsi="黑体" w:eastAsia="黑体" w:cs="黑体"/>
                <w:sz w:val="20"/>
                <w:szCs w:val="20"/>
              </w:rPr>
              <w:t>T型接头垂直立角焊3.9</w:t>
            </w:r>
            <w:r>
              <w:rPr>
                <w:rFonts w:hint="eastAsia" w:ascii="黑体" w:hAnsi="黑体" w:eastAsia="黑体" w:cs="黑体"/>
                <w:sz w:val="20"/>
                <w:szCs w:val="20"/>
                <w:lang w:eastAsia="zh-CN"/>
              </w:rPr>
              <w:t>、</w:t>
            </w:r>
            <w:r>
              <w:rPr>
                <w:rFonts w:hint="eastAsia" w:ascii="黑体" w:hAnsi="黑体" w:eastAsia="黑体" w:cs="黑体"/>
                <w:sz w:val="20"/>
                <w:szCs w:val="20"/>
                <w:lang w:val="en-US" w:eastAsia="zh-CN"/>
              </w:rPr>
              <w:t>I</w:t>
            </w:r>
            <w:r>
              <w:rPr>
                <w:rFonts w:hint="eastAsia" w:ascii="黑体" w:hAnsi="黑体" w:eastAsia="黑体" w:cs="黑体"/>
                <w:sz w:val="20"/>
                <w:szCs w:val="20"/>
              </w:rPr>
              <w:t>型接头仰焊的操作3.10</w:t>
            </w:r>
            <w:r>
              <w:rPr>
                <w:rFonts w:hint="eastAsia" w:ascii="黑体" w:hAnsi="黑体" w:eastAsia="黑体" w:cs="黑体"/>
                <w:sz w:val="20"/>
                <w:szCs w:val="20"/>
                <w:lang w:eastAsia="zh-CN"/>
              </w:rPr>
              <w:t>、</w:t>
            </w:r>
            <w:r>
              <w:rPr>
                <w:rFonts w:hint="eastAsia" w:ascii="黑体" w:hAnsi="黑体" w:eastAsia="黑体" w:cs="黑体"/>
                <w:sz w:val="20"/>
                <w:szCs w:val="20"/>
              </w:rPr>
              <w:t>T形接头仰角焊3.11</w:t>
            </w:r>
            <w:r>
              <w:rPr>
                <w:rFonts w:hint="eastAsia" w:ascii="黑体" w:hAnsi="黑体" w:eastAsia="黑体" w:cs="黑体"/>
                <w:sz w:val="20"/>
                <w:szCs w:val="20"/>
                <w:lang w:eastAsia="zh-CN"/>
              </w:rPr>
              <w:t>、</w:t>
            </w:r>
            <w:r>
              <w:rPr>
                <w:rFonts w:hint="eastAsia" w:ascii="黑体" w:hAnsi="黑体" w:eastAsia="黑体" w:cs="黑体"/>
                <w:sz w:val="20"/>
                <w:szCs w:val="20"/>
              </w:rPr>
              <w:t>立向下焊3.12</w:t>
            </w:r>
            <w:r>
              <w:rPr>
                <w:rFonts w:hint="eastAsia" w:ascii="黑体" w:hAnsi="黑体" w:eastAsia="黑体" w:cs="黑体"/>
                <w:sz w:val="20"/>
                <w:szCs w:val="20"/>
                <w:lang w:eastAsia="zh-CN"/>
              </w:rPr>
              <w:t>、</w:t>
            </w:r>
            <w:r>
              <w:rPr>
                <w:rFonts w:hint="eastAsia" w:ascii="黑体" w:hAnsi="黑体" w:eastAsia="黑体" w:cs="黑体"/>
                <w:sz w:val="20"/>
                <w:szCs w:val="20"/>
              </w:rPr>
              <w:t>气体保护电弧焊的原理及特3.13</w:t>
            </w:r>
            <w:r>
              <w:rPr>
                <w:rFonts w:hint="eastAsia" w:ascii="黑体" w:hAnsi="黑体" w:eastAsia="黑体" w:cs="黑体"/>
                <w:sz w:val="20"/>
                <w:szCs w:val="20"/>
                <w:lang w:eastAsia="zh-CN"/>
              </w:rPr>
              <w:t>、</w:t>
            </w:r>
            <w:r>
              <w:rPr>
                <w:rFonts w:hint="eastAsia" w:ascii="黑体" w:hAnsi="黑体" w:eastAsia="黑体" w:cs="黑体"/>
                <w:sz w:val="20"/>
                <w:szCs w:val="20"/>
              </w:rPr>
              <w:t>二氧化碳气体保护电弧焊</w:t>
            </w:r>
          </w:p>
          <w:p>
            <w:pPr>
              <w:widowControl w:val="0"/>
              <w:numPr>
                <w:ilvl w:val="0"/>
                <w:numId w:val="0"/>
              </w:numPr>
              <w:rPr>
                <w:rFonts w:hint="eastAsia" w:ascii="黑体" w:hAnsi="黑体" w:eastAsia="黑体" w:cs="黑体"/>
                <w:sz w:val="20"/>
                <w:szCs w:val="20"/>
                <w:lang w:eastAsia="zh-CN"/>
              </w:rPr>
            </w:pPr>
            <w:r>
              <w:rPr>
                <w:rFonts w:hint="eastAsia" w:ascii="黑体" w:hAnsi="黑体" w:eastAsia="黑体" w:cs="黑体"/>
                <w:sz w:val="20"/>
                <w:szCs w:val="20"/>
                <w:lang w:eastAsia="zh-CN"/>
              </w:rPr>
              <w:t>（</w:t>
            </w:r>
            <w:r>
              <w:rPr>
                <w:rFonts w:hint="eastAsia" w:ascii="黑体" w:hAnsi="黑体" w:eastAsia="黑体" w:cs="黑体"/>
                <w:sz w:val="20"/>
                <w:szCs w:val="20"/>
              </w:rPr>
              <w:t>四</w:t>
            </w:r>
            <w:r>
              <w:rPr>
                <w:rFonts w:hint="eastAsia" w:ascii="黑体" w:hAnsi="黑体" w:eastAsia="黑体" w:cs="黑体"/>
                <w:sz w:val="20"/>
                <w:szCs w:val="20"/>
                <w:lang w:eastAsia="zh-CN"/>
              </w:rPr>
              <w:t>）</w:t>
            </w:r>
            <w:r>
              <w:rPr>
                <w:rFonts w:hint="eastAsia" w:ascii="黑体" w:hAnsi="黑体" w:eastAsia="黑体" w:cs="黑体"/>
                <w:sz w:val="20"/>
                <w:szCs w:val="20"/>
              </w:rPr>
              <w:t>、手工钨极氩弧焊4.1</w:t>
            </w:r>
            <w:r>
              <w:rPr>
                <w:rFonts w:hint="eastAsia" w:ascii="黑体" w:hAnsi="黑体" w:eastAsia="黑体" w:cs="黑体"/>
                <w:sz w:val="20"/>
                <w:szCs w:val="20"/>
                <w:lang w:eastAsia="zh-CN"/>
              </w:rPr>
              <w:t>、</w:t>
            </w:r>
            <w:r>
              <w:rPr>
                <w:rFonts w:hint="eastAsia" w:ascii="黑体" w:hAnsi="黑体" w:eastAsia="黑体" w:cs="黑体"/>
                <w:sz w:val="20"/>
                <w:szCs w:val="20"/>
                <w:lang w:val="en-US" w:eastAsia="zh-CN"/>
              </w:rPr>
              <w:t>I</w:t>
            </w:r>
            <w:r>
              <w:rPr>
                <w:rFonts w:hint="eastAsia" w:ascii="黑体" w:hAnsi="黑体" w:eastAsia="黑体" w:cs="黑体"/>
                <w:sz w:val="20"/>
                <w:szCs w:val="20"/>
              </w:rPr>
              <w:t>形坡口板对接平焊4.2</w:t>
            </w:r>
            <w:r>
              <w:rPr>
                <w:rFonts w:hint="eastAsia" w:ascii="黑体" w:hAnsi="黑体" w:eastAsia="黑体" w:cs="黑体"/>
                <w:sz w:val="20"/>
                <w:szCs w:val="20"/>
                <w:lang w:eastAsia="zh-CN"/>
              </w:rPr>
              <w:t>、</w:t>
            </w:r>
            <w:r>
              <w:rPr>
                <w:rFonts w:hint="eastAsia" w:ascii="黑体" w:hAnsi="黑体" w:eastAsia="黑体" w:cs="黑体"/>
                <w:sz w:val="20"/>
                <w:szCs w:val="20"/>
              </w:rPr>
              <w:t>插入式管板垂直固定仰焊4.3</w:t>
            </w:r>
            <w:r>
              <w:rPr>
                <w:rFonts w:hint="eastAsia" w:ascii="黑体" w:hAnsi="黑体" w:eastAsia="黑体" w:cs="黑体"/>
                <w:sz w:val="20"/>
                <w:szCs w:val="20"/>
                <w:lang w:eastAsia="zh-CN"/>
              </w:rPr>
              <w:t>、</w:t>
            </w:r>
            <w:r>
              <w:rPr>
                <w:rFonts w:hint="eastAsia" w:ascii="黑体" w:hAnsi="黑体" w:eastAsia="黑体" w:cs="黑体"/>
                <w:sz w:val="20"/>
                <w:szCs w:val="20"/>
              </w:rPr>
              <w:t>水平固定管氩电联焊4.</w:t>
            </w:r>
            <w:r>
              <w:rPr>
                <w:rFonts w:hint="eastAsia" w:ascii="黑体" w:hAnsi="黑体" w:eastAsia="黑体" w:cs="黑体"/>
                <w:sz w:val="20"/>
                <w:szCs w:val="20"/>
                <w:lang w:val="en-US" w:eastAsia="zh-CN"/>
              </w:rPr>
              <w:t>4、铝合金板焊接</w:t>
            </w:r>
            <w:r>
              <w:rPr>
                <w:rFonts w:hint="eastAsia" w:ascii="黑体" w:hAnsi="黑体" w:eastAsia="黑体" w:cs="黑体"/>
                <w:sz w:val="20"/>
                <w:szCs w:val="20"/>
              </w:rPr>
              <w:t>4.5</w:t>
            </w:r>
            <w:r>
              <w:rPr>
                <w:rFonts w:hint="eastAsia" w:ascii="黑体" w:hAnsi="黑体" w:eastAsia="黑体" w:cs="黑体"/>
                <w:sz w:val="20"/>
                <w:szCs w:val="20"/>
                <w:lang w:eastAsia="zh-CN"/>
              </w:rPr>
              <w:t>、</w:t>
            </w:r>
            <w:r>
              <w:rPr>
                <w:rFonts w:hint="eastAsia" w:ascii="黑体" w:hAnsi="黑体" w:eastAsia="黑体" w:cs="黑体"/>
                <w:sz w:val="20"/>
                <w:szCs w:val="20"/>
              </w:rPr>
              <w:t>铝合金管水平固定氩弧焊4.6</w:t>
            </w:r>
            <w:r>
              <w:rPr>
                <w:rFonts w:hint="eastAsia" w:ascii="黑体" w:hAnsi="黑体" w:eastAsia="黑体" w:cs="黑体"/>
                <w:sz w:val="20"/>
                <w:szCs w:val="20"/>
                <w:lang w:eastAsia="zh-CN"/>
              </w:rPr>
              <w:t>、</w:t>
            </w:r>
            <w:r>
              <w:rPr>
                <w:rFonts w:hint="eastAsia" w:ascii="黑体" w:hAnsi="黑体" w:eastAsia="黑体" w:cs="黑体"/>
                <w:sz w:val="20"/>
                <w:szCs w:val="20"/>
              </w:rPr>
              <w:t>纯铜板对接4.7</w:t>
            </w:r>
            <w:r>
              <w:rPr>
                <w:rFonts w:hint="eastAsia" w:ascii="黑体" w:hAnsi="黑体" w:eastAsia="黑体" w:cs="黑体"/>
                <w:sz w:val="20"/>
                <w:szCs w:val="20"/>
                <w:lang w:eastAsia="zh-CN"/>
              </w:rPr>
              <w:t>、</w:t>
            </w:r>
            <w:r>
              <w:rPr>
                <w:rFonts w:hint="eastAsia" w:ascii="黑体" w:hAnsi="黑体" w:eastAsia="黑体" w:cs="黑体"/>
                <w:sz w:val="20"/>
                <w:szCs w:val="20"/>
              </w:rPr>
              <w:t>奥氏体不锈钢与珠光体钢管的焊接</w:t>
            </w:r>
          </w:p>
          <w:p>
            <w:pPr>
              <w:widowControl w:val="0"/>
              <w:numPr>
                <w:ilvl w:val="0"/>
                <w:numId w:val="0"/>
              </w:numPr>
              <w:rPr>
                <w:rFonts w:hint="eastAsia" w:ascii="黑体" w:hAnsi="黑体" w:eastAsia="黑体" w:cs="黑体"/>
                <w:sz w:val="20"/>
                <w:szCs w:val="20"/>
              </w:rPr>
            </w:pPr>
            <w:r>
              <w:rPr>
                <w:rFonts w:hint="eastAsia" w:ascii="黑体" w:hAnsi="黑体" w:eastAsia="黑体" w:cs="黑体"/>
                <w:sz w:val="20"/>
                <w:szCs w:val="20"/>
              </w:rPr>
              <w:t>4.8</w:t>
            </w:r>
            <w:r>
              <w:rPr>
                <w:rFonts w:hint="eastAsia" w:ascii="黑体" w:hAnsi="黑体" w:eastAsia="黑体" w:cs="黑体"/>
                <w:sz w:val="20"/>
                <w:szCs w:val="20"/>
                <w:lang w:eastAsia="zh-CN"/>
              </w:rPr>
              <w:t>、</w:t>
            </w:r>
            <w:r>
              <w:rPr>
                <w:rFonts w:hint="eastAsia" w:ascii="黑体" w:hAnsi="黑体" w:eastAsia="黑体" w:cs="黑体"/>
                <w:sz w:val="20"/>
                <w:szCs w:val="20"/>
              </w:rPr>
              <w:t>不锈钢复合钢板的焊接4.9</w:t>
            </w:r>
            <w:r>
              <w:rPr>
                <w:rFonts w:hint="eastAsia" w:ascii="黑体" w:hAnsi="黑体" w:eastAsia="黑体" w:cs="黑体"/>
                <w:sz w:val="20"/>
                <w:szCs w:val="20"/>
                <w:lang w:eastAsia="zh-CN"/>
              </w:rPr>
              <w:t>、</w:t>
            </w:r>
            <w:r>
              <w:rPr>
                <w:rFonts w:hint="eastAsia" w:ascii="黑体" w:hAnsi="黑体" w:eastAsia="黑体" w:cs="黑体"/>
                <w:sz w:val="20"/>
                <w:szCs w:val="20"/>
              </w:rPr>
              <w:t>小口径管水平固定加障碍焊4.10</w:t>
            </w:r>
            <w:r>
              <w:rPr>
                <w:rFonts w:hint="eastAsia" w:ascii="黑体" w:hAnsi="黑体" w:eastAsia="黑体" w:cs="黑体"/>
                <w:sz w:val="20"/>
                <w:szCs w:val="20"/>
                <w:lang w:eastAsia="zh-CN"/>
              </w:rPr>
              <w:t>、</w:t>
            </w:r>
            <w:r>
              <w:rPr>
                <w:rFonts w:hint="eastAsia" w:ascii="黑体" w:hAnsi="黑体" w:eastAsia="黑体" w:cs="黑体"/>
                <w:sz w:val="20"/>
                <w:szCs w:val="20"/>
              </w:rPr>
              <w:t>低合金管斜45°固定氩电联焊4.11</w:t>
            </w:r>
            <w:r>
              <w:rPr>
                <w:rFonts w:hint="eastAsia" w:ascii="黑体" w:hAnsi="黑体" w:eastAsia="黑体" w:cs="黑体"/>
                <w:sz w:val="20"/>
                <w:szCs w:val="20"/>
                <w:lang w:eastAsia="zh-CN"/>
              </w:rPr>
              <w:t>、</w:t>
            </w:r>
            <w:r>
              <w:rPr>
                <w:rFonts w:hint="eastAsia" w:ascii="黑体" w:hAnsi="黑体" w:eastAsia="黑体" w:cs="黑体"/>
                <w:sz w:val="20"/>
                <w:szCs w:val="20"/>
              </w:rPr>
              <w:t>小径管垂直固定对接焊氩电联焊4.12</w:t>
            </w:r>
            <w:r>
              <w:rPr>
                <w:rFonts w:hint="eastAsia" w:ascii="黑体" w:hAnsi="黑体" w:eastAsia="黑体" w:cs="黑体"/>
                <w:sz w:val="20"/>
                <w:szCs w:val="20"/>
                <w:lang w:eastAsia="zh-CN"/>
              </w:rPr>
              <w:t>、</w:t>
            </w:r>
            <w:r>
              <w:rPr>
                <w:rFonts w:hint="eastAsia" w:ascii="黑体" w:hAnsi="黑体" w:eastAsia="黑体" w:cs="黑体"/>
                <w:sz w:val="20"/>
                <w:szCs w:val="20"/>
              </w:rPr>
              <w:t>大直径、中厚壁管水平固定对接焊</w:t>
            </w:r>
          </w:p>
          <w:p>
            <w:pPr>
              <w:widowControl w:val="0"/>
              <w:numPr>
                <w:ilvl w:val="0"/>
                <w:numId w:val="0"/>
              </w:numPr>
              <w:rPr>
                <w:rFonts w:hint="eastAsia" w:ascii="黑体" w:hAnsi="黑体" w:eastAsia="黑体" w:cs="黑体"/>
                <w:sz w:val="20"/>
                <w:szCs w:val="20"/>
                <w:lang w:val="en-US" w:eastAsia="zh-CN"/>
              </w:rPr>
            </w:pPr>
            <w:r>
              <w:rPr>
                <w:rFonts w:hint="eastAsia" w:ascii="黑体" w:hAnsi="黑体" w:eastAsia="黑体" w:cs="黑体"/>
                <w:sz w:val="20"/>
                <w:szCs w:val="20"/>
                <w:lang w:eastAsia="zh-CN"/>
              </w:rPr>
              <w:t>（五）、</w:t>
            </w:r>
            <w:r>
              <w:rPr>
                <w:rFonts w:hint="eastAsia" w:ascii="黑体" w:hAnsi="黑体" w:eastAsia="黑体" w:cs="黑体"/>
                <w:sz w:val="20"/>
                <w:szCs w:val="20"/>
              </w:rPr>
              <w:t>等离子弧焊5.1</w:t>
            </w:r>
            <w:r>
              <w:rPr>
                <w:rFonts w:hint="eastAsia" w:ascii="黑体" w:hAnsi="黑体" w:eastAsia="黑体" w:cs="黑体"/>
                <w:sz w:val="20"/>
                <w:szCs w:val="20"/>
                <w:lang w:eastAsia="zh-CN"/>
              </w:rPr>
              <w:t>、</w:t>
            </w:r>
            <w:r>
              <w:rPr>
                <w:rFonts w:hint="eastAsia" w:ascii="黑体" w:hAnsi="黑体" w:eastAsia="黑体" w:cs="黑体"/>
                <w:sz w:val="20"/>
                <w:szCs w:val="20"/>
              </w:rPr>
              <w:t>等离子弧切割的原理及特点5.2</w:t>
            </w:r>
            <w:r>
              <w:rPr>
                <w:rFonts w:hint="eastAsia" w:ascii="黑体" w:hAnsi="黑体" w:eastAsia="黑体" w:cs="黑体"/>
                <w:sz w:val="20"/>
                <w:szCs w:val="20"/>
                <w:lang w:eastAsia="zh-CN"/>
              </w:rPr>
              <w:t>、</w:t>
            </w:r>
            <w:r>
              <w:rPr>
                <w:rFonts w:hint="eastAsia" w:ascii="黑体" w:hAnsi="黑体" w:eastAsia="黑体" w:cs="黑体"/>
                <w:sz w:val="20"/>
                <w:szCs w:val="20"/>
              </w:rPr>
              <w:t>等离子弧切割5.3</w:t>
            </w:r>
            <w:r>
              <w:rPr>
                <w:rFonts w:hint="eastAsia" w:ascii="黑体" w:hAnsi="黑体" w:eastAsia="黑体" w:cs="黑体"/>
                <w:sz w:val="20"/>
                <w:szCs w:val="20"/>
                <w:lang w:eastAsia="zh-CN"/>
              </w:rPr>
              <w:t>、</w:t>
            </w:r>
            <w:r>
              <w:rPr>
                <w:rFonts w:hint="eastAsia" w:ascii="黑体" w:hAnsi="黑体" w:eastAsia="黑体" w:cs="黑体"/>
                <w:sz w:val="20"/>
                <w:szCs w:val="20"/>
              </w:rPr>
              <w:t>等离子弧切割的安全技术5.4</w:t>
            </w:r>
            <w:r>
              <w:rPr>
                <w:rFonts w:hint="eastAsia" w:ascii="黑体" w:hAnsi="黑体" w:eastAsia="黑体" w:cs="黑体"/>
                <w:sz w:val="20"/>
                <w:szCs w:val="20"/>
                <w:lang w:eastAsia="zh-CN"/>
              </w:rPr>
              <w:t>、</w:t>
            </w:r>
            <w:r>
              <w:rPr>
                <w:rFonts w:hint="eastAsia" w:ascii="黑体" w:hAnsi="黑体" w:eastAsia="黑体" w:cs="黑体"/>
                <w:sz w:val="20"/>
                <w:szCs w:val="20"/>
              </w:rPr>
              <w:t>等离子弧焊接方法5.5</w:t>
            </w:r>
            <w:r>
              <w:rPr>
                <w:rFonts w:hint="eastAsia" w:ascii="黑体" w:hAnsi="黑体" w:eastAsia="黑体" w:cs="黑体"/>
                <w:sz w:val="20"/>
                <w:szCs w:val="20"/>
                <w:lang w:eastAsia="zh-CN"/>
              </w:rPr>
              <w:t>、</w:t>
            </w:r>
            <w:r>
              <w:rPr>
                <w:rFonts w:hint="eastAsia" w:ascii="黑体" w:hAnsi="黑体" w:eastAsia="黑体" w:cs="黑体"/>
                <w:sz w:val="20"/>
                <w:szCs w:val="20"/>
              </w:rPr>
              <w:t>等离子弧焊接</w:t>
            </w:r>
          </w:p>
          <w:p>
            <w:pPr>
              <w:widowControl w:val="0"/>
              <w:numPr>
                <w:ilvl w:val="0"/>
                <w:numId w:val="0"/>
              </w:numPr>
              <w:rPr>
                <w:rFonts w:hint="eastAsia" w:ascii="黑体" w:hAnsi="黑体" w:eastAsia="黑体" w:cs="黑体"/>
                <w:sz w:val="20"/>
                <w:szCs w:val="20"/>
                <w:lang w:val="en-US" w:eastAsia="zh-CN"/>
              </w:rPr>
            </w:pPr>
            <w:r>
              <w:rPr>
                <w:rFonts w:hint="eastAsia" w:ascii="黑体" w:hAnsi="黑体" w:eastAsia="黑体" w:cs="黑体"/>
                <w:sz w:val="20"/>
                <w:szCs w:val="20"/>
                <w:lang w:eastAsia="zh-CN"/>
              </w:rPr>
              <w:t>（</w:t>
            </w:r>
            <w:r>
              <w:rPr>
                <w:rFonts w:hint="eastAsia" w:ascii="黑体" w:hAnsi="黑体" w:eastAsia="黑体" w:cs="黑体"/>
                <w:sz w:val="20"/>
                <w:szCs w:val="20"/>
              </w:rPr>
              <w:t>六</w:t>
            </w:r>
            <w:r>
              <w:rPr>
                <w:rFonts w:hint="eastAsia" w:ascii="黑体" w:hAnsi="黑体" w:eastAsia="黑体" w:cs="黑体"/>
                <w:sz w:val="20"/>
                <w:szCs w:val="20"/>
                <w:lang w:eastAsia="zh-CN"/>
              </w:rPr>
              <w:t>）</w:t>
            </w:r>
            <w:r>
              <w:rPr>
                <w:rFonts w:hint="eastAsia" w:ascii="黑体" w:hAnsi="黑体" w:eastAsia="黑体" w:cs="黑体"/>
                <w:sz w:val="20"/>
                <w:szCs w:val="20"/>
              </w:rPr>
              <w:t>、其他焊接技术6.1</w:t>
            </w:r>
            <w:r>
              <w:rPr>
                <w:rFonts w:hint="eastAsia" w:ascii="黑体" w:hAnsi="黑体" w:eastAsia="黑体" w:cs="黑体"/>
                <w:sz w:val="20"/>
                <w:szCs w:val="20"/>
                <w:lang w:eastAsia="zh-CN"/>
              </w:rPr>
              <w:t>、</w:t>
            </w:r>
            <w:r>
              <w:rPr>
                <w:rFonts w:hint="eastAsia" w:ascii="黑体" w:hAnsi="黑体" w:eastAsia="黑体" w:cs="黑体"/>
                <w:sz w:val="20"/>
                <w:szCs w:val="20"/>
              </w:rPr>
              <w:t>针焊6.2</w:t>
            </w:r>
            <w:r>
              <w:rPr>
                <w:rFonts w:hint="eastAsia" w:ascii="黑体" w:hAnsi="黑体" w:eastAsia="黑体" w:cs="黑体"/>
                <w:sz w:val="20"/>
                <w:szCs w:val="20"/>
                <w:lang w:eastAsia="zh-CN"/>
              </w:rPr>
              <w:t>、</w:t>
            </w:r>
            <w:r>
              <w:rPr>
                <w:rFonts w:hint="eastAsia" w:ascii="黑体" w:hAnsi="黑体" w:eastAsia="黑体" w:cs="黑体"/>
                <w:sz w:val="20"/>
                <w:szCs w:val="20"/>
              </w:rPr>
              <w:t>针焊的工艺6.3</w:t>
            </w:r>
            <w:r>
              <w:rPr>
                <w:rFonts w:hint="eastAsia" w:ascii="黑体" w:hAnsi="黑体" w:eastAsia="黑体" w:cs="黑体"/>
                <w:sz w:val="20"/>
                <w:szCs w:val="20"/>
                <w:lang w:eastAsia="zh-CN"/>
              </w:rPr>
              <w:t>、</w:t>
            </w:r>
            <w:r>
              <w:rPr>
                <w:rFonts w:hint="eastAsia" w:ascii="黑体" w:hAnsi="黑体" w:eastAsia="黑体" w:cs="黑体"/>
                <w:sz w:val="20"/>
                <w:szCs w:val="20"/>
              </w:rPr>
              <w:t>电渣焊6.4</w:t>
            </w:r>
            <w:r>
              <w:rPr>
                <w:rFonts w:hint="eastAsia" w:ascii="黑体" w:hAnsi="黑体" w:eastAsia="黑体" w:cs="黑体"/>
                <w:sz w:val="20"/>
                <w:szCs w:val="20"/>
                <w:lang w:eastAsia="zh-CN"/>
              </w:rPr>
              <w:t>、</w:t>
            </w:r>
            <w:r>
              <w:rPr>
                <w:rFonts w:hint="eastAsia" w:ascii="黑体" w:hAnsi="黑体" w:eastAsia="黑体" w:cs="黑体"/>
                <w:sz w:val="20"/>
                <w:szCs w:val="20"/>
              </w:rPr>
              <w:t>电渣焊的工艺6.5</w:t>
            </w:r>
            <w:r>
              <w:rPr>
                <w:rFonts w:hint="eastAsia" w:ascii="黑体" w:hAnsi="黑体" w:eastAsia="黑体" w:cs="黑体"/>
                <w:sz w:val="20"/>
                <w:szCs w:val="20"/>
                <w:lang w:eastAsia="zh-CN"/>
              </w:rPr>
              <w:t>、</w:t>
            </w:r>
            <w:r>
              <w:rPr>
                <w:rFonts w:hint="eastAsia" w:ascii="黑体" w:hAnsi="黑体" w:eastAsia="黑体" w:cs="黑体"/>
                <w:sz w:val="20"/>
                <w:szCs w:val="20"/>
              </w:rPr>
              <w:t>碳弧气刨6.6</w:t>
            </w:r>
            <w:r>
              <w:rPr>
                <w:rFonts w:hint="eastAsia" w:ascii="黑体" w:hAnsi="黑体" w:eastAsia="黑体" w:cs="黑体"/>
                <w:sz w:val="20"/>
                <w:szCs w:val="20"/>
                <w:lang w:eastAsia="zh-CN"/>
              </w:rPr>
              <w:t>、</w:t>
            </w:r>
            <w:r>
              <w:rPr>
                <w:rFonts w:hint="eastAsia" w:ascii="黑体" w:hAnsi="黑体" w:eastAsia="黑体" w:cs="黑体"/>
                <w:sz w:val="20"/>
                <w:szCs w:val="20"/>
              </w:rPr>
              <w:t>碳弧气刨的工艺6.7</w:t>
            </w:r>
            <w:r>
              <w:rPr>
                <w:rFonts w:hint="eastAsia" w:ascii="黑体" w:hAnsi="黑体" w:eastAsia="黑体" w:cs="黑体"/>
                <w:sz w:val="20"/>
                <w:szCs w:val="20"/>
                <w:lang w:eastAsia="zh-CN"/>
              </w:rPr>
              <w:t>、</w:t>
            </w:r>
            <w:r>
              <w:rPr>
                <w:rFonts w:hint="eastAsia" w:ascii="黑体" w:hAnsi="黑体" w:eastAsia="黑体" w:cs="黑体"/>
                <w:sz w:val="20"/>
                <w:szCs w:val="20"/>
              </w:rPr>
              <w:t>碳弧气刨设备工具和材料6.8</w:t>
            </w:r>
            <w:r>
              <w:rPr>
                <w:rFonts w:hint="eastAsia" w:ascii="黑体" w:hAnsi="黑体" w:eastAsia="黑体" w:cs="黑体"/>
                <w:sz w:val="20"/>
                <w:szCs w:val="20"/>
                <w:lang w:eastAsia="zh-CN"/>
              </w:rPr>
              <w:t>、</w:t>
            </w:r>
            <w:r>
              <w:rPr>
                <w:rFonts w:hint="eastAsia" w:ascii="黑体" w:hAnsi="黑体" w:eastAsia="黑体" w:cs="黑体"/>
                <w:sz w:val="20"/>
                <w:szCs w:val="20"/>
              </w:rPr>
              <w:t>碳弧气刨的基本操作6.9</w:t>
            </w:r>
            <w:r>
              <w:rPr>
                <w:rFonts w:hint="eastAsia" w:ascii="黑体" w:hAnsi="黑体" w:eastAsia="黑体" w:cs="黑体"/>
                <w:sz w:val="20"/>
                <w:szCs w:val="20"/>
                <w:lang w:eastAsia="zh-CN"/>
              </w:rPr>
              <w:t>、</w:t>
            </w:r>
            <w:r>
              <w:rPr>
                <w:rFonts w:hint="eastAsia" w:ascii="黑体" w:hAnsi="黑体" w:eastAsia="黑体" w:cs="黑体"/>
                <w:sz w:val="20"/>
                <w:szCs w:val="20"/>
              </w:rPr>
              <w:t>电阻焊特点及分类6.10</w:t>
            </w:r>
            <w:r>
              <w:rPr>
                <w:rFonts w:hint="eastAsia" w:ascii="黑体" w:hAnsi="黑体" w:eastAsia="黑体" w:cs="黑体"/>
                <w:sz w:val="20"/>
                <w:szCs w:val="20"/>
                <w:lang w:eastAsia="zh-CN"/>
              </w:rPr>
              <w:t>、</w:t>
            </w:r>
            <w:r>
              <w:rPr>
                <w:rFonts w:hint="eastAsia" w:ascii="黑体" w:hAnsi="黑体" w:eastAsia="黑体" w:cs="黑体"/>
                <w:sz w:val="20"/>
                <w:szCs w:val="20"/>
              </w:rPr>
              <w:t>电阻焊设备及工艺</w:t>
            </w:r>
          </w:p>
          <w:p>
            <w:pPr>
              <w:widowControl w:val="0"/>
              <w:numPr>
                <w:ilvl w:val="0"/>
                <w:numId w:val="0"/>
              </w:numPr>
              <w:rPr>
                <w:rFonts w:hint="eastAsia" w:ascii="黑体" w:hAnsi="黑体" w:eastAsia="黑体" w:cs="黑体"/>
                <w:sz w:val="20"/>
                <w:szCs w:val="20"/>
                <w:lang w:val="en-US" w:eastAsia="zh-CN"/>
              </w:rPr>
            </w:pPr>
            <w:r>
              <w:rPr>
                <w:rFonts w:hint="eastAsia" w:ascii="黑体" w:hAnsi="黑体" w:eastAsia="黑体" w:cs="黑体"/>
                <w:sz w:val="20"/>
                <w:szCs w:val="20"/>
                <w:lang w:eastAsia="zh-CN"/>
              </w:rPr>
              <w:t>（</w:t>
            </w:r>
            <w:r>
              <w:rPr>
                <w:rFonts w:hint="eastAsia" w:ascii="黑体" w:hAnsi="黑体" w:eastAsia="黑体" w:cs="黑体"/>
                <w:sz w:val="20"/>
                <w:szCs w:val="20"/>
              </w:rPr>
              <w:t>七</w:t>
            </w:r>
            <w:r>
              <w:rPr>
                <w:rFonts w:hint="eastAsia" w:ascii="黑体" w:hAnsi="黑体" w:eastAsia="黑体" w:cs="黑体"/>
                <w:sz w:val="20"/>
                <w:szCs w:val="20"/>
                <w:lang w:eastAsia="zh-CN"/>
              </w:rPr>
              <w:t>）</w:t>
            </w:r>
            <w:r>
              <w:rPr>
                <w:rFonts w:hint="eastAsia" w:ascii="黑体" w:hAnsi="黑体" w:eastAsia="黑体" w:cs="黑体"/>
                <w:sz w:val="20"/>
                <w:szCs w:val="20"/>
              </w:rPr>
              <w:t>、焊接应力与变形7.1</w:t>
            </w:r>
            <w:r>
              <w:rPr>
                <w:rFonts w:hint="eastAsia" w:ascii="黑体" w:hAnsi="黑体" w:eastAsia="黑体" w:cs="黑体"/>
                <w:sz w:val="20"/>
                <w:szCs w:val="20"/>
                <w:lang w:eastAsia="zh-CN"/>
              </w:rPr>
              <w:t>、</w:t>
            </w:r>
            <w:r>
              <w:rPr>
                <w:rFonts w:hint="eastAsia" w:ascii="黑体" w:hAnsi="黑体" w:eastAsia="黑体" w:cs="黑体"/>
                <w:sz w:val="20"/>
                <w:szCs w:val="20"/>
              </w:rPr>
              <w:t>焊接应力和变形的形成7.2</w:t>
            </w:r>
            <w:r>
              <w:rPr>
                <w:rFonts w:hint="eastAsia" w:ascii="黑体" w:hAnsi="黑体" w:eastAsia="黑体" w:cs="黑体"/>
                <w:sz w:val="20"/>
                <w:szCs w:val="20"/>
                <w:lang w:eastAsia="zh-CN"/>
              </w:rPr>
              <w:t>、</w:t>
            </w:r>
            <w:r>
              <w:rPr>
                <w:rFonts w:hint="eastAsia" w:ascii="黑体" w:hAnsi="黑体" w:eastAsia="黑体" w:cs="黑体"/>
                <w:sz w:val="20"/>
                <w:szCs w:val="20"/>
              </w:rPr>
              <w:t>焊接残余变形的分类及产生的原因7.3影响焊接残余变形的因素7.4</w:t>
            </w:r>
            <w:r>
              <w:rPr>
                <w:rFonts w:hint="eastAsia" w:ascii="黑体" w:hAnsi="黑体" w:eastAsia="黑体" w:cs="黑体"/>
                <w:sz w:val="20"/>
                <w:szCs w:val="20"/>
                <w:lang w:eastAsia="zh-CN"/>
              </w:rPr>
              <w:t>、</w:t>
            </w:r>
            <w:r>
              <w:rPr>
                <w:rFonts w:hint="eastAsia" w:ascii="黑体" w:hAnsi="黑体" w:eastAsia="黑体" w:cs="黑体"/>
                <w:sz w:val="20"/>
                <w:szCs w:val="20"/>
              </w:rPr>
              <w:t>焊接残余变形的控制措施及矫正7.5</w:t>
            </w:r>
            <w:r>
              <w:rPr>
                <w:rFonts w:hint="eastAsia" w:ascii="黑体" w:hAnsi="黑体" w:eastAsia="黑体" w:cs="黑体"/>
                <w:sz w:val="20"/>
                <w:szCs w:val="20"/>
                <w:lang w:eastAsia="zh-CN"/>
              </w:rPr>
              <w:t>、</w:t>
            </w:r>
            <w:r>
              <w:rPr>
                <w:rFonts w:hint="eastAsia" w:ascii="黑体" w:hAnsi="黑体" w:eastAsia="黑体" w:cs="黑体"/>
                <w:sz w:val="20"/>
                <w:szCs w:val="20"/>
              </w:rPr>
              <w:t>焊接残余应力的防止措施7.6</w:t>
            </w:r>
            <w:r>
              <w:rPr>
                <w:rFonts w:hint="eastAsia" w:ascii="黑体" w:hAnsi="黑体" w:eastAsia="黑体" w:cs="黑体"/>
                <w:sz w:val="20"/>
                <w:szCs w:val="20"/>
                <w:lang w:eastAsia="zh-CN"/>
              </w:rPr>
              <w:t>、</w:t>
            </w:r>
            <w:r>
              <w:rPr>
                <w:rFonts w:hint="eastAsia" w:ascii="黑体" w:hAnsi="黑体" w:eastAsia="黑体" w:cs="黑体"/>
                <w:sz w:val="20"/>
                <w:szCs w:val="20"/>
              </w:rPr>
              <w:t>消除残余应力</w:t>
            </w:r>
          </w:p>
          <w:p>
            <w:pPr>
              <w:widowControl w:val="0"/>
              <w:numPr>
                <w:ilvl w:val="0"/>
                <w:numId w:val="0"/>
              </w:numPr>
              <w:rPr>
                <w:rFonts w:hint="eastAsia" w:ascii="黑体" w:hAnsi="黑体" w:eastAsia="黑体" w:cs="黑体"/>
                <w:sz w:val="20"/>
                <w:szCs w:val="20"/>
                <w:lang w:val="en-US" w:eastAsia="zh-CN"/>
              </w:rPr>
            </w:pPr>
            <w:r>
              <w:rPr>
                <w:rFonts w:hint="eastAsia" w:ascii="黑体" w:hAnsi="黑体" w:eastAsia="黑体" w:cs="黑体"/>
                <w:sz w:val="20"/>
                <w:szCs w:val="20"/>
                <w:lang w:eastAsia="zh-CN"/>
              </w:rPr>
              <w:t>（</w:t>
            </w:r>
            <w:r>
              <w:rPr>
                <w:rFonts w:hint="eastAsia" w:ascii="黑体" w:hAnsi="黑体" w:eastAsia="黑体" w:cs="黑体"/>
                <w:sz w:val="20"/>
                <w:szCs w:val="20"/>
              </w:rPr>
              <w:t>八</w:t>
            </w:r>
            <w:r>
              <w:rPr>
                <w:rFonts w:hint="eastAsia" w:ascii="黑体" w:hAnsi="黑体" w:eastAsia="黑体" w:cs="黑体"/>
                <w:sz w:val="20"/>
                <w:szCs w:val="20"/>
                <w:lang w:eastAsia="zh-CN"/>
              </w:rPr>
              <w:t>）</w:t>
            </w:r>
            <w:r>
              <w:rPr>
                <w:rFonts w:hint="eastAsia" w:ascii="黑体" w:hAnsi="黑体" w:eastAsia="黑体" w:cs="黑体"/>
                <w:sz w:val="20"/>
                <w:szCs w:val="20"/>
              </w:rPr>
              <w:t>、常用金属材料的焊接8.1</w:t>
            </w:r>
            <w:r>
              <w:rPr>
                <w:rFonts w:hint="eastAsia" w:ascii="黑体" w:hAnsi="黑体" w:eastAsia="黑体" w:cs="黑体"/>
                <w:sz w:val="20"/>
                <w:szCs w:val="20"/>
                <w:lang w:eastAsia="zh-CN"/>
              </w:rPr>
              <w:t>、</w:t>
            </w:r>
            <w:r>
              <w:rPr>
                <w:rFonts w:hint="eastAsia" w:ascii="黑体" w:hAnsi="黑体" w:eastAsia="黑体" w:cs="黑体"/>
                <w:sz w:val="20"/>
                <w:szCs w:val="20"/>
              </w:rPr>
              <w:t>金属的焊接性8.2</w:t>
            </w:r>
            <w:r>
              <w:rPr>
                <w:rFonts w:hint="eastAsia" w:ascii="黑体" w:hAnsi="黑体" w:eastAsia="黑体" w:cs="黑体"/>
                <w:sz w:val="20"/>
                <w:szCs w:val="20"/>
                <w:lang w:eastAsia="zh-CN"/>
              </w:rPr>
              <w:t>、</w:t>
            </w:r>
            <w:r>
              <w:rPr>
                <w:rFonts w:hint="eastAsia" w:ascii="黑体" w:hAnsi="黑体" w:eastAsia="黑体" w:cs="黑体"/>
                <w:sz w:val="20"/>
                <w:szCs w:val="20"/>
              </w:rPr>
              <w:t>金属材料常用焊接工艺措施8.3</w:t>
            </w:r>
            <w:r>
              <w:rPr>
                <w:rFonts w:hint="eastAsia" w:ascii="黑体" w:hAnsi="黑体" w:eastAsia="黑体" w:cs="黑体"/>
                <w:sz w:val="20"/>
                <w:szCs w:val="20"/>
                <w:lang w:eastAsia="zh-CN"/>
              </w:rPr>
              <w:t>、</w:t>
            </w:r>
            <w:r>
              <w:rPr>
                <w:rFonts w:hint="eastAsia" w:ascii="黑体" w:hAnsi="黑体" w:eastAsia="黑体" w:cs="黑体"/>
                <w:sz w:val="20"/>
                <w:szCs w:val="20"/>
              </w:rPr>
              <w:t>金属材料焊后热处理8.4</w:t>
            </w:r>
            <w:r>
              <w:rPr>
                <w:rFonts w:hint="eastAsia" w:ascii="黑体" w:hAnsi="黑体" w:eastAsia="黑体" w:cs="黑体"/>
                <w:sz w:val="20"/>
                <w:szCs w:val="20"/>
                <w:lang w:eastAsia="zh-CN"/>
              </w:rPr>
              <w:t>、</w:t>
            </w:r>
            <w:r>
              <w:rPr>
                <w:rFonts w:hint="eastAsia" w:ascii="黑体" w:hAnsi="黑体" w:eastAsia="黑体" w:cs="黑体"/>
                <w:sz w:val="20"/>
                <w:szCs w:val="20"/>
              </w:rPr>
              <w:t>碳素钢的焊接8.5</w:t>
            </w:r>
            <w:r>
              <w:rPr>
                <w:rFonts w:hint="eastAsia" w:ascii="黑体" w:hAnsi="黑体" w:eastAsia="黑体" w:cs="黑体"/>
                <w:sz w:val="20"/>
                <w:szCs w:val="20"/>
                <w:lang w:eastAsia="zh-CN"/>
              </w:rPr>
              <w:t>、</w:t>
            </w:r>
            <w:r>
              <w:rPr>
                <w:rFonts w:hint="eastAsia" w:ascii="黑体" w:hAnsi="黑体" w:eastAsia="黑体" w:cs="黑体"/>
                <w:sz w:val="20"/>
                <w:szCs w:val="20"/>
              </w:rPr>
              <w:t>低合金高强度结构钢的焊接8.6</w:t>
            </w:r>
            <w:r>
              <w:rPr>
                <w:rFonts w:hint="eastAsia" w:ascii="黑体" w:hAnsi="黑体" w:eastAsia="黑体" w:cs="黑体"/>
                <w:sz w:val="20"/>
                <w:szCs w:val="20"/>
                <w:lang w:eastAsia="zh-CN"/>
              </w:rPr>
              <w:t>、</w:t>
            </w:r>
            <w:r>
              <w:rPr>
                <w:rFonts w:hint="eastAsia" w:ascii="黑体" w:hAnsi="黑体" w:eastAsia="黑体" w:cs="黑体"/>
                <w:sz w:val="20"/>
                <w:szCs w:val="20"/>
              </w:rPr>
              <w:t>珠光体耐热钢的性能和焊接性8.7</w:t>
            </w:r>
            <w:r>
              <w:rPr>
                <w:rFonts w:hint="eastAsia" w:ascii="黑体" w:hAnsi="黑体" w:eastAsia="黑体" w:cs="黑体"/>
                <w:sz w:val="20"/>
                <w:szCs w:val="20"/>
                <w:lang w:eastAsia="zh-CN"/>
              </w:rPr>
              <w:t>、</w:t>
            </w:r>
            <w:r>
              <w:rPr>
                <w:rFonts w:hint="eastAsia" w:ascii="黑体" w:hAnsi="黑体" w:eastAsia="黑体" w:cs="黑体"/>
                <w:sz w:val="20"/>
                <w:szCs w:val="20"/>
              </w:rPr>
              <w:t>低温钢的焊接</w:t>
            </w:r>
          </w:p>
          <w:p>
            <w:pPr>
              <w:widowControl w:val="0"/>
              <w:numPr>
                <w:ilvl w:val="0"/>
                <w:numId w:val="0"/>
              </w:numPr>
              <w:rPr>
                <w:rFonts w:hint="eastAsia" w:ascii="黑体" w:hAnsi="黑体" w:eastAsia="黑体" w:cs="黑体"/>
                <w:sz w:val="20"/>
                <w:szCs w:val="20"/>
                <w:lang w:val="en-US" w:eastAsia="zh-CN"/>
              </w:rPr>
            </w:pPr>
            <w:r>
              <w:rPr>
                <w:rFonts w:hint="eastAsia" w:ascii="黑体" w:hAnsi="黑体" w:eastAsia="黑体" w:cs="黑体"/>
                <w:sz w:val="20"/>
                <w:szCs w:val="20"/>
              </w:rPr>
              <w:t>8.8</w:t>
            </w:r>
            <w:r>
              <w:rPr>
                <w:rFonts w:hint="eastAsia" w:ascii="黑体" w:hAnsi="黑体" w:eastAsia="黑体" w:cs="黑体"/>
                <w:sz w:val="20"/>
                <w:szCs w:val="20"/>
                <w:lang w:eastAsia="zh-CN"/>
              </w:rPr>
              <w:t>、</w:t>
            </w:r>
            <w:r>
              <w:rPr>
                <w:rFonts w:hint="eastAsia" w:ascii="黑体" w:hAnsi="黑体" w:eastAsia="黑体" w:cs="黑体"/>
                <w:sz w:val="20"/>
                <w:szCs w:val="20"/>
              </w:rPr>
              <w:t>珠光体耐热钢焊接工艺8.9</w:t>
            </w:r>
            <w:r>
              <w:rPr>
                <w:rFonts w:hint="eastAsia" w:ascii="黑体" w:hAnsi="黑体" w:eastAsia="黑体" w:cs="黑体"/>
                <w:sz w:val="20"/>
                <w:szCs w:val="20"/>
                <w:lang w:eastAsia="zh-CN"/>
              </w:rPr>
              <w:t>、</w:t>
            </w:r>
            <w:r>
              <w:rPr>
                <w:rFonts w:hint="eastAsia" w:ascii="黑体" w:hAnsi="黑体" w:eastAsia="黑体" w:cs="黑体"/>
                <w:sz w:val="20"/>
                <w:szCs w:val="20"/>
              </w:rPr>
              <w:t>铝及铝合金的焊接性8.10</w:t>
            </w:r>
            <w:r>
              <w:rPr>
                <w:rFonts w:hint="eastAsia" w:ascii="黑体" w:hAnsi="黑体" w:eastAsia="黑体" w:cs="黑体"/>
                <w:sz w:val="20"/>
                <w:szCs w:val="20"/>
                <w:lang w:eastAsia="zh-CN"/>
              </w:rPr>
              <w:t>、</w:t>
            </w:r>
            <w:r>
              <w:rPr>
                <w:rFonts w:hint="eastAsia" w:ascii="黑体" w:hAnsi="黑体" w:eastAsia="黑体" w:cs="黑体"/>
                <w:sz w:val="20"/>
                <w:szCs w:val="20"/>
              </w:rPr>
              <w:t>铝及铝合金的焊接工艺8.11</w:t>
            </w:r>
            <w:r>
              <w:rPr>
                <w:rFonts w:hint="eastAsia" w:ascii="黑体" w:hAnsi="黑体" w:eastAsia="黑体" w:cs="黑体"/>
                <w:sz w:val="20"/>
                <w:szCs w:val="20"/>
                <w:lang w:eastAsia="zh-CN"/>
              </w:rPr>
              <w:t>、</w:t>
            </w:r>
            <w:r>
              <w:rPr>
                <w:rFonts w:hint="eastAsia" w:ascii="黑体" w:hAnsi="黑体" w:eastAsia="黑体" w:cs="黑体"/>
                <w:sz w:val="20"/>
                <w:szCs w:val="20"/>
              </w:rPr>
              <w:t>铜及铜合金的焊接性8.12</w:t>
            </w:r>
            <w:r>
              <w:rPr>
                <w:rFonts w:hint="eastAsia" w:ascii="黑体" w:hAnsi="黑体" w:eastAsia="黑体" w:cs="黑体"/>
                <w:sz w:val="20"/>
                <w:szCs w:val="20"/>
                <w:lang w:eastAsia="zh-CN"/>
              </w:rPr>
              <w:t>、</w:t>
            </w:r>
            <w:r>
              <w:rPr>
                <w:rFonts w:hint="eastAsia" w:ascii="黑体" w:hAnsi="黑体" w:eastAsia="黑体" w:cs="黑体"/>
                <w:sz w:val="20"/>
                <w:szCs w:val="20"/>
              </w:rPr>
              <w:t>铜及铜合金的焊接工艺</w:t>
            </w:r>
          </w:p>
          <w:p>
            <w:pPr>
              <w:widowControl/>
              <w:textAlignment w:val="center"/>
              <w:rPr>
                <w:rFonts w:hint="eastAsia" w:ascii="黑体" w:hAnsi="黑体" w:eastAsia="黑体" w:cs="黑体"/>
                <w:sz w:val="20"/>
                <w:szCs w:val="20"/>
              </w:rPr>
            </w:pPr>
            <w:r>
              <w:rPr>
                <w:rFonts w:hint="eastAsia" w:ascii="黑体" w:hAnsi="黑体" w:eastAsia="黑体" w:cs="黑体"/>
                <w:sz w:val="20"/>
                <w:szCs w:val="20"/>
              </w:rPr>
              <w:t>8.13</w:t>
            </w:r>
            <w:r>
              <w:rPr>
                <w:rFonts w:hint="eastAsia" w:ascii="黑体" w:hAnsi="黑体" w:eastAsia="黑体" w:cs="黑体"/>
                <w:sz w:val="20"/>
                <w:szCs w:val="20"/>
                <w:lang w:eastAsia="zh-CN"/>
              </w:rPr>
              <w:t>、</w:t>
            </w:r>
            <w:r>
              <w:rPr>
                <w:rFonts w:hint="eastAsia" w:ascii="黑体" w:hAnsi="黑体" w:eastAsia="黑体" w:cs="黑体"/>
                <w:sz w:val="20"/>
                <w:szCs w:val="20"/>
              </w:rPr>
              <w:t>铸铁的焊接性8.14</w:t>
            </w:r>
            <w:r>
              <w:rPr>
                <w:rFonts w:hint="eastAsia" w:ascii="黑体" w:hAnsi="黑体" w:eastAsia="黑体" w:cs="黑体"/>
                <w:sz w:val="20"/>
                <w:szCs w:val="20"/>
                <w:lang w:eastAsia="zh-CN"/>
              </w:rPr>
              <w:t>、</w:t>
            </w:r>
            <w:r>
              <w:rPr>
                <w:rFonts w:hint="eastAsia" w:ascii="黑体" w:hAnsi="黑体" w:eastAsia="黑体" w:cs="黑体"/>
                <w:sz w:val="20"/>
                <w:szCs w:val="20"/>
              </w:rPr>
              <w:t>铸铁的焊接工艺</w:t>
            </w:r>
          </w:p>
          <w:p>
            <w:pPr>
              <w:pStyle w:val="2"/>
              <w:widowControl w:val="0"/>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2.焊接安全实训PC板</w:t>
            </w:r>
          </w:p>
          <w:p>
            <w:pPr>
              <w:widowControl w:val="0"/>
              <w:rPr>
                <w:rFonts w:hint="eastAsia" w:ascii="黑体" w:hAnsi="黑体" w:eastAsia="黑体" w:cs="黑体"/>
                <w:kern w:val="2"/>
                <w:sz w:val="20"/>
                <w:szCs w:val="20"/>
                <w:lang w:val="en-US" w:eastAsia="zh-CN" w:bidi="ar-SA"/>
              </w:rPr>
            </w:pPr>
            <w:r>
              <w:rPr>
                <w:rFonts w:hint="eastAsia" w:ascii="黑体" w:hAnsi="黑体" w:eastAsia="黑体" w:cs="黑体"/>
                <w:i w:val="0"/>
                <w:iCs w:val="0"/>
                <w:color w:val="000000"/>
                <w:kern w:val="0"/>
                <w:sz w:val="20"/>
                <w:szCs w:val="20"/>
                <w:u w:val="none"/>
                <w:lang w:val="en-US" w:eastAsia="zh-CN" w:bidi="ar"/>
              </w:rPr>
              <w:t>一、教学管理端</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1.系统管理功能</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1)学员管理</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在学校的授权人数范围内，学生的增、加、删改学员，超过授权数量不能添加。</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2)班级管理</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管理学校在平台的班级及班级内的学生。</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3)教师管理</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创建教师账号，在授权的数量范围内创建，并且完成权限授权。</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4)课堂课程标准化模式课程管理</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学校用户通过此功能管理授权课程与自建课程。</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a)创建课程</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在创建课程章节的时候，添加课程必须包含预习、PPT、视频讲解、知识点（可以多条）、课堂练习、课后作业、工作页，具体内容可以为空。</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b)编辑课程</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修改课程内容，自建课程可以自由编辑、发布、取消发布、删除；授权课程，自建部分可以自己编辑、发布、取消发布、删除，授权章节用户无法删除直接编辑、发布、取消发布。</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c)题库管理</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编辑题库已有试题，添加新试题，试题根据章节添加，可单题添加也可批量导入。</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d)试卷管理</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组卷功能，可以随机，也可自己选题，发布后试卷无法修改。</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2.教师端管理功能</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1)查看班级信息</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查看本校设置的班级及学生，按班级导出学生数据表格。</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2)课堂课程标准化课程管理</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教师用户通过此功能管理授权课程与自建课程。</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a)创建课程</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在创建课程章节的时候，添加课程必须包含预习、PPT、视频讲解、知识点（可以多条）、课堂练习、课后作业、工作页，具体内容可以为空。</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b)编辑课程</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修改课程内容，自建课程可以自由编辑、发布、取消发布、删除；授权课程，自建部分可以自己编辑、发布、取消发布、删除，授权章节用户无法删除直接编辑、发布、取消发布。</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c)题库管理</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编辑题库已有试题，添加新试题，试题根据章节添加，可单题添加也可批量导入。</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d)试卷管理</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组卷功能，可以随机，也可自己选题，发布后试卷无法修改。</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3.账号管理</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学校端账号配套提供一个，教师账号数量依据课堂授课端采购情况提供。</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4.平台运行环境</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PC电脑或笔记本电脑，兼容谷歌浏览器，支持多种操作系统。</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教学软件含训练模块：学员使用手机终端通过APP或微信小程序扫描二维码生成训练任务并下发，学员可查看训练记录。</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5.学生手机端管理功能</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1)上课签到</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上课签到启动后，5分钟内，学员在APP或微信小程序可获取签到任务，点击完成签到。</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2)下课签到</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下课签到启动后，5分钟内，学员在APP或微信小程序可获取签到任务，点击完成签到。</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3)课前预习</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学生在上课前，通过APP或微信小程序回答课前预习设置的问题。</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4)课堂练习</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学生在课堂上，通过APP或微信小程序回答课前练习设置的问题。</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5)课后作业</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学生在课后，通过APP或微信小程序回答课后作业设置的问题。</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6)任务书填写</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学员通过APP或微信小程序填写每节课程配套的任务书。</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7)回答提问</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学员通过APP或微信小程序回答学员的提问。</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二、PC训练端</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1.下发训练任务</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通过焊接安全教学系统学生端绑定训练任务与用户，下发至PC训练终端，训练超时或关闭软件5分钟以上，自动结束训练任务。</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2.训练方式</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PC端真实还原车间等真实工作场景，在模拟场景中完成训练。</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3.安全隐患排查功能模块</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训练在PC端进行，任务场景中，系统从设置好的安全隐患中随机生成5处（每个场景至少包含5处以上安全隐患），用户通过鼠标操作移动，点选安全隐患，选择完成后结束训练，生成训练成绩，并显示隐患说明。同时PC学习端接收数据，在PC学习端可查看训练结果。</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4.事件模拟处理功能模块</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训练在PC端进行，任务场景中，用户通过移动、点选、拖拽操作，完成事件应急处理，将安全事故损失降为最低，系统根据用户选择道具及处理顺序，完成成绩评判，并显示成绩及正确操作说明。同时PC学习端接收数据，在PC学习端可查看训练结果。</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5.认证考试功能模块</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考试在PC端进行，考生通过移动、点选、拖拽进行操作。认证考试分为三个项目：</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1)理论考试，题库随机抽得出5道题，选择、判断、多选等通过软件答题；</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2)安全隐患排查，随机场景，随机5处隐患，考生选择隐患后提交选择；</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3)事件应急处理，随机场景，随机任务，考生完成操作后提交。三个任务全部完成，考试可以交卷，交卷后直接显示成绩，同时PC学习端接收数据，在PC学习端可查看成绩。</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三、课程内容</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1.理论知识，及相关题库</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1)安全生产法律法规与安全管理</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2)融合焊与热切割基础知识</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3)融合焊与热切割作业危险源识别</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4)融合焊与热切割安全用电</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5)化学品的安全使用</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6)融合焊与热切割的防火防爆</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7)融合焊与热切割作业劳动卫生与防护</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8)特殊焊接与热切割作业安全技术</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9)气焊与热切割</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10)焊条电弧焊与碳弧气刨</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11)埋弧焊</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12)氩弧焊</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13)二氧化碳气体保护焊和混合气体保护焊</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14)堆焊与热喷涂</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15)等离子弧焊与切割</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16)电子束焊与激光焊</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17)其他融化焊接与热切割</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2.训练课程</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1)安全隐患排查单场景</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a)安全生产的意义</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b)用电安全操作不当</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c)个人劳动保护用品使用不当</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d)气焊和气割用气瓶使用操作不当</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e)焊条电弧焊与碳弧焊气刨操作不当</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f)埋弧焊操作不当</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g)氩弧焊操作不当</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h)二氧化碳气体保护焊和混合气体保护焊操作不当</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2)安全隐患排查综合场景</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a)风力发电机头检修车间场景</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b)船厂焊接车间场景</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c)船舶现场场景</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d)密闭空间焊接场景</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e)火灾现场消防设备使用场景</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3)应急处理训练课程</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a)触电现场</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b)中毒窒息</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c)高处坠落</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d)灼烫</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火灾现场</w:t>
            </w:r>
          </w:p>
        </w:tc>
        <w:tc>
          <w:tcPr>
            <w:tcW w:w="301"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sz w:val="20"/>
                <w:szCs w:val="20"/>
                <w:lang w:val="en-US" w:eastAsia="zh-CN"/>
              </w:rPr>
              <w:t>1</w:t>
            </w:r>
          </w:p>
        </w:tc>
        <w:tc>
          <w:tcPr>
            <w:tcW w:w="272"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套</w:t>
            </w:r>
          </w:p>
        </w:tc>
        <w:tc>
          <w:tcPr>
            <w:tcW w:w="240"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1" w:type="pct"/>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68</w:t>
            </w:r>
          </w:p>
        </w:tc>
        <w:tc>
          <w:tcPr>
            <w:tcW w:w="445"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sz w:val="20"/>
                <w:szCs w:val="20"/>
                <w:lang w:eastAsia="zh-CN" w:bidi="ar"/>
              </w:rPr>
              <w:t>电子产品装调与人工智能创新考核装置</w:t>
            </w:r>
          </w:p>
        </w:tc>
        <w:tc>
          <w:tcPr>
            <w:tcW w:w="497" w:type="pct"/>
            <w:tcBorders>
              <w:tl2br w:val="nil"/>
              <w:tr2bl w:val="nil"/>
            </w:tcBorders>
            <w:vAlign w:val="center"/>
          </w:tcPr>
          <w:p>
            <w:pPr>
              <w:widowControl/>
              <w:jc w:val="center"/>
              <w:textAlignment w:val="center"/>
              <w:rPr>
                <w:rFonts w:hint="default" w:ascii="黑体" w:hAnsi="黑体" w:eastAsia="黑体" w:cs="黑体"/>
                <w:color w:val="000000"/>
                <w:sz w:val="20"/>
                <w:szCs w:val="20"/>
                <w:lang w:val="en-US" w:eastAsia="zh-CN" w:bidi="ar"/>
              </w:rPr>
            </w:pPr>
            <w:r>
              <w:rPr>
                <w:rFonts w:hint="eastAsia" w:ascii="黑体" w:hAnsi="黑体" w:eastAsia="黑体" w:cs="黑体"/>
                <w:color w:val="000000"/>
                <w:sz w:val="20"/>
                <w:szCs w:val="20"/>
                <w:lang w:val="en-US" w:eastAsia="zh-CN" w:bidi="ar"/>
              </w:rPr>
              <w:t>工业</w:t>
            </w:r>
          </w:p>
        </w:tc>
        <w:tc>
          <w:tcPr>
            <w:tcW w:w="3001" w:type="pct"/>
            <w:tcBorders>
              <w:tl2br w:val="nil"/>
              <w:tr2bl w:val="nil"/>
            </w:tcBorders>
            <w:vAlign w:val="center"/>
          </w:tcPr>
          <w:p>
            <w:pPr>
              <w:widowControl w:val="0"/>
              <w:rPr>
                <w:rFonts w:hint="eastAsia" w:ascii="黑体" w:hAnsi="黑体" w:eastAsia="黑体" w:cs="黑体"/>
                <w:sz w:val="20"/>
                <w:szCs w:val="20"/>
              </w:rPr>
            </w:pPr>
            <w:r>
              <w:rPr>
                <w:rFonts w:hint="eastAsia" w:ascii="黑体" w:hAnsi="黑体" w:eastAsia="黑体" w:cs="黑体"/>
                <w:sz w:val="20"/>
                <w:szCs w:val="20"/>
              </w:rPr>
              <w:t>一、设备整体要求</w:t>
            </w:r>
          </w:p>
          <w:p>
            <w:pPr>
              <w:widowControl w:val="0"/>
              <w:rPr>
                <w:rFonts w:hint="eastAsia" w:ascii="黑体" w:hAnsi="黑体" w:eastAsia="黑体" w:cs="黑体"/>
                <w:sz w:val="20"/>
                <w:szCs w:val="20"/>
              </w:rPr>
            </w:pPr>
            <w:r>
              <w:rPr>
                <w:rFonts w:hint="eastAsia" w:ascii="黑体" w:hAnsi="黑体" w:eastAsia="黑体" w:cs="黑体"/>
                <w:sz w:val="20"/>
                <w:szCs w:val="20"/>
              </w:rPr>
              <w:t>1.设备要求以能力为本位，以就业为导向，紧密结合实际生产和职业岗位的技能要求，设备整体简洁大方，使用灵活方便，牢固耐用。</w:t>
            </w:r>
          </w:p>
          <w:p>
            <w:pPr>
              <w:widowControl w:val="0"/>
              <w:rPr>
                <w:rFonts w:hint="eastAsia" w:ascii="黑体" w:hAnsi="黑体" w:eastAsia="黑体" w:cs="黑体"/>
                <w:sz w:val="20"/>
                <w:szCs w:val="20"/>
              </w:rPr>
            </w:pPr>
            <w:r>
              <w:rPr>
                <w:rFonts w:hint="eastAsia" w:ascii="黑体" w:hAnsi="黑体" w:eastAsia="黑体" w:cs="黑体"/>
                <w:sz w:val="20"/>
                <w:szCs w:val="20"/>
              </w:rPr>
              <w:t>2.设备要求可完成中小型电子产品的装配、调试和检修等实训，使学生掌握电子产品装配和调试的基本技能，同时须满足进行电子制作、电子设计大赛、课程设计、毕业设计等综合性、设计性、创新性的实训要求。</w:t>
            </w:r>
          </w:p>
          <w:p>
            <w:pPr>
              <w:widowControl w:val="0"/>
              <w:rPr>
                <w:rFonts w:hint="eastAsia" w:ascii="黑体" w:hAnsi="黑体" w:eastAsia="黑体" w:cs="黑体"/>
                <w:sz w:val="20"/>
                <w:szCs w:val="20"/>
              </w:rPr>
            </w:pPr>
            <w:r>
              <w:rPr>
                <w:rFonts w:hint="eastAsia" w:ascii="黑体" w:hAnsi="黑体" w:eastAsia="黑体" w:cs="黑体"/>
                <w:sz w:val="20"/>
                <w:szCs w:val="20"/>
              </w:rPr>
              <w:t>二、 设备技术要求</w:t>
            </w:r>
          </w:p>
          <w:p>
            <w:pPr>
              <w:widowControl w:val="0"/>
              <w:rPr>
                <w:rFonts w:hint="eastAsia" w:ascii="黑体" w:hAnsi="黑体" w:eastAsia="黑体" w:cs="黑体"/>
                <w:sz w:val="20"/>
                <w:szCs w:val="20"/>
              </w:rPr>
            </w:pPr>
            <w:r>
              <w:rPr>
                <w:rFonts w:hint="eastAsia" w:ascii="黑体" w:hAnsi="黑体" w:eastAsia="黑体" w:cs="黑体"/>
                <w:sz w:val="20"/>
                <w:szCs w:val="20"/>
              </w:rPr>
              <w:t>1.工作电源：两相三线 AC 220V±10%  50Hz</w:t>
            </w:r>
          </w:p>
          <w:p>
            <w:pPr>
              <w:widowControl w:val="0"/>
              <w:rPr>
                <w:rFonts w:hint="eastAsia" w:ascii="黑体" w:hAnsi="黑体" w:eastAsia="黑体" w:cs="黑体"/>
                <w:sz w:val="20"/>
                <w:szCs w:val="20"/>
              </w:rPr>
            </w:pPr>
            <w:r>
              <w:rPr>
                <w:rFonts w:hint="eastAsia" w:ascii="黑体" w:hAnsi="黑体" w:eastAsia="黑体" w:cs="黑体"/>
                <w:sz w:val="20"/>
                <w:szCs w:val="20"/>
              </w:rPr>
              <w:t>2.温度：－10～40℃；环境湿度：≤90%（25℃）</w:t>
            </w:r>
          </w:p>
          <w:p>
            <w:pPr>
              <w:widowControl w:val="0"/>
              <w:rPr>
                <w:rFonts w:hint="eastAsia" w:ascii="黑体" w:hAnsi="黑体" w:eastAsia="黑体" w:cs="黑体"/>
                <w:sz w:val="20"/>
                <w:szCs w:val="20"/>
              </w:rPr>
            </w:pPr>
            <w:r>
              <w:rPr>
                <w:rFonts w:hint="eastAsia" w:ascii="黑体" w:hAnsi="黑体" w:eastAsia="黑体" w:cs="黑体"/>
                <w:sz w:val="20"/>
                <w:szCs w:val="20"/>
              </w:rPr>
              <w:t>3.外形尺寸：长×宽×高≥1600mm×800mm×2000mm</w:t>
            </w:r>
          </w:p>
          <w:p>
            <w:pPr>
              <w:widowControl w:val="0"/>
              <w:rPr>
                <w:rFonts w:hint="eastAsia" w:ascii="黑体" w:hAnsi="黑体" w:eastAsia="黑体" w:cs="黑体"/>
                <w:sz w:val="20"/>
                <w:szCs w:val="20"/>
              </w:rPr>
            </w:pPr>
            <w:r>
              <w:rPr>
                <w:rFonts w:hint="eastAsia" w:ascii="黑体" w:hAnsi="黑体" w:eastAsia="黑体" w:cs="黑体"/>
                <w:sz w:val="20"/>
                <w:szCs w:val="20"/>
              </w:rPr>
              <w:t>4.整机功耗：≤1KW</w:t>
            </w:r>
          </w:p>
          <w:p>
            <w:pPr>
              <w:widowControl w:val="0"/>
              <w:rPr>
                <w:rFonts w:hint="eastAsia" w:ascii="黑体" w:hAnsi="黑体" w:eastAsia="黑体" w:cs="黑体"/>
                <w:sz w:val="20"/>
                <w:szCs w:val="20"/>
              </w:rPr>
            </w:pPr>
            <w:r>
              <w:rPr>
                <w:rFonts w:hint="eastAsia" w:ascii="黑体" w:hAnsi="黑体" w:eastAsia="黑体" w:cs="黑体"/>
                <w:sz w:val="20"/>
                <w:szCs w:val="20"/>
              </w:rPr>
              <w:t>5.安全保护措施：要求具有接地保护、漏电保护功能，安全性符合相关的国标标准。要求采用高绝缘的安全型插座及带绝缘护套的高强度安全型实验导线。</w:t>
            </w:r>
          </w:p>
          <w:p>
            <w:pPr>
              <w:widowControl w:val="0"/>
              <w:rPr>
                <w:rFonts w:hint="eastAsia" w:ascii="黑体" w:hAnsi="黑体" w:eastAsia="黑体" w:cs="黑体"/>
                <w:sz w:val="20"/>
                <w:szCs w:val="20"/>
              </w:rPr>
            </w:pPr>
            <w:r>
              <w:rPr>
                <w:rFonts w:hint="eastAsia" w:ascii="黑体" w:hAnsi="黑体" w:eastAsia="黑体" w:cs="黑体"/>
                <w:sz w:val="20"/>
                <w:szCs w:val="20"/>
              </w:rPr>
              <w:t>三、设备功能要求</w:t>
            </w:r>
          </w:p>
          <w:p>
            <w:pPr>
              <w:widowControl w:val="0"/>
              <w:rPr>
                <w:rFonts w:hint="eastAsia" w:ascii="黑体" w:hAnsi="黑体" w:eastAsia="黑体" w:cs="黑体"/>
                <w:sz w:val="20"/>
                <w:szCs w:val="20"/>
              </w:rPr>
            </w:pPr>
            <w:r>
              <w:rPr>
                <w:rFonts w:hint="eastAsia" w:ascii="黑体" w:hAnsi="黑体" w:eastAsia="黑体" w:cs="黑体"/>
                <w:sz w:val="20"/>
                <w:szCs w:val="20"/>
              </w:rPr>
              <w:t>设备要求由工作台、实训屏、实训屏模块、工具柜、电路实训模块等组成。</w:t>
            </w:r>
          </w:p>
          <w:p>
            <w:pPr>
              <w:widowControl w:val="0"/>
              <w:rPr>
                <w:rFonts w:hint="eastAsia" w:ascii="黑体" w:hAnsi="黑体" w:eastAsia="黑体" w:cs="黑体"/>
                <w:sz w:val="20"/>
                <w:szCs w:val="20"/>
              </w:rPr>
            </w:pPr>
            <w:r>
              <w:rPr>
                <w:rFonts w:hint="eastAsia" w:ascii="黑体" w:hAnsi="黑体" w:eastAsia="黑体" w:cs="黑体"/>
                <w:sz w:val="20"/>
                <w:szCs w:val="20"/>
              </w:rPr>
              <w:t>1、工作台：</w:t>
            </w:r>
          </w:p>
          <w:p>
            <w:pPr>
              <w:widowControl w:val="0"/>
              <w:rPr>
                <w:rFonts w:hint="eastAsia" w:ascii="黑体" w:hAnsi="黑体" w:eastAsia="黑体" w:cs="黑体"/>
                <w:sz w:val="20"/>
                <w:szCs w:val="20"/>
              </w:rPr>
            </w:pPr>
            <w:r>
              <w:rPr>
                <w:rFonts w:hint="eastAsia" w:ascii="黑体" w:hAnsi="黑体" w:eastAsia="黑体" w:cs="黑体"/>
                <w:sz w:val="20"/>
                <w:szCs w:val="20"/>
              </w:rPr>
              <w:t>1.1桌身要求采用4根支撑立柱为R型≥70mm×70mm优质铝型材立柱做骨架，四周要求采用6根R型≥40mm×40mm优质铝合金型材与3块钣金围板固定，立柱底部采用铝合金堵头（壁厚≥5mm，固定万向轮壁厚≥15mm）固定安装万向轮，方便实验台挪动及摆放。</w:t>
            </w:r>
          </w:p>
          <w:p>
            <w:pPr>
              <w:widowControl w:val="0"/>
              <w:rPr>
                <w:rFonts w:hint="eastAsia" w:ascii="黑体" w:hAnsi="黑体" w:eastAsia="黑体" w:cs="黑体"/>
                <w:sz w:val="20"/>
                <w:szCs w:val="20"/>
              </w:rPr>
            </w:pPr>
            <w:r>
              <w:rPr>
                <w:rFonts w:hint="eastAsia" w:ascii="黑体" w:hAnsi="黑体" w:eastAsia="黑体" w:cs="黑体"/>
                <w:sz w:val="20"/>
                <w:szCs w:val="20"/>
              </w:rPr>
              <w:t>1.2桌面要求采用25mm厚高密度纤维板，桌面直嵌无异味绝缘胶垫，绝缘截面封边，桌面具有耐磨、抗静电及易清洁等特点，采用两级台面设计,其中主桌面尺寸≥1600×800×25mm。整体高度按人体工程学要求设计为800mm±20mm，满足2名学生同时的操作空间。</w:t>
            </w:r>
          </w:p>
          <w:p>
            <w:pPr>
              <w:widowControl w:val="0"/>
              <w:rPr>
                <w:rFonts w:hint="eastAsia" w:ascii="黑体" w:hAnsi="黑体" w:eastAsia="黑体" w:cs="黑体"/>
                <w:sz w:val="20"/>
                <w:szCs w:val="20"/>
              </w:rPr>
            </w:pPr>
            <w:r>
              <w:rPr>
                <w:rFonts w:hint="eastAsia" w:ascii="黑体" w:hAnsi="黑体" w:eastAsia="黑体" w:cs="黑体"/>
                <w:sz w:val="20"/>
                <w:szCs w:val="20"/>
              </w:rPr>
              <w:t>1.3仪器台面尺寸≥1500×340×25mm，采用3mm的钣金固定主结构立柱，台阶高度285mm，满足摆方常用仪器的要求，也可以摆放电脑显示器。</w:t>
            </w:r>
          </w:p>
          <w:p>
            <w:pPr>
              <w:widowControl w:val="0"/>
              <w:rPr>
                <w:rFonts w:hint="eastAsia" w:ascii="黑体" w:hAnsi="黑体" w:eastAsia="黑体" w:cs="黑体"/>
                <w:sz w:val="20"/>
                <w:szCs w:val="20"/>
              </w:rPr>
            </w:pPr>
            <w:r>
              <w:rPr>
                <w:rFonts w:hint="eastAsia" w:ascii="黑体" w:hAnsi="黑体" w:eastAsia="黑体" w:cs="黑体"/>
                <w:sz w:val="20"/>
                <w:szCs w:val="20"/>
              </w:rPr>
              <w:t>1.4桌面下方要求装有储物抽屉和键盘托盘，抽屉尺寸≥650×360mm，键盘托盘≥640×360mm，可左右互换。采用静音式滑轨，表面经纯环氧树脂塑粉高温固化处理。桌底侧梁可装电脑主机托盘，可选左侧或右侧安装。</w:t>
            </w:r>
          </w:p>
          <w:p>
            <w:pPr>
              <w:widowControl w:val="0"/>
              <w:rPr>
                <w:rFonts w:hint="eastAsia" w:ascii="黑体" w:hAnsi="黑体" w:eastAsia="黑体" w:cs="黑体"/>
                <w:sz w:val="20"/>
                <w:szCs w:val="20"/>
              </w:rPr>
            </w:pPr>
            <w:r>
              <w:rPr>
                <w:rFonts w:hint="eastAsia" w:ascii="黑体" w:hAnsi="黑体" w:eastAsia="黑体" w:cs="黑体"/>
                <w:sz w:val="20"/>
                <w:szCs w:val="20"/>
              </w:rPr>
              <w:t>2、实训屏：</w:t>
            </w:r>
          </w:p>
          <w:p>
            <w:pPr>
              <w:widowControl w:val="0"/>
              <w:rPr>
                <w:rFonts w:hint="eastAsia" w:ascii="黑体" w:hAnsi="黑体" w:eastAsia="黑体" w:cs="黑体"/>
                <w:sz w:val="20"/>
                <w:szCs w:val="20"/>
              </w:rPr>
            </w:pPr>
            <w:r>
              <w:rPr>
                <w:rFonts w:hint="eastAsia" w:ascii="黑体" w:hAnsi="黑体" w:eastAsia="黑体" w:cs="黑体"/>
                <w:sz w:val="20"/>
                <w:szCs w:val="20"/>
              </w:rPr>
              <w:t>2.1安装于仪器台面下方，要求装配有220V交流电源输出12路：接口要求采用10A/250V五孔防水插座，分别位于实训屏前面板和顶面板，由过载开关分2路控制。顶部电源可用作示波器、信号源、电脑主机等仪器使用。面板电源可做为电烙铁、热风焊台、电源模块工作电源等。</w:t>
            </w:r>
          </w:p>
          <w:p>
            <w:pPr>
              <w:widowControl w:val="0"/>
              <w:rPr>
                <w:rFonts w:hint="eastAsia" w:ascii="黑体" w:hAnsi="黑体" w:eastAsia="黑体" w:cs="黑体"/>
                <w:sz w:val="20"/>
                <w:szCs w:val="20"/>
              </w:rPr>
            </w:pPr>
            <w:r>
              <w:rPr>
                <w:rFonts w:hint="eastAsia" w:ascii="黑体" w:hAnsi="黑体" w:eastAsia="黑体" w:cs="黑体"/>
                <w:sz w:val="20"/>
                <w:szCs w:val="20"/>
              </w:rPr>
              <w:t>2.2照明：在实训台顶部和仪器台面下方，控制屏左右同事设置开关控制。</w:t>
            </w:r>
          </w:p>
          <w:p>
            <w:pPr>
              <w:widowControl w:val="0"/>
              <w:rPr>
                <w:rFonts w:hint="eastAsia" w:ascii="黑体" w:hAnsi="黑体" w:eastAsia="黑体" w:cs="黑体"/>
                <w:sz w:val="20"/>
                <w:szCs w:val="20"/>
              </w:rPr>
            </w:pPr>
            <w:r>
              <w:rPr>
                <w:rFonts w:hint="eastAsia" w:ascii="黑体" w:hAnsi="黑体" w:eastAsia="黑体" w:cs="黑体"/>
                <w:sz w:val="20"/>
                <w:szCs w:val="20"/>
              </w:rPr>
              <w:t>2.3静电手环报警器：内置防静电设备报警器2路：实时监测操作人员的静电设备佩戴情况及地线的接入大地情况,遇异常状况立刻自动警报。</w:t>
            </w:r>
          </w:p>
          <w:p>
            <w:pPr>
              <w:widowControl w:val="0"/>
              <w:rPr>
                <w:rFonts w:hint="eastAsia" w:ascii="黑体" w:hAnsi="黑体" w:eastAsia="黑体" w:cs="黑体"/>
                <w:sz w:val="20"/>
                <w:szCs w:val="20"/>
              </w:rPr>
            </w:pPr>
            <w:r>
              <w:rPr>
                <w:rFonts w:hint="eastAsia" w:ascii="黑体" w:hAnsi="黑体" w:eastAsia="黑体" w:cs="黑体"/>
                <w:sz w:val="20"/>
                <w:szCs w:val="20"/>
              </w:rPr>
              <w:t>3、网孔工具挂板：</w:t>
            </w:r>
          </w:p>
          <w:p>
            <w:pPr>
              <w:widowControl w:val="0"/>
              <w:rPr>
                <w:rFonts w:hint="eastAsia" w:ascii="黑体" w:hAnsi="黑体" w:eastAsia="黑体" w:cs="黑体"/>
                <w:sz w:val="20"/>
                <w:szCs w:val="20"/>
              </w:rPr>
            </w:pPr>
            <w:r>
              <w:rPr>
                <w:rFonts w:hint="eastAsia" w:ascii="黑体" w:hAnsi="黑体" w:eastAsia="黑体" w:cs="黑体"/>
                <w:sz w:val="20"/>
                <w:szCs w:val="20"/>
              </w:rPr>
              <w:t>二阶桌面上方挂放网孔板，网孔大小10mm×10mm，网孔数大于等于35×9个，搭配6只100mm挂钩，及磁吸条。</w:t>
            </w:r>
          </w:p>
          <w:p>
            <w:pPr>
              <w:widowControl w:val="0"/>
              <w:rPr>
                <w:rFonts w:hint="eastAsia" w:ascii="黑体" w:hAnsi="黑体" w:eastAsia="黑体" w:cs="黑体"/>
                <w:sz w:val="20"/>
                <w:szCs w:val="20"/>
              </w:rPr>
            </w:pPr>
            <w:r>
              <w:rPr>
                <w:rFonts w:hint="eastAsia" w:ascii="黑体" w:hAnsi="黑体" w:eastAsia="黑体" w:cs="黑体"/>
                <w:sz w:val="20"/>
                <w:szCs w:val="20"/>
              </w:rPr>
              <w:t>4、工具柜：</w:t>
            </w:r>
          </w:p>
          <w:p>
            <w:pPr>
              <w:widowControl w:val="0"/>
              <w:rPr>
                <w:rFonts w:hint="eastAsia" w:ascii="黑体" w:hAnsi="黑体" w:eastAsia="黑体" w:cs="黑体"/>
                <w:sz w:val="20"/>
                <w:szCs w:val="20"/>
              </w:rPr>
            </w:pPr>
            <w:r>
              <w:rPr>
                <w:rFonts w:hint="eastAsia" w:ascii="黑体" w:hAnsi="黑体" w:eastAsia="黑体" w:cs="黑体"/>
                <w:sz w:val="20"/>
                <w:szCs w:val="20"/>
              </w:rPr>
              <w:t>不含轮尺寸≥1720mm×500mm×485mm（长×深×高），用优质冷轧钢板焊接而成，表面静电喷塑。工具柜下装带刹车的万向轮，使工具柜可以随意固定和移动，可放置实训电路板、元器件、工具、耗材等。</w:t>
            </w:r>
          </w:p>
          <w:p>
            <w:pPr>
              <w:widowControl w:val="0"/>
              <w:rPr>
                <w:rFonts w:hint="eastAsia" w:ascii="黑体" w:hAnsi="黑体" w:eastAsia="黑体" w:cs="黑体"/>
                <w:sz w:val="20"/>
                <w:szCs w:val="20"/>
              </w:rPr>
            </w:pPr>
            <w:r>
              <w:rPr>
                <w:rFonts w:hint="eastAsia" w:ascii="黑体" w:hAnsi="黑体" w:eastAsia="黑体" w:cs="黑体"/>
                <w:sz w:val="20"/>
                <w:szCs w:val="20"/>
              </w:rPr>
              <w:t>5、可编程线性直流电源：</w:t>
            </w:r>
          </w:p>
          <w:p>
            <w:pPr>
              <w:widowControl w:val="0"/>
              <w:rPr>
                <w:rFonts w:hint="eastAsia" w:ascii="黑体" w:hAnsi="黑体" w:eastAsia="黑体" w:cs="黑体"/>
                <w:sz w:val="20"/>
                <w:szCs w:val="20"/>
              </w:rPr>
            </w:pPr>
            <w:r>
              <w:rPr>
                <w:rFonts w:hint="eastAsia" w:ascii="黑体" w:hAnsi="黑体" w:eastAsia="黑体" w:cs="黑体"/>
                <w:sz w:val="20"/>
                <w:szCs w:val="20"/>
              </w:rPr>
              <w:t>独立可调输出；4寸（480 x 320 像素）高分辨率TFT液晶65536彩色液晶显示，四位电压、四位电流显示；第1、2通道0-30V/3A，限压保护31V，第3通道0-6V/1A；全通道设置分辨率1mV/1mA，电源电压调整率≤0.01%+3mV；电源电流调整率≤0.01%+3mA；，最小分辨率：1mV，1mA，纹波与噪声：电压＜300 Vrms / 2 mVpp，电流≤300uVrms；可独立、并联、串联、正负四种工作模式； 过压/过流保护功能； 支持100组定时输出功能；记录仪功能：可对输出电压、电流、功率情况进行记录，并以图形显示；恒压恒流智能转换功能；支持USB2.0、串口RS232。</w:t>
            </w:r>
          </w:p>
          <w:p>
            <w:pPr>
              <w:widowControl w:val="0"/>
              <w:rPr>
                <w:rFonts w:hint="eastAsia" w:ascii="黑体" w:hAnsi="黑体" w:eastAsia="黑体" w:cs="黑体"/>
                <w:sz w:val="20"/>
                <w:szCs w:val="20"/>
              </w:rPr>
            </w:pPr>
            <w:r>
              <w:rPr>
                <w:rFonts w:hint="eastAsia" w:ascii="黑体" w:hAnsi="黑体" w:eastAsia="黑体" w:cs="黑体"/>
                <w:sz w:val="20"/>
                <w:szCs w:val="20"/>
              </w:rPr>
              <w:t>6、AI+IOT应用模块：</w:t>
            </w:r>
            <w:r>
              <w:rPr>
                <w:rFonts w:hint="eastAsia" w:ascii="黑体" w:hAnsi="黑体" w:eastAsia="黑体" w:cs="黑体"/>
                <w:sz w:val="20"/>
                <w:szCs w:val="20"/>
                <w:highlight w:val="none"/>
              </w:rPr>
              <w:t>（投标文件须提供模块实物图）</w:t>
            </w:r>
          </w:p>
          <w:p>
            <w:pPr>
              <w:widowControl w:val="0"/>
              <w:rPr>
                <w:rFonts w:hint="eastAsia" w:ascii="黑体" w:hAnsi="黑体" w:eastAsia="黑体" w:cs="黑体"/>
                <w:sz w:val="20"/>
                <w:szCs w:val="20"/>
              </w:rPr>
            </w:pPr>
            <w:r>
              <w:rPr>
                <w:rFonts w:hint="eastAsia" w:ascii="黑体" w:hAnsi="黑体" w:eastAsia="黑体" w:cs="黑体"/>
                <w:sz w:val="20"/>
                <w:szCs w:val="20"/>
              </w:rPr>
              <w:t>6.1模块要求以ESP32主机模块和AI主机模块作为主板单元和传感器单元组成，可通过通用扩展板，可实现主板单元以及传感器单元的快速连接，搭配一条USB数据线就可以使用MicroPython语言编程。</w:t>
            </w:r>
          </w:p>
          <w:p>
            <w:pPr>
              <w:widowControl w:val="0"/>
              <w:rPr>
                <w:rFonts w:hint="eastAsia" w:ascii="黑体" w:hAnsi="黑体" w:eastAsia="黑体" w:cs="黑体"/>
                <w:sz w:val="20"/>
                <w:szCs w:val="20"/>
              </w:rPr>
            </w:pPr>
            <w:r>
              <w:rPr>
                <w:rFonts w:hint="eastAsia" w:ascii="黑体" w:hAnsi="黑体" w:eastAsia="黑体" w:cs="黑体"/>
                <w:sz w:val="20"/>
                <w:szCs w:val="20"/>
              </w:rPr>
              <w:t>6.2要求分别配有ESP32主机模块和AI主机模块，ESP32主机模块板载USB、SD卡、指示灯、按键、40P扩展接口等资源，ESP32-WROOM-32模组集成 Wi-Fi，支持通过路由器直接连接互联网；AI主机模块板载30万像素摄像头，2.4寸TFT屏幕、神经网络算法处理器、USB、SD卡，按键、锂电池，32P扩展接口等资源；通过通用扩展板，将主机单元的接口转换成通用的4P接口与通用3P插针接口，使用者可以灵活选择相应的接口以适应不同的外设功能配置。</w:t>
            </w:r>
          </w:p>
          <w:p>
            <w:pPr>
              <w:widowControl w:val="0"/>
              <w:rPr>
                <w:rFonts w:hint="eastAsia" w:ascii="黑体" w:hAnsi="黑体" w:eastAsia="黑体" w:cs="黑体"/>
                <w:sz w:val="20"/>
                <w:szCs w:val="20"/>
              </w:rPr>
            </w:pPr>
            <w:r>
              <w:rPr>
                <w:rFonts w:hint="eastAsia" w:ascii="黑体" w:hAnsi="黑体" w:eastAsia="黑体" w:cs="黑体"/>
                <w:sz w:val="20"/>
                <w:szCs w:val="20"/>
              </w:rPr>
              <w:t>6.3模块要求包含LED灯模块、按键模块、RGB彩灯模块、蜂鸣器模块、人体感应传感器、光敏传感器、温度传感器、湿度传感器、OLED显示模块、模拟量传感器、直流电机模块、气压传感器模块等十五余种模块、传感器通过4P连接线连接到通用扩展板。</w:t>
            </w:r>
          </w:p>
          <w:p>
            <w:pPr>
              <w:widowControl w:val="0"/>
              <w:rPr>
                <w:rFonts w:hint="eastAsia" w:ascii="黑体" w:hAnsi="黑体" w:eastAsia="黑体" w:cs="黑体"/>
                <w:sz w:val="20"/>
                <w:szCs w:val="20"/>
              </w:rPr>
            </w:pPr>
            <w:r>
              <w:rPr>
                <w:rFonts w:hint="eastAsia" w:ascii="黑体" w:hAnsi="黑体" w:eastAsia="黑体" w:cs="黑体"/>
                <w:sz w:val="20"/>
                <w:szCs w:val="20"/>
              </w:rPr>
              <w:t>8、数据采集器：</w:t>
            </w:r>
          </w:p>
          <w:p>
            <w:pPr>
              <w:widowControl w:val="0"/>
              <w:rPr>
                <w:rFonts w:hint="eastAsia" w:ascii="黑体" w:hAnsi="黑体" w:eastAsia="黑体" w:cs="黑体"/>
                <w:sz w:val="20"/>
                <w:szCs w:val="20"/>
              </w:rPr>
            </w:pPr>
            <w:r>
              <w:rPr>
                <w:rFonts w:hint="eastAsia" w:ascii="黑体" w:hAnsi="黑体" w:eastAsia="黑体" w:cs="黑体"/>
                <w:sz w:val="20"/>
                <w:szCs w:val="20"/>
              </w:rPr>
              <w:t>提供2个模拟输入通道，可配置为通用高阻抗差分电压输入或音频输入。模拟输入为多路复用，即通过一个模数转换器 (ADC) 对两个通道进行采样。在通用模式下，测量信号范围为 ±10 V。在音频模式下，两个通道分别表示左右立体声通道电平输入。每通道可测量的模拟输入采样高达 200 kS/s，对于波形采集非常有用。模拟输入可用于 NI ELVISmx 示波器、动态信号分析仪和 Bode 分析仪。提供2 个模拟输出通道，可配置为通用电压输出或音频输出。两通道均带一个专用数模转换器 (DAC)，可进行同步更新。在通用模式下，生成信号范围为 ±10 V。在音频模式下，两个通道分别表示左右立体声信号输出。提供 8 个 DIO 数字通道。每个通道都是一个可编程函数接口 (PFI)，即通道可配置为通用软件定时的数字输入或输出，也可用作数字计数器的特殊函数输入或输出。提供3 个可供使用的电源。 +15 V 和 -15 V 为模拟组件电源，如运算放大器和线性稳压器等。 +5 V 为数字组件电源，如逻辑设备等。电源、模拟输出和数字输出的总功率限制为 500 mW。可提供测量电压（DC 和AC）、电流（DC 和AC）、电阻和二极管电压降的功能。</w:t>
            </w:r>
          </w:p>
          <w:p>
            <w:pPr>
              <w:widowControl w:val="0"/>
              <w:rPr>
                <w:rFonts w:hint="eastAsia" w:ascii="黑体" w:hAnsi="黑体" w:eastAsia="黑体" w:cs="黑体"/>
                <w:sz w:val="20"/>
                <w:szCs w:val="20"/>
              </w:rPr>
            </w:pPr>
            <w:r>
              <w:rPr>
                <w:rFonts w:hint="eastAsia" w:ascii="黑体" w:hAnsi="黑体" w:eastAsia="黑体" w:cs="黑体"/>
                <w:sz w:val="20"/>
                <w:szCs w:val="20"/>
              </w:rPr>
              <w:t>9、配套电路设计仿真软件：</w:t>
            </w:r>
          </w:p>
          <w:p>
            <w:pPr>
              <w:widowControl w:val="0"/>
              <w:rPr>
                <w:rFonts w:hint="eastAsia" w:ascii="黑体" w:hAnsi="黑体" w:eastAsia="黑体" w:cs="黑体"/>
                <w:sz w:val="20"/>
                <w:szCs w:val="20"/>
              </w:rPr>
            </w:pPr>
            <w:r>
              <w:rPr>
                <w:rFonts w:hint="eastAsia" w:ascii="黑体" w:hAnsi="黑体" w:eastAsia="黑体" w:cs="黑体"/>
                <w:sz w:val="20"/>
                <w:szCs w:val="20"/>
              </w:rPr>
              <w:t>9.1软件要求结合直观的捕捉和功能强大的仿真，能够快速、轻松、高效地对电路进行设计和验证；</w:t>
            </w:r>
          </w:p>
          <w:p>
            <w:pPr>
              <w:widowControl w:val="0"/>
              <w:rPr>
                <w:rFonts w:hint="eastAsia" w:ascii="黑体" w:hAnsi="黑体" w:eastAsia="黑体" w:cs="黑体"/>
                <w:sz w:val="20"/>
                <w:szCs w:val="20"/>
              </w:rPr>
            </w:pPr>
            <w:r>
              <w:rPr>
                <w:rFonts w:hint="eastAsia" w:ascii="黑体" w:hAnsi="黑体" w:eastAsia="黑体" w:cs="黑体"/>
                <w:sz w:val="20"/>
                <w:szCs w:val="20"/>
              </w:rPr>
              <w:t>9.2软件要求可创建具有完整组件库的电路图，可利用工业标准SPICE模拟器模仿电路行为；</w:t>
            </w:r>
          </w:p>
          <w:p>
            <w:pPr>
              <w:widowControl w:val="0"/>
              <w:rPr>
                <w:rFonts w:hint="eastAsia" w:ascii="黑体" w:hAnsi="黑体" w:eastAsia="黑体" w:cs="黑体"/>
                <w:sz w:val="20"/>
                <w:szCs w:val="20"/>
              </w:rPr>
            </w:pPr>
            <w:r>
              <w:rPr>
                <w:rFonts w:hint="eastAsia" w:ascii="黑体" w:hAnsi="黑体" w:eastAsia="黑体" w:cs="黑体"/>
                <w:sz w:val="20"/>
                <w:szCs w:val="20"/>
              </w:rPr>
              <w:t>9.3软件要求可完成对电路设计的迅速验证，缩短建模循环；</w:t>
            </w:r>
          </w:p>
          <w:p>
            <w:pPr>
              <w:widowControl w:val="0"/>
              <w:rPr>
                <w:rFonts w:hint="eastAsia" w:ascii="黑体" w:hAnsi="黑体" w:eastAsia="黑体" w:cs="黑体"/>
                <w:sz w:val="20"/>
                <w:szCs w:val="20"/>
              </w:rPr>
            </w:pPr>
            <w:r>
              <w:rPr>
                <w:rFonts w:hint="eastAsia" w:ascii="黑体" w:hAnsi="黑体" w:eastAsia="黑体" w:cs="黑体"/>
                <w:sz w:val="20"/>
                <w:szCs w:val="20"/>
              </w:rPr>
              <w:t>9.4软件要求具备设计流程以及模拟数据的实现建模测量的功能；</w:t>
            </w:r>
          </w:p>
          <w:p>
            <w:pPr>
              <w:widowControl w:val="0"/>
              <w:rPr>
                <w:rFonts w:hint="eastAsia" w:ascii="黑体" w:hAnsi="黑体" w:eastAsia="黑体" w:cs="黑体"/>
                <w:sz w:val="20"/>
                <w:szCs w:val="20"/>
              </w:rPr>
            </w:pPr>
            <w:r>
              <w:rPr>
                <w:rFonts w:hint="eastAsia" w:ascii="黑体" w:hAnsi="黑体" w:eastAsia="黑体" w:cs="黑体"/>
                <w:sz w:val="20"/>
                <w:szCs w:val="20"/>
              </w:rPr>
              <w:t>9.5软件要求可进行电路的仿真与教学结论的补充验证，快速理解与验证电路的正确性；</w:t>
            </w:r>
          </w:p>
          <w:p>
            <w:pPr>
              <w:widowControl w:val="0"/>
              <w:rPr>
                <w:rFonts w:hint="eastAsia" w:ascii="黑体" w:hAnsi="黑体" w:eastAsia="黑体" w:cs="黑体"/>
                <w:sz w:val="20"/>
                <w:szCs w:val="20"/>
              </w:rPr>
            </w:pPr>
            <w:r>
              <w:rPr>
                <w:rFonts w:hint="eastAsia" w:ascii="黑体" w:hAnsi="黑体" w:eastAsia="黑体" w:cs="黑体"/>
                <w:sz w:val="20"/>
                <w:szCs w:val="20"/>
              </w:rPr>
              <w:t>10、配套电路图形化编程软件：</w:t>
            </w:r>
          </w:p>
          <w:p>
            <w:pPr>
              <w:widowControl w:val="0"/>
              <w:rPr>
                <w:rFonts w:hint="eastAsia" w:ascii="黑体" w:hAnsi="黑体" w:eastAsia="黑体" w:cs="黑体"/>
                <w:sz w:val="20"/>
                <w:szCs w:val="20"/>
              </w:rPr>
            </w:pPr>
            <w:r>
              <w:rPr>
                <w:rFonts w:hint="eastAsia" w:ascii="黑体" w:hAnsi="黑体" w:eastAsia="黑体" w:cs="黑体"/>
                <w:sz w:val="20"/>
                <w:szCs w:val="20"/>
              </w:rPr>
              <w:t>10.1软件要求采用数据流编程方式；</w:t>
            </w:r>
          </w:p>
          <w:p>
            <w:pPr>
              <w:widowControl w:val="0"/>
              <w:rPr>
                <w:rFonts w:hint="eastAsia" w:ascii="黑体" w:hAnsi="黑体" w:eastAsia="黑体" w:cs="黑体"/>
                <w:sz w:val="20"/>
                <w:szCs w:val="20"/>
              </w:rPr>
            </w:pPr>
            <w:r>
              <w:rPr>
                <w:rFonts w:hint="eastAsia" w:ascii="黑体" w:hAnsi="黑体" w:eastAsia="黑体" w:cs="黑体"/>
                <w:sz w:val="20"/>
                <w:szCs w:val="20"/>
              </w:rPr>
              <w:t>10.2软件的程序框图中节点之间的数据流向要求可决定VI及函数的执行顺序；</w:t>
            </w:r>
          </w:p>
          <w:p>
            <w:pPr>
              <w:widowControl w:val="0"/>
              <w:rPr>
                <w:rFonts w:hint="eastAsia" w:ascii="黑体" w:hAnsi="黑体" w:eastAsia="黑体" w:cs="黑体"/>
                <w:sz w:val="20"/>
                <w:szCs w:val="20"/>
              </w:rPr>
            </w:pPr>
            <w:r>
              <w:rPr>
                <w:rFonts w:hint="eastAsia" w:ascii="黑体" w:hAnsi="黑体" w:eastAsia="黑体" w:cs="黑体"/>
                <w:sz w:val="20"/>
                <w:szCs w:val="20"/>
              </w:rPr>
              <w:t>10.3软件要求可提供（如示波器、万用表）类似的控件，可用来方便地创建用户界面；</w:t>
            </w:r>
          </w:p>
          <w:p>
            <w:pPr>
              <w:widowControl w:val="0"/>
              <w:rPr>
                <w:rFonts w:hint="eastAsia" w:ascii="黑体" w:hAnsi="黑体" w:eastAsia="黑体" w:cs="黑体"/>
                <w:sz w:val="20"/>
                <w:szCs w:val="20"/>
              </w:rPr>
            </w:pPr>
            <w:r>
              <w:rPr>
                <w:rFonts w:hint="eastAsia" w:ascii="黑体" w:hAnsi="黑体" w:eastAsia="黑体" w:cs="黑体"/>
                <w:sz w:val="20"/>
                <w:szCs w:val="20"/>
              </w:rPr>
              <w:t>10.4软件使用图标和连线，可通过编程对前面板上的对象进行控制；</w:t>
            </w:r>
          </w:p>
          <w:p>
            <w:pPr>
              <w:widowControl w:val="0"/>
              <w:rPr>
                <w:rFonts w:hint="eastAsia" w:ascii="黑体" w:hAnsi="黑体" w:eastAsia="黑体" w:cs="黑体"/>
                <w:sz w:val="20"/>
                <w:szCs w:val="20"/>
              </w:rPr>
            </w:pPr>
            <w:r>
              <w:rPr>
                <w:rFonts w:hint="eastAsia" w:ascii="黑体" w:hAnsi="黑体" w:eastAsia="黑体" w:cs="黑体"/>
                <w:sz w:val="20"/>
                <w:szCs w:val="20"/>
              </w:rPr>
              <w:t>10.5软件要求采用图形化编程界面，简单易学，训练学生的编程思维，并要求可结合硬件采集平台以及电子电路焊接与智能检测系统模块练习编程，训练电路焊接能力。</w:t>
            </w:r>
          </w:p>
          <w:p>
            <w:pPr>
              <w:widowControl w:val="0"/>
              <w:rPr>
                <w:rFonts w:hint="eastAsia" w:ascii="黑体" w:hAnsi="黑体" w:eastAsia="黑体" w:cs="黑体"/>
                <w:sz w:val="20"/>
                <w:szCs w:val="20"/>
              </w:rPr>
            </w:pPr>
            <w:r>
              <w:rPr>
                <w:rFonts w:hint="eastAsia" w:ascii="黑体" w:hAnsi="黑体" w:eastAsia="黑体" w:cs="黑体"/>
                <w:sz w:val="20"/>
                <w:szCs w:val="20"/>
              </w:rPr>
              <w:t>11、双踪示波器：</w:t>
            </w:r>
          </w:p>
          <w:p>
            <w:pPr>
              <w:widowControl w:val="0"/>
              <w:rPr>
                <w:rFonts w:hint="eastAsia" w:ascii="黑体" w:hAnsi="黑体" w:eastAsia="黑体" w:cs="黑体"/>
                <w:sz w:val="20"/>
                <w:szCs w:val="20"/>
              </w:rPr>
            </w:pPr>
            <w:r>
              <w:rPr>
                <w:rFonts w:hint="eastAsia" w:ascii="黑体" w:hAnsi="黑体" w:eastAsia="黑体" w:cs="黑体"/>
                <w:sz w:val="20"/>
                <w:szCs w:val="20"/>
              </w:rPr>
              <w:t>11.1 110MHz带宽 ，1GSa/s实时采样率，双通道；</w:t>
            </w:r>
          </w:p>
          <w:p>
            <w:pPr>
              <w:widowControl w:val="0"/>
              <w:rPr>
                <w:rFonts w:hint="eastAsia" w:ascii="黑体" w:hAnsi="黑体" w:eastAsia="黑体" w:cs="黑体"/>
                <w:sz w:val="20"/>
                <w:szCs w:val="20"/>
              </w:rPr>
            </w:pPr>
            <w:r>
              <w:rPr>
                <w:rFonts w:hint="eastAsia" w:ascii="黑体" w:hAnsi="黑体" w:eastAsia="黑体" w:cs="黑体"/>
                <w:sz w:val="20"/>
                <w:szCs w:val="20"/>
              </w:rPr>
              <w:t>11.2 7英寸TFT（真彩色）液晶屏幕，65535色，分辨率不低于800 × 480 像素 ；</w:t>
            </w:r>
          </w:p>
          <w:p>
            <w:pPr>
              <w:widowControl w:val="0"/>
              <w:rPr>
                <w:rFonts w:hint="eastAsia" w:ascii="黑体" w:hAnsi="黑体" w:eastAsia="黑体" w:cs="黑体"/>
                <w:sz w:val="20"/>
                <w:szCs w:val="20"/>
              </w:rPr>
            </w:pPr>
            <w:r>
              <w:rPr>
                <w:rFonts w:hint="eastAsia" w:ascii="黑体" w:hAnsi="黑体" w:eastAsia="黑体" w:cs="黑体"/>
                <w:sz w:val="20"/>
                <w:szCs w:val="20"/>
              </w:rPr>
              <w:t>11.3 存储波形不少于16组；具备U盘存储功能；</w:t>
            </w:r>
          </w:p>
          <w:p>
            <w:pPr>
              <w:widowControl w:val="0"/>
              <w:rPr>
                <w:rFonts w:hint="eastAsia" w:ascii="黑体" w:hAnsi="黑体" w:eastAsia="黑体" w:cs="黑体"/>
                <w:sz w:val="20"/>
                <w:szCs w:val="20"/>
              </w:rPr>
            </w:pPr>
            <w:r>
              <w:rPr>
                <w:rFonts w:hint="eastAsia" w:ascii="黑体" w:hAnsi="黑体" w:eastAsia="黑体" w:cs="黑体"/>
                <w:sz w:val="20"/>
                <w:szCs w:val="20"/>
              </w:rPr>
              <w:t>11.4 具有自动量程功能，支持水平，垂直、单波形/多波形跟踪；</w:t>
            </w:r>
          </w:p>
          <w:p>
            <w:pPr>
              <w:widowControl w:val="0"/>
              <w:rPr>
                <w:rFonts w:hint="eastAsia" w:ascii="黑体" w:hAnsi="黑体" w:eastAsia="黑体" w:cs="黑体"/>
                <w:sz w:val="20"/>
                <w:szCs w:val="20"/>
              </w:rPr>
            </w:pPr>
            <w:r>
              <w:rPr>
                <w:rFonts w:hint="eastAsia" w:ascii="黑体" w:hAnsi="黑体" w:eastAsia="黑体" w:cs="黑体"/>
                <w:sz w:val="20"/>
                <w:szCs w:val="20"/>
              </w:rPr>
              <w:t>11.5 探头衰减倍数不少1X, 10X, 100X, 1000X，四 种；</w:t>
            </w:r>
          </w:p>
          <w:p>
            <w:pPr>
              <w:widowControl w:val="0"/>
              <w:rPr>
                <w:rFonts w:hint="eastAsia" w:ascii="黑体" w:hAnsi="黑体" w:eastAsia="黑体" w:cs="黑体"/>
                <w:sz w:val="20"/>
                <w:szCs w:val="20"/>
              </w:rPr>
            </w:pPr>
            <w:r>
              <w:rPr>
                <w:rFonts w:hint="eastAsia" w:ascii="黑体" w:hAnsi="黑体" w:eastAsia="黑体" w:cs="黑体"/>
                <w:sz w:val="20"/>
                <w:szCs w:val="20"/>
              </w:rPr>
              <w:t>11.6 幅度档位2 mV/div～10V /div按1～2～5进制方式步进</w:t>
            </w:r>
          </w:p>
          <w:p>
            <w:pPr>
              <w:widowControl w:val="0"/>
              <w:rPr>
                <w:rFonts w:hint="eastAsia" w:ascii="黑体" w:hAnsi="黑体" w:eastAsia="黑体" w:cs="黑体"/>
                <w:sz w:val="20"/>
                <w:szCs w:val="20"/>
              </w:rPr>
            </w:pPr>
            <w:r>
              <w:rPr>
                <w:rFonts w:hint="eastAsia" w:ascii="黑体" w:hAnsi="黑体" w:eastAsia="黑体" w:cs="黑体"/>
                <w:sz w:val="20"/>
                <w:szCs w:val="20"/>
              </w:rPr>
              <w:t>11.7 支持光标测量，光标模式不少于电压差（△V），时间差（△T），时间差&amp;电压差（△V），自动光标四种模式；</w:t>
            </w:r>
          </w:p>
          <w:p>
            <w:pPr>
              <w:widowControl w:val="0"/>
              <w:rPr>
                <w:rFonts w:hint="eastAsia" w:ascii="黑体" w:hAnsi="黑体" w:eastAsia="黑体" w:cs="黑体"/>
                <w:sz w:val="20"/>
                <w:szCs w:val="20"/>
              </w:rPr>
            </w:pPr>
            <w:r>
              <w:rPr>
                <w:rFonts w:hint="eastAsia" w:ascii="黑体" w:hAnsi="黑体" w:eastAsia="黑体" w:cs="黑体"/>
                <w:sz w:val="20"/>
                <w:szCs w:val="20"/>
              </w:rPr>
              <w:t>11.8 内置6位硬件频率计，可测量2Hz ~ 20MHz；</w:t>
            </w:r>
          </w:p>
          <w:p>
            <w:pPr>
              <w:widowControl w:val="0"/>
              <w:rPr>
                <w:rFonts w:hint="eastAsia" w:ascii="黑体" w:hAnsi="黑体" w:eastAsia="黑体" w:cs="黑体"/>
                <w:sz w:val="20"/>
                <w:szCs w:val="20"/>
              </w:rPr>
            </w:pPr>
            <w:r>
              <w:rPr>
                <w:rFonts w:hint="eastAsia" w:ascii="黑体" w:hAnsi="黑体" w:eastAsia="黑体" w:cs="黑体"/>
                <w:sz w:val="20"/>
                <w:szCs w:val="20"/>
              </w:rPr>
              <w:t>11.9 具有电流测量功能，测量范围：100.0mA/V ~ 1KA/V；</w:t>
            </w:r>
          </w:p>
          <w:p>
            <w:pPr>
              <w:widowControl w:val="0"/>
              <w:rPr>
                <w:rFonts w:hint="eastAsia" w:ascii="黑体" w:hAnsi="黑体" w:eastAsia="黑体" w:cs="黑体"/>
                <w:sz w:val="20"/>
                <w:szCs w:val="20"/>
              </w:rPr>
            </w:pPr>
            <w:r>
              <w:rPr>
                <w:rFonts w:hint="eastAsia" w:ascii="黑体" w:hAnsi="黑体" w:eastAsia="黑体" w:cs="黑体"/>
                <w:sz w:val="20"/>
                <w:szCs w:val="20"/>
              </w:rPr>
              <w:t>12、函数发生器：</w:t>
            </w:r>
          </w:p>
          <w:p>
            <w:pPr>
              <w:widowControl w:val="0"/>
              <w:rPr>
                <w:rFonts w:hint="eastAsia" w:ascii="黑体" w:hAnsi="黑体" w:eastAsia="黑体" w:cs="黑体"/>
                <w:sz w:val="20"/>
                <w:szCs w:val="20"/>
              </w:rPr>
            </w:pPr>
            <w:r>
              <w:rPr>
                <w:rFonts w:hint="eastAsia" w:ascii="黑体" w:hAnsi="黑体" w:eastAsia="黑体" w:cs="黑体"/>
                <w:sz w:val="20"/>
                <w:szCs w:val="20"/>
              </w:rPr>
              <w:t>12.1 采用DDS直接数字合成技术，产生精确、稳定、低失真的输出信号,显示部分采用2.4英寸（320*240）彩色显示屏，同时显示双通道的波形参数；最高输出频率15MHz（正弦波）,250MSa/s采样率，14bits垂直分辨率；输出幅度最高可达24Vpp，幅度分辨率最小可达1mV（0.001V）；</w:t>
            </w:r>
          </w:p>
          <w:p>
            <w:pPr>
              <w:widowControl w:val="0"/>
              <w:rPr>
                <w:rFonts w:hint="eastAsia" w:ascii="黑体" w:hAnsi="黑体" w:eastAsia="黑体" w:cs="黑体"/>
                <w:sz w:val="20"/>
                <w:szCs w:val="20"/>
              </w:rPr>
            </w:pPr>
            <w:r>
              <w:rPr>
                <w:rFonts w:hint="eastAsia" w:ascii="黑体" w:hAnsi="黑体" w:eastAsia="黑体" w:cs="黑体"/>
                <w:sz w:val="20"/>
                <w:szCs w:val="20"/>
              </w:rPr>
              <w:t>12.2 采用ABS塑料外壳的台式设计， 交流100 – 240V （AC）宽电压供电；</w:t>
            </w:r>
          </w:p>
          <w:p>
            <w:pPr>
              <w:widowControl w:val="0"/>
              <w:rPr>
                <w:rFonts w:hint="eastAsia" w:ascii="黑体" w:hAnsi="黑体" w:eastAsia="黑体" w:cs="黑体"/>
                <w:sz w:val="20"/>
                <w:szCs w:val="20"/>
              </w:rPr>
            </w:pPr>
            <w:r>
              <w:rPr>
                <w:rFonts w:hint="eastAsia" w:ascii="黑体" w:hAnsi="黑体" w:eastAsia="黑体" w:cs="黑体"/>
                <w:sz w:val="20"/>
                <w:szCs w:val="20"/>
              </w:rPr>
              <w:t>完全独立的双通道输出（相当于两个独立信号源），能够同步工作，相位差精确可调；两个通道的相位调节范围为0~359.99°，调节精度0.01°；两个通道的占空比均可独立调节，调节精度可达0.01%；</w:t>
            </w:r>
          </w:p>
          <w:p>
            <w:pPr>
              <w:widowControl w:val="0"/>
              <w:rPr>
                <w:rFonts w:hint="eastAsia" w:ascii="黑体" w:hAnsi="黑体" w:eastAsia="黑体" w:cs="黑体"/>
                <w:sz w:val="20"/>
                <w:szCs w:val="20"/>
              </w:rPr>
            </w:pPr>
            <w:r>
              <w:rPr>
                <w:rFonts w:hint="eastAsia" w:ascii="黑体" w:hAnsi="黑体" w:eastAsia="黑体" w:cs="黑体"/>
                <w:sz w:val="20"/>
                <w:szCs w:val="20"/>
              </w:rPr>
              <w:t>12.3丰富的波形输出：可输出多达99组函数/任意波形，包含35 组预置波形和64组用户自定义波形。 预置波形包含：正弦波，方波，矩形波（占空比可调），三角波，升锯齿波，降锯齿波，洛仑兹脉冲波，多频音波，无规则噪声波，阶梯三角波，正阶梯波，反阶梯波，正指数波，反指数波，正下降指数，反下降指数，正对数波，反对数波，正下降对数，反下降对数，线性调频，心电图波，梯形脉冲波，辛克脉冲波，窄脉冲波，高斯白噪声波，调幅波形，调频波形 ，正半波，负半波，正半波整流，负半波整流，CMOS(0~12V)，四通道TTL电平和DC电压，四方脉冲、八方脉冲用户自定义波形等；</w:t>
            </w:r>
          </w:p>
          <w:p>
            <w:pPr>
              <w:widowControl w:val="0"/>
              <w:numPr>
                <w:ilvl w:val="0"/>
                <w:numId w:val="7"/>
              </w:numPr>
              <w:rPr>
                <w:rFonts w:hint="eastAsia" w:ascii="黑体" w:hAnsi="黑体" w:eastAsia="黑体" w:cs="黑体"/>
                <w:sz w:val="20"/>
                <w:szCs w:val="20"/>
              </w:rPr>
            </w:pPr>
            <w:r>
              <w:rPr>
                <w:rFonts w:hint="eastAsia" w:ascii="黑体" w:hAnsi="黑体" w:eastAsia="黑体" w:cs="黑体"/>
                <w:sz w:val="20"/>
                <w:szCs w:val="20"/>
              </w:rPr>
              <w:t>真有效值数字万用表</w:t>
            </w:r>
          </w:p>
          <w:p>
            <w:pPr>
              <w:pStyle w:val="2"/>
              <w:numPr>
                <w:ilvl w:val="0"/>
                <w:numId w:val="8"/>
              </w:numPr>
              <w:ind w:left="0" w:leftChars="0" w:firstLine="0" w:firstLineChars="0"/>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设备配置要求</w:t>
            </w:r>
          </w:p>
          <w:p>
            <w:pPr>
              <w:numPr>
                <w:ilvl w:val="0"/>
                <w:numId w:val="0"/>
              </w:numPr>
              <w:ind w:leftChars="0"/>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1、实训桌一张1600*800*1200mm 2、电源台1台 3、工具柜1台</w:t>
            </w:r>
          </w:p>
          <w:p>
            <w:pPr>
              <w:numPr>
                <w:ilvl w:val="0"/>
                <w:numId w:val="0"/>
              </w:numPr>
              <w:ind w:leftChars="0"/>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4、方凳2张 5、直流电源1套（±5V,±12V）6、直流可调电源1套</w:t>
            </w:r>
          </w:p>
          <w:p>
            <w:pPr>
              <w:numPr>
                <w:ilvl w:val="0"/>
                <w:numId w:val="0"/>
              </w:numPr>
              <w:ind w:leftChars="0"/>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7、双踪示波器1台 8、函数发生器1台 9、数字万用表1台</w:t>
            </w:r>
          </w:p>
          <w:p>
            <w:pPr>
              <w:numPr>
                <w:ilvl w:val="0"/>
                <w:numId w:val="0"/>
              </w:numPr>
              <w:ind w:leftChars="0"/>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10、AI+IOT应用模块 11、数据采集器12、仿真软件1套（正版）</w:t>
            </w:r>
          </w:p>
          <w:p>
            <w:pPr>
              <w:numPr>
                <w:ilvl w:val="0"/>
                <w:numId w:val="0"/>
              </w:numPr>
              <w:ind w:leftChars="0"/>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13、编程软件1套（正版）14、竞赛套件资源包1套15、工具包1套</w:t>
            </w:r>
          </w:p>
          <w:p>
            <w:pPr>
              <w:numPr>
                <w:ilvl w:val="0"/>
                <w:numId w:val="0"/>
              </w:numPr>
              <w:ind w:left="0" w:leftChars="0" w:firstLine="0" w:firstLineChars="0"/>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sz w:val="20"/>
                <w:szCs w:val="20"/>
                <w:lang w:val="en-US" w:eastAsia="zh-CN"/>
              </w:rPr>
              <w:t>16、显示器壁装支架1只17、工作台PC电脑1套（云教室23.8寸显示器，i7-10700/16G/1T/2G独显/DVDRW）</w:t>
            </w:r>
          </w:p>
        </w:tc>
        <w:tc>
          <w:tcPr>
            <w:tcW w:w="301" w:type="pct"/>
            <w:tcBorders>
              <w:tl2br w:val="nil"/>
              <w:tr2bl w:val="nil"/>
            </w:tcBorders>
            <w:vAlign w:val="center"/>
          </w:tcPr>
          <w:p>
            <w:pPr>
              <w:widowControl/>
              <w:textAlignment w:val="center"/>
              <w:rPr>
                <w:rFonts w:hint="eastAsia" w:ascii="黑体" w:hAnsi="黑体" w:eastAsia="黑体" w:cs="黑体"/>
                <w:color w:val="000000"/>
                <w:kern w:val="2"/>
                <w:sz w:val="20"/>
                <w:szCs w:val="20"/>
                <w:lang w:val="en-US" w:eastAsia="zh-CN" w:bidi="ar-SA"/>
              </w:rPr>
            </w:pPr>
            <w:r>
              <w:rPr>
                <w:rFonts w:hint="eastAsia" w:ascii="黑体" w:hAnsi="黑体" w:eastAsia="黑体" w:cs="黑体"/>
                <w:color w:val="000000"/>
                <w:sz w:val="20"/>
                <w:szCs w:val="20"/>
                <w:lang w:val="en-US" w:eastAsia="zh-CN"/>
              </w:rPr>
              <w:t>1</w:t>
            </w:r>
          </w:p>
        </w:tc>
        <w:tc>
          <w:tcPr>
            <w:tcW w:w="272"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套</w:t>
            </w:r>
          </w:p>
        </w:tc>
        <w:tc>
          <w:tcPr>
            <w:tcW w:w="240" w:type="pct"/>
            <w:tcBorders>
              <w:tl2br w:val="nil"/>
              <w:tr2bl w:val="nil"/>
            </w:tcBorders>
            <w:vAlign w:val="center"/>
          </w:tcPr>
          <w:p>
            <w:pPr>
              <w:widowControl/>
              <w:textAlignment w:val="center"/>
              <w:rPr>
                <w:rFonts w:hint="eastAsia" w:ascii="黑体" w:hAnsi="黑体" w:eastAsia="黑体" w:cs="黑体"/>
                <w:color w:val="000000"/>
                <w:kern w:val="0"/>
                <w:sz w:val="20"/>
                <w:szCs w:val="20"/>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7"/>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b w:val="0"/>
                <w:bCs w:val="0"/>
                <w:sz w:val="20"/>
                <w:szCs w:val="20"/>
                <w:lang w:val="en-US" w:eastAsia="zh-CN"/>
              </w:rPr>
              <w:t>第1-23项为物流实训设备；第24-67项</w:t>
            </w:r>
            <w:bookmarkStart w:id="196" w:name="_GoBack"/>
            <w:bookmarkEnd w:id="196"/>
            <w:r>
              <w:rPr>
                <w:rFonts w:hint="eastAsia" w:ascii="黑体" w:hAnsi="黑体" w:eastAsia="黑体" w:cs="黑体"/>
                <w:b w:val="0"/>
                <w:bCs w:val="0"/>
                <w:sz w:val="20"/>
                <w:szCs w:val="20"/>
                <w:lang w:val="en-US" w:eastAsia="zh-CN"/>
              </w:rPr>
              <w:t>为机床专业实训设备；第68项为电子技术专业实训设备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7"/>
            <w:tcBorders>
              <w:tl2br w:val="nil"/>
              <w:tr2bl w:val="nil"/>
            </w:tcBorders>
            <w:vAlign w:val="center"/>
          </w:tcPr>
          <w:p>
            <w:pPr>
              <w:widowControl/>
              <w:jc w:val="center"/>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b w:val="0"/>
                <w:bCs w:val="0"/>
                <w:kern w:val="2"/>
                <w:sz w:val="20"/>
                <w:szCs w:val="20"/>
                <w:lang w:val="en-US" w:eastAsia="zh-CN" w:bidi="ar-SA"/>
              </w:rPr>
              <w:t>备注：费用包括人工费、材料费、税费、运输费、安装费等完成项目所需的所有费用。</w:t>
            </w:r>
          </w:p>
        </w:tc>
      </w:tr>
    </w:tbl>
    <w:p>
      <w:pPr>
        <w:rPr>
          <w:rFonts w:hint="eastAsia" w:ascii="宋体" w:hAnsi="宋体"/>
          <w:b/>
          <w:color w:val="FF0000"/>
          <w:szCs w:val="21"/>
        </w:rPr>
      </w:pPr>
    </w:p>
    <w:p>
      <w:pPr>
        <w:rPr>
          <w:rFonts w:ascii="宋体" w:hAnsi="宋体"/>
          <w:b/>
          <w:color w:val="FF0000"/>
          <w:szCs w:val="21"/>
        </w:rPr>
      </w:pPr>
      <w:r>
        <w:rPr>
          <w:rFonts w:hint="eastAsia" w:ascii="宋体" w:hAnsi="宋体"/>
          <w:b/>
          <w:color w:val="FF0000"/>
          <w:szCs w:val="21"/>
        </w:rPr>
        <w:t>说明：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0"/>
        <w:rPr>
          <w:rFonts w:ascii="宋体" w:hAnsi="宋体"/>
          <w:b/>
          <w:bCs/>
          <w:sz w:val="24"/>
          <w:highlight w:val="yellow"/>
        </w:rPr>
      </w:pPr>
      <w:r>
        <w:rPr>
          <w:rFonts w:hint="eastAsia" w:ascii="宋体" w:hAnsi="宋体"/>
          <w:b/>
          <w:sz w:val="24"/>
        </w:rPr>
        <w:t>（1）</w:t>
      </w:r>
      <w:r>
        <w:rPr>
          <w:rFonts w:hint="eastAsia" w:ascii="宋体" w:hAnsi="宋体"/>
          <w:color w:val="auto"/>
          <w:sz w:val="24"/>
          <w:highlight w:val="none"/>
        </w:rPr>
        <w:t>加注“★”号</w:t>
      </w:r>
      <w:r>
        <w:rPr>
          <w:rFonts w:hint="eastAsia" w:ascii="宋体" w:hAnsi="宋体"/>
          <w:color w:val="auto"/>
          <w:sz w:val="24"/>
          <w:highlight w:val="none"/>
          <w:lang w:val="en-US" w:eastAsia="zh-CN"/>
        </w:rPr>
        <w:t>且加粗</w:t>
      </w:r>
      <w:r>
        <w:rPr>
          <w:rFonts w:hint="eastAsia" w:ascii="宋体" w:hAnsi="宋体"/>
          <w:color w:val="auto"/>
          <w:sz w:val="24"/>
          <w:highlight w:val="none"/>
        </w:rPr>
        <w:t>条款为实质性条款，不得出现负偏离，发生负偏离即做无效标处理</w:t>
      </w:r>
      <w:r>
        <w:rPr>
          <w:rFonts w:hint="eastAsia" w:ascii="宋体" w:hAnsi="宋体"/>
          <w:color w:val="auto"/>
          <w:sz w:val="24"/>
          <w:highlight w:val="none"/>
          <w:lang w:eastAsia="zh-CN"/>
        </w:rPr>
        <w:t>；</w:t>
      </w:r>
      <w:r>
        <w:rPr>
          <w:rFonts w:hint="eastAsia" w:ascii="宋体" w:hAnsi="宋体"/>
          <w:b/>
          <w:bCs/>
          <w:color w:val="auto"/>
          <w:sz w:val="24"/>
          <w:highlight w:val="none"/>
          <w:lang w:eastAsia="zh-CN"/>
        </w:rPr>
        <w:t>（“第</w:t>
      </w:r>
      <w:r>
        <w:rPr>
          <w:rFonts w:hint="eastAsia" w:ascii="宋体" w:hAnsi="宋体"/>
          <w:b/>
          <w:bCs/>
          <w:color w:val="auto"/>
          <w:sz w:val="24"/>
          <w:highlight w:val="none"/>
          <w:lang w:val="en-US" w:eastAsia="zh-CN"/>
        </w:rPr>
        <w:t>五</w:t>
      </w:r>
      <w:r>
        <w:rPr>
          <w:rFonts w:hint="eastAsia" w:ascii="宋体" w:hAnsi="宋体"/>
          <w:b/>
          <w:bCs/>
          <w:color w:val="auto"/>
          <w:sz w:val="24"/>
          <w:highlight w:val="none"/>
          <w:lang w:eastAsia="zh-CN"/>
        </w:rPr>
        <w:t>章 采购需求”中技术参数要求，均为实质性条款，不得有负偏离，若有负偏离或不满足则导致投标无效</w:t>
      </w:r>
      <w:r>
        <w:rPr>
          <w:rFonts w:hint="eastAsia" w:ascii="宋体" w:hAnsi="宋体"/>
          <w:b/>
          <w:bCs/>
          <w:color w:val="auto"/>
          <w:sz w:val="24"/>
          <w:highlight w:val="none"/>
        </w:rPr>
        <w:t>。</w:t>
      </w:r>
      <w:r>
        <w:rPr>
          <w:rFonts w:hint="eastAsia" w:ascii="宋体" w:hAnsi="宋体"/>
          <w:b/>
          <w:bCs/>
          <w:color w:val="auto"/>
          <w:sz w:val="24"/>
          <w:highlight w:val="none"/>
          <w:lang w:eastAsia="zh-CN"/>
        </w:rPr>
        <w:t>）</w:t>
      </w:r>
    </w:p>
    <w:p>
      <w:pPr>
        <w:spacing w:line="360" w:lineRule="auto"/>
        <w:ind w:firstLine="480" w:firstLineChars="200"/>
        <w:outlineLvl w:val="0"/>
        <w:rPr>
          <w:rFonts w:ascii="宋体" w:hAnsi="宋体"/>
          <w:sz w:val="24"/>
          <w:highlight w:val="none"/>
        </w:rPr>
      </w:pPr>
      <w:r>
        <w:rPr>
          <w:rFonts w:hint="eastAsia" w:ascii="宋体" w:hAnsi="宋体"/>
          <w:sz w:val="24"/>
        </w:rPr>
        <w:t>（2）加注“▲”号的产品为核心产品，任意一种核心产品为同一品牌时，按照87号令第三十一条执行。</w:t>
      </w:r>
      <w:r>
        <w:rPr>
          <w:rFonts w:hint="eastAsia" w:ascii="宋体" w:hAnsi="宋体"/>
          <w:b/>
          <w:bCs/>
          <w:sz w:val="24"/>
          <w:highlight w:val="none"/>
          <w:lang w:eastAsia="zh-CN"/>
        </w:rPr>
        <w:t>【</w:t>
      </w:r>
      <w:r>
        <w:rPr>
          <w:rFonts w:hint="eastAsia" w:ascii="宋体" w:hAnsi="宋体" w:eastAsia="宋体" w:cs="Times New Roman"/>
          <w:b/>
          <w:bCs/>
          <w:sz w:val="24"/>
          <w:highlight w:val="none"/>
          <w:lang w:val="en-US" w:eastAsia="zh-CN"/>
        </w:rPr>
        <w:t>本项目核心产品为普通车床</w:t>
      </w:r>
      <w:r>
        <w:rPr>
          <w:rFonts w:hint="eastAsia" w:ascii="宋体" w:hAnsi="宋体" w:cs="Times New Roman"/>
          <w:b/>
          <w:bCs/>
          <w:sz w:val="24"/>
          <w:highlight w:val="none"/>
          <w:lang w:val="en-US" w:eastAsia="zh-CN"/>
        </w:rPr>
        <w:t>】</w:t>
      </w:r>
    </w:p>
    <w:p>
      <w:pPr>
        <w:spacing w:line="360" w:lineRule="auto"/>
        <w:ind w:firstLine="480" w:firstLineChars="200"/>
        <w:outlineLvl w:val="0"/>
        <w:rPr>
          <w:rFonts w:ascii="宋体" w:hAnsi="宋体"/>
          <w:sz w:val="24"/>
        </w:rPr>
      </w:pPr>
      <w:r>
        <w:rPr>
          <w:rFonts w:hint="eastAsia" w:hAnsi="宋体"/>
          <w:sz w:val="24"/>
        </w:rPr>
        <w:t>（3）加注“■”产品依照《关于印发节能产品政府采购品目清单的通知》（财库〔</w:t>
      </w:r>
      <w:r>
        <w:rPr>
          <w:rFonts w:hint="eastAsia"/>
          <w:sz w:val="24"/>
        </w:rPr>
        <w:t>2019</w:t>
      </w:r>
      <w:r>
        <w:rPr>
          <w:rFonts w:hint="eastAsia" w:hAnsi="宋体"/>
          <w:sz w:val="24"/>
        </w:rPr>
        <w:t>〕</w:t>
      </w:r>
      <w:r>
        <w:rPr>
          <w:rFonts w:hint="eastAsia"/>
          <w:sz w:val="24"/>
        </w:rPr>
        <w:t>19</w:t>
      </w:r>
      <w:r>
        <w:rPr>
          <w:rFonts w:hint="eastAsia" w:hAnsi="宋体"/>
          <w:sz w:val="24"/>
        </w:rPr>
        <w:t>号）文件要求属于现行节能产品政府采购强制采购的产品，投标人只能选择符合按照《关于调整优化节能产品、环境标志产品政府采购执行机制的通知》（财库〔</w:t>
      </w:r>
      <w:r>
        <w:rPr>
          <w:rFonts w:hint="eastAsia"/>
          <w:sz w:val="24"/>
        </w:rPr>
        <w:t>2019</w:t>
      </w:r>
      <w:r>
        <w:rPr>
          <w:rFonts w:hint="eastAsia" w:hAnsi="宋体"/>
          <w:sz w:val="24"/>
        </w:rPr>
        <w:t>〕</w:t>
      </w:r>
      <w:r>
        <w:rPr>
          <w:rFonts w:hint="eastAsia"/>
          <w:sz w:val="24"/>
        </w:rPr>
        <w:t>9</w:t>
      </w:r>
      <w:r>
        <w:rPr>
          <w:rFonts w:hint="eastAsia" w:hAnsi="宋体"/>
          <w:sz w:val="24"/>
        </w:rPr>
        <w:t>号）、《关于印发节能产品政府采购品目清单的通知》（财库〔</w:t>
      </w:r>
      <w:r>
        <w:rPr>
          <w:rFonts w:hint="eastAsia"/>
          <w:sz w:val="24"/>
        </w:rPr>
        <w:t>2019</w:t>
      </w:r>
      <w:r>
        <w:rPr>
          <w:rFonts w:hint="eastAsia" w:hAnsi="宋体"/>
          <w:sz w:val="24"/>
        </w:rPr>
        <w:t>〕</w:t>
      </w:r>
      <w:r>
        <w:rPr>
          <w:rFonts w:hint="eastAsia"/>
          <w:sz w:val="24"/>
        </w:rPr>
        <w:t>19</w:t>
      </w:r>
      <w:r>
        <w:rPr>
          <w:rFonts w:hint="eastAsia" w:hAnsi="宋体"/>
          <w:sz w:val="24"/>
        </w:rPr>
        <w:t>号）、《市场监管总局关于发布参与实施政府采购节能产品、环境标志产品认证机构名录的公告》（</w:t>
      </w:r>
      <w:r>
        <w:rPr>
          <w:rFonts w:hint="eastAsia"/>
          <w:sz w:val="24"/>
        </w:rPr>
        <w:t>2019</w:t>
      </w:r>
      <w:r>
        <w:rPr>
          <w:rFonts w:hint="eastAsia" w:hAnsi="宋体"/>
          <w:sz w:val="24"/>
        </w:rPr>
        <w:t>年第</w:t>
      </w:r>
      <w:r>
        <w:rPr>
          <w:rFonts w:hint="eastAsia"/>
          <w:sz w:val="24"/>
        </w:rPr>
        <w:t>16</w:t>
      </w:r>
      <w:r>
        <w:rPr>
          <w:rFonts w:hint="eastAsia" w:hAnsi="宋体"/>
          <w:sz w:val="24"/>
        </w:rPr>
        <w:t>号）等文件要求的强制采购的节能产品进行投标，并提供相关认证证书扫描件，否则不予认定，将视同为无效投标。</w:t>
      </w:r>
    </w:p>
    <w:p>
      <w:pPr>
        <w:spacing w:line="360" w:lineRule="auto"/>
        <w:ind w:firstLine="480" w:firstLineChars="200"/>
        <w:outlineLvl w:val="0"/>
        <w:rPr>
          <w:rFonts w:ascii="宋体" w:hAnsi="宋体"/>
          <w:sz w:val="24"/>
        </w:rPr>
      </w:pPr>
      <w:r>
        <w:rPr>
          <w:rFonts w:hint="eastAsia" w:ascii="宋体" w:hAnsi="宋体"/>
          <w:sz w:val="24"/>
        </w:rPr>
        <w:t>（4）以上所有参数仅作为性能描述，潜在供应商提供的设备技术参数不低于（相当于）该参数性能均为满足。如果以上参数表述有某个特定品牌的规格型号，投标单位可参照该项目的技术标准选择其他品牌产品替代，并做出说明，原则上不能降低投标产品性能。</w:t>
      </w:r>
    </w:p>
    <w:p>
      <w:pPr>
        <w:spacing w:line="360" w:lineRule="auto"/>
        <w:ind w:firstLine="480" w:firstLineChars="200"/>
        <w:outlineLvl w:val="0"/>
        <w:rPr>
          <w:rFonts w:ascii="宋体" w:hAnsi="宋体"/>
          <w:sz w:val="24"/>
        </w:rPr>
      </w:pPr>
      <w:r>
        <w:rPr>
          <w:rFonts w:hint="eastAsia" w:ascii="宋体" w:hAnsi="宋体"/>
          <w:sz w:val="24"/>
        </w:rPr>
        <w:t>（5）如果以上参数关于外观、功能或重量、尺寸（需现场定制或影响使用的情况除外）的表述为某一品牌独有的，可不作为必须满足的条件，即不得以此项内容取消投标人投标资格。投标人应在投标文件中对此种情况做出说明。</w:t>
      </w:r>
    </w:p>
    <w:p>
      <w:pPr>
        <w:spacing w:line="360" w:lineRule="auto"/>
        <w:ind w:firstLine="480" w:firstLineChars="200"/>
        <w:outlineLvl w:val="0"/>
        <w:rPr>
          <w:rFonts w:ascii="宋体" w:hAnsi="宋体"/>
          <w:sz w:val="24"/>
        </w:rPr>
      </w:pPr>
      <w:r>
        <w:rPr>
          <w:rFonts w:hint="eastAsia" w:ascii="宋体" w:hAnsi="宋体"/>
          <w:sz w:val="24"/>
        </w:rPr>
        <w:t>（6）标书中需附所投产品的品牌、规格、参数和清晰图例。</w:t>
      </w:r>
    </w:p>
    <w:p>
      <w:pPr>
        <w:pStyle w:val="35"/>
        <w:sectPr>
          <w:footerReference r:id="rId18"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第六章 投标文件格式</w:t>
      </w:r>
      <w:bookmarkEnd w:id="195"/>
    </w:p>
    <w:p>
      <w:pPr>
        <w:adjustRightInd w:val="0"/>
        <w:snapToGrid w:val="0"/>
        <w:spacing w:line="400" w:lineRule="atLeast"/>
        <w:jc w:val="center"/>
        <w:rPr>
          <w:rFonts w:ascii="宋体" w:hAnsi="宋体"/>
          <w:b/>
          <w:color w:val="000000" w:themeColor="text1"/>
          <w:szCs w:val="21"/>
          <w14:textFill>
            <w14:solidFill>
              <w14:schemeClr w14:val="tx1"/>
            </w14:solidFill>
          </w14:textFill>
        </w:rPr>
      </w:pPr>
    </w:p>
    <w:p>
      <w:pPr>
        <w:adjustRightInd w:val="0"/>
        <w:snapToGrid w:val="0"/>
        <w:spacing w:line="400" w:lineRule="atLeast"/>
        <w:jc w:val="center"/>
        <w:rPr>
          <w:rFonts w:ascii="宋体" w:hAnsi="宋体"/>
          <w:b/>
          <w:color w:val="000000" w:themeColor="text1"/>
          <w:szCs w:val="21"/>
          <w14:textFill>
            <w14:solidFill>
              <w14:schemeClr w14:val="tx1"/>
            </w14:solidFill>
          </w14:textFill>
        </w:rPr>
      </w:pPr>
    </w:p>
    <w:p>
      <w:pPr>
        <w:adjustRightInd w:val="0"/>
        <w:snapToGrid w:val="0"/>
        <w:spacing w:line="400" w:lineRule="atLeast"/>
        <w:jc w:val="center"/>
        <w:rPr>
          <w:rFonts w:ascii="宋体" w:hAnsi="宋体"/>
          <w:bCs/>
          <w:color w:val="000000" w:themeColor="text1"/>
          <w:sz w:val="52"/>
          <w:szCs w:val="52"/>
          <w14:textFill>
            <w14:solidFill>
              <w14:schemeClr w14:val="tx1"/>
            </w14:solidFill>
          </w14:textFill>
        </w:rPr>
      </w:pPr>
    </w:p>
    <w:p>
      <w:pPr>
        <w:adjustRightInd w:val="0"/>
        <w:snapToGrid w:val="0"/>
        <w:spacing w:line="400" w:lineRule="atLeast"/>
        <w:jc w:val="center"/>
        <w:rPr>
          <w:rFonts w:ascii="宋体" w:hAnsi="宋体"/>
          <w:bCs/>
          <w:color w:val="000000" w:themeColor="text1"/>
          <w:sz w:val="52"/>
          <w:szCs w:val="52"/>
          <w14:textFill>
            <w14:solidFill>
              <w14:schemeClr w14:val="tx1"/>
            </w14:solidFill>
          </w14:textFill>
        </w:rPr>
      </w:pPr>
      <w:r>
        <w:rPr>
          <w:rFonts w:hint="eastAsia" w:ascii="宋体" w:hAnsi="宋体"/>
          <w:bCs/>
          <w:color w:val="000000" w:themeColor="text1"/>
          <w:sz w:val="52"/>
          <w:szCs w:val="52"/>
          <w14:textFill>
            <w14:solidFill>
              <w14:schemeClr w14:val="tx1"/>
            </w14:solidFill>
          </w14:textFill>
        </w:rPr>
        <w:t>投 标 文 件</w:t>
      </w:r>
    </w:p>
    <w:p>
      <w:pPr>
        <w:spacing w:before="312" w:beforeLines="100"/>
        <w:jc w:val="center"/>
        <w:rPr>
          <w:rFonts w:ascii="宋体" w:hAnsi="宋体"/>
          <w:b/>
          <w:bCs/>
          <w:color w:val="000000" w:themeColor="text1"/>
          <w:sz w:val="28"/>
          <w:szCs w:val="28"/>
          <w14:textFill>
            <w14:solidFill>
              <w14:schemeClr w14:val="tx1"/>
            </w14:solidFill>
          </w14:textFill>
        </w:rPr>
      </w:pPr>
    </w:p>
    <w:p>
      <w:pPr>
        <w:spacing w:before="312" w:beforeLines="100"/>
        <w:jc w:val="center"/>
        <w:rPr>
          <w:rFonts w:ascii="宋体" w:hAnsi="宋体"/>
          <w:b/>
          <w:color w:val="000000" w:themeColor="text1"/>
          <w:sz w:val="44"/>
          <w:szCs w:val="44"/>
          <w14:textFill>
            <w14:solidFill>
              <w14:schemeClr w14:val="tx1"/>
            </w14:solidFill>
          </w14:textFill>
        </w:rPr>
      </w:pPr>
    </w:p>
    <w:p>
      <w:pPr>
        <w:snapToGrid w:val="0"/>
        <w:spacing w:before="312" w:beforeLines="100" w:after="312" w:afterLines="100" w:line="360" w:lineRule="auto"/>
        <w:ind w:firstLine="993" w:firstLineChars="412"/>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项目名称：</w:t>
      </w:r>
      <w:r>
        <w:rPr>
          <w:rFonts w:hint="eastAsia" w:ascii="宋体" w:hAnsi="宋体"/>
          <w:b/>
          <w:bCs/>
          <w:color w:val="000000" w:themeColor="text1"/>
          <w:sz w:val="24"/>
          <w:u w:val="single"/>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 xml:space="preserve"> </w:t>
      </w:r>
    </w:p>
    <w:p>
      <w:pPr>
        <w:snapToGrid w:val="0"/>
        <w:spacing w:before="312" w:beforeLines="100" w:after="312" w:afterLines="100" w:line="360" w:lineRule="auto"/>
        <w:ind w:firstLine="985" w:firstLineChars="409"/>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项目编号（标项号）：</w:t>
      </w:r>
      <w:r>
        <w:rPr>
          <w:rFonts w:hint="eastAsia" w:ascii="宋体" w:hAnsi="宋体"/>
          <w:b/>
          <w:bCs/>
          <w:color w:val="000000" w:themeColor="text1"/>
          <w:sz w:val="24"/>
          <w:u w:val="single"/>
          <w14:textFill>
            <w14:solidFill>
              <w14:schemeClr w14:val="tx1"/>
            </w14:solidFill>
          </w14:textFill>
        </w:rPr>
        <w:t xml:space="preserve">                         </w:t>
      </w:r>
      <w:r>
        <w:rPr>
          <w:rFonts w:ascii="宋体" w:hAnsi="宋体"/>
          <w:b/>
          <w:bCs/>
          <w:color w:val="000000" w:themeColor="text1"/>
          <w:sz w:val="24"/>
          <w14:textFill>
            <w14:solidFill>
              <w14:schemeClr w14:val="tx1"/>
            </w14:solidFill>
          </w14:textFill>
        </w:rPr>
        <w:t xml:space="preserve"> </w:t>
      </w:r>
    </w:p>
    <w:p>
      <w:pPr>
        <w:snapToGrid w:val="0"/>
        <w:spacing w:before="312" w:beforeLines="100" w:after="312" w:afterLines="100" w:line="360" w:lineRule="auto"/>
        <w:ind w:firstLine="985" w:firstLineChars="409"/>
        <w:rPr>
          <w:rFonts w:ascii="宋体" w:hAnsi="宋体"/>
          <w:b/>
          <w:bCs/>
          <w:color w:val="000000" w:themeColor="text1"/>
          <w:sz w:val="24"/>
          <w:u w:val="single"/>
          <w14:textFill>
            <w14:solidFill>
              <w14:schemeClr w14:val="tx1"/>
            </w14:solidFill>
          </w14:textFill>
        </w:rPr>
      </w:pPr>
      <w:r>
        <w:rPr>
          <w:rFonts w:hint="eastAsia" w:ascii="宋体" w:hAnsi="宋体"/>
          <w:b/>
          <w:bCs/>
          <w:color w:val="000000" w:themeColor="text1"/>
          <w:sz w:val="24"/>
          <w14:textFill>
            <w14:solidFill>
              <w14:schemeClr w14:val="tx1"/>
            </w14:solidFill>
          </w14:textFill>
        </w:rPr>
        <w:t>包装内容：</w:t>
      </w:r>
      <w:r>
        <w:rPr>
          <w:rFonts w:hint="eastAsia" w:ascii="宋体" w:hAnsi="宋体"/>
          <w:b/>
          <w:bCs/>
          <w:color w:val="000000" w:themeColor="text1"/>
          <w:sz w:val="24"/>
          <w:u w:val="single"/>
          <w14:textFill>
            <w14:solidFill>
              <w14:schemeClr w14:val="tx1"/>
            </w14:solidFill>
          </w14:textFill>
        </w:rPr>
        <w:t xml:space="preserve">                                   </w:t>
      </w:r>
    </w:p>
    <w:p>
      <w:pPr>
        <w:pStyle w:val="13"/>
        <w:snapToGrid w:val="0"/>
        <w:spacing w:before="312" w:beforeLines="100" w:after="312" w:afterLines="100" w:line="360" w:lineRule="auto"/>
        <w:ind w:firstLine="981" w:firstLineChars="407"/>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投标人名称：</w:t>
      </w:r>
      <w:r>
        <w:rPr>
          <w:rFonts w:hint="eastAsia" w:ascii="宋体" w:hAnsi="宋体"/>
          <w:b/>
          <w:bCs/>
          <w:color w:val="000000" w:themeColor="text1"/>
          <w:sz w:val="24"/>
          <w:szCs w:val="24"/>
          <w:u w:val="single"/>
          <w14:textFill>
            <w14:solidFill>
              <w14:schemeClr w14:val="tx1"/>
            </w14:solidFill>
          </w14:textFill>
        </w:rPr>
        <w:t xml:space="preserve">                      （</w:t>
      </w:r>
      <w:r>
        <w:rPr>
          <w:rFonts w:hint="eastAsia" w:ascii="宋体" w:hAnsi="宋体"/>
          <w:b/>
          <w:bCs/>
          <w:color w:val="000000" w:themeColor="text1"/>
          <w:sz w:val="24"/>
          <w:szCs w:val="24"/>
          <w14:textFill>
            <w14:solidFill>
              <w14:schemeClr w14:val="tx1"/>
            </w14:solidFill>
          </w14:textFill>
        </w:rPr>
        <w:t>加盖签章）</w:t>
      </w:r>
    </w:p>
    <w:p>
      <w:pPr>
        <w:pStyle w:val="13"/>
        <w:snapToGrid w:val="0"/>
        <w:spacing w:before="312" w:beforeLines="100" w:after="312" w:afterLines="100" w:line="360" w:lineRule="auto"/>
        <w:ind w:firstLine="985" w:firstLineChars="409"/>
        <w:rPr>
          <w:rFonts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投标人地址：</w:t>
      </w:r>
      <w:r>
        <w:rPr>
          <w:rFonts w:hint="eastAsia" w:ascii="宋体" w:hAnsi="宋体"/>
          <w:b/>
          <w:bCs/>
          <w:color w:val="000000" w:themeColor="text1"/>
          <w:sz w:val="24"/>
          <w:szCs w:val="24"/>
          <w:u w:val="single"/>
          <w14:textFill>
            <w14:solidFill>
              <w14:schemeClr w14:val="tx1"/>
            </w14:solidFill>
          </w14:textFill>
        </w:rPr>
        <w:t xml:space="preserve">                                 </w:t>
      </w:r>
    </w:p>
    <w:p>
      <w:pPr>
        <w:pStyle w:val="13"/>
        <w:snapToGrid w:val="0"/>
        <w:spacing w:before="312" w:beforeLines="100" w:after="312" w:afterLines="100" w:line="360" w:lineRule="auto"/>
        <w:ind w:firstLine="985" w:firstLineChars="409"/>
        <w:rPr>
          <w:rFonts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投标联系人：</w:t>
      </w:r>
      <w:r>
        <w:rPr>
          <w:rFonts w:hint="eastAsia" w:ascii="宋体" w:hAnsi="宋体"/>
          <w:b/>
          <w:bCs/>
          <w:color w:val="000000" w:themeColor="text1"/>
          <w:sz w:val="24"/>
          <w:szCs w:val="24"/>
          <w:u w:val="single"/>
          <w14:textFill>
            <w14:solidFill>
              <w14:schemeClr w14:val="tx1"/>
            </w14:solidFill>
          </w14:textFill>
        </w:rPr>
        <w:t xml:space="preserve">                                 </w:t>
      </w:r>
    </w:p>
    <w:p>
      <w:pPr>
        <w:pStyle w:val="13"/>
        <w:snapToGrid w:val="0"/>
        <w:spacing w:before="312" w:beforeLines="100" w:after="312" w:afterLines="100" w:line="360" w:lineRule="auto"/>
        <w:ind w:firstLine="985" w:firstLineChars="409"/>
        <w:rPr>
          <w:rFonts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联系电话/传真:</w:t>
      </w:r>
      <w:r>
        <w:rPr>
          <w:rFonts w:hint="eastAsia" w:ascii="宋体" w:hAnsi="宋体"/>
          <w:b/>
          <w:bCs/>
          <w:color w:val="000000" w:themeColor="text1"/>
          <w:sz w:val="24"/>
          <w:szCs w:val="24"/>
          <w:u w:val="single"/>
          <w14:textFill>
            <w14:solidFill>
              <w14:schemeClr w14:val="tx1"/>
            </w14:solidFill>
          </w14:textFill>
        </w:rPr>
        <w:t xml:space="preserve">                               </w:t>
      </w:r>
    </w:p>
    <w:p>
      <w:pPr>
        <w:autoSpaceDE w:val="0"/>
        <w:autoSpaceDN w:val="0"/>
        <w:adjustRightInd w:val="0"/>
        <w:snapToGrid w:val="0"/>
        <w:spacing w:before="156" w:beforeLines="50" w:after="156" w:afterLines="50" w:line="360" w:lineRule="auto"/>
        <w:jc w:val="right"/>
        <w:rPr>
          <w:rFonts w:ascii="宋体" w:hAnsi="宋体"/>
          <w:b/>
          <w:color w:val="000000" w:themeColor="text1"/>
          <w:sz w:val="32"/>
          <w:szCs w:val="32"/>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bookmarkEnd w:id="0"/>
    <w:p>
      <w:pPr>
        <w:adjustRightInd w:val="0"/>
        <w:snapToGrid w:val="0"/>
        <w:spacing w:line="360" w:lineRule="auto"/>
        <w:jc w:val="center"/>
        <w:rPr>
          <w:rFonts w:ascii="宋体" w:hAnsi="宋体"/>
          <w:b/>
          <w:color w:val="auto"/>
          <w:sz w:val="28"/>
          <w:szCs w:val="28"/>
        </w:rPr>
      </w:pPr>
      <w:r>
        <w:rPr>
          <w:rFonts w:hint="eastAsia" w:ascii="宋体" w:hAnsi="宋体"/>
          <w:b/>
          <w:color w:val="auto"/>
          <w:sz w:val="28"/>
          <w:szCs w:val="28"/>
        </w:rPr>
        <w:t>投标文件编制顺序</w:t>
      </w:r>
    </w:p>
    <w:tbl>
      <w:tblPr>
        <w:tblStyle w:val="48"/>
        <w:tblW w:w="8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663"/>
        <w:gridCol w:w="3911"/>
        <w:gridCol w:w="1700"/>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58" w:type="dxa"/>
            <w:gridSpan w:val="2"/>
            <w:noWrap w:val="0"/>
            <w:vAlign w:val="center"/>
          </w:tcPr>
          <w:p>
            <w:pPr>
              <w:adjustRightInd w:val="0"/>
              <w:snapToGrid w:val="0"/>
              <w:spacing w:line="240" w:lineRule="auto"/>
              <w:jc w:val="center"/>
              <w:rPr>
                <w:rFonts w:hint="default" w:ascii="宋体" w:hAnsi="宋体"/>
                <w:b/>
                <w:color w:val="auto"/>
                <w:szCs w:val="21"/>
                <w:vertAlign w:val="baseline"/>
                <w:lang w:val="en-US" w:eastAsia="zh-CN"/>
              </w:rPr>
            </w:pPr>
            <w:r>
              <w:rPr>
                <w:rFonts w:hint="eastAsia" w:ascii="宋体" w:hAnsi="宋体"/>
                <w:b/>
                <w:color w:val="auto"/>
                <w:szCs w:val="21"/>
                <w:vertAlign w:val="baseline"/>
                <w:lang w:val="en-US" w:eastAsia="zh-CN"/>
              </w:rPr>
              <w:t>名称</w:t>
            </w:r>
          </w:p>
        </w:tc>
        <w:tc>
          <w:tcPr>
            <w:tcW w:w="3911" w:type="dxa"/>
            <w:noWrap w:val="0"/>
            <w:vAlign w:val="center"/>
          </w:tcPr>
          <w:p>
            <w:pPr>
              <w:adjustRightInd w:val="0"/>
              <w:snapToGrid w:val="0"/>
              <w:spacing w:line="240" w:lineRule="auto"/>
              <w:jc w:val="center"/>
              <w:rPr>
                <w:rFonts w:hint="default" w:ascii="宋体" w:hAnsi="宋体"/>
                <w:b/>
                <w:color w:val="auto"/>
                <w:szCs w:val="21"/>
                <w:vertAlign w:val="baseline"/>
                <w:lang w:val="en-US" w:eastAsia="zh-CN"/>
              </w:rPr>
            </w:pPr>
            <w:r>
              <w:rPr>
                <w:rFonts w:hint="eastAsia" w:ascii="宋体" w:hAnsi="宋体"/>
                <w:b/>
                <w:color w:val="auto"/>
                <w:szCs w:val="21"/>
                <w:vertAlign w:val="baseline"/>
                <w:lang w:val="en-US" w:eastAsia="zh-CN"/>
              </w:rPr>
              <w:t>编制内容</w:t>
            </w:r>
          </w:p>
        </w:tc>
        <w:tc>
          <w:tcPr>
            <w:tcW w:w="1700" w:type="dxa"/>
            <w:noWrap w:val="0"/>
            <w:vAlign w:val="center"/>
          </w:tcPr>
          <w:p>
            <w:pPr>
              <w:adjustRightInd w:val="0"/>
              <w:snapToGrid w:val="0"/>
              <w:spacing w:line="240" w:lineRule="auto"/>
              <w:jc w:val="center"/>
              <w:rPr>
                <w:rFonts w:hint="default" w:ascii="宋体" w:hAnsi="宋体"/>
                <w:b/>
                <w:color w:val="auto"/>
                <w:szCs w:val="21"/>
                <w:vertAlign w:val="baseline"/>
                <w:lang w:val="en-US" w:eastAsia="zh-CN"/>
              </w:rPr>
            </w:pPr>
            <w:r>
              <w:rPr>
                <w:rFonts w:hint="eastAsia" w:ascii="宋体" w:hAnsi="宋体"/>
                <w:b/>
                <w:color w:val="auto"/>
                <w:szCs w:val="21"/>
                <w:vertAlign w:val="baseline"/>
                <w:lang w:val="en-US" w:eastAsia="zh-CN"/>
              </w:rPr>
              <w:t>说明</w:t>
            </w:r>
          </w:p>
        </w:tc>
        <w:tc>
          <w:tcPr>
            <w:tcW w:w="1644" w:type="dxa"/>
            <w:noWrap w:val="0"/>
            <w:vAlign w:val="center"/>
          </w:tcPr>
          <w:p>
            <w:pPr>
              <w:adjustRightInd w:val="0"/>
              <w:snapToGrid w:val="0"/>
              <w:spacing w:line="240" w:lineRule="auto"/>
              <w:jc w:val="center"/>
              <w:rPr>
                <w:rFonts w:hint="default" w:ascii="宋体" w:hAnsi="宋体"/>
                <w:b/>
                <w:color w:val="auto"/>
                <w:szCs w:val="21"/>
                <w:vertAlign w:val="baseline"/>
                <w:lang w:val="en-US" w:eastAsia="zh-CN"/>
              </w:rPr>
            </w:pPr>
            <w:r>
              <w:rPr>
                <w:rFonts w:hint="eastAsia" w:ascii="宋体" w:hAnsi="宋体"/>
                <w:b/>
                <w:color w:val="auto"/>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58" w:type="dxa"/>
            <w:gridSpan w:val="2"/>
            <w:noWrap w:val="0"/>
            <w:vAlign w:val="center"/>
          </w:tcPr>
          <w:p>
            <w:pPr>
              <w:adjustRightInd w:val="0"/>
              <w:snapToGrid w:val="0"/>
              <w:spacing w:line="240" w:lineRule="auto"/>
              <w:jc w:val="center"/>
              <w:rPr>
                <w:rFonts w:hint="eastAsia" w:ascii="宋体" w:hAnsi="宋体"/>
                <w:b/>
                <w:color w:val="auto"/>
                <w:szCs w:val="21"/>
                <w:lang w:eastAsia="zh-CN"/>
              </w:rPr>
            </w:pPr>
            <w:r>
              <w:rPr>
                <w:rFonts w:hint="eastAsia" w:ascii="宋体" w:hAnsi="宋体"/>
                <w:b/>
                <w:color w:val="auto"/>
                <w:szCs w:val="21"/>
                <w:lang w:val="en-US" w:eastAsia="zh-CN"/>
              </w:rPr>
              <w:t>第</w:t>
            </w:r>
            <w:r>
              <w:rPr>
                <w:rFonts w:ascii="宋体" w:hAnsi="宋体"/>
                <w:b/>
                <w:color w:val="auto"/>
                <w:szCs w:val="21"/>
              </w:rPr>
              <w:t>一</w:t>
            </w:r>
            <w:r>
              <w:rPr>
                <w:rFonts w:hint="eastAsia" w:ascii="宋体" w:hAnsi="宋体"/>
                <w:b/>
                <w:color w:val="auto"/>
                <w:szCs w:val="21"/>
                <w:lang w:val="en-US" w:eastAsia="zh-CN"/>
              </w:rPr>
              <w:t>部分</w:t>
            </w:r>
            <w:r>
              <w:rPr>
                <w:rFonts w:hint="eastAsia" w:ascii="宋体" w:hAnsi="宋体"/>
                <w:b/>
                <w:color w:val="auto"/>
                <w:szCs w:val="21"/>
                <w:lang w:eastAsia="zh-CN"/>
              </w:rPr>
              <w:t>：</w:t>
            </w:r>
          </w:p>
          <w:p>
            <w:pPr>
              <w:adjustRightInd w:val="0"/>
              <w:snapToGrid w:val="0"/>
              <w:spacing w:line="240" w:lineRule="auto"/>
              <w:jc w:val="center"/>
              <w:rPr>
                <w:rFonts w:hint="eastAsia" w:ascii="宋体" w:hAnsi="宋体"/>
                <w:b/>
                <w:color w:val="auto"/>
                <w:szCs w:val="21"/>
                <w:vertAlign w:val="baseline"/>
                <w:lang w:val="en-US" w:eastAsia="zh-CN"/>
              </w:rPr>
            </w:pPr>
            <w:r>
              <w:rPr>
                <w:rFonts w:hint="eastAsia" w:ascii="宋体" w:hAnsi="宋体"/>
                <w:b/>
                <w:color w:val="auto"/>
                <w:szCs w:val="21"/>
                <w:lang w:val="en-US" w:eastAsia="zh-CN"/>
              </w:rPr>
              <w:t>开标记录表</w:t>
            </w:r>
          </w:p>
        </w:tc>
        <w:tc>
          <w:tcPr>
            <w:tcW w:w="3911" w:type="dxa"/>
            <w:noWrap w:val="0"/>
            <w:vAlign w:val="center"/>
          </w:tcPr>
          <w:p>
            <w:pPr>
              <w:adjustRightInd w:val="0"/>
              <w:snapToGrid w:val="0"/>
              <w:jc w:val="left"/>
              <w:rPr>
                <w:rFonts w:hint="default"/>
                <w:color w:val="auto"/>
                <w:lang w:val="en-US" w:eastAsia="zh-CN"/>
              </w:rPr>
            </w:pPr>
            <w:r>
              <w:rPr>
                <w:rFonts w:hint="eastAsia"/>
                <w:color w:val="auto"/>
              </w:rPr>
              <w:t>投标人于电子交易平台填写</w:t>
            </w:r>
          </w:p>
        </w:tc>
        <w:tc>
          <w:tcPr>
            <w:tcW w:w="1700" w:type="dxa"/>
            <w:noWrap w:val="0"/>
            <w:vAlign w:val="center"/>
          </w:tcPr>
          <w:p>
            <w:pPr>
              <w:adjustRightInd w:val="0"/>
              <w:snapToGrid w:val="0"/>
              <w:jc w:val="center"/>
              <w:rPr>
                <w:rFonts w:hint="eastAsia" w:ascii="宋体" w:hAnsi="宋体" w:eastAsia="宋体"/>
                <w:b/>
                <w:color w:val="auto"/>
                <w:szCs w:val="21"/>
                <w:vertAlign w:val="baseline"/>
                <w:lang w:val="en-US" w:eastAsia="zh-CN"/>
              </w:rPr>
            </w:pPr>
            <w:r>
              <w:rPr>
                <w:rFonts w:hint="eastAsia" w:ascii="宋体" w:hAnsi="宋体"/>
                <w:bCs/>
                <w:color w:val="auto"/>
                <w:szCs w:val="21"/>
              </w:rPr>
              <w:t>如投标价超出预算价或完工时间不满足招标文件要求，则视为无效投标。</w:t>
            </w:r>
          </w:p>
        </w:tc>
        <w:tc>
          <w:tcPr>
            <w:tcW w:w="1644" w:type="dxa"/>
            <w:noWrap w:val="0"/>
            <w:vAlign w:val="center"/>
          </w:tcPr>
          <w:p>
            <w:pPr>
              <w:adjustRightInd w:val="0"/>
              <w:snapToGrid w:val="0"/>
              <w:jc w:val="center"/>
              <w:rPr>
                <w:rFonts w:hint="default" w:ascii="宋体" w:hAnsi="宋体"/>
                <w:b/>
                <w:color w:val="auto"/>
                <w:szCs w:val="21"/>
                <w:vertAlign w:val="baseline"/>
                <w:lang w:val="en-US" w:eastAsia="zh-CN"/>
              </w:rPr>
            </w:pPr>
            <w:r>
              <w:rPr>
                <w:rFonts w:hint="eastAsia" w:ascii="宋体" w:hAnsi="宋体"/>
                <w:color w:val="auto"/>
                <w:szCs w:val="21"/>
              </w:rPr>
              <w:t>需与报价文件中价格一致，电子交易平台生成的开标记录表内容与报价文件中相应内容不一致的，以电子交易平台生成的开标记录表为准。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58" w:type="dxa"/>
            <w:gridSpan w:val="2"/>
            <w:vMerge w:val="restart"/>
            <w:noWrap w:val="0"/>
            <w:vAlign w:val="center"/>
          </w:tcPr>
          <w:p>
            <w:pPr>
              <w:adjustRightInd w:val="0"/>
              <w:snapToGrid w:val="0"/>
              <w:spacing w:line="240" w:lineRule="auto"/>
              <w:jc w:val="center"/>
              <w:rPr>
                <w:rFonts w:hint="eastAsia" w:ascii="宋体" w:hAnsi="宋体"/>
                <w:b/>
                <w:color w:val="auto"/>
                <w:szCs w:val="21"/>
                <w:lang w:val="en-US" w:eastAsia="zh-CN"/>
              </w:rPr>
            </w:pPr>
            <w:r>
              <w:rPr>
                <w:rFonts w:hint="eastAsia" w:ascii="宋体" w:hAnsi="宋体"/>
                <w:b/>
                <w:color w:val="auto"/>
                <w:szCs w:val="21"/>
                <w:lang w:val="en-US" w:eastAsia="zh-CN"/>
              </w:rPr>
              <w:t>第二部分：</w:t>
            </w:r>
          </w:p>
          <w:p>
            <w:pPr>
              <w:adjustRightInd w:val="0"/>
              <w:snapToGrid w:val="0"/>
              <w:spacing w:line="240" w:lineRule="auto"/>
              <w:jc w:val="center"/>
              <w:rPr>
                <w:rFonts w:hint="eastAsia" w:ascii="宋体" w:hAnsi="宋体"/>
                <w:b/>
                <w:color w:val="auto"/>
                <w:szCs w:val="21"/>
                <w:vertAlign w:val="baseline"/>
                <w:lang w:val="en-US" w:eastAsia="zh-CN"/>
              </w:rPr>
            </w:pPr>
            <w:r>
              <w:rPr>
                <w:rFonts w:hint="eastAsia" w:ascii="宋体" w:hAnsi="宋体"/>
                <w:b/>
                <w:color w:val="auto"/>
                <w:szCs w:val="21"/>
                <w:lang w:val="en-US" w:eastAsia="zh-CN"/>
              </w:rPr>
              <w:t>资格响应</w:t>
            </w:r>
          </w:p>
        </w:tc>
        <w:tc>
          <w:tcPr>
            <w:tcW w:w="3911" w:type="dxa"/>
            <w:noWrap w:val="0"/>
            <w:vAlign w:val="center"/>
          </w:tcPr>
          <w:p>
            <w:pPr>
              <w:adjustRightInd w:val="0"/>
              <w:snapToGrid w:val="0"/>
              <w:rPr>
                <w:rFonts w:hint="eastAsia" w:ascii="宋体" w:hAnsi="宋体"/>
                <w:b/>
                <w:color w:val="auto"/>
                <w:szCs w:val="21"/>
                <w:vertAlign w:val="baseline"/>
                <w:lang w:val="en-US" w:eastAsia="zh-CN"/>
              </w:rPr>
            </w:pPr>
            <w:r>
              <w:rPr>
                <w:rFonts w:hint="eastAsia" w:ascii="宋体" w:hAnsi="宋体"/>
                <w:bCs/>
                <w:color w:val="000000" w:themeColor="text1"/>
                <w:szCs w:val="21"/>
                <w14:textFill>
                  <w14:solidFill>
                    <w14:schemeClr w14:val="tx1"/>
                  </w14:solidFill>
                </w14:textFill>
              </w:rPr>
              <w:t>有效的营业执照</w:t>
            </w:r>
          </w:p>
        </w:tc>
        <w:tc>
          <w:tcPr>
            <w:tcW w:w="1700" w:type="dxa"/>
            <w:noWrap w:val="0"/>
            <w:vAlign w:val="center"/>
          </w:tcPr>
          <w:p>
            <w:pPr>
              <w:adjustRightInd w:val="0"/>
              <w:snapToGrid w:val="0"/>
              <w:jc w:val="center"/>
              <w:rPr>
                <w:rFonts w:hint="default" w:ascii="宋体" w:hAnsi="宋体"/>
                <w:b/>
                <w:color w:val="auto"/>
                <w:szCs w:val="21"/>
                <w:vertAlign w:val="baseline"/>
                <w:lang w:val="en-US" w:eastAsia="zh-CN"/>
              </w:rPr>
            </w:pPr>
          </w:p>
        </w:tc>
        <w:tc>
          <w:tcPr>
            <w:tcW w:w="1644" w:type="dxa"/>
            <w:vMerge w:val="restart"/>
            <w:noWrap w:val="0"/>
            <w:vAlign w:val="center"/>
          </w:tcPr>
          <w:p>
            <w:pPr>
              <w:jc w:val="center"/>
              <w:rPr>
                <w:rFonts w:hint="eastAsia" w:ascii="宋体" w:hAnsi="宋体" w:eastAsia="宋体" w:cs="宋体"/>
                <w:b w:val="0"/>
                <w:bCs/>
                <w:color w:val="auto"/>
                <w:sz w:val="28"/>
                <w:szCs w:val="28"/>
                <w:lang w:val="en-US" w:eastAsia="zh-CN"/>
              </w:rPr>
            </w:pPr>
            <w:r>
              <w:rPr>
                <w:rFonts w:hint="eastAsia" w:ascii="宋体" w:hAnsi="宋体"/>
                <w:b w:val="0"/>
                <w:bCs/>
                <w:color w:val="auto"/>
                <w:szCs w:val="21"/>
                <w:vertAlign w:val="baseline"/>
                <w:lang w:val="en-US" w:eastAsia="zh-CN"/>
              </w:rPr>
              <w:t>具体要求查看投标人的资格证明材料说明</w:t>
            </w:r>
          </w:p>
          <w:p>
            <w:pPr>
              <w:adjustRightInd w:val="0"/>
              <w:snapToGrid w:val="0"/>
              <w:spacing w:line="240" w:lineRule="auto"/>
              <w:jc w:val="center"/>
              <w:rPr>
                <w:rFonts w:hint="default"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58" w:type="dxa"/>
            <w:gridSpan w:val="2"/>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adjustRightInd w:val="0"/>
              <w:snapToGrid w:val="0"/>
              <w:rPr>
                <w:rFonts w:ascii="宋体" w:hAnsi="宋体"/>
                <w:color w:val="000000" w:themeColor="text1"/>
                <w:szCs w:val="21"/>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附件1：</w:t>
            </w:r>
            <w:r>
              <w:rPr>
                <w:rFonts w:hint="eastAsia" w:ascii="宋体" w:hAnsi="宋体"/>
                <w:color w:val="000000" w:themeColor="text1"/>
                <w:szCs w:val="21"/>
                <w14:textFill>
                  <w14:solidFill>
                    <w14:schemeClr w14:val="tx1"/>
                  </w14:solidFill>
                </w14:textFill>
              </w:rPr>
              <w:t>法定代表人身份证明(法定代表人参加招标)</w:t>
            </w:r>
          </w:p>
          <w:p>
            <w:pPr>
              <w:adjustRightInd w:val="0"/>
              <w:snapToGrid w:val="0"/>
              <w:rPr>
                <w:rFonts w:ascii="宋体" w:hAnsi="宋体"/>
                <w:b/>
                <w:bCs/>
                <w:color w:val="000000" w:themeColor="text1"/>
                <w:sz w:val="28"/>
                <w:szCs w:val="28"/>
                <w:highlight w:val="yellow"/>
                <w14:textFill>
                  <w14:solidFill>
                    <w14:schemeClr w14:val="tx1"/>
                  </w14:solidFill>
                </w14:textFill>
              </w:rPr>
            </w:pPr>
            <w:r>
              <w:rPr>
                <w:rFonts w:hint="eastAsia" w:ascii="宋体" w:hAnsi="宋体"/>
                <w:b/>
                <w:bCs/>
                <w:color w:val="000000" w:themeColor="text1"/>
                <w:sz w:val="28"/>
                <w:szCs w:val="28"/>
                <w:highlight w:val="yellow"/>
                <w14:textFill>
                  <w14:solidFill>
                    <w14:schemeClr w14:val="tx1"/>
                  </w14:solidFill>
                </w14:textFill>
              </w:rPr>
              <w:t>或</w:t>
            </w:r>
          </w:p>
          <w:p>
            <w:pPr>
              <w:adjustRightInd w:val="0"/>
              <w:snapToGrid w:val="0"/>
              <w:rPr>
                <w:rFonts w:hint="eastAsia" w:ascii="宋体" w:hAnsi="宋体"/>
                <w:b/>
                <w:color w:val="auto"/>
                <w:szCs w:val="21"/>
                <w:vertAlign w:val="baseline"/>
                <w:lang w:val="en-US" w:eastAsia="zh-CN"/>
              </w:rPr>
            </w:pPr>
            <w:r>
              <w:rPr>
                <w:rFonts w:hint="eastAsia" w:ascii="黑体" w:hAnsi="黑体" w:eastAsia="黑体" w:cs="黑体"/>
                <w:color w:val="000000" w:themeColor="text1"/>
                <w:sz w:val="20"/>
                <w:szCs w:val="20"/>
                <w14:textFill>
                  <w14:solidFill>
                    <w14:schemeClr w14:val="tx1"/>
                  </w14:solidFill>
                </w14:textFill>
              </w:rPr>
              <w:t>附件2：</w:t>
            </w:r>
            <w:r>
              <w:rPr>
                <w:rFonts w:hint="eastAsia" w:ascii="宋体" w:hAnsi="宋体"/>
                <w:color w:val="000000" w:themeColor="text1"/>
                <w:szCs w:val="21"/>
                <w14:textFill>
                  <w14:solidFill>
                    <w14:schemeClr w14:val="tx1"/>
                  </w14:solidFill>
                </w14:textFill>
              </w:rPr>
              <w:t>法定代表人授权书(委托代理人参加招标)</w:t>
            </w:r>
          </w:p>
        </w:tc>
        <w:tc>
          <w:tcPr>
            <w:tcW w:w="1700" w:type="dxa"/>
            <w:noWrap w:val="0"/>
            <w:vAlign w:val="center"/>
          </w:tcPr>
          <w:p>
            <w:pPr>
              <w:adjustRightInd w:val="0"/>
              <w:snapToGrid w:val="0"/>
              <w:jc w:val="center"/>
              <w:rPr>
                <w:rFonts w:hint="eastAsia" w:ascii="宋体" w:hAnsi="宋体"/>
                <w:b/>
                <w:color w:val="auto"/>
                <w:szCs w:val="21"/>
                <w:vertAlign w:val="baseline"/>
                <w:lang w:val="en-US" w:eastAsia="zh-CN"/>
              </w:rPr>
            </w:pPr>
            <w:r>
              <w:rPr>
                <w:rFonts w:hint="eastAsia" w:ascii="宋体" w:hAnsi="宋体"/>
                <w:b/>
                <w:color w:val="000000" w:themeColor="text1"/>
                <w:szCs w:val="21"/>
                <w:highlight w:val="yellow"/>
                <w14:textFill>
                  <w14:solidFill>
                    <w14:schemeClr w14:val="tx1"/>
                  </w14:solidFill>
                </w14:textFill>
              </w:rPr>
              <w:t>仅需提供</w:t>
            </w:r>
            <w:r>
              <w:rPr>
                <w:rFonts w:hint="eastAsia" w:ascii="宋体" w:hAnsi="宋体"/>
                <w:b/>
                <w:color w:val="000000" w:themeColor="text1"/>
                <w:szCs w:val="21"/>
                <w:highlight w:val="yellow"/>
                <w:lang w:val="en-US" w:eastAsia="zh-CN"/>
                <w14:textFill>
                  <w14:solidFill>
                    <w14:schemeClr w14:val="tx1"/>
                  </w14:solidFill>
                </w14:textFill>
              </w:rPr>
              <w:t>任意</w:t>
            </w:r>
            <w:r>
              <w:rPr>
                <w:rFonts w:hint="eastAsia" w:ascii="宋体" w:hAnsi="宋体"/>
                <w:b/>
                <w:color w:val="000000" w:themeColor="text1"/>
                <w:szCs w:val="21"/>
                <w:highlight w:val="yellow"/>
                <w14:textFill>
                  <w14:solidFill>
                    <w14:schemeClr w14:val="tx1"/>
                  </w14:solidFill>
                </w14:textFill>
              </w:rPr>
              <w:t>一项</w:t>
            </w:r>
            <w:r>
              <w:rPr>
                <w:rFonts w:hint="eastAsia" w:ascii="宋体" w:hAnsi="宋体"/>
                <w:b/>
                <w:color w:val="000000" w:themeColor="text1"/>
                <w:szCs w:val="21"/>
                <w:highlight w:val="yellow"/>
                <w:lang w:val="en-US" w:eastAsia="zh-CN"/>
                <w14:textFill>
                  <w14:solidFill>
                    <w14:schemeClr w14:val="tx1"/>
                  </w14:solidFill>
                </w14:textFill>
              </w:rPr>
              <w:t>即可。</w:t>
            </w: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58" w:type="dxa"/>
            <w:gridSpan w:val="2"/>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adjustRightInd w:val="0"/>
              <w:snapToGrid w:val="0"/>
              <w:rPr>
                <w:rFonts w:hint="eastAsia"/>
                <w:color w:val="auto"/>
              </w:rPr>
            </w:pPr>
            <w:r>
              <w:rPr>
                <w:rFonts w:hint="eastAsia" w:ascii="黑体" w:hAnsi="黑体" w:eastAsia="黑体" w:cs="黑体"/>
                <w:color w:val="000000" w:themeColor="text1"/>
                <w:sz w:val="20"/>
                <w:szCs w:val="20"/>
                <w14:textFill>
                  <w14:solidFill>
                    <w14:schemeClr w14:val="tx1"/>
                  </w14:solidFill>
                </w14:textFill>
              </w:rPr>
              <w:t>附件3：</w:t>
            </w:r>
            <w:r>
              <w:rPr>
                <w:rFonts w:hint="eastAsia" w:ascii="宋体" w:hAnsi="宋体"/>
                <w:color w:val="000000" w:themeColor="text1"/>
                <w:szCs w:val="21"/>
                <w14:textFill>
                  <w14:solidFill>
                    <w14:schemeClr w14:val="tx1"/>
                  </w14:solidFill>
                </w14:textFill>
              </w:rPr>
              <w:t>政府采购供应商信用承诺函</w:t>
            </w:r>
          </w:p>
        </w:tc>
        <w:tc>
          <w:tcPr>
            <w:tcW w:w="1700" w:type="dxa"/>
            <w:noWrap w:val="0"/>
            <w:vAlign w:val="center"/>
          </w:tcPr>
          <w:p>
            <w:pPr>
              <w:adjustRightInd w:val="0"/>
              <w:snapToGrid w:val="0"/>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58" w:type="dxa"/>
            <w:gridSpan w:val="2"/>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adjustRightInd w:val="0"/>
              <w:snapToGrid w:val="0"/>
              <w:spacing w:line="240" w:lineRule="auto"/>
              <w:jc w:val="both"/>
              <w:rPr>
                <w:rFonts w:hint="eastAsia"/>
              </w:rPr>
            </w:pPr>
            <w:r>
              <w:rPr>
                <w:rFonts w:hint="eastAsia" w:ascii="Times New Roman" w:hAnsi="Times New Roman" w:eastAsia="黑体" w:cs="Times New Roman"/>
                <w:sz w:val="20"/>
                <w:szCs w:val="20"/>
                <w:lang w:val="en-US" w:eastAsia="zh-CN"/>
              </w:rPr>
              <w:t>附</w:t>
            </w:r>
            <w:r>
              <w:rPr>
                <w:rFonts w:hint="eastAsia" w:ascii="黑体" w:hAnsi="黑体" w:eastAsia="黑体" w:cs="黑体"/>
                <w:color w:val="000000" w:themeColor="text1"/>
                <w:sz w:val="20"/>
                <w:szCs w:val="20"/>
                <w:lang w:val="en-US" w:eastAsia="zh-CN"/>
                <w14:textFill>
                  <w14:solidFill>
                    <w14:schemeClr w14:val="tx1"/>
                  </w14:solidFill>
                </w14:textFill>
              </w:rPr>
              <w:t>件3-1</w:t>
            </w:r>
            <w:r>
              <w:rPr>
                <w:rFonts w:hint="eastAsia" w:ascii="Times New Roman" w:hAnsi="Times New Roman" w:eastAsia="黑体" w:cs="Times New Roman"/>
                <w:sz w:val="20"/>
                <w:szCs w:val="20"/>
                <w:lang w:val="en-US" w:eastAsia="zh-CN"/>
              </w:rPr>
              <w:t>：</w:t>
            </w:r>
            <w:r>
              <w:rPr>
                <w:rFonts w:hint="eastAsia"/>
              </w:rPr>
              <w:t>信用记录</w:t>
            </w:r>
          </w:p>
          <w:p>
            <w:pPr>
              <w:adjustRightInd w:val="0"/>
              <w:snapToGrid w:val="0"/>
              <w:rPr>
                <w:rFonts w:hint="eastAsia" w:ascii="黑体" w:hAnsi="黑体" w:eastAsia="黑体" w:cs="黑体"/>
                <w:color w:val="000000" w:themeColor="text1"/>
                <w:sz w:val="20"/>
                <w:szCs w:val="20"/>
                <w14:textFill>
                  <w14:solidFill>
                    <w14:schemeClr w14:val="tx1"/>
                  </w14:solidFill>
                </w14:textFill>
              </w:rPr>
            </w:pPr>
            <w:r>
              <w:rPr>
                <w:rFonts w:hint="eastAsia" w:ascii="Times New Roman" w:hAnsi="Times New Roman" w:eastAsia="宋体" w:cs="Times New Roman"/>
                <w:b w:val="0"/>
                <w:bCs w:val="0"/>
                <w:kern w:val="2"/>
                <w:sz w:val="21"/>
                <w:szCs w:val="24"/>
                <w:lang w:val="en-US" w:eastAsia="zh-CN" w:bidi="ar-SA"/>
              </w:rPr>
              <w:t>在“信用中国”（www.creditchina.gov.cn）和中国政府采购网（www.ccgp.gov.cn）网站上未被列入失信被执行人、重大税收违法案件当事人名单以及政府采购严重违法失信行为记录名单的网页打印件</w:t>
            </w:r>
            <w:r>
              <w:rPr>
                <w:rFonts w:hint="eastAsia" w:ascii="Times New Roman" w:hAnsi="Times New Roman" w:eastAsia="宋体" w:cs="Times New Roman"/>
                <w:b/>
                <w:bCs/>
                <w:kern w:val="2"/>
                <w:sz w:val="21"/>
                <w:szCs w:val="24"/>
                <w:lang w:val="en-US" w:eastAsia="zh-CN" w:bidi="ar-SA"/>
              </w:rPr>
              <w:t>（网页打印件须自招标文件发布之日起至投标截止时间从上述网站中打印）</w:t>
            </w:r>
          </w:p>
        </w:tc>
        <w:tc>
          <w:tcPr>
            <w:tcW w:w="1700" w:type="dxa"/>
            <w:noWrap w:val="0"/>
            <w:vAlign w:val="center"/>
          </w:tcPr>
          <w:p>
            <w:pPr>
              <w:adjustRightInd w:val="0"/>
              <w:snapToGrid w:val="0"/>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5" w:type="dxa"/>
            <w:vMerge w:val="restart"/>
            <w:noWrap w:val="0"/>
            <w:vAlign w:val="center"/>
          </w:tcPr>
          <w:p>
            <w:pPr>
              <w:adjustRightInd w:val="0"/>
              <w:snapToGrid w:val="0"/>
              <w:spacing w:line="360" w:lineRule="auto"/>
              <w:jc w:val="center"/>
              <w:rPr>
                <w:rFonts w:hint="eastAsia" w:ascii="宋体" w:hAnsi="宋体"/>
                <w:b/>
                <w:color w:val="auto"/>
                <w:szCs w:val="21"/>
                <w:lang w:val="en-US" w:eastAsia="zh-CN"/>
              </w:rPr>
            </w:pPr>
            <w:r>
              <w:rPr>
                <w:rFonts w:hint="eastAsia" w:ascii="宋体" w:hAnsi="宋体"/>
                <w:b/>
                <w:color w:val="auto"/>
                <w:szCs w:val="21"/>
                <w:lang w:val="en-US" w:eastAsia="zh-CN"/>
              </w:rPr>
              <w:t>第三部分：</w:t>
            </w:r>
          </w:p>
          <w:p>
            <w:pPr>
              <w:adjustRightInd w:val="0"/>
              <w:snapToGrid w:val="0"/>
              <w:spacing w:line="360" w:lineRule="auto"/>
              <w:jc w:val="center"/>
              <w:rPr>
                <w:rFonts w:hint="eastAsia" w:ascii="宋体" w:hAnsi="宋体"/>
                <w:b/>
                <w:color w:val="auto"/>
                <w:szCs w:val="21"/>
                <w:vertAlign w:val="baseline"/>
                <w:lang w:val="en-US" w:eastAsia="zh-CN"/>
              </w:rPr>
            </w:pPr>
            <w:r>
              <w:rPr>
                <w:rFonts w:hint="eastAsia" w:ascii="宋体" w:hAnsi="宋体"/>
                <w:b/>
                <w:color w:val="auto"/>
                <w:szCs w:val="21"/>
                <w:lang w:val="en-US" w:eastAsia="zh-CN"/>
              </w:rPr>
              <w:t>商务技术</w:t>
            </w:r>
          </w:p>
        </w:tc>
        <w:tc>
          <w:tcPr>
            <w:tcW w:w="663" w:type="dxa"/>
            <w:vMerge w:val="restart"/>
            <w:noWrap w:val="0"/>
            <w:vAlign w:val="center"/>
          </w:tcPr>
          <w:p>
            <w:pPr>
              <w:adjustRightInd w:val="0"/>
              <w:snapToGrid w:val="0"/>
              <w:spacing w:line="240" w:lineRule="auto"/>
              <w:jc w:val="center"/>
              <w:rPr>
                <w:rFonts w:hint="eastAsia" w:ascii="宋体" w:hAnsi="宋体"/>
                <w:b w:val="0"/>
                <w:bCs/>
                <w:color w:val="auto"/>
                <w:szCs w:val="21"/>
                <w:lang w:val="en-US" w:eastAsia="zh-CN"/>
              </w:rPr>
            </w:pPr>
            <w:r>
              <w:rPr>
                <w:rFonts w:hint="eastAsia" w:ascii="宋体" w:hAnsi="宋体"/>
                <w:b w:val="0"/>
                <w:bCs/>
                <w:color w:val="auto"/>
                <w:szCs w:val="21"/>
                <w:lang w:val="en-US" w:eastAsia="zh-CN"/>
              </w:rPr>
              <w:t>符合性审查文件</w:t>
            </w:r>
          </w:p>
        </w:tc>
        <w:tc>
          <w:tcPr>
            <w:tcW w:w="3911" w:type="dxa"/>
            <w:noWrap w:val="0"/>
            <w:vAlign w:val="center"/>
          </w:tcPr>
          <w:p>
            <w:pPr>
              <w:adjustRightInd w:val="0"/>
              <w:snapToGrid w:val="0"/>
              <w:spacing w:line="240" w:lineRule="auto"/>
              <w:jc w:val="both"/>
              <w:rPr>
                <w:rFonts w:hint="eastAsia" w:ascii="宋体" w:hAnsi="宋体"/>
                <w:color w:val="auto"/>
                <w:szCs w:val="21"/>
                <w:lang w:val="en-US" w:eastAsia="zh-CN"/>
              </w:rPr>
            </w:pPr>
            <w:r>
              <w:rPr>
                <w:rFonts w:hint="eastAsia" w:ascii="黑体" w:hAnsi="黑体" w:eastAsia="黑体" w:cs="黑体"/>
                <w:color w:val="000000" w:themeColor="text1"/>
                <w:sz w:val="20"/>
                <w:szCs w:val="20"/>
                <w:lang w:val="en-US" w:eastAsia="zh-CN"/>
                <w14:textFill>
                  <w14:solidFill>
                    <w14:schemeClr w14:val="tx1"/>
                  </w14:solidFill>
                </w14:textFill>
              </w:rPr>
              <w:t>附件11：</w:t>
            </w:r>
            <w:r>
              <w:rPr>
                <w:rFonts w:hint="eastAsia" w:ascii="宋体" w:hAnsi="宋体"/>
                <w:color w:val="auto"/>
                <w:szCs w:val="21"/>
                <w:lang w:val="en-US" w:eastAsia="zh-CN"/>
              </w:rPr>
              <w:t>开标记录</w:t>
            </w:r>
            <w:r>
              <w:rPr>
                <w:rFonts w:hint="eastAsia" w:ascii="宋体" w:hAnsi="宋体"/>
                <w:color w:val="auto"/>
                <w:szCs w:val="21"/>
              </w:rPr>
              <w:t>表</w:t>
            </w:r>
            <w:r>
              <w:rPr>
                <w:rFonts w:hint="eastAsia" w:ascii="宋体" w:hAnsi="宋体"/>
                <w:color w:val="auto"/>
                <w:szCs w:val="21"/>
                <w:lang w:eastAsia="zh-CN"/>
              </w:rPr>
              <w:t>（</w:t>
            </w:r>
            <w:r>
              <w:rPr>
                <w:rFonts w:hint="eastAsia" w:ascii="宋体" w:hAnsi="宋体"/>
                <w:color w:val="auto"/>
                <w:szCs w:val="21"/>
                <w:lang w:val="en-US" w:eastAsia="zh-CN"/>
              </w:rPr>
              <w:t>第一次</w:t>
            </w:r>
            <w:r>
              <w:rPr>
                <w:rFonts w:hint="eastAsia" w:ascii="宋体" w:hAnsi="宋体"/>
                <w:color w:val="auto"/>
                <w:szCs w:val="21"/>
                <w:lang w:eastAsia="zh-CN"/>
              </w:rPr>
              <w:t>）</w:t>
            </w:r>
          </w:p>
        </w:tc>
        <w:tc>
          <w:tcPr>
            <w:tcW w:w="1700" w:type="dxa"/>
            <w:noWrap w:val="0"/>
            <w:vAlign w:val="center"/>
          </w:tcPr>
          <w:p>
            <w:pPr>
              <w:adjustRightInd w:val="0"/>
              <w:snapToGrid w:val="0"/>
              <w:spacing w:line="240" w:lineRule="auto"/>
              <w:jc w:val="center"/>
              <w:rPr>
                <w:rFonts w:hint="default" w:ascii="宋体" w:hAnsi="宋体"/>
                <w:b/>
                <w:color w:val="auto"/>
                <w:szCs w:val="21"/>
                <w:vertAlign w:val="baseline"/>
                <w:lang w:val="en-US" w:eastAsia="zh-CN"/>
              </w:rPr>
            </w:pPr>
          </w:p>
        </w:tc>
        <w:tc>
          <w:tcPr>
            <w:tcW w:w="1644" w:type="dxa"/>
            <w:vMerge w:val="restart"/>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r>
              <w:rPr>
                <w:rFonts w:hint="eastAsia"/>
                <w:color w:val="auto"/>
              </w:rPr>
              <w:t>说明：包括但不限于以上资料，投标人可根据项目具体情况提供其他有利于评审的资料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5" w:type="dxa"/>
            <w:vMerge w:val="continue"/>
            <w:noWrap w:val="0"/>
            <w:vAlign w:val="center"/>
          </w:tcPr>
          <w:p>
            <w:pPr>
              <w:adjustRightInd w:val="0"/>
              <w:snapToGrid w:val="0"/>
              <w:spacing w:line="360" w:lineRule="auto"/>
              <w:jc w:val="center"/>
              <w:rPr>
                <w:rFonts w:hint="eastAsia" w:ascii="宋体" w:hAnsi="宋体"/>
                <w:b/>
                <w:color w:val="auto"/>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val="0"/>
                <w:bCs/>
                <w:color w:val="auto"/>
                <w:szCs w:val="21"/>
                <w:vertAlign w:val="baseline"/>
                <w:lang w:val="en-US" w:eastAsia="zh-CN"/>
              </w:rPr>
            </w:pPr>
          </w:p>
        </w:tc>
        <w:tc>
          <w:tcPr>
            <w:tcW w:w="3911" w:type="dxa"/>
            <w:noWrap w:val="0"/>
            <w:vAlign w:val="center"/>
          </w:tcPr>
          <w:p>
            <w:pPr>
              <w:adjustRightInd w:val="0"/>
              <w:snapToGrid w:val="0"/>
              <w:rPr>
                <w:rFonts w:hint="eastAsia" w:ascii="宋体" w:hAnsi="宋体"/>
                <w:color w:val="auto"/>
                <w:szCs w:val="21"/>
                <w:lang w:val="en-US" w:eastAsia="zh-CN"/>
              </w:rPr>
            </w:pPr>
            <w:r>
              <w:rPr>
                <w:rFonts w:hint="eastAsia" w:ascii="黑体" w:hAnsi="黑体" w:eastAsia="黑体" w:cs="黑体"/>
                <w:color w:val="000000" w:themeColor="text1"/>
                <w:sz w:val="20"/>
                <w:szCs w:val="20"/>
                <w:lang w:val="en-US" w:eastAsia="zh-CN"/>
                <w14:textFill>
                  <w14:solidFill>
                    <w14:schemeClr w14:val="tx1"/>
                  </w14:solidFill>
                </w14:textFill>
              </w:rPr>
              <w:t>附件14：</w:t>
            </w:r>
            <w:r>
              <w:rPr>
                <w:rFonts w:hint="eastAsia" w:ascii="宋体" w:hAnsi="宋体"/>
                <w:color w:val="auto"/>
                <w:szCs w:val="21"/>
                <w:lang w:val="en-US" w:eastAsia="zh-CN"/>
              </w:rPr>
              <w:t>实质性条款情况表</w:t>
            </w:r>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5" w:type="dxa"/>
            <w:vMerge w:val="continue"/>
            <w:noWrap w:val="0"/>
            <w:vAlign w:val="center"/>
          </w:tcPr>
          <w:p>
            <w:pPr>
              <w:adjustRightInd w:val="0"/>
              <w:snapToGrid w:val="0"/>
              <w:spacing w:line="360" w:lineRule="auto"/>
              <w:jc w:val="center"/>
              <w:rPr>
                <w:rFonts w:hint="eastAsia" w:ascii="宋体" w:hAnsi="宋体"/>
                <w:b/>
                <w:color w:val="auto"/>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val="0"/>
                <w:bCs/>
                <w:color w:val="auto"/>
                <w:szCs w:val="21"/>
                <w:vertAlign w:val="baseline"/>
                <w:lang w:val="en-US" w:eastAsia="zh-CN"/>
              </w:rPr>
            </w:pPr>
          </w:p>
        </w:tc>
        <w:tc>
          <w:tcPr>
            <w:tcW w:w="3911" w:type="dxa"/>
            <w:noWrap w:val="0"/>
            <w:vAlign w:val="center"/>
          </w:tcPr>
          <w:p>
            <w:pPr>
              <w:adjustRightInd w:val="0"/>
              <w:snapToGrid w:val="0"/>
              <w:rPr>
                <w:rFonts w:hint="eastAsia" w:ascii="宋体" w:hAnsi="宋体"/>
                <w:color w:val="auto"/>
                <w:szCs w:val="21"/>
                <w:lang w:val="en-US" w:eastAsia="zh-CN"/>
              </w:rPr>
            </w:pPr>
            <w:r>
              <w:rPr>
                <w:rFonts w:hint="eastAsia" w:ascii="黑体" w:hAnsi="黑体" w:eastAsia="黑体" w:cs="黑体"/>
                <w:color w:val="000000" w:themeColor="text1"/>
                <w:sz w:val="20"/>
                <w:szCs w:val="20"/>
                <w:lang w:val="en-US" w:eastAsia="zh-CN"/>
                <w14:textFill>
                  <w14:solidFill>
                    <w14:schemeClr w14:val="tx1"/>
                  </w14:solidFill>
                </w14:textFill>
              </w:rPr>
              <w:t>附件6：</w:t>
            </w:r>
            <w:r>
              <w:rPr>
                <w:rFonts w:hint="eastAsia" w:ascii="宋体" w:hAnsi="宋体"/>
                <w:color w:val="auto"/>
                <w:szCs w:val="21"/>
              </w:rPr>
              <w:t>参数偏离表</w:t>
            </w:r>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5" w:type="dxa"/>
            <w:vMerge w:val="continue"/>
            <w:noWrap w:val="0"/>
            <w:vAlign w:val="center"/>
          </w:tcPr>
          <w:p>
            <w:pPr>
              <w:adjustRightInd w:val="0"/>
              <w:snapToGrid w:val="0"/>
              <w:spacing w:line="360" w:lineRule="auto"/>
              <w:jc w:val="center"/>
              <w:rPr>
                <w:rFonts w:hint="eastAsia" w:ascii="宋体" w:hAnsi="宋体"/>
                <w:b/>
                <w:color w:val="auto"/>
                <w:szCs w:val="21"/>
                <w:vertAlign w:val="baseline"/>
                <w:lang w:val="en-US" w:eastAsia="zh-CN"/>
              </w:rPr>
            </w:pPr>
          </w:p>
        </w:tc>
        <w:tc>
          <w:tcPr>
            <w:tcW w:w="663" w:type="dxa"/>
            <w:vMerge w:val="restart"/>
            <w:noWrap w:val="0"/>
            <w:vAlign w:val="center"/>
          </w:tcPr>
          <w:p>
            <w:pPr>
              <w:adjustRightInd w:val="0"/>
              <w:snapToGrid w:val="0"/>
              <w:spacing w:line="240" w:lineRule="auto"/>
              <w:jc w:val="center"/>
              <w:rPr>
                <w:rFonts w:hint="eastAsia" w:ascii="宋体" w:hAnsi="宋体"/>
                <w:b w:val="0"/>
                <w:bCs/>
                <w:color w:val="auto"/>
                <w:szCs w:val="21"/>
                <w:vertAlign w:val="baseline"/>
                <w:lang w:val="en-US" w:eastAsia="zh-CN"/>
              </w:rPr>
            </w:pPr>
            <w:r>
              <w:rPr>
                <w:rFonts w:hint="eastAsia" w:ascii="宋体" w:hAnsi="宋体"/>
                <w:bCs/>
                <w:color w:val="auto"/>
                <w:szCs w:val="21"/>
              </w:rPr>
              <w:t>商务技术响应文件</w:t>
            </w:r>
          </w:p>
        </w:tc>
        <w:tc>
          <w:tcPr>
            <w:tcW w:w="3911" w:type="dxa"/>
            <w:noWrap w:val="0"/>
            <w:vAlign w:val="center"/>
          </w:tcPr>
          <w:p>
            <w:pPr>
              <w:adjustRightInd w:val="0"/>
              <w:snapToGrid w:val="0"/>
              <w:spacing w:line="240" w:lineRule="auto"/>
              <w:jc w:val="both"/>
              <w:rPr>
                <w:rFonts w:hint="eastAsia" w:ascii="宋体" w:hAnsi="宋体"/>
                <w:color w:val="auto"/>
                <w:szCs w:val="21"/>
              </w:rPr>
            </w:pPr>
            <w:r>
              <w:rPr>
                <w:rFonts w:hint="eastAsia" w:ascii="黑体" w:hAnsi="黑体" w:eastAsia="黑体" w:cs="黑体"/>
                <w:color w:val="000000" w:themeColor="text1"/>
                <w:sz w:val="20"/>
                <w:szCs w:val="20"/>
                <w:lang w:val="en-US" w:eastAsia="zh-CN"/>
                <w14:textFill>
                  <w14:solidFill>
                    <w14:schemeClr w14:val="tx1"/>
                  </w14:solidFill>
                </w14:textFill>
              </w:rPr>
              <w:t>附件4：</w:t>
            </w:r>
            <w:r>
              <w:rPr>
                <w:rFonts w:hint="eastAsia" w:ascii="宋体" w:hAnsi="宋体"/>
                <w:color w:val="auto"/>
                <w:szCs w:val="21"/>
                <w:lang w:val="en-US" w:eastAsia="zh-CN"/>
              </w:rPr>
              <w:t>投标函</w:t>
            </w:r>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5" w:type="dxa"/>
            <w:vMerge w:val="continue"/>
            <w:noWrap w:val="0"/>
            <w:vAlign w:val="center"/>
          </w:tcPr>
          <w:p>
            <w:pPr>
              <w:adjustRightInd w:val="0"/>
              <w:snapToGrid w:val="0"/>
              <w:spacing w:line="360" w:lineRule="auto"/>
              <w:jc w:val="center"/>
              <w:rPr>
                <w:rFonts w:hint="eastAsia" w:ascii="宋体" w:hAnsi="宋体"/>
                <w:b/>
                <w:color w:val="auto"/>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val="0"/>
                <w:bCs/>
                <w:color w:val="auto"/>
                <w:szCs w:val="21"/>
                <w:vertAlign w:val="baseline"/>
                <w:lang w:val="en-US" w:eastAsia="zh-CN"/>
              </w:rPr>
            </w:pPr>
          </w:p>
        </w:tc>
        <w:tc>
          <w:tcPr>
            <w:tcW w:w="3911" w:type="dxa"/>
            <w:noWrap w:val="0"/>
            <w:vAlign w:val="center"/>
          </w:tcPr>
          <w:p>
            <w:pPr>
              <w:adjustRightInd w:val="0"/>
              <w:snapToGrid w:val="0"/>
              <w:spacing w:line="240" w:lineRule="auto"/>
              <w:jc w:val="both"/>
              <w:rPr>
                <w:rFonts w:hint="eastAsia" w:ascii="宋体" w:hAnsi="宋体" w:eastAsia="宋体" w:cs="宋体"/>
                <w:color w:val="auto"/>
                <w:szCs w:val="21"/>
                <w:lang w:val="en-US" w:eastAsia="zh-CN"/>
              </w:rPr>
            </w:pPr>
            <w:r>
              <w:rPr>
                <w:rFonts w:hint="eastAsia" w:ascii="黑体" w:hAnsi="黑体" w:eastAsia="黑体" w:cs="黑体"/>
                <w:color w:val="000000" w:themeColor="text1"/>
                <w:sz w:val="20"/>
                <w:szCs w:val="20"/>
                <w:lang w:val="en-US" w:eastAsia="zh-CN"/>
                <w14:textFill>
                  <w14:solidFill>
                    <w14:schemeClr w14:val="tx1"/>
                  </w14:solidFill>
                </w14:textFill>
              </w:rPr>
              <w:t>附件5：</w:t>
            </w:r>
            <w:r>
              <w:rPr>
                <w:rFonts w:hint="eastAsia" w:ascii="宋体" w:hAnsi="宋体"/>
                <w:color w:val="auto"/>
                <w:szCs w:val="21"/>
              </w:rPr>
              <w:t>投标人基本情况表</w:t>
            </w:r>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5"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adjustRightInd w:val="0"/>
              <w:snapToGrid w:val="0"/>
              <w:spacing w:line="240" w:lineRule="auto"/>
              <w:jc w:val="both"/>
              <w:rPr>
                <w:rFonts w:hint="eastAsia" w:ascii="宋体" w:hAnsi="宋体" w:eastAsia="宋体" w:cs="宋体"/>
                <w:color w:val="auto"/>
                <w:szCs w:val="21"/>
                <w:lang w:val="en-US" w:eastAsia="zh-CN"/>
              </w:rPr>
            </w:pPr>
            <w:r>
              <w:rPr>
                <w:rFonts w:hint="eastAsia" w:ascii="黑体" w:hAnsi="黑体" w:eastAsia="黑体" w:cs="黑体"/>
                <w:color w:val="000000" w:themeColor="text1"/>
                <w:sz w:val="20"/>
                <w:szCs w:val="20"/>
                <w:lang w:val="en-US" w:eastAsia="zh-CN"/>
                <w14:textFill>
                  <w14:solidFill>
                    <w14:schemeClr w14:val="tx1"/>
                  </w14:solidFill>
                </w14:textFill>
              </w:rPr>
              <w:t>附件7：</w:t>
            </w:r>
            <w:r>
              <w:rPr>
                <w:rFonts w:hint="eastAsia" w:ascii="宋体" w:hAnsi="宋体"/>
                <w:color w:val="auto"/>
                <w:szCs w:val="21"/>
                <w:lang w:val="en-US" w:eastAsia="zh-CN"/>
              </w:rPr>
              <w:t>近三年同类项目业绩表</w:t>
            </w:r>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5"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topLinePunct/>
              <w:spacing w:line="240" w:lineRule="auto"/>
              <w:jc w:val="both"/>
              <w:rPr>
                <w:rFonts w:hint="eastAsia" w:ascii="宋体" w:hAnsi="宋体" w:eastAsia="宋体" w:cs="宋体"/>
                <w:color w:val="auto"/>
                <w:szCs w:val="21"/>
                <w:lang w:val="en-US" w:eastAsia="zh-CN"/>
              </w:rPr>
            </w:pPr>
            <w:r>
              <w:rPr>
                <w:rFonts w:hint="eastAsia" w:ascii="黑体" w:hAnsi="黑体" w:eastAsia="黑体" w:cs="黑体"/>
                <w:color w:val="000000" w:themeColor="text1"/>
                <w:sz w:val="20"/>
                <w:szCs w:val="20"/>
                <w:lang w:val="en-US" w:eastAsia="zh-CN"/>
                <w14:textFill>
                  <w14:solidFill>
                    <w14:schemeClr w14:val="tx1"/>
                  </w14:solidFill>
                </w14:textFill>
              </w:rPr>
              <w:t>附件8：</w:t>
            </w:r>
            <w:r>
              <w:rPr>
                <w:rFonts w:hint="eastAsia" w:ascii="宋体" w:hAnsi="宋体"/>
                <w:color w:val="auto"/>
                <w:szCs w:val="21"/>
              </w:rPr>
              <w:t>拟投入本项目的服务人员及设备一览表</w:t>
            </w:r>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5"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topLinePunct/>
              <w:spacing w:line="240" w:lineRule="auto"/>
              <w:jc w:val="both"/>
              <w:rPr>
                <w:rFonts w:hint="eastAsia" w:ascii="黑体" w:hAnsi="黑体" w:eastAsia="黑体" w:cs="黑体"/>
                <w:color w:val="000000" w:themeColor="text1"/>
                <w:sz w:val="20"/>
                <w:szCs w:val="20"/>
                <w:lang w:val="en-US" w:eastAsia="zh-CN"/>
                <w14:textFill>
                  <w14:solidFill>
                    <w14:schemeClr w14:val="tx1"/>
                  </w14:solidFill>
                </w14:textFill>
              </w:rPr>
            </w:pPr>
            <w:r>
              <w:rPr>
                <w:rFonts w:hint="eastAsia" w:ascii="黑体" w:hAnsi="黑体" w:eastAsia="黑体" w:cs="黑体"/>
                <w:color w:val="000000" w:themeColor="text1"/>
                <w:sz w:val="20"/>
                <w:szCs w:val="20"/>
                <w:lang w:val="en-US" w:eastAsia="zh-CN"/>
                <w14:textFill>
                  <w14:solidFill>
                    <w14:schemeClr w14:val="tx1"/>
                  </w14:solidFill>
                </w14:textFill>
              </w:rPr>
              <w:t>附件9：</w:t>
            </w:r>
            <w:r>
              <w:rPr>
                <w:rFonts w:hint="eastAsia" w:ascii="宋体" w:hAnsi="宋体"/>
                <w:color w:val="000000" w:themeColor="text1"/>
                <w:szCs w:val="21"/>
                <w14:textFill>
                  <w14:solidFill>
                    <w14:schemeClr w14:val="tx1"/>
                  </w14:solidFill>
                </w14:textFill>
              </w:rPr>
              <w:t>具备履行合同所必需的设备和专业技术能力的承诺</w:t>
            </w:r>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5"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adjustRightInd w:val="0"/>
              <w:snapToGrid w:val="0"/>
              <w:spacing w:line="240" w:lineRule="auto"/>
              <w:jc w:val="both"/>
              <w:rPr>
                <w:rFonts w:hint="eastAsia" w:ascii="宋体" w:hAnsi="宋体"/>
                <w:color w:val="auto"/>
                <w:szCs w:val="21"/>
              </w:rPr>
            </w:pPr>
            <w:r>
              <w:rPr>
                <w:rFonts w:hint="eastAsia" w:ascii="黑体" w:hAnsi="黑体" w:eastAsia="黑体" w:cs="黑体"/>
                <w:color w:val="000000" w:themeColor="text1"/>
                <w:sz w:val="20"/>
                <w:szCs w:val="20"/>
                <w:lang w:val="en-US" w:eastAsia="zh-CN"/>
                <w14:textFill>
                  <w14:solidFill>
                    <w14:schemeClr w14:val="tx1"/>
                  </w14:solidFill>
                </w14:textFill>
              </w:rPr>
              <w:t>附件10：</w:t>
            </w:r>
            <w:r>
              <w:rPr>
                <w:rFonts w:hint="eastAsia" w:ascii="宋体" w:hAnsi="宋体"/>
                <w:color w:val="000000" w:themeColor="text1"/>
                <w:szCs w:val="21"/>
                <w:lang w:eastAsia="zh-CN"/>
                <w14:textFill>
                  <w14:solidFill>
                    <w14:schemeClr w14:val="tx1"/>
                  </w14:solidFill>
                </w14:textFill>
              </w:rPr>
              <w:t>售后</w:t>
            </w:r>
            <w:r>
              <w:rPr>
                <w:rFonts w:hint="eastAsia" w:ascii="宋体" w:hAnsi="宋体"/>
                <w:color w:val="000000" w:themeColor="text1"/>
                <w:szCs w:val="21"/>
                <w14:textFill>
                  <w14:solidFill>
                    <w14:schemeClr w14:val="tx1"/>
                  </w14:solidFill>
                </w14:textFill>
              </w:rPr>
              <w:t>服务附表</w:t>
            </w:r>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8" w:type="dxa"/>
            <w:gridSpan w:val="2"/>
            <w:vMerge w:val="restart"/>
            <w:noWrap w:val="0"/>
            <w:vAlign w:val="center"/>
          </w:tcPr>
          <w:p>
            <w:pPr>
              <w:adjustRightInd w:val="0"/>
              <w:snapToGrid w:val="0"/>
              <w:spacing w:line="360" w:lineRule="auto"/>
              <w:jc w:val="center"/>
              <w:rPr>
                <w:rFonts w:hint="eastAsia" w:ascii="宋体" w:hAnsi="宋体"/>
                <w:b/>
                <w:color w:val="auto"/>
                <w:szCs w:val="21"/>
                <w:lang w:val="en-US" w:eastAsia="zh-CN"/>
              </w:rPr>
            </w:pPr>
            <w:r>
              <w:rPr>
                <w:rFonts w:hint="eastAsia" w:ascii="宋体" w:hAnsi="宋体"/>
                <w:b/>
                <w:color w:val="auto"/>
                <w:szCs w:val="21"/>
                <w:lang w:val="en-US" w:eastAsia="zh-CN"/>
              </w:rPr>
              <w:t>第四部分：</w:t>
            </w:r>
          </w:p>
          <w:p>
            <w:pPr>
              <w:adjustRightInd w:val="0"/>
              <w:snapToGrid w:val="0"/>
              <w:spacing w:line="360" w:lineRule="auto"/>
              <w:jc w:val="center"/>
              <w:rPr>
                <w:rFonts w:hint="eastAsia" w:ascii="宋体" w:hAnsi="宋体"/>
                <w:b/>
                <w:color w:val="auto"/>
                <w:szCs w:val="21"/>
                <w:vertAlign w:val="baseline"/>
                <w:lang w:val="en-US" w:eastAsia="zh-CN"/>
              </w:rPr>
            </w:pPr>
            <w:r>
              <w:rPr>
                <w:rFonts w:hint="eastAsia" w:ascii="宋体" w:hAnsi="宋体"/>
                <w:b/>
                <w:color w:val="auto"/>
                <w:szCs w:val="21"/>
                <w:lang w:val="en-US" w:eastAsia="zh-CN"/>
              </w:rPr>
              <w:t>报价</w:t>
            </w:r>
          </w:p>
        </w:tc>
        <w:tc>
          <w:tcPr>
            <w:tcW w:w="3911" w:type="dxa"/>
            <w:noWrap w:val="0"/>
            <w:vAlign w:val="center"/>
          </w:tcPr>
          <w:p>
            <w:pPr>
              <w:adjustRightInd w:val="0"/>
              <w:snapToGrid w:val="0"/>
              <w:spacing w:line="240" w:lineRule="auto"/>
              <w:jc w:val="both"/>
              <w:rPr>
                <w:rFonts w:hint="eastAsia" w:ascii="宋体" w:hAnsi="宋体" w:eastAsia="宋体"/>
                <w:color w:val="auto"/>
                <w:szCs w:val="21"/>
                <w:lang w:eastAsia="zh-CN"/>
              </w:rPr>
            </w:pPr>
            <w:r>
              <w:rPr>
                <w:rFonts w:hint="eastAsia" w:ascii="黑体" w:hAnsi="黑体" w:eastAsia="黑体" w:cs="黑体"/>
                <w:color w:val="000000" w:themeColor="text1"/>
                <w:sz w:val="20"/>
                <w:szCs w:val="20"/>
                <w:lang w:val="en-US" w:eastAsia="zh-CN"/>
                <w14:textFill>
                  <w14:solidFill>
                    <w14:schemeClr w14:val="tx1"/>
                  </w14:solidFill>
                </w14:textFill>
              </w:rPr>
              <w:t>附件11：</w:t>
            </w:r>
            <w:r>
              <w:rPr>
                <w:rFonts w:hint="eastAsia" w:ascii="宋体" w:hAnsi="宋体"/>
                <w:color w:val="auto"/>
                <w:szCs w:val="21"/>
                <w:lang w:val="en-US" w:eastAsia="zh-CN"/>
              </w:rPr>
              <w:t>开标记录</w:t>
            </w:r>
            <w:r>
              <w:rPr>
                <w:rFonts w:hint="eastAsia" w:ascii="宋体" w:hAnsi="宋体"/>
                <w:color w:val="auto"/>
                <w:szCs w:val="21"/>
              </w:rPr>
              <w:t>表</w:t>
            </w:r>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8" w:type="dxa"/>
            <w:gridSpan w:val="2"/>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adjustRightInd w:val="0"/>
              <w:snapToGrid w:val="0"/>
              <w:spacing w:line="240" w:lineRule="auto"/>
              <w:jc w:val="both"/>
              <w:rPr>
                <w:rFonts w:hint="eastAsia" w:ascii="宋体" w:hAnsi="宋体" w:eastAsia="宋体"/>
                <w:color w:val="auto"/>
                <w:szCs w:val="21"/>
                <w:lang w:eastAsia="zh-CN"/>
              </w:rPr>
            </w:pPr>
            <w:r>
              <w:rPr>
                <w:rFonts w:hint="eastAsia" w:ascii="黑体" w:hAnsi="黑体" w:eastAsia="黑体" w:cs="黑体"/>
                <w:color w:val="000000" w:themeColor="text1"/>
                <w:sz w:val="20"/>
                <w:szCs w:val="20"/>
                <w:lang w:val="en-US" w:eastAsia="zh-CN"/>
                <w14:textFill>
                  <w14:solidFill>
                    <w14:schemeClr w14:val="tx1"/>
                  </w14:solidFill>
                </w14:textFill>
              </w:rPr>
              <w:t>附件12：</w:t>
            </w:r>
            <w:r>
              <w:rPr>
                <w:rFonts w:hint="eastAsia" w:ascii="宋体" w:hAnsi="宋体" w:cs="Times New Roman"/>
                <w:color w:val="auto"/>
                <w:szCs w:val="21"/>
                <w:lang w:val="en-US" w:eastAsia="zh-CN"/>
              </w:rPr>
              <w:t>投标</w:t>
            </w:r>
            <w:r>
              <w:rPr>
                <w:rFonts w:hint="eastAsia" w:ascii="宋体" w:hAnsi="宋体"/>
                <w:color w:val="auto"/>
                <w:szCs w:val="21"/>
              </w:rPr>
              <w:t>报价明细表</w:t>
            </w:r>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8" w:type="dxa"/>
            <w:gridSpan w:val="2"/>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adjustRightInd w:val="0"/>
              <w:snapToGrid w:val="0"/>
              <w:spacing w:line="240" w:lineRule="auto"/>
              <w:jc w:val="both"/>
              <w:rPr>
                <w:rFonts w:hint="eastAsia" w:ascii="黑体" w:hAnsi="黑体" w:eastAsia="黑体" w:cs="黑体"/>
                <w:color w:val="000000" w:themeColor="text1"/>
                <w:sz w:val="20"/>
                <w:szCs w:val="20"/>
                <w:lang w:val="en-US" w:eastAsia="zh-CN"/>
                <w14:textFill>
                  <w14:solidFill>
                    <w14:schemeClr w14:val="tx1"/>
                  </w14:solidFill>
                </w14:textFill>
              </w:rPr>
            </w:pPr>
            <w:r>
              <w:rPr>
                <w:rFonts w:hint="eastAsia" w:ascii="黑体" w:hAnsi="黑体" w:eastAsia="黑体" w:cs="黑体"/>
                <w:color w:val="000000" w:themeColor="text1"/>
                <w:sz w:val="20"/>
                <w:szCs w:val="20"/>
                <w:lang w:val="en-US" w:eastAsia="zh-CN"/>
                <w14:textFill>
                  <w14:solidFill>
                    <w14:schemeClr w14:val="tx1"/>
                  </w14:solidFill>
                </w14:textFill>
              </w:rPr>
              <w:t>附件13：</w:t>
            </w:r>
            <w:r>
              <w:rPr>
                <w:rFonts w:hint="eastAsia" w:ascii="宋体" w:hAnsi="宋体"/>
                <w:color w:val="000000" w:themeColor="text1"/>
                <w:szCs w:val="21"/>
                <w:lang w:val="en-US" w:eastAsia="zh-CN"/>
                <w14:textFill>
                  <w14:solidFill>
                    <w14:schemeClr w14:val="tx1"/>
                  </w14:solidFill>
                </w14:textFill>
              </w:rPr>
              <w:t>中小企业声明函</w:t>
            </w:r>
            <w:r>
              <w:rPr>
                <w:rFonts w:hint="eastAsia" w:ascii="宋体" w:hAnsi="宋体"/>
                <w:color w:val="auto"/>
                <w:szCs w:val="21"/>
                <w:lang w:eastAsia="zh-CN"/>
              </w:rPr>
              <w:t>（</w:t>
            </w:r>
            <w:r>
              <w:rPr>
                <w:rFonts w:hint="eastAsia" w:ascii="宋体" w:hAnsi="宋体" w:cs="宋体"/>
                <w:color w:val="auto"/>
                <w:szCs w:val="21"/>
              </w:rPr>
              <w:t>监狱企业、残疾人福利性单位</w:t>
            </w:r>
            <w:r>
              <w:rPr>
                <w:rFonts w:hint="eastAsia" w:ascii="宋体" w:hAnsi="宋体" w:cs="宋体"/>
                <w:color w:val="auto"/>
                <w:szCs w:val="21"/>
                <w:lang w:val="en-US" w:eastAsia="zh-CN"/>
              </w:rPr>
              <w:t>证明</w:t>
            </w:r>
            <w:r>
              <w:rPr>
                <w:rFonts w:hint="eastAsia" w:ascii="宋体" w:hAnsi="宋体"/>
                <w:color w:val="auto"/>
                <w:szCs w:val="21"/>
                <w:lang w:eastAsia="zh-CN"/>
              </w:rPr>
              <w:t>）</w:t>
            </w:r>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bl>
    <w:p>
      <w:pPr>
        <w:adjustRightInd w:val="0"/>
        <w:snapToGrid w:val="0"/>
        <w:spacing w:line="360" w:lineRule="auto"/>
        <w:jc w:val="left"/>
        <w:rPr>
          <w:rFonts w:ascii="宋体" w:hAnsi="宋体"/>
          <w:b/>
          <w:color w:val="auto"/>
          <w:szCs w:val="21"/>
        </w:rPr>
      </w:pPr>
    </w:p>
    <w:p>
      <w:pPr>
        <w:pStyle w:val="28"/>
        <w:spacing w:after="0" w:line="240" w:lineRule="auto"/>
        <w:ind w:left="0" w:leftChars="0" w:firstLine="0" w:firstLineChars="0"/>
        <w:jc w:val="both"/>
        <w:rPr>
          <w:rFonts w:hint="eastAsia" w:ascii="宋体" w:hAnsi="宋体" w:eastAsia="宋体" w:cs="宋体"/>
          <w:color w:val="auto"/>
          <w:sz w:val="21"/>
          <w:szCs w:val="21"/>
          <w:lang w:val="en-US" w:eastAsia="zh-CN"/>
        </w:rPr>
      </w:pPr>
    </w:p>
    <w:p>
      <w:pPr>
        <w:rPr>
          <w:rFonts w:hint="default" w:hAnsi="宋体"/>
          <w:b/>
          <w:color w:val="auto"/>
          <w:sz w:val="24"/>
          <w:szCs w:val="24"/>
        </w:rPr>
      </w:pPr>
      <w:r>
        <w:rPr>
          <w:rFonts w:hint="default" w:hAnsi="宋体"/>
          <w:b/>
          <w:color w:val="auto"/>
          <w:sz w:val="24"/>
          <w:szCs w:val="24"/>
        </w:rPr>
        <w:br w:type="page"/>
      </w:r>
    </w:p>
    <w:p>
      <w:pPr>
        <w:adjustRightInd w:val="0"/>
        <w:snapToGrid w:val="0"/>
        <w:spacing w:line="360" w:lineRule="auto"/>
        <w:ind w:right="24"/>
        <w:rPr>
          <w:rFonts w:hint="eastAsia" w:ascii="宋体" w:hAnsi="宋体" w:eastAsia="宋体" w:cs="宋体"/>
          <w:bCs/>
          <w:color w:val="auto"/>
          <w:sz w:val="28"/>
          <w:szCs w:val="28"/>
          <w:lang w:eastAsia="zh-CN"/>
        </w:rPr>
      </w:pPr>
      <w:r>
        <w:rPr>
          <w:rFonts w:hint="eastAsia" w:ascii="宋体" w:hAnsi="宋体" w:eastAsia="宋体" w:cs="宋体"/>
          <w:bCs/>
          <w:color w:val="auto"/>
          <w:sz w:val="28"/>
          <w:szCs w:val="28"/>
        </w:rPr>
        <w:t>附件</w:t>
      </w:r>
      <w:r>
        <w:rPr>
          <w:rFonts w:hint="eastAsia" w:ascii="宋体" w:hAnsi="宋体" w:eastAsia="宋体" w:cs="宋体"/>
          <w:bCs/>
          <w:color w:val="auto"/>
          <w:sz w:val="28"/>
          <w:szCs w:val="28"/>
          <w:lang w:val="en-US" w:eastAsia="zh-CN"/>
        </w:rPr>
        <w:t>1</w:t>
      </w:r>
    </w:p>
    <w:p>
      <w:pPr>
        <w:adjustRightInd w:val="0"/>
        <w:snapToGrid w:val="0"/>
        <w:spacing w:line="360" w:lineRule="auto"/>
        <w:ind w:right="24"/>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法定代表人身份证明(法定代表人参加招标)</w:t>
      </w:r>
    </w:p>
    <w:p>
      <w:pPr>
        <w:snapToGrid w:val="0"/>
        <w:spacing w:line="480" w:lineRule="auto"/>
        <w:rPr>
          <w:rFonts w:hint="eastAsia" w:ascii="宋体" w:hAnsi="宋体" w:eastAsia="宋体" w:cs="宋体"/>
          <w:b/>
          <w:bCs/>
          <w:color w:val="auto"/>
          <w:szCs w:val="21"/>
        </w:rPr>
      </w:pPr>
    </w:p>
    <w:p>
      <w:pPr>
        <w:autoSpaceDE w:val="0"/>
        <w:autoSpaceDN w:val="0"/>
        <w:adjustRightInd w:val="0"/>
        <w:snapToGrid w:val="0"/>
        <w:spacing w:before="156" w:beforeLines="50" w:line="360" w:lineRule="auto"/>
        <w:jc w:val="left"/>
        <w:rPr>
          <w:rFonts w:hint="eastAsia" w:ascii="宋体" w:hAnsi="宋体" w:eastAsia="宋体" w:cs="宋体"/>
          <w:b/>
          <w:bCs/>
          <w:color w:val="auto"/>
          <w:kern w:val="0"/>
          <w:szCs w:val="21"/>
        </w:rPr>
      </w:pPr>
      <w:r>
        <w:rPr>
          <w:rFonts w:hint="eastAsia" w:ascii="宋体" w:hAnsi="宋体" w:eastAsia="宋体" w:cs="宋体"/>
          <w:b/>
          <w:bCs/>
          <w:color w:val="auto"/>
        </w:rPr>
        <w:t>投标人</w:t>
      </w:r>
      <w:r>
        <w:rPr>
          <w:rFonts w:hint="eastAsia" w:ascii="宋体" w:hAnsi="宋体" w:eastAsia="宋体" w:cs="宋体"/>
          <w:b/>
          <w:bCs/>
          <w:color w:val="auto"/>
          <w:kern w:val="0"/>
          <w:szCs w:val="21"/>
        </w:rPr>
        <w:t>名称：</w:t>
      </w:r>
      <w:r>
        <w:rPr>
          <w:rFonts w:hint="eastAsia" w:ascii="宋体" w:hAnsi="宋体" w:eastAsia="宋体" w:cs="宋体"/>
          <w:b/>
          <w:bCs/>
          <w:color w:val="auto"/>
          <w:kern w:val="0"/>
          <w:szCs w:val="21"/>
          <w:u w:val="single"/>
        </w:rPr>
        <w:t xml:space="preserve">                  </w:t>
      </w:r>
      <w:r>
        <w:rPr>
          <w:rFonts w:hint="eastAsia" w:ascii="宋体" w:hAnsi="宋体" w:eastAsia="宋体" w:cs="宋体"/>
          <w:b/>
          <w:bCs/>
          <w:color w:val="auto"/>
          <w:kern w:val="0"/>
          <w:szCs w:val="21"/>
        </w:rPr>
        <w:t xml:space="preserve"> </w:t>
      </w:r>
    </w:p>
    <w:p>
      <w:pPr>
        <w:autoSpaceDE w:val="0"/>
        <w:autoSpaceDN w:val="0"/>
        <w:adjustRightInd w:val="0"/>
        <w:snapToGrid w:val="0"/>
        <w:spacing w:before="156" w:beforeLines="50" w:line="360" w:lineRule="auto"/>
        <w:jc w:val="left"/>
        <w:rPr>
          <w:rFonts w:hint="eastAsia" w:ascii="宋体" w:hAnsi="宋体" w:eastAsia="宋体" w:cs="宋体"/>
          <w:b/>
          <w:bCs/>
          <w:color w:val="auto"/>
          <w:kern w:val="0"/>
          <w:szCs w:val="21"/>
        </w:rPr>
      </w:pPr>
      <w:r>
        <w:rPr>
          <w:rFonts w:hint="eastAsia" w:ascii="宋体" w:hAnsi="宋体" w:eastAsia="宋体" w:cs="宋体"/>
          <w:b/>
          <w:bCs/>
          <w:color w:val="auto"/>
          <w:kern w:val="0"/>
          <w:szCs w:val="21"/>
        </w:rPr>
        <w:t>注册号：</w:t>
      </w:r>
      <w:r>
        <w:rPr>
          <w:rFonts w:hint="eastAsia" w:ascii="宋体" w:hAnsi="宋体" w:eastAsia="宋体" w:cs="宋体"/>
          <w:b/>
          <w:bCs/>
          <w:color w:val="auto"/>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b/>
          <w:bCs/>
          <w:color w:val="auto"/>
          <w:kern w:val="0"/>
          <w:szCs w:val="21"/>
        </w:rPr>
      </w:pPr>
      <w:r>
        <w:rPr>
          <w:rFonts w:hint="eastAsia" w:ascii="宋体" w:hAnsi="宋体" w:eastAsia="宋体" w:cs="宋体"/>
          <w:b/>
          <w:bCs/>
          <w:color w:val="auto"/>
          <w:kern w:val="0"/>
          <w:szCs w:val="21"/>
        </w:rPr>
        <w:t>注册地址：</w:t>
      </w:r>
      <w:r>
        <w:rPr>
          <w:rFonts w:hint="eastAsia" w:ascii="宋体" w:hAnsi="宋体" w:eastAsia="宋体" w:cs="宋体"/>
          <w:b/>
          <w:bCs/>
          <w:color w:val="auto"/>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b/>
          <w:bCs/>
          <w:color w:val="auto"/>
          <w:kern w:val="0"/>
          <w:szCs w:val="21"/>
        </w:rPr>
      </w:pPr>
      <w:r>
        <w:rPr>
          <w:rFonts w:hint="eastAsia" w:ascii="宋体" w:hAnsi="宋体" w:eastAsia="宋体" w:cs="宋体"/>
          <w:b/>
          <w:bCs/>
          <w:color w:val="auto"/>
          <w:kern w:val="0"/>
          <w:szCs w:val="21"/>
        </w:rPr>
        <w:t xml:space="preserve">成立时间： </w:t>
      </w:r>
      <w:r>
        <w:rPr>
          <w:rFonts w:hint="eastAsia" w:ascii="宋体" w:hAnsi="宋体" w:eastAsia="宋体" w:cs="宋体"/>
          <w:b/>
          <w:bCs/>
          <w:color w:val="auto"/>
          <w:kern w:val="0"/>
          <w:szCs w:val="21"/>
          <w:u w:val="single"/>
        </w:rPr>
        <w:t xml:space="preserve">       </w:t>
      </w:r>
      <w:r>
        <w:rPr>
          <w:rFonts w:hint="eastAsia" w:ascii="宋体" w:hAnsi="宋体" w:eastAsia="宋体" w:cs="宋体"/>
          <w:b/>
          <w:bCs/>
          <w:color w:val="auto"/>
          <w:kern w:val="0"/>
          <w:szCs w:val="21"/>
        </w:rPr>
        <w:t xml:space="preserve">年 </w:t>
      </w:r>
      <w:r>
        <w:rPr>
          <w:rFonts w:hint="eastAsia" w:ascii="宋体" w:hAnsi="宋体" w:eastAsia="宋体" w:cs="宋体"/>
          <w:b/>
          <w:bCs/>
          <w:color w:val="auto"/>
          <w:kern w:val="0"/>
          <w:szCs w:val="21"/>
          <w:u w:val="single"/>
        </w:rPr>
        <w:t xml:space="preserve">     </w:t>
      </w:r>
      <w:r>
        <w:rPr>
          <w:rFonts w:hint="eastAsia" w:ascii="宋体" w:hAnsi="宋体" w:eastAsia="宋体" w:cs="宋体"/>
          <w:b/>
          <w:bCs/>
          <w:color w:val="auto"/>
          <w:kern w:val="0"/>
          <w:szCs w:val="21"/>
        </w:rPr>
        <w:t>月</w:t>
      </w:r>
      <w:r>
        <w:rPr>
          <w:rFonts w:hint="eastAsia" w:ascii="宋体" w:hAnsi="宋体" w:eastAsia="宋体" w:cs="宋体"/>
          <w:b/>
          <w:bCs/>
          <w:color w:val="auto"/>
          <w:kern w:val="0"/>
          <w:szCs w:val="21"/>
          <w:u w:val="single"/>
        </w:rPr>
        <w:t xml:space="preserve">    </w:t>
      </w:r>
      <w:r>
        <w:rPr>
          <w:rFonts w:hint="eastAsia" w:ascii="宋体" w:hAnsi="宋体" w:eastAsia="宋体" w:cs="宋体"/>
          <w:b/>
          <w:bCs/>
          <w:color w:val="auto"/>
          <w:kern w:val="0"/>
          <w:szCs w:val="21"/>
        </w:rPr>
        <w:t xml:space="preserve"> 日</w:t>
      </w:r>
    </w:p>
    <w:p>
      <w:pPr>
        <w:autoSpaceDE w:val="0"/>
        <w:autoSpaceDN w:val="0"/>
        <w:adjustRightInd w:val="0"/>
        <w:snapToGrid w:val="0"/>
        <w:spacing w:before="156" w:beforeLines="50" w:line="360" w:lineRule="auto"/>
        <w:jc w:val="left"/>
        <w:rPr>
          <w:rFonts w:hint="eastAsia" w:ascii="宋体" w:hAnsi="宋体" w:eastAsia="宋体" w:cs="宋体"/>
          <w:b/>
          <w:bCs/>
          <w:color w:val="auto"/>
          <w:kern w:val="0"/>
          <w:szCs w:val="21"/>
          <w:u w:val="single"/>
        </w:rPr>
      </w:pPr>
      <w:r>
        <w:rPr>
          <w:rFonts w:hint="eastAsia" w:ascii="宋体" w:hAnsi="宋体" w:eastAsia="宋体" w:cs="宋体"/>
          <w:b/>
          <w:bCs/>
          <w:color w:val="auto"/>
          <w:kern w:val="0"/>
          <w:szCs w:val="21"/>
        </w:rPr>
        <w:t>经营期限：</w:t>
      </w:r>
      <w:r>
        <w:rPr>
          <w:rFonts w:hint="eastAsia" w:ascii="宋体" w:hAnsi="宋体" w:eastAsia="宋体" w:cs="宋体"/>
          <w:b/>
          <w:bCs/>
          <w:color w:val="auto"/>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b/>
          <w:bCs/>
          <w:color w:val="auto"/>
          <w:kern w:val="0"/>
          <w:szCs w:val="21"/>
          <w:u w:val="single"/>
        </w:rPr>
      </w:pPr>
      <w:r>
        <w:rPr>
          <w:rFonts w:hint="eastAsia" w:ascii="宋体" w:hAnsi="宋体" w:eastAsia="宋体" w:cs="宋体"/>
          <w:b/>
          <w:bCs/>
          <w:color w:val="auto"/>
          <w:kern w:val="0"/>
          <w:szCs w:val="21"/>
        </w:rPr>
        <w:t>经营范围：主营：</w:t>
      </w:r>
      <w:r>
        <w:rPr>
          <w:rFonts w:hint="eastAsia" w:ascii="宋体" w:hAnsi="宋体" w:eastAsia="宋体" w:cs="宋体"/>
          <w:b/>
          <w:bCs/>
          <w:color w:val="auto"/>
          <w:kern w:val="0"/>
          <w:szCs w:val="21"/>
          <w:u w:val="single"/>
        </w:rPr>
        <w:t xml:space="preserve">              </w:t>
      </w:r>
      <w:r>
        <w:rPr>
          <w:rFonts w:hint="eastAsia" w:ascii="宋体" w:hAnsi="宋体" w:eastAsia="宋体" w:cs="宋体"/>
          <w:b/>
          <w:bCs/>
          <w:color w:val="auto"/>
          <w:kern w:val="0"/>
          <w:szCs w:val="21"/>
        </w:rPr>
        <w:t xml:space="preserve"> ；兼营：</w:t>
      </w:r>
      <w:r>
        <w:rPr>
          <w:rFonts w:hint="eastAsia" w:ascii="宋体" w:hAnsi="宋体" w:eastAsia="宋体" w:cs="宋体"/>
          <w:b/>
          <w:bCs/>
          <w:color w:val="auto"/>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b/>
          <w:bCs/>
          <w:color w:val="auto"/>
          <w:kern w:val="0"/>
          <w:szCs w:val="21"/>
        </w:rPr>
      </w:pPr>
      <w:r>
        <w:rPr>
          <w:rFonts w:hint="eastAsia" w:ascii="宋体" w:hAnsi="宋体" w:eastAsia="宋体" w:cs="宋体"/>
          <w:b/>
          <w:bCs/>
          <w:color w:val="auto"/>
          <w:kern w:val="0"/>
          <w:szCs w:val="21"/>
        </w:rPr>
        <w:t>姓名：</w:t>
      </w:r>
      <w:r>
        <w:rPr>
          <w:rFonts w:hint="eastAsia" w:ascii="宋体" w:hAnsi="宋体" w:eastAsia="宋体" w:cs="宋体"/>
          <w:b/>
          <w:bCs/>
          <w:color w:val="auto"/>
          <w:kern w:val="0"/>
          <w:szCs w:val="21"/>
          <w:u w:val="single"/>
        </w:rPr>
        <w:t xml:space="preserve">         </w:t>
      </w:r>
      <w:r>
        <w:rPr>
          <w:rFonts w:hint="eastAsia" w:ascii="宋体" w:hAnsi="宋体" w:eastAsia="宋体" w:cs="宋体"/>
          <w:b/>
          <w:bCs/>
          <w:color w:val="auto"/>
          <w:kern w:val="0"/>
          <w:szCs w:val="21"/>
        </w:rPr>
        <w:t xml:space="preserve"> 性别：</w:t>
      </w:r>
      <w:r>
        <w:rPr>
          <w:rFonts w:hint="eastAsia" w:ascii="宋体" w:hAnsi="宋体" w:eastAsia="宋体" w:cs="宋体"/>
          <w:b/>
          <w:bCs/>
          <w:color w:val="auto"/>
          <w:kern w:val="0"/>
          <w:szCs w:val="21"/>
          <w:u w:val="single"/>
        </w:rPr>
        <w:t xml:space="preserve">      </w:t>
      </w:r>
      <w:r>
        <w:rPr>
          <w:rFonts w:hint="eastAsia" w:ascii="宋体" w:hAnsi="宋体" w:eastAsia="宋体" w:cs="宋体"/>
          <w:b/>
          <w:bCs/>
          <w:color w:val="auto"/>
          <w:kern w:val="0"/>
          <w:szCs w:val="21"/>
        </w:rPr>
        <w:t xml:space="preserve"> 年龄：</w:t>
      </w:r>
      <w:r>
        <w:rPr>
          <w:rFonts w:hint="eastAsia" w:ascii="宋体" w:hAnsi="宋体" w:eastAsia="宋体" w:cs="宋体"/>
          <w:b/>
          <w:bCs/>
          <w:color w:val="auto"/>
          <w:kern w:val="0"/>
          <w:szCs w:val="21"/>
          <w:u w:val="single"/>
        </w:rPr>
        <w:t xml:space="preserve">         </w:t>
      </w:r>
      <w:r>
        <w:rPr>
          <w:rFonts w:hint="eastAsia" w:ascii="宋体" w:hAnsi="宋体" w:eastAsia="宋体" w:cs="宋体"/>
          <w:b/>
          <w:bCs/>
          <w:color w:val="auto"/>
          <w:kern w:val="0"/>
          <w:szCs w:val="21"/>
        </w:rPr>
        <w:t xml:space="preserve"> 系</w:t>
      </w:r>
      <w:r>
        <w:rPr>
          <w:rFonts w:hint="eastAsia" w:ascii="宋体" w:hAnsi="宋体" w:eastAsia="宋体" w:cs="宋体"/>
          <w:b/>
          <w:bCs/>
          <w:color w:val="auto"/>
          <w:kern w:val="0"/>
          <w:szCs w:val="21"/>
          <w:u w:val="single"/>
        </w:rPr>
        <w:t xml:space="preserve">      </w:t>
      </w:r>
      <w:r>
        <w:rPr>
          <w:rFonts w:hint="eastAsia" w:ascii="宋体" w:hAnsi="宋体" w:eastAsia="宋体" w:cs="宋体"/>
          <w:b/>
          <w:bCs/>
          <w:color w:val="auto"/>
          <w:kern w:val="0"/>
          <w:szCs w:val="21"/>
        </w:rPr>
        <w:t>（</w:t>
      </w:r>
      <w:r>
        <w:rPr>
          <w:rFonts w:hint="eastAsia" w:ascii="宋体" w:hAnsi="宋体" w:eastAsia="宋体" w:cs="宋体"/>
          <w:b/>
          <w:bCs/>
          <w:color w:val="auto"/>
        </w:rPr>
        <w:t>投标人</w:t>
      </w:r>
      <w:r>
        <w:rPr>
          <w:rFonts w:hint="eastAsia" w:ascii="宋体" w:hAnsi="宋体" w:eastAsia="宋体" w:cs="宋体"/>
          <w:b/>
          <w:bCs/>
          <w:color w:val="auto"/>
          <w:kern w:val="0"/>
          <w:szCs w:val="21"/>
        </w:rPr>
        <w:t>名称）的法定代表人。</w:t>
      </w:r>
    </w:p>
    <w:p>
      <w:pPr>
        <w:autoSpaceDE w:val="0"/>
        <w:autoSpaceDN w:val="0"/>
        <w:adjustRightInd w:val="0"/>
        <w:snapToGrid w:val="0"/>
        <w:spacing w:before="156" w:beforeLines="50" w:line="360" w:lineRule="auto"/>
        <w:jc w:val="left"/>
        <w:rPr>
          <w:rFonts w:hint="eastAsia" w:ascii="宋体" w:hAnsi="宋体" w:eastAsia="宋体" w:cs="宋体"/>
          <w:b/>
          <w:bCs/>
          <w:color w:val="auto"/>
          <w:kern w:val="0"/>
          <w:szCs w:val="21"/>
        </w:rPr>
      </w:pPr>
      <w:r>
        <w:rPr>
          <w:rFonts w:hint="eastAsia" w:ascii="宋体" w:hAnsi="宋体" w:eastAsia="宋体" w:cs="宋体"/>
          <w:b/>
          <w:bCs/>
          <w:color w:val="auto"/>
          <w:kern w:val="0"/>
          <w:szCs w:val="21"/>
        </w:rPr>
        <w:t>特此证明。</w:t>
      </w:r>
    </w:p>
    <w:p>
      <w:pPr>
        <w:autoSpaceDE w:val="0"/>
        <w:autoSpaceDN w:val="0"/>
        <w:adjustRightInd w:val="0"/>
        <w:snapToGrid w:val="0"/>
        <w:spacing w:before="156" w:beforeLines="50" w:line="360" w:lineRule="auto"/>
        <w:jc w:val="left"/>
        <w:rPr>
          <w:rFonts w:hint="eastAsia" w:ascii="宋体" w:hAnsi="宋体" w:eastAsia="宋体" w:cs="宋体"/>
          <w:b/>
          <w:bCs/>
          <w:color w:val="auto"/>
          <w:szCs w:val="21"/>
        </w:rPr>
      </w:pPr>
    </w:p>
    <w:p>
      <w:pPr>
        <w:autoSpaceDE w:val="0"/>
        <w:autoSpaceDN w:val="0"/>
        <w:adjustRightInd w:val="0"/>
        <w:snapToGrid w:val="0"/>
        <w:spacing w:before="156" w:beforeLines="50" w:line="360" w:lineRule="auto"/>
        <w:jc w:val="left"/>
        <w:rPr>
          <w:rFonts w:hint="eastAsia" w:ascii="宋体" w:hAnsi="宋体" w:eastAsia="宋体" w:cs="宋体"/>
          <w:b/>
          <w:bCs/>
          <w:color w:val="auto"/>
          <w:kern w:val="0"/>
          <w:szCs w:val="21"/>
        </w:rPr>
      </w:pPr>
      <w:r>
        <w:rPr>
          <w:rFonts w:hint="eastAsia" w:ascii="宋体" w:hAnsi="宋体" w:eastAsia="宋体" w:cs="宋体"/>
          <w:b/>
          <w:bCs/>
          <w:color w:val="auto"/>
          <w:szCs w:val="21"/>
        </w:rPr>
        <w:t>附：</w:t>
      </w:r>
      <w:r>
        <w:rPr>
          <w:rFonts w:hint="eastAsia" w:ascii="宋体" w:hAnsi="宋体" w:eastAsia="宋体" w:cs="宋体"/>
          <w:b/>
          <w:bCs/>
          <w:color w:val="auto"/>
          <w:szCs w:val="21"/>
          <w:highlight w:val="yellow"/>
        </w:rPr>
        <w:t>法定代表人</w:t>
      </w:r>
      <w:r>
        <w:rPr>
          <w:rFonts w:hint="eastAsia" w:ascii="宋体" w:hAnsi="宋体" w:eastAsia="宋体" w:cs="宋体"/>
          <w:b/>
          <w:bCs/>
          <w:color w:val="auto"/>
          <w:szCs w:val="21"/>
        </w:rPr>
        <w:t>身份证复印件</w:t>
      </w:r>
    </w:p>
    <w:p>
      <w:pPr>
        <w:snapToGrid w:val="0"/>
        <w:spacing w:line="480" w:lineRule="auto"/>
        <w:rPr>
          <w:rFonts w:hint="eastAsia" w:ascii="宋体" w:hAnsi="宋体" w:eastAsia="宋体" w:cs="宋体"/>
          <w:b/>
          <w:bCs/>
          <w:color w:val="auto"/>
          <w:szCs w:val="21"/>
        </w:rPr>
      </w:pPr>
    </w:p>
    <w:p>
      <w:pPr>
        <w:snapToGrid w:val="0"/>
        <w:rPr>
          <w:rFonts w:hint="eastAsia" w:ascii="宋体" w:hAnsi="宋体" w:eastAsia="宋体" w:cs="宋体"/>
          <w:b/>
          <w:bCs/>
          <w:color w:val="auto"/>
          <w:szCs w:val="21"/>
        </w:rPr>
      </w:pPr>
    </w:p>
    <w:p>
      <w:pPr>
        <w:snapToGrid w:val="0"/>
        <w:rPr>
          <w:rFonts w:hint="eastAsia" w:ascii="宋体" w:hAnsi="宋体" w:eastAsia="宋体" w:cs="宋体"/>
          <w:b/>
          <w:bCs/>
          <w:color w:val="auto"/>
          <w:szCs w:val="21"/>
        </w:rPr>
      </w:pPr>
    </w:p>
    <w:p>
      <w:pPr>
        <w:snapToGrid w:val="0"/>
        <w:rPr>
          <w:rFonts w:hint="eastAsia" w:ascii="宋体" w:hAnsi="宋体" w:eastAsia="宋体" w:cs="宋体"/>
          <w:b/>
          <w:bCs/>
          <w:color w:val="auto"/>
          <w:szCs w:val="21"/>
        </w:rPr>
      </w:pPr>
    </w:p>
    <w:p>
      <w:pPr>
        <w:snapToGrid w:val="0"/>
        <w:rPr>
          <w:rFonts w:hint="eastAsia" w:ascii="宋体" w:hAnsi="宋体" w:eastAsia="宋体" w:cs="宋体"/>
          <w:b/>
          <w:bCs/>
          <w:color w:val="auto"/>
          <w:szCs w:val="21"/>
        </w:rPr>
      </w:pPr>
    </w:p>
    <w:p>
      <w:pPr>
        <w:adjustRightInd w:val="0"/>
        <w:snapToGrid w:val="0"/>
        <w:spacing w:line="360" w:lineRule="auto"/>
        <w:rPr>
          <w:rFonts w:hint="eastAsia" w:ascii="宋体" w:hAnsi="宋体" w:eastAsia="宋体" w:cs="宋体"/>
          <w:b/>
          <w:bCs/>
          <w:color w:val="auto"/>
          <w:szCs w:val="21"/>
        </w:rPr>
      </w:pPr>
    </w:p>
    <w:p>
      <w:pPr>
        <w:adjustRightInd w:val="0"/>
        <w:snapToGrid w:val="0"/>
        <w:spacing w:line="360" w:lineRule="auto"/>
        <w:ind w:right="420"/>
        <w:rPr>
          <w:rFonts w:hint="eastAsia" w:ascii="宋体" w:hAnsi="宋体" w:eastAsia="宋体" w:cs="宋体"/>
          <w:b/>
          <w:bCs/>
          <w:color w:val="auto"/>
          <w:szCs w:val="21"/>
        </w:rPr>
      </w:pPr>
      <w:r>
        <w:rPr>
          <w:rFonts w:hint="eastAsia" w:ascii="宋体" w:hAnsi="宋体" w:eastAsia="宋体" w:cs="宋体"/>
          <w:b/>
          <w:bCs/>
          <w:color w:val="auto"/>
        </w:rPr>
        <w:t>投标人</w:t>
      </w:r>
      <w:r>
        <w:rPr>
          <w:rFonts w:hint="eastAsia" w:ascii="宋体" w:hAnsi="宋体" w:eastAsia="宋体" w:cs="宋体"/>
          <w:b/>
          <w:bCs/>
          <w:color w:val="auto"/>
          <w:szCs w:val="21"/>
        </w:rPr>
        <w:t>名称（盖单位章）：</w:t>
      </w:r>
    </w:p>
    <w:p>
      <w:pPr>
        <w:adjustRightInd w:val="0"/>
        <w:snapToGrid w:val="0"/>
        <w:spacing w:line="360" w:lineRule="auto"/>
        <w:ind w:right="420"/>
        <w:rPr>
          <w:rFonts w:hint="eastAsia" w:ascii="宋体" w:hAnsi="宋体" w:eastAsia="宋体" w:cs="宋体"/>
          <w:color w:val="auto"/>
          <w:szCs w:val="21"/>
        </w:rPr>
      </w:pPr>
      <w:r>
        <w:rPr>
          <w:rFonts w:hint="eastAsia" w:ascii="宋体" w:hAnsi="宋体" w:eastAsia="宋体" w:cs="宋体"/>
          <w:b/>
          <w:bCs/>
          <w:color w:val="auto"/>
          <w:szCs w:val="21"/>
        </w:rPr>
        <w:t>日期：</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rPr>
        <w:t>年</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rPr>
        <w:t>月</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rPr>
        <w:t>日</w:t>
      </w:r>
      <w:r>
        <w:rPr>
          <w:rFonts w:hint="eastAsia" w:ascii="宋体" w:hAnsi="宋体" w:eastAsia="宋体" w:cs="宋体"/>
          <w:color w:val="auto"/>
          <w:szCs w:val="21"/>
        </w:rPr>
        <w:t xml:space="preserve">      </w:t>
      </w:r>
    </w:p>
    <w:p>
      <w:pPr>
        <w:adjustRightInd w:val="0"/>
        <w:snapToGrid w:val="0"/>
        <w:spacing w:before="156" w:beforeLines="50" w:line="360" w:lineRule="auto"/>
        <w:rPr>
          <w:rFonts w:hint="eastAsia" w:ascii="宋体" w:hAnsi="宋体" w:eastAsia="宋体" w:cs="宋体"/>
          <w:color w:val="auto"/>
          <w:szCs w:val="21"/>
        </w:rPr>
      </w:pPr>
    </w:p>
    <w:p>
      <w:pPr>
        <w:adjustRightInd w:val="0"/>
        <w:snapToGrid w:val="0"/>
        <w:spacing w:before="156" w:beforeLines="50" w:line="360" w:lineRule="auto"/>
        <w:rPr>
          <w:rFonts w:hint="eastAsia" w:ascii="宋体" w:hAnsi="宋体" w:eastAsia="宋体" w:cs="宋体"/>
          <w:color w:val="auto"/>
          <w:szCs w:val="21"/>
        </w:rPr>
      </w:pPr>
    </w:p>
    <w:p>
      <w:pPr>
        <w:adjustRightInd w:val="0"/>
        <w:snapToGrid w:val="0"/>
        <w:spacing w:line="360" w:lineRule="auto"/>
        <w:ind w:right="24"/>
        <w:rPr>
          <w:rFonts w:hint="eastAsia" w:ascii="宋体" w:hAnsi="宋体" w:eastAsia="宋体" w:cs="宋体"/>
          <w:color w:val="auto"/>
          <w:sz w:val="32"/>
          <w:szCs w:val="32"/>
          <w:lang w:eastAsia="zh-CN"/>
        </w:rPr>
      </w:pPr>
      <w:r>
        <w:rPr>
          <w:rFonts w:hint="eastAsia" w:ascii="宋体" w:hAnsi="宋体" w:eastAsia="宋体" w:cs="宋体"/>
          <w:color w:val="auto"/>
          <w:szCs w:val="21"/>
        </w:rPr>
        <w:br w:type="page"/>
      </w:r>
      <w:r>
        <w:rPr>
          <w:rFonts w:hint="eastAsia" w:ascii="宋体" w:hAnsi="宋体" w:eastAsia="宋体" w:cs="宋体"/>
          <w:bCs/>
          <w:color w:val="auto"/>
          <w:sz w:val="28"/>
          <w:szCs w:val="28"/>
        </w:rPr>
        <w:t>附件</w:t>
      </w:r>
      <w:r>
        <w:rPr>
          <w:rFonts w:hint="eastAsia" w:ascii="宋体" w:hAnsi="宋体" w:eastAsia="宋体" w:cs="宋体"/>
          <w:bCs/>
          <w:color w:val="auto"/>
          <w:sz w:val="28"/>
          <w:szCs w:val="28"/>
          <w:lang w:val="en-US" w:eastAsia="zh-CN"/>
        </w:rPr>
        <w:t>2</w:t>
      </w:r>
    </w:p>
    <w:p>
      <w:pPr>
        <w:adjustRightInd w:val="0"/>
        <w:snapToGrid w:val="0"/>
        <w:spacing w:line="360" w:lineRule="auto"/>
        <w:ind w:right="24"/>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法定代表人授权书(委托代理人参加招标)</w:t>
      </w:r>
    </w:p>
    <w:p>
      <w:pPr>
        <w:adjustRightInd w:val="0"/>
        <w:snapToGrid w:val="0"/>
        <w:spacing w:line="360" w:lineRule="auto"/>
        <w:jc w:val="center"/>
        <w:rPr>
          <w:rFonts w:hint="eastAsia" w:ascii="宋体" w:hAnsi="宋体" w:eastAsia="宋体" w:cs="宋体"/>
          <w:b/>
          <w:bCs/>
          <w:color w:val="auto"/>
          <w:sz w:val="28"/>
          <w:szCs w:val="28"/>
        </w:rPr>
      </w:pPr>
    </w:p>
    <w:p>
      <w:pPr>
        <w:spacing w:line="560" w:lineRule="exact"/>
        <w:ind w:firstLine="570"/>
        <w:rPr>
          <w:rFonts w:hint="eastAsia" w:ascii="宋体" w:hAnsi="宋体" w:eastAsia="宋体" w:cs="宋体"/>
          <w:b/>
          <w:bCs/>
          <w:color w:val="auto"/>
          <w:szCs w:val="21"/>
        </w:rPr>
      </w:pPr>
      <w:r>
        <w:rPr>
          <w:rFonts w:hint="eastAsia" w:ascii="宋体" w:hAnsi="宋体" w:eastAsia="宋体" w:cs="宋体"/>
          <w:b/>
          <w:bCs/>
          <w:color w:val="auto"/>
          <w:szCs w:val="21"/>
        </w:rPr>
        <w:t>本人</w:t>
      </w:r>
      <w:r>
        <w:rPr>
          <w:rFonts w:hint="eastAsia" w:ascii="宋体" w:hAnsi="宋体" w:eastAsia="宋体" w:cs="宋体"/>
          <w:b/>
          <w:bCs/>
          <w:color w:val="auto"/>
          <w:szCs w:val="21"/>
          <w:u w:val="single"/>
        </w:rPr>
        <w:t xml:space="preserve"> （姓名）</w:t>
      </w:r>
      <w:r>
        <w:rPr>
          <w:rFonts w:hint="eastAsia" w:ascii="宋体" w:hAnsi="宋体" w:eastAsia="宋体" w:cs="宋体"/>
          <w:b/>
          <w:bCs/>
          <w:color w:val="auto"/>
          <w:szCs w:val="21"/>
        </w:rPr>
        <w:t>系</w:t>
      </w:r>
      <w:r>
        <w:rPr>
          <w:rFonts w:hint="eastAsia" w:ascii="宋体" w:hAnsi="宋体" w:eastAsia="宋体" w:cs="宋体"/>
          <w:b/>
          <w:bCs/>
          <w:color w:val="auto"/>
          <w:szCs w:val="21"/>
          <w:u w:val="single"/>
        </w:rPr>
        <w:t>（授权单位名称）</w:t>
      </w:r>
      <w:r>
        <w:rPr>
          <w:rFonts w:hint="eastAsia" w:ascii="宋体" w:hAnsi="宋体" w:eastAsia="宋体" w:cs="宋体"/>
          <w:b/>
          <w:bCs/>
          <w:color w:val="auto"/>
          <w:szCs w:val="21"/>
        </w:rPr>
        <w:t>的法定代表人，现委托</w:t>
      </w:r>
      <w:r>
        <w:rPr>
          <w:rFonts w:hint="eastAsia" w:ascii="宋体" w:hAnsi="宋体" w:eastAsia="宋体" w:cs="宋体"/>
          <w:b/>
          <w:bCs/>
          <w:color w:val="auto"/>
          <w:szCs w:val="21"/>
          <w:u w:val="single"/>
        </w:rPr>
        <w:t>（姓名）</w:t>
      </w:r>
      <w:r>
        <w:rPr>
          <w:rFonts w:hint="eastAsia" w:ascii="宋体" w:hAnsi="宋体" w:eastAsia="宋体" w:cs="宋体"/>
          <w:b/>
          <w:bCs/>
          <w:color w:val="auto"/>
          <w:szCs w:val="21"/>
        </w:rPr>
        <w:t>为我方代理人。代理人根据授权，以我的名义签署、澄清、说明、补正、递交、撤回、修改</w:t>
      </w:r>
      <w:r>
        <w:rPr>
          <w:rFonts w:hint="eastAsia" w:ascii="宋体" w:hAnsi="宋体" w:eastAsia="宋体" w:cs="宋体"/>
          <w:b/>
          <w:bCs/>
          <w:color w:val="auto"/>
          <w:szCs w:val="21"/>
          <w:u w:val="single"/>
        </w:rPr>
        <w:t xml:space="preserve">（项目名称）    </w:t>
      </w:r>
      <w:r>
        <w:rPr>
          <w:rFonts w:hint="eastAsia" w:ascii="宋体" w:hAnsi="宋体" w:eastAsia="宋体" w:cs="宋体"/>
          <w:b/>
          <w:bCs/>
          <w:color w:val="auto"/>
          <w:szCs w:val="21"/>
        </w:rPr>
        <w:t>标段投标文件、鉴定合同和处理有关事宜，其法律后果由我方承担。</w:t>
      </w:r>
    </w:p>
    <w:p>
      <w:pPr>
        <w:spacing w:line="560" w:lineRule="exact"/>
        <w:ind w:firstLine="570"/>
        <w:rPr>
          <w:rFonts w:hint="eastAsia" w:ascii="宋体" w:hAnsi="宋体" w:eastAsia="宋体" w:cs="宋体"/>
          <w:b/>
          <w:bCs/>
          <w:color w:val="auto"/>
          <w:szCs w:val="21"/>
          <w:u w:val="single"/>
        </w:rPr>
      </w:pPr>
      <w:r>
        <w:rPr>
          <w:rFonts w:hint="eastAsia" w:ascii="宋体" w:hAnsi="宋体" w:eastAsia="宋体" w:cs="宋体"/>
          <w:b/>
          <w:bCs/>
          <w:color w:val="auto"/>
          <w:szCs w:val="21"/>
        </w:rPr>
        <w:t>委托期限：</w:t>
      </w:r>
      <w:r>
        <w:rPr>
          <w:rFonts w:hint="eastAsia" w:ascii="宋体" w:hAnsi="宋体" w:eastAsia="宋体" w:cs="宋体"/>
          <w:b/>
          <w:bCs/>
          <w:color w:val="auto"/>
          <w:szCs w:val="21"/>
          <w:u w:val="single"/>
        </w:rPr>
        <w:t xml:space="preserve">                                 。</w:t>
      </w:r>
    </w:p>
    <w:p>
      <w:pPr>
        <w:spacing w:line="560" w:lineRule="exact"/>
        <w:ind w:firstLine="570"/>
        <w:rPr>
          <w:rFonts w:hint="eastAsia" w:ascii="宋体" w:hAnsi="宋体" w:eastAsia="宋体" w:cs="宋体"/>
          <w:b/>
          <w:bCs/>
          <w:color w:val="auto"/>
          <w:szCs w:val="21"/>
        </w:rPr>
      </w:pPr>
      <w:r>
        <w:rPr>
          <w:rFonts w:hint="eastAsia" w:ascii="宋体" w:hAnsi="宋体" w:eastAsia="宋体" w:cs="宋体"/>
          <w:b/>
          <w:bCs/>
          <w:color w:val="auto"/>
          <w:szCs w:val="21"/>
        </w:rPr>
        <w:t>代理人无转委托权。</w:t>
      </w:r>
    </w:p>
    <w:p>
      <w:pPr>
        <w:pStyle w:val="25"/>
        <w:spacing w:line="560" w:lineRule="exact"/>
        <w:ind w:right="-553" w:firstLine="570"/>
        <w:rPr>
          <w:rFonts w:hint="eastAsia" w:ascii="宋体" w:hAnsi="宋体" w:eastAsia="宋体" w:cs="宋体"/>
          <w:b/>
          <w:bCs/>
          <w:color w:val="auto"/>
          <w:sz w:val="21"/>
          <w:szCs w:val="21"/>
          <w:u w:val="single"/>
        </w:rPr>
      </w:pPr>
      <w:r>
        <w:rPr>
          <w:rFonts w:hint="eastAsia" w:ascii="宋体" w:hAnsi="宋体" w:eastAsia="宋体" w:cs="宋体"/>
          <w:b/>
          <w:bCs/>
          <w:color w:val="auto"/>
          <w:sz w:val="21"/>
          <w:szCs w:val="21"/>
        </w:rPr>
        <w:t>代理人:</w:t>
      </w:r>
      <w:r>
        <w:rPr>
          <w:rFonts w:hint="eastAsia" w:ascii="宋体" w:hAnsi="宋体" w:eastAsia="宋体" w:cs="宋体"/>
          <w:b/>
          <w:bCs/>
          <w:color w:val="auto"/>
          <w:sz w:val="21"/>
          <w:szCs w:val="21"/>
          <w:u w:val="single"/>
        </w:rPr>
        <w:t xml:space="preserve">             </w:t>
      </w:r>
      <w:r>
        <w:rPr>
          <w:rFonts w:hint="eastAsia" w:ascii="宋体" w:hAnsi="宋体" w:eastAsia="宋体" w:cs="宋体"/>
          <w:b/>
          <w:bCs/>
          <w:color w:val="auto"/>
          <w:sz w:val="21"/>
          <w:szCs w:val="21"/>
        </w:rPr>
        <w:t>。性别:</w:t>
      </w:r>
      <w:r>
        <w:rPr>
          <w:rFonts w:hint="eastAsia" w:ascii="宋体" w:hAnsi="宋体" w:eastAsia="宋体" w:cs="宋体"/>
          <w:b/>
          <w:bCs/>
          <w:color w:val="auto"/>
          <w:sz w:val="21"/>
          <w:szCs w:val="21"/>
          <w:u w:val="single"/>
        </w:rPr>
        <w:t xml:space="preserve">            </w:t>
      </w:r>
      <w:r>
        <w:rPr>
          <w:rFonts w:hint="eastAsia" w:ascii="宋体" w:hAnsi="宋体" w:eastAsia="宋体" w:cs="宋体"/>
          <w:b/>
          <w:bCs/>
          <w:color w:val="auto"/>
          <w:sz w:val="21"/>
          <w:szCs w:val="21"/>
        </w:rPr>
        <w:t xml:space="preserve"> 。年龄:</w:t>
      </w:r>
      <w:r>
        <w:rPr>
          <w:rFonts w:hint="eastAsia" w:ascii="宋体" w:hAnsi="宋体" w:eastAsia="宋体" w:cs="宋体"/>
          <w:b/>
          <w:bCs/>
          <w:color w:val="auto"/>
          <w:sz w:val="21"/>
          <w:szCs w:val="21"/>
          <w:u w:val="single"/>
        </w:rPr>
        <w:t xml:space="preserve">            </w:t>
      </w:r>
      <w:r>
        <w:rPr>
          <w:rFonts w:hint="eastAsia" w:ascii="宋体" w:hAnsi="宋体" w:eastAsia="宋体" w:cs="宋体"/>
          <w:b/>
          <w:bCs/>
          <w:color w:val="auto"/>
          <w:sz w:val="21"/>
          <w:szCs w:val="21"/>
        </w:rPr>
        <w:t>。</w:t>
      </w:r>
    </w:p>
    <w:p>
      <w:pPr>
        <w:pStyle w:val="25"/>
        <w:spacing w:line="560" w:lineRule="exact"/>
        <w:ind w:right="-553" w:firstLine="570"/>
        <w:rPr>
          <w:rFonts w:hint="eastAsia" w:ascii="宋体" w:hAnsi="宋体" w:eastAsia="宋体" w:cs="宋体"/>
          <w:b/>
          <w:bCs/>
          <w:color w:val="auto"/>
          <w:sz w:val="21"/>
          <w:szCs w:val="21"/>
        </w:rPr>
      </w:pPr>
      <w:r>
        <w:rPr>
          <w:rFonts w:hint="eastAsia" w:ascii="宋体" w:hAnsi="宋体" w:eastAsia="宋体" w:cs="宋体"/>
          <w:b/>
          <w:bCs/>
          <w:color w:val="auto"/>
          <w:sz w:val="21"/>
          <w:szCs w:val="21"/>
        </w:rPr>
        <w:t>部门:</w:t>
      </w:r>
      <w:r>
        <w:rPr>
          <w:rFonts w:hint="eastAsia" w:ascii="宋体" w:hAnsi="宋体" w:eastAsia="宋体" w:cs="宋体"/>
          <w:b/>
          <w:bCs/>
          <w:color w:val="auto"/>
          <w:sz w:val="21"/>
          <w:szCs w:val="21"/>
          <w:u w:val="single"/>
        </w:rPr>
        <w:t xml:space="preserve">              </w:t>
      </w:r>
      <w:r>
        <w:rPr>
          <w:rFonts w:hint="eastAsia" w:ascii="宋体" w:hAnsi="宋体" w:eastAsia="宋体" w:cs="宋体"/>
          <w:b/>
          <w:bCs/>
          <w:color w:val="auto"/>
          <w:sz w:val="21"/>
          <w:szCs w:val="21"/>
        </w:rPr>
        <w:t>。职务:</w:t>
      </w:r>
      <w:r>
        <w:rPr>
          <w:rFonts w:hint="eastAsia" w:ascii="宋体" w:hAnsi="宋体" w:eastAsia="宋体" w:cs="宋体"/>
          <w:b/>
          <w:bCs/>
          <w:color w:val="auto"/>
          <w:sz w:val="21"/>
          <w:szCs w:val="21"/>
          <w:u w:val="single"/>
        </w:rPr>
        <w:t xml:space="preserve">             </w:t>
      </w:r>
      <w:r>
        <w:rPr>
          <w:rFonts w:hint="eastAsia" w:ascii="宋体" w:hAnsi="宋体" w:eastAsia="宋体" w:cs="宋体"/>
          <w:b/>
          <w:bCs/>
          <w:color w:val="auto"/>
          <w:sz w:val="21"/>
          <w:szCs w:val="21"/>
        </w:rPr>
        <w:t>。</w:t>
      </w:r>
    </w:p>
    <w:tbl>
      <w:tblPr>
        <w:tblStyle w:val="47"/>
        <w:tblW w:w="990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3"/>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8" w:hRule="atLeast"/>
        </w:trPr>
        <w:tc>
          <w:tcPr>
            <w:tcW w:w="4873" w:type="dxa"/>
            <w:noWrap w:val="0"/>
            <w:vAlign w:val="top"/>
          </w:tcPr>
          <w:p>
            <w:pPr>
              <w:tabs>
                <w:tab w:val="left" w:pos="0"/>
              </w:tabs>
              <w:spacing w:line="560" w:lineRule="exact"/>
              <w:rPr>
                <w:rFonts w:hint="eastAsia" w:ascii="宋体" w:hAnsi="宋体" w:eastAsia="宋体" w:cs="宋体"/>
                <w:b/>
                <w:bCs/>
                <w:color w:val="auto"/>
                <w:szCs w:val="21"/>
              </w:rPr>
            </w:pPr>
          </w:p>
          <w:p>
            <w:pPr>
              <w:tabs>
                <w:tab w:val="left" w:pos="0"/>
              </w:tabs>
              <w:spacing w:line="560" w:lineRule="exact"/>
              <w:rPr>
                <w:rFonts w:hint="eastAsia" w:ascii="宋体" w:hAnsi="宋体" w:eastAsia="宋体" w:cs="宋体"/>
                <w:b/>
                <w:bCs/>
                <w:color w:val="auto"/>
                <w:szCs w:val="21"/>
              </w:rPr>
            </w:pPr>
            <w:r>
              <w:rPr>
                <w:rFonts w:hint="eastAsia" w:ascii="宋体" w:hAnsi="宋体" w:eastAsia="宋体" w:cs="宋体"/>
                <w:b/>
                <w:bCs/>
                <w:color w:val="auto"/>
                <w:szCs w:val="21"/>
                <w:highlight w:val="yellow"/>
              </w:rPr>
              <w:t>法定代表人</w:t>
            </w:r>
            <w:r>
              <w:rPr>
                <w:rFonts w:hint="eastAsia" w:ascii="宋体" w:hAnsi="宋体" w:eastAsia="宋体" w:cs="宋体"/>
                <w:b/>
                <w:bCs/>
                <w:color w:val="auto"/>
                <w:szCs w:val="21"/>
              </w:rPr>
              <w:t>身份证复印件（</w:t>
            </w:r>
            <w:r>
              <w:rPr>
                <w:rFonts w:hint="eastAsia" w:ascii="宋体" w:hAnsi="宋体" w:cs="宋体"/>
                <w:b/>
                <w:bCs/>
                <w:color w:val="auto"/>
                <w:szCs w:val="21"/>
                <w:lang w:val="en-US" w:eastAsia="zh-CN"/>
              </w:rPr>
              <w:t>人面像</w:t>
            </w:r>
            <w:r>
              <w:rPr>
                <w:rFonts w:hint="eastAsia" w:ascii="宋体" w:hAnsi="宋体" w:eastAsia="宋体" w:cs="宋体"/>
                <w:b/>
                <w:bCs/>
                <w:color w:val="auto"/>
                <w:szCs w:val="21"/>
              </w:rPr>
              <w:t>）</w:t>
            </w:r>
          </w:p>
        </w:tc>
        <w:tc>
          <w:tcPr>
            <w:tcW w:w="5027" w:type="dxa"/>
            <w:noWrap w:val="0"/>
            <w:vAlign w:val="top"/>
          </w:tcPr>
          <w:p>
            <w:pPr>
              <w:tabs>
                <w:tab w:val="left" w:pos="0"/>
              </w:tabs>
              <w:spacing w:line="560" w:lineRule="exact"/>
              <w:rPr>
                <w:rFonts w:hint="eastAsia" w:ascii="宋体" w:hAnsi="宋体" w:eastAsia="宋体" w:cs="宋体"/>
                <w:b/>
                <w:bCs/>
                <w:color w:val="auto"/>
                <w:szCs w:val="21"/>
              </w:rPr>
            </w:pPr>
          </w:p>
          <w:p>
            <w:pPr>
              <w:tabs>
                <w:tab w:val="left" w:pos="0"/>
              </w:tabs>
              <w:spacing w:line="560" w:lineRule="exact"/>
              <w:rPr>
                <w:rFonts w:hint="eastAsia" w:ascii="宋体" w:hAnsi="宋体" w:eastAsia="宋体" w:cs="宋体"/>
                <w:b/>
                <w:bCs/>
                <w:color w:val="auto"/>
                <w:szCs w:val="21"/>
              </w:rPr>
            </w:pPr>
            <w:r>
              <w:rPr>
                <w:rFonts w:hint="eastAsia" w:ascii="宋体" w:hAnsi="宋体" w:eastAsia="宋体" w:cs="宋体"/>
                <w:b/>
                <w:bCs/>
                <w:color w:val="auto"/>
                <w:szCs w:val="21"/>
                <w:highlight w:val="yellow"/>
              </w:rPr>
              <w:t>代理人</w:t>
            </w:r>
            <w:r>
              <w:rPr>
                <w:rFonts w:hint="eastAsia" w:ascii="宋体" w:hAnsi="宋体" w:eastAsia="宋体" w:cs="宋体"/>
                <w:b/>
                <w:bCs/>
                <w:color w:val="auto"/>
                <w:szCs w:val="21"/>
              </w:rPr>
              <w:t>身份证复印件（</w:t>
            </w:r>
            <w:r>
              <w:rPr>
                <w:rFonts w:hint="eastAsia" w:ascii="宋体" w:hAnsi="宋体" w:cs="宋体"/>
                <w:b/>
                <w:bCs/>
                <w:color w:val="auto"/>
                <w:szCs w:val="21"/>
                <w:lang w:val="en-US" w:eastAsia="zh-CN"/>
              </w:rPr>
              <w:t>人面像</w:t>
            </w:r>
            <w:r>
              <w:rPr>
                <w:rFonts w:hint="eastAsia" w:ascii="宋体" w:hAnsi="宋体" w:eastAsia="宋体" w:cs="宋体"/>
                <w:b/>
                <w:bCs/>
                <w:color w:val="auto"/>
                <w:szCs w:val="21"/>
              </w:rPr>
              <w:t>）</w:t>
            </w:r>
          </w:p>
        </w:tc>
      </w:tr>
    </w:tbl>
    <w:p>
      <w:pPr>
        <w:tabs>
          <w:tab w:val="left" w:pos="0"/>
        </w:tabs>
        <w:spacing w:line="560" w:lineRule="exact"/>
        <w:jc w:val="left"/>
        <w:rPr>
          <w:rFonts w:hint="eastAsia" w:ascii="宋体" w:hAnsi="宋体" w:eastAsia="宋体" w:cs="宋体"/>
          <w:b/>
          <w:bCs/>
          <w:color w:val="auto"/>
          <w:szCs w:val="21"/>
        </w:rPr>
      </w:pPr>
      <w:r>
        <w:rPr>
          <w:rFonts w:hint="eastAsia" w:ascii="宋体" w:hAnsi="宋体" w:eastAsia="宋体" w:cs="宋体"/>
          <w:b/>
          <w:bCs/>
          <w:color w:val="auto"/>
          <w:szCs w:val="21"/>
        </w:rPr>
        <w:t xml:space="preserve">                         投标单位：（盖企业法人公章）</w:t>
      </w:r>
    </w:p>
    <w:p>
      <w:pPr>
        <w:tabs>
          <w:tab w:val="left" w:pos="0"/>
        </w:tabs>
        <w:spacing w:line="560" w:lineRule="exact"/>
        <w:jc w:val="left"/>
        <w:rPr>
          <w:rFonts w:hint="eastAsia" w:ascii="宋体" w:hAnsi="宋体" w:eastAsia="宋体" w:cs="宋体"/>
          <w:b/>
          <w:bCs/>
          <w:color w:val="auto"/>
          <w:szCs w:val="21"/>
        </w:rPr>
      </w:pPr>
      <w:r>
        <w:rPr>
          <w:rFonts w:hint="eastAsia" w:ascii="宋体" w:hAnsi="宋体" w:eastAsia="宋体" w:cs="宋体"/>
          <w:b/>
          <w:bCs/>
          <w:color w:val="auto"/>
          <w:szCs w:val="21"/>
        </w:rPr>
        <w:t xml:space="preserve">                         法定代表人：（签字）</w:t>
      </w:r>
    </w:p>
    <w:p>
      <w:pPr>
        <w:tabs>
          <w:tab w:val="left" w:pos="0"/>
        </w:tabs>
        <w:spacing w:line="560" w:lineRule="exact"/>
        <w:jc w:val="left"/>
        <w:rPr>
          <w:rFonts w:hint="eastAsia" w:ascii="宋体" w:hAnsi="宋体" w:eastAsia="宋体" w:cs="宋体"/>
          <w:b/>
          <w:bCs/>
          <w:color w:val="auto"/>
          <w:szCs w:val="21"/>
        </w:rPr>
      </w:pPr>
      <w:r>
        <w:rPr>
          <w:rFonts w:hint="eastAsia" w:ascii="宋体" w:hAnsi="宋体" w:eastAsia="宋体" w:cs="宋体"/>
          <w:b/>
          <w:bCs/>
          <w:color w:val="auto"/>
          <w:szCs w:val="21"/>
        </w:rPr>
        <w:t xml:space="preserve">                         委托代理人：（签字）</w:t>
      </w:r>
    </w:p>
    <w:p>
      <w:pPr>
        <w:tabs>
          <w:tab w:val="left" w:pos="0"/>
        </w:tabs>
        <w:spacing w:line="560" w:lineRule="exact"/>
        <w:jc w:val="left"/>
        <w:rPr>
          <w:rFonts w:hint="eastAsia" w:ascii="宋体" w:hAnsi="宋体" w:eastAsia="宋体" w:cs="宋体"/>
          <w:b/>
          <w:bCs/>
          <w:color w:val="auto"/>
          <w:szCs w:val="21"/>
        </w:rPr>
      </w:pPr>
      <w:r>
        <w:rPr>
          <w:rFonts w:hint="eastAsia" w:ascii="宋体" w:hAnsi="宋体" w:eastAsia="宋体" w:cs="宋体"/>
          <w:b/>
          <w:bCs/>
          <w:color w:val="auto"/>
          <w:szCs w:val="21"/>
        </w:rPr>
        <w:t xml:space="preserve">                         单位地址：</w:t>
      </w:r>
    </w:p>
    <w:p>
      <w:pPr>
        <w:tabs>
          <w:tab w:val="left" w:pos="0"/>
        </w:tabs>
        <w:spacing w:line="560" w:lineRule="exact"/>
        <w:jc w:val="left"/>
        <w:rPr>
          <w:rFonts w:hint="eastAsia" w:ascii="宋体" w:hAnsi="宋体" w:eastAsia="宋体" w:cs="宋体"/>
          <w:b/>
          <w:bCs/>
          <w:color w:val="auto"/>
          <w:szCs w:val="21"/>
        </w:rPr>
      </w:pPr>
      <w:r>
        <w:rPr>
          <w:rFonts w:hint="eastAsia" w:ascii="宋体" w:hAnsi="宋体" w:eastAsia="宋体" w:cs="宋体"/>
          <w:b/>
          <w:bCs/>
          <w:color w:val="auto"/>
          <w:szCs w:val="21"/>
        </w:rPr>
        <w:t xml:space="preserve">                         电话：</w:t>
      </w:r>
    </w:p>
    <w:p>
      <w:pPr>
        <w:tabs>
          <w:tab w:val="left" w:pos="0"/>
        </w:tabs>
        <w:spacing w:line="560" w:lineRule="exact"/>
        <w:jc w:val="left"/>
        <w:rPr>
          <w:rFonts w:hint="eastAsia" w:ascii="宋体" w:hAnsi="宋体" w:eastAsia="宋体" w:cs="宋体"/>
          <w:b/>
          <w:bCs/>
          <w:color w:val="auto"/>
          <w:szCs w:val="21"/>
        </w:rPr>
      </w:pPr>
      <w:r>
        <w:rPr>
          <w:rFonts w:hint="eastAsia" w:ascii="宋体" w:hAnsi="宋体" w:eastAsia="宋体" w:cs="宋体"/>
          <w:b/>
          <w:bCs/>
          <w:color w:val="auto"/>
          <w:szCs w:val="21"/>
        </w:rPr>
        <w:t xml:space="preserve">                         传真：</w:t>
      </w:r>
    </w:p>
    <w:p>
      <w:pPr>
        <w:tabs>
          <w:tab w:val="left" w:pos="0"/>
        </w:tabs>
        <w:spacing w:line="560" w:lineRule="exact"/>
        <w:jc w:val="left"/>
        <w:rPr>
          <w:rFonts w:hint="eastAsia" w:ascii="宋体" w:hAnsi="宋体" w:eastAsia="宋体" w:cs="宋体"/>
          <w:b/>
          <w:bCs/>
          <w:color w:val="auto"/>
          <w:szCs w:val="21"/>
        </w:rPr>
      </w:pPr>
      <w:r>
        <w:rPr>
          <w:rFonts w:hint="eastAsia" w:ascii="宋体" w:hAnsi="宋体" w:eastAsia="宋体" w:cs="宋体"/>
          <w:b/>
          <w:bCs/>
          <w:color w:val="auto"/>
          <w:szCs w:val="21"/>
        </w:rPr>
        <w:t xml:space="preserve">                          邮政编号：</w:t>
      </w:r>
    </w:p>
    <w:p>
      <w:pPr>
        <w:tabs>
          <w:tab w:val="left" w:pos="0"/>
        </w:tabs>
        <w:spacing w:line="560" w:lineRule="exact"/>
        <w:ind w:firstLine="3479" w:firstLineChars="1650"/>
        <w:jc w:val="left"/>
        <w:rPr>
          <w:rFonts w:hint="eastAsia" w:ascii="宋体" w:hAnsi="宋体" w:eastAsia="宋体" w:cs="宋体"/>
          <w:color w:val="auto"/>
          <w:szCs w:val="21"/>
        </w:rPr>
      </w:pPr>
      <w:r>
        <w:rPr>
          <w:rFonts w:hint="eastAsia" w:ascii="宋体" w:hAnsi="宋体" w:eastAsia="宋体" w:cs="宋体"/>
          <w:b/>
          <w:bCs/>
          <w:color w:val="auto"/>
          <w:szCs w:val="21"/>
        </w:rPr>
        <w:t xml:space="preserve"> 二0</w:t>
      </w:r>
      <w:r>
        <w:rPr>
          <w:rFonts w:hint="eastAsia" w:ascii="宋体" w:hAnsi="宋体" w:eastAsia="宋体" w:cs="宋体"/>
          <w:b/>
          <w:bCs/>
          <w:color w:val="auto"/>
          <w:szCs w:val="21"/>
          <w:u w:val="single"/>
          <w:lang w:val="en-US" w:eastAsia="zh-CN"/>
        </w:rPr>
        <w:t xml:space="preserve"> </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rPr>
        <w:t>年</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rPr>
        <w:t>月</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rPr>
        <w:t>日</w:t>
      </w:r>
    </w:p>
    <w:p>
      <w:pPr>
        <w:adjustRightInd w:val="0"/>
        <w:snapToGrid w:val="0"/>
        <w:spacing w:before="120" w:beforeLines="50" w:line="360" w:lineRule="auto"/>
        <w:rPr>
          <w:rFonts w:hint="eastAsia" w:ascii="宋体" w:hAnsi="宋体" w:eastAsia="宋体" w:cs="宋体"/>
          <w:color w:val="auto"/>
          <w:kern w:val="0"/>
          <w:sz w:val="28"/>
          <w:szCs w:val="28"/>
          <w:lang w:eastAsia="zh-CN"/>
        </w:rPr>
      </w:pPr>
      <w:r>
        <w:rPr>
          <w:rFonts w:hint="eastAsia" w:ascii="宋体" w:hAnsi="宋体" w:eastAsia="宋体" w:cs="宋体"/>
          <w:color w:val="auto"/>
        </w:rPr>
        <w:br w:type="page"/>
      </w:r>
      <w:r>
        <w:rPr>
          <w:rFonts w:hint="eastAsia" w:ascii="宋体" w:hAnsi="宋体" w:eastAsia="宋体" w:cs="宋体"/>
          <w:color w:val="auto"/>
          <w:kern w:val="0"/>
          <w:sz w:val="28"/>
          <w:szCs w:val="28"/>
        </w:rPr>
        <w:t>附件</w:t>
      </w:r>
      <w:r>
        <w:rPr>
          <w:rFonts w:hint="eastAsia" w:ascii="宋体" w:hAnsi="宋体" w:eastAsia="宋体" w:cs="宋体"/>
          <w:color w:val="auto"/>
          <w:kern w:val="0"/>
          <w:sz w:val="28"/>
          <w:szCs w:val="28"/>
          <w:lang w:val="en-US" w:eastAsia="zh-CN"/>
        </w:rPr>
        <w:t>3</w:t>
      </w:r>
    </w:p>
    <w:p>
      <w:pPr>
        <w:adjustRightInd w:val="0"/>
        <w:snapToGrid w:val="0"/>
        <w:spacing w:line="360" w:lineRule="auto"/>
        <w:ind w:firstLine="562" w:firstLineChars="200"/>
        <w:jc w:val="center"/>
        <w:rPr>
          <w:rFonts w:ascii="宋体" w:hAnsi="宋体"/>
          <w:b/>
          <w:sz w:val="28"/>
          <w:szCs w:val="28"/>
        </w:rPr>
      </w:pPr>
      <w:r>
        <w:rPr>
          <w:rFonts w:hint="eastAsia" w:ascii="宋体" w:hAnsi="宋体"/>
          <w:b/>
          <w:sz w:val="28"/>
          <w:szCs w:val="28"/>
        </w:rPr>
        <w:t>政府采购供应商信用承诺函</w:t>
      </w:r>
    </w:p>
    <w:p>
      <w:r>
        <w:rPr>
          <w:rFonts w:hint="eastAsia"/>
        </w:rPr>
        <w:t>致_</w:t>
      </w:r>
      <w:r>
        <w:rPr>
          <w:rFonts w:hint="eastAsia"/>
          <w:u w:val="single"/>
        </w:rPr>
        <w:t xml:space="preserve">                </w:t>
      </w:r>
      <w:r>
        <w:rPr>
          <w:rFonts w:hint="eastAsia"/>
        </w:rPr>
        <w:t>(采购人或采购代理机构) :</w:t>
      </w:r>
    </w:p>
    <w:p>
      <w:pPr>
        <w:ind w:firstLine="420" w:firstLineChars="200"/>
        <w:rPr>
          <w:u w:val="single"/>
        </w:rPr>
      </w:pPr>
      <w:r>
        <w:rPr>
          <w:rFonts w:hint="eastAsia"/>
        </w:rPr>
        <w:t xml:space="preserve">单位名称(自然人姓名): </w:t>
      </w:r>
      <w:r>
        <w:rPr>
          <w:rFonts w:hint="eastAsia"/>
          <w:u w:val="single"/>
        </w:rPr>
        <w:t xml:space="preserve">                   </w:t>
      </w:r>
    </w:p>
    <w:p>
      <w:pPr>
        <w:ind w:firstLine="420" w:firstLineChars="200"/>
        <w:rPr>
          <w:u w:val="single"/>
        </w:rPr>
      </w:pPr>
      <w:r>
        <w:rPr>
          <w:rFonts w:hint="eastAsia"/>
        </w:rPr>
        <w:t xml:space="preserve">统一社会信用代码( 身份证号码): </w:t>
      </w:r>
      <w:r>
        <w:rPr>
          <w:rFonts w:hint="eastAsia"/>
          <w:u w:val="single"/>
        </w:rPr>
        <w:t xml:space="preserve">               </w:t>
      </w:r>
    </w:p>
    <w:p>
      <w:pPr>
        <w:ind w:firstLine="420" w:firstLineChars="200"/>
        <w:rPr>
          <w:u w:val="single"/>
        </w:rPr>
      </w:pPr>
      <w:r>
        <w:rPr>
          <w:rFonts w:hint="eastAsia"/>
        </w:rPr>
        <w:t xml:space="preserve">法定代表人(负责人): </w:t>
      </w:r>
      <w:r>
        <w:rPr>
          <w:rFonts w:hint="eastAsia"/>
          <w:u w:val="single"/>
        </w:rPr>
        <w:t xml:space="preserve">                     </w:t>
      </w:r>
    </w:p>
    <w:p>
      <w:pPr>
        <w:ind w:firstLine="420" w:firstLineChars="200"/>
        <w:rPr>
          <w:u w:val="single"/>
        </w:rPr>
      </w:pPr>
      <w:r>
        <w:rPr>
          <w:rFonts w:hint="eastAsia"/>
        </w:rPr>
        <w:t xml:space="preserve">联系地址和电话: </w:t>
      </w:r>
      <w:r>
        <w:rPr>
          <w:rFonts w:hint="eastAsia"/>
          <w:u w:val="single"/>
        </w:rPr>
        <w:t xml:space="preserve">                             </w:t>
      </w:r>
    </w:p>
    <w:p>
      <w:pPr>
        <w:ind w:firstLine="420" w:firstLineChars="200"/>
      </w:pPr>
      <w:r>
        <w:rPr>
          <w:rFonts w:hint="eastAsia"/>
        </w:rPr>
        <w:t>为维护公平、公正、公开的政府采购市场秩序,树立诚实守信的政府采购供应商形象，我单位(本人)自愿作出以下承诺:</w:t>
      </w:r>
    </w:p>
    <w:p>
      <w:pPr>
        <w:ind w:firstLine="420" w:firstLineChars="200"/>
      </w:pPr>
      <w:r>
        <w:rPr>
          <w:rFonts w:hint="eastAsia"/>
        </w:rPr>
        <w:t>一、我单位(本人)自愿参加</w:t>
      </w:r>
      <w:r>
        <w:rPr>
          <w:rFonts w:hint="eastAsia"/>
          <w:u w:val="single"/>
        </w:rPr>
        <w:t xml:space="preserve">   （项目名称、项目编号、标段）   </w:t>
      </w:r>
      <w:r>
        <w:rPr>
          <w:rFonts w:hint="eastAsia"/>
        </w:rPr>
        <w:t>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ind w:firstLine="420" w:firstLineChars="200"/>
      </w:pPr>
      <w:r>
        <w:rPr>
          <w:rFonts w:hint="eastAsia"/>
        </w:rPr>
        <w:t>(一)具有独立承担民事责任的能力;</w:t>
      </w:r>
    </w:p>
    <w:p>
      <w:pPr>
        <w:ind w:firstLine="420" w:firstLineChars="200"/>
      </w:pPr>
      <w:r>
        <w:rPr>
          <w:rFonts w:hint="eastAsia"/>
        </w:rPr>
        <w:t>(二)具有良好的商业信誉和健全的财务会计制度;</w:t>
      </w:r>
    </w:p>
    <w:p>
      <w:pPr>
        <w:ind w:firstLine="420" w:firstLineChars="200"/>
      </w:pPr>
      <w:r>
        <w:rPr>
          <w:rFonts w:hint="eastAsia"/>
        </w:rPr>
        <w:t>(三)具有履行合同所必需的设备和专业技术能力;</w:t>
      </w:r>
    </w:p>
    <w:p>
      <w:pPr>
        <w:ind w:firstLine="420" w:firstLineChars="200"/>
      </w:pPr>
      <w:r>
        <w:rPr>
          <w:rFonts w:hint="eastAsia"/>
        </w:rPr>
        <w:t>(四)有依法缴纳税收和社会保障资金的良好记录;</w:t>
      </w:r>
    </w:p>
    <w:p>
      <w:pPr>
        <w:ind w:firstLine="420" w:firstLineChars="200"/>
      </w:pPr>
      <w:r>
        <w:rPr>
          <w:rFonts w:hint="eastAsia"/>
        </w:rPr>
        <w:t>(五)参加政府采购活动前三年内，在经营活动中没有重大违法记录;成立不足三年的，为实际时间</w:t>
      </w:r>
      <w:r>
        <w:rPr>
          <w:rFonts w:hint="eastAsia"/>
          <w:szCs w:val="21"/>
        </w:rPr>
        <w:t>。</w:t>
      </w:r>
    </w:p>
    <w:p>
      <w:pPr>
        <w:ind w:firstLine="420" w:firstLineChars="200"/>
      </w:pPr>
      <w:r>
        <w:rPr>
          <w:rFonts w:hint="eastAsia"/>
        </w:rPr>
        <w:t>(六)未被相关监管部门作出行政处罚且尚在处罚有效期内;</w:t>
      </w:r>
    </w:p>
    <w:p>
      <w:pPr>
        <w:ind w:firstLine="420" w:firstLineChars="200"/>
      </w:pPr>
      <w:r>
        <w:rPr>
          <w:rFonts w:hint="eastAsia"/>
        </w:rPr>
        <w:t>(七)未曾作出虚假采购承诺;</w:t>
      </w:r>
    </w:p>
    <w:p>
      <w:pPr>
        <w:ind w:firstLine="420" w:firstLineChars="200"/>
        <w:rPr>
          <w:rFonts w:ascii="宋体" w:hAnsi="宋体" w:cs="宋体"/>
          <w:color w:val="000000" w:themeColor="text1"/>
          <w:kern w:val="0"/>
          <w:sz w:val="23"/>
          <w:szCs w:val="23"/>
          <w14:textFill>
            <w14:solidFill>
              <w14:schemeClr w14:val="tx1"/>
            </w14:solidFill>
          </w14:textFill>
        </w:rPr>
      </w:pPr>
      <w:r>
        <w:rPr>
          <w:rFonts w:hint="eastAsia"/>
        </w:rPr>
        <w:t>(八)</w:t>
      </w:r>
      <w:r>
        <w:rPr>
          <w:rFonts w:hint="eastAsia" w:ascii="宋体" w:hAnsi="宋体" w:cs="宋体"/>
          <w:color w:val="000000" w:themeColor="text1"/>
          <w:kern w:val="0"/>
          <w:sz w:val="23"/>
          <w:szCs w:val="23"/>
          <w14:textFill>
            <w14:solidFill>
              <w14:schemeClr w14:val="tx1"/>
            </w14:solidFill>
          </w14:textFill>
        </w:rPr>
        <w:t>具备本项目履行合同所必需的设备和专业技术能力；</w:t>
      </w:r>
    </w:p>
    <w:p>
      <w:pPr>
        <w:ind w:firstLine="420" w:firstLineChars="200"/>
      </w:pPr>
      <w:r>
        <w:rPr>
          <w:rFonts w:hint="eastAsia"/>
        </w:rPr>
        <w:t>(九)符合法律、行政法规规定的其他条件。</w:t>
      </w:r>
    </w:p>
    <w:p>
      <w:pPr>
        <w:ind w:firstLine="420" w:firstLineChars="200"/>
      </w:pPr>
      <w:r>
        <w:rPr>
          <w:rFonts w:hint="eastAsia"/>
        </w:rPr>
        <w:t>二、我单位(本人)保证上述承诺事项的真实性。如有弄虚作假或其他违法违规行为，自愿按照规定将违背承诺行为作为失信行为记录到社会信用信息平台，并视同为“提供虚假材料谋取中标、成交”按照法律规定承担相应法律责任。</w:t>
      </w:r>
    </w:p>
    <w:p>
      <w:pPr>
        <w:ind w:firstLine="420" w:firstLineChars="200"/>
      </w:pPr>
    </w:p>
    <w:p>
      <w:pPr>
        <w:ind w:firstLine="420" w:firstLineChars="200"/>
      </w:pPr>
    </w:p>
    <w:p>
      <w:pPr>
        <w:ind w:firstLine="420" w:firstLineChars="200"/>
      </w:pPr>
    </w:p>
    <w:p>
      <w:pPr>
        <w:ind w:firstLine="420" w:firstLineChars="200"/>
        <w:jc w:val="right"/>
      </w:pPr>
    </w:p>
    <w:p>
      <w:pPr>
        <w:wordWrap w:val="0"/>
        <w:ind w:firstLine="420" w:firstLineChars="200"/>
        <w:jc w:val="right"/>
      </w:pPr>
      <w:r>
        <w:rPr>
          <w:rFonts w:hint="eastAsia"/>
        </w:rPr>
        <w:t xml:space="preserve">供应商(印章):                      </w:t>
      </w:r>
    </w:p>
    <w:p>
      <w:pPr>
        <w:wordWrap w:val="0"/>
        <w:ind w:firstLine="420" w:firstLineChars="200"/>
        <w:jc w:val="right"/>
      </w:pPr>
      <w:r>
        <w:rPr>
          <w:rFonts w:hint="eastAsia"/>
        </w:rPr>
        <w:t xml:space="preserve">法定代表人、负责人、本人、或授权代表(签字或印章):               </w:t>
      </w:r>
    </w:p>
    <w:p>
      <w:pPr>
        <w:wordWrap w:val="0"/>
        <w:ind w:firstLine="420" w:firstLineChars="200"/>
        <w:jc w:val="right"/>
      </w:pPr>
      <w:r>
        <w:rPr>
          <w:rFonts w:hint="eastAsia"/>
        </w:rPr>
        <w:t xml:space="preserve">日期:    年  月  日           </w:t>
      </w:r>
    </w:p>
    <w:p/>
    <w:p>
      <w:pPr>
        <w:ind w:firstLine="420" w:firstLineChars="200"/>
        <w:rPr>
          <w:rFonts w:hint="eastAsia" w:eastAsia="宋体"/>
          <w:lang w:eastAsia="zh-CN"/>
        </w:rPr>
      </w:pPr>
      <w:r>
        <w:rPr>
          <w:rFonts w:hint="eastAsia"/>
        </w:rPr>
        <w:t xml:space="preserve">注: </w:t>
      </w:r>
      <w:r>
        <w:rPr>
          <w:rFonts w:hint="eastAsia"/>
          <w:b/>
          <w:bCs/>
        </w:rPr>
        <w:t>1.条款投标供应商可自行选择是否提供本承诺函，若不提供本承诺函，应按《中华人民共和国政府采购法》《中华人民共和国政府采购法实施条例》及采购文件资格要求提供相应的证明材料。</w:t>
      </w:r>
      <w:r>
        <w:rPr>
          <w:rFonts w:hint="eastAsia"/>
          <w:b/>
          <w:bCs/>
          <w:lang w:eastAsia="zh-CN"/>
        </w:rPr>
        <w:t>【</w:t>
      </w:r>
      <w:r>
        <w:rPr>
          <w:rFonts w:hint="eastAsia"/>
          <w:b/>
          <w:bCs/>
        </w:rPr>
        <w:t>①</w:t>
      </w:r>
      <w:r>
        <w:rPr>
          <w:rFonts w:hint="eastAsia" w:ascii="宋体" w:hAnsi="宋体"/>
          <w:b/>
          <w:bCs/>
          <w:color w:val="000000" w:themeColor="text1"/>
          <w:szCs w:val="21"/>
          <w14:textFill>
            <w14:solidFill>
              <w14:schemeClr w14:val="tx1"/>
            </w14:solidFill>
          </w14:textFill>
        </w:rPr>
        <w:t>无重大违法记录声明书、</w:t>
      </w:r>
      <w:r>
        <w:rPr>
          <w:rFonts w:hint="eastAsia" w:ascii="宋体" w:hAnsi="宋体" w:cs="宋体"/>
          <w:b/>
          <w:bCs/>
          <w:szCs w:val="21"/>
        </w:rPr>
        <w:t>②2022年度财务审计报告或近六个月内银行出具的资信证明、③</w:t>
      </w:r>
      <w:r>
        <w:rPr>
          <w:rFonts w:hint="eastAsia" w:ascii="宋体" w:hAnsi="宋体" w:cs="宋体"/>
          <w:b/>
          <w:bCs/>
          <w:color w:val="000000" w:themeColor="text1"/>
          <w:szCs w:val="21"/>
          <w14:textFill>
            <w14:solidFill>
              <w14:schemeClr w14:val="tx1"/>
            </w14:solidFill>
          </w14:textFill>
        </w:rPr>
        <w:t>税务部门出具的2023年任一个月完税证明、④</w:t>
      </w:r>
      <w:r>
        <w:rPr>
          <w:rFonts w:hint="eastAsia"/>
          <w:b/>
          <w:bCs/>
        </w:rPr>
        <w:t>社保机构出具的投标单位给员工近三个月社保缴纳证明、</w:t>
      </w:r>
      <w:r>
        <w:rPr>
          <w:rFonts w:hint="eastAsia" w:ascii="宋体" w:hAnsi="宋体" w:cs="宋体"/>
          <w:b/>
          <w:bCs/>
          <w:color w:val="000000" w:themeColor="text1"/>
          <w:szCs w:val="21"/>
          <w14:textFill>
            <w14:solidFill>
              <w14:schemeClr w14:val="tx1"/>
            </w14:solidFill>
          </w14:textFill>
        </w:rPr>
        <w:t>⑤附件</w:t>
      </w:r>
      <w:r>
        <w:rPr>
          <w:rFonts w:hint="eastAsia" w:ascii="宋体" w:hAnsi="宋体" w:cs="宋体"/>
          <w:b/>
          <w:bCs/>
          <w:color w:val="000000" w:themeColor="text1"/>
          <w:szCs w:val="21"/>
          <w:lang w:val="en-US" w:eastAsia="zh-CN"/>
          <w14:textFill>
            <w14:solidFill>
              <w14:schemeClr w14:val="tx1"/>
            </w14:solidFill>
          </w14:textFill>
        </w:rPr>
        <w:t>9</w:t>
      </w:r>
      <w:r>
        <w:rPr>
          <w:rFonts w:hint="eastAsia" w:ascii="宋体" w:hAnsi="宋体" w:cs="宋体"/>
          <w:b/>
          <w:bCs/>
          <w:color w:val="000000" w:themeColor="text1"/>
          <w:szCs w:val="21"/>
          <w14:textFill>
            <w14:solidFill>
              <w14:schemeClr w14:val="tx1"/>
            </w14:solidFill>
          </w14:textFill>
        </w:rPr>
        <w:t>：具备履行合同所必需的设备和专业技术能力的承诺</w:t>
      </w:r>
      <w:r>
        <w:rPr>
          <w:rFonts w:hint="eastAsia"/>
          <w:b/>
          <w:bCs/>
          <w:lang w:eastAsia="zh-CN"/>
        </w:rPr>
        <w:t>】</w:t>
      </w:r>
    </w:p>
    <w:p>
      <w:pPr>
        <w:ind w:firstLine="420" w:firstLineChars="200"/>
      </w:pPr>
      <w:r>
        <w:rPr>
          <w:rFonts w:hint="eastAsia"/>
        </w:rPr>
        <w:t>2.提供本承诺函投标人须在投标文件中按此模板提供承诺函，</w:t>
      </w:r>
      <w:r>
        <w:rPr>
          <w:rFonts w:hint="eastAsia"/>
          <w:b/>
          <w:bCs/>
          <w:highlight w:val="yellow"/>
        </w:rPr>
        <w:t>未按照此模版承诺内容提供视为未实质性响应招标文件要求，按无效投标处理</w:t>
      </w:r>
      <w:r>
        <w:rPr>
          <w:rFonts w:hint="eastAsia"/>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3.投标人的法定代表人或者授权代表的签字或盖章应真实、有效，如由授权代表签字或盖章的，应提供“法定代表人授权书”。</w:t>
      </w:r>
    </w:p>
    <w:p>
      <w:pPr>
        <w:rPr>
          <w:rFonts w:hint="eastAsia"/>
        </w:rPr>
      </w:pPr>
      <w:r>
        <w:rPr>
          <w:rFonts w:hint="eastAsia"/>
        </w:rPr>
        <w:br w:type="page"/>
      </w:r>
    </w:p>
    <w:p>
      <w:pPr>
        <w:autoSpaceDE w:val="0"/>
        <w:autoSpaceDN w:val="0"/>
        <w:adjustRightInd w:val="0"/>
        <w:jc w:val="left"/>
        <w:rPr>
          <w:rFonts w:hint="default" w:ascii="宋体" w:hAnsi="宋体" w:eastAsia="宋体" w:cs="宋体"/>
          <w:b/>
          <w:kern w:val="0"/>
          <w:sz w:val="28"/>
          <w:szCs w:val="28"/>
          <w:lang w:val="en-US"/>
        </w:rPr>
      </w:pPr>
      <w:r>
        <w:rPr>
          <w:rFonts w:hint="eastAsia" w:ascii="宋体" w:hAnsi="宋体" w:eastAsia="宋体" w:cs="宋体"/>
          <w:color w:val="auto"/>
          <w:kern w:val="0"/>
          <w:sz w:val="28"/>
          <w:szCs w:val="28"/>
        </w:rPr>
        <w:t>附件</w:t>
      </w:r>
      <w:r>
        <w:rPr>
          <w:rFonts w:hint="eastAsia" w:ascii="宋体" w:hAnsi="宋体" w:eastAsia="宋体" w:cs="宋体"/>
          <w:color w:val="auto"/>
          <w:kern w:val="0"/>
          <w:sz w:val="28"/>
          <w:szCs w:val="28"/>
          <w:lang w:val="en-US" w:eastAsia="zh-CN"/>
        </w:rPr>
        <w:t>3</w:t>
      </w:r>
      <w:r>
        <w:rPr>
          <w:rFonts w:hint="eastAsia" w:ascii="宋体" w:hAnsi="宋体" w:cs="宋体"/>
          <w:color w:val="auto"/>
          <w:kern w:val="0"/>
          <w:sz w:val="28"/>
          <w:szCs w:val="28"/>
          <w:lang w:val="en-US" w:eastAsia="zh-CN"/>
        </w:rPr>
        <w:t>-1</w:t>
      </w:r>
    </w:p>
    <w:p>
      <w:pPr>
        <w:autoSpaceDE w:val="0"/>
        <w:autoSpaceDN w:val="0"/>
        <w:adjustRightInd w:val="0"/>
        <w:jc w:val="center"/>
        <w:rPr>
          <w:rFonts w:hint="eastAsia" w:ascii="宋体" w:hAnsi="宋体" w:eastAsia="宋体" w:cs="宋体"/>
          <w:b/>
          <w:kern w:val="0"/>
          <w:sz w:val="28"/>
          <w:szCs w:val="28"/>
        </w:rPr>
      </w:pPr>
      <w:r>
        <w:rPr>
          <w:rFonts w:hint="eastAsia" w:ascii="宋体" w:hAnsi="宋体" w:eastAsia="宋体" w:cs="宋体"/>
          <w:b/>
          <w:kern w:val="0"/>
          <w:sz w:val="28"/>
          <w:szCs w:val="28"/>
        </w:rPr>
        <w:t>信用记录</w:t>
      </w:r>
    </w:p>
    <w:p>
      <w:pPr>
        <w:widowControl/>
        <w:adjustRightInd w:val="0"/>
        <w:snapToGrid w:val="0"/>
        <w:spacing w:line="360" w:lineRule="auto"/>
        <w:ind w:firstLine="444" w:firstLineChars="200"/>
        <w:jc w:val="center"/>
        <w:rPr>
          <w:rFonts w:hint="eastAsia" w:ascii="宋体" w:hAnsi="宋体" w:eastAsia="宋体" w:cs="宋体"/>
          <w:spacing w:val="6"/>
          <w:kern w:val="0"/>
          <w:szCs w:val="21"/>
        </w:rPr>
      </w:pPr>
      <w:r>
        <w:rPr>
          <w:rFonts w:hint="eastAsia" w:ascii="宋体" w:hAnsi="宋体" w:eastAsia="宋体" w:cs="宋体"/>
          <w:spacing w:val="6"/>
          <w:kern w:val="0"/>
          <w:szCs w:val="21"/>
        </w:rPr>
        <w:t>（复印件并加盖投标单位公章）</w:t>
      </w:r>
    </w:p>
    <w:p>
      <w:pPr>
        <w:widowControl/>
        <w:adjustRightInd w:val="0"/>
        <w:snapToGrid w:val="0"/>
        <w:spacing w:line="360" w:lineRule="auto"/>
        <w:ind w:firstLine="444" w:firstLineChars="200"/>
        <w:jc w:val="left"/>
        <w:rPr>
          <w:rFonts w:hint="eastAsia" w:ascii="宋体" w:hAnsi="宋体" w:eastAsia="宋体" w:cs="宋体"/>
          <w:spacing w:val="6"/>
          <w:kern w:val="0"/>
          <w:szCs w:val="21"/>
        </w:rPr>
      </w:pPr>
    </w:p>
    <w:p>
      <w:pPr>
        <w:widowControl/>
        <w:adjustRightInd w:val="0"/>
        <w:snapToGrid w:val="0"/>
        <w:spacing w:line="360" w:lineRule="auto"/>
        <w:ind w:firstLine="444" w:firstLineChars="200"/>
        <w:jc w:val="left"/>
        <w:rPr>
          <w:rFonts w:hint="eastAsia" w:ascii="宋体" w:hAnsi="宋体" w:eastAsia="宋体" w:cs="宋体"/>
          <w:spacing w:val="6"/>
          <w:kern w:val="0"/>
          <w:szCs w:val="21"/>
        </w:rPr>
      </w:pPr>
      <w:r>
        <w:rPr>
          <w:rFonts w:hint="eastAsia" w:ascii="宋体" w:hAnsi="宋体" w:eastAsia="宋体" w:cs="宋体"/>
          <w:spacing w:val="6"/>
          <w:kern w:val="0"/>
          <w:szCs w:val="21"/>
        </w:rPr>
        <w:t>依据财库[2016]125号文件规定，投标单位须符合《关于在政府采购活动中查询及使用信用记录有关问题的通知》的相关要求，即具有良好的信用记录。</w:t>
      </w:r>
    </w:p>
    <w:p>
      <w:pPr>
        <w:widowControl/>
        <w:adjustRightInd w:val="0"/>
        <w:snapToGrid w:val="0"/>
        <w:spacing w:line="360" w:lineRule="auto"/>
        <w:ind w:firstLine="444" w:firstLineChars="200"/>
        <w:jc w:val="left"/>
        <w:rPr>
          <w:rFonts w:hint="eastAsia" w:ascii="宋体" w:hAnsi="宋体" w:eastAsia="宋体" w:cs="宋体"/>
          <w:spacing w:val="6"/>
          <w:kern w:val="0"/>
          <w:szCs w:val="21"/>
        </w:rPr>
      </w:pPr>
      <w:r>
        <w:rPr>
          <w:rFonts w:hint="eastAsia" w:ascii="宋体" w:hAnsi="宋体" w:eastAsia="宋体" w:cs="宋体"/>
          <w:spacing w:val="6"/>
          <w:kern w:val="0"/>
          <w:szCs w:val="21"/>
        </w:rPr>
        <w:t>投标单位须提供本单位近3年（本项目至递交投标截止日前）“信用中国”网站（www.creditchina.gov.cn）及中国政府采购网（www.ccgp.gov.cn）已公布的信用记录查询截图。</w:t>
      </w:r>
      <w:r>
        <w:rPr>
          <w:rFonts w:hint="eastAsia" w:ascii="Times New Roman" w:hAnsi="Times New Roman" w:eastAsia="宋体" w:cs="Times New Roman"/>
          <w:b/>
          <w:bCs/>
          <w:kern w:val="2"/>
          <w:sz w:val="21"/>
          <w:szCs w:val="24"/>
          <w:lang w:val="en-US" w:eastAsia="zh-CN" w:bidi="ar-SA"/>
        </w:rPr>
        <w:t>（网页打印件须自招标文件发布之日起至投标截止时间从上述网站中打印）</w:t>
      </w:r>
    </w:p>
    <w:p>
      <w:pPr>
        <w:widowControl/>
        <w:adjustRightInd w:val="0"/>
        <w:snapToGrid w:val="0"/>
        <w:spacing w:line="360" w:lineRule="auto"/>
        <w:ind w:firstLine="444" w:firstLineChars="200"/>
        <w:jc w:val="left"/>
        <w:rPr>
          <w:rFonts w:hint="eastAsia" w:ascii="宋体" w:hAnsi="宋体" w:eastAsia="宋体" w:cs="宋体"/>
          <w:spacing w:val="6"/>
          <w:kern w:val="0"/>
          <w:szCs w:val="21"/>
        </w:rPr>
      </w:pPr>
      <w:r>
        <w:rPr>
          <w:rFonts w:hint="eastAsia" w:ascii="宋体" w:hAnsi="宋体" w:eastAsia="宋体" w:cs="宋体"/>
          <w:spacing w:val="6"/>
          <w:kern w:val="0"/>
          <w:szCs w:val="21"/>
        </w:rPr>
        <w:t>截图含1）被列入失信被执行人</w:t>
      </w:r>
    </w:p>
    <w:p>
      <w:pPr>
        <w:widowControl/>
        <w:adjustRightInd w:val="0"/>
        <w:snapToGrid w:val="0"/>
        <w:spacing w:line="360" w:lineRule="auto"/>
        <w:ind w:firstLine="1221" w:firstLineChars="550"/>
        <w:jc w:val="left"/>
        <w:rPr>
          <w:rFonts w:hint="eastAsia" w:ascii="宋体" w:hAnsi="宋体" w:eastAsia="宋体" w:cs="宋体"/>
          <w:spacing w:val="6"/>
          <w:kern w:val="0"/>
          <w:szCs w:val="21"/>
        </w:rPr>
      </w:pPr>
      <w:r>
        <w:rPr>
          <w:rFonts w:hint="eastAsia" w:ascii="宋体" w:hAnsi="宋体" w:eastAsia="宋体" w:cs="宋体"/>
          <w:spacing w:val="6"/>
          <w:kern w:val="0"/>
          <w:szCs w:val="21"/>
        </w:rPr>
        <w:t>2）重大税收违法案件当事人名单的投标单位</w:t>
      </w:r>
    </w:p>
    <w:p>
      <w:pPr>
        <w:widowControl/>
        <w:adjustRightInd w:val="0"/>
        <w:snapToGrid w:val="0"/>
        <w:spacing w:line="360" w:lineRule="auto"/>
        <w:ind w:firstLine="1221" w:firstLineChars="550"/>
        <w:jc w:val="left"/>
        <w:rPr>
          <w:rFonts w:hint="eastAsia" w:ascii="宋体" w:hAnsi="宋体" w:eastAsia="宋体" w:cs="宋体"/>
          <w:spacing w:val="6"/>
          <w:kern w:val="0"/>
          <w:szCs w:val="21"/>
        </w:rPr>
      </w:pPr>
      <w:r>
        <w:rPr>
          <w:rFonts w:hint="eastAsia" w:ascii="宋体" w:hAnsi="宋体" w:eastAsia="宋体" w:cs="宋体"/>
          <w:spacing w:val="6"/>
          <w:kern w:val="0"/>
          <w:szCs w:val="21"/>
        </w:rPr>
        <w:t>3）列入政府采购严重违法失信行为记录名单</w:t>
      </w:r>
    </w:p>
    <w:p>
      <w:pPr>
        <w:widowControl/>
        <w:adjustRightInd w:val="0"/>
        <w:snapToGrid w:val="0"/>
        <w:spacing w:line="360" w:lineRule="auto"/>
        <w:ind w:firstLine="444" w:firstLineChars="200"/>
        <w:jc w:val="left"/>
        <w:rPr>
          <w:rFonts w:hint="eastAsia" w:ascii="宋体" w:hAnsi="宋体" w:eastAsia="宋体" w:cs="宋体"/>
          <w:spacing w:val="6"/>
          <w:kern w:val="0"/>
          <w:szCs w:val="21"/>
        </w:rPr>
      </w:pPr>
    </w:p>
    <w:p>
      <w:pPr>
        <w:pStyle w:val="5"/>
        <w:rPr>
          <w:rFonts w:hint="eastAsia"/>
        </w:rPr>
      </w:pPr>
      <w:r>
        <w:rPr>
          <w:rFonts w:hint="eastAsia" w:ascii="宋体" w:hAnsi="宋体" w:eastAsia="宋体" w:cs="宋体"/>
          <w:spacing w:val="6"/>
          <w:kern w:val="0"/>
          <w:szCs w:val="21"/>
        </w:rPr>
        <w:t>例如：网站搜索页输入投标单位名称，截图查询结果</w:t>
      </w:r>
    </w:p>
    <w:p>
      <w:pPr>
        <w:rPr>
          <w:rFonts w:hint="eastAsia"/>
        </w:rPr>
      </w:pPr>
      <w:r>
        <w:rPr>
          <w:rFonts w:hint="eastAsia"/>
        </w:rPr>
        <w:br w:type="page"/>
      </w:r>
    </w:p>
    <w:p>
      <w:pPr>
        <w:adjustRightInd w:val="0"/>
        <w:snapToGrid w:val="0"/>
        <w:spacing w:line="360" w:lineRule="auto"/>
        <w:jc w:val="center"/>
        <w:rPr>
          <w:rFonts w:ascii="宋体" w:hAnsi="宋体"/>
          <w:b/>
          <w:color w:val="auto"/>
          <w:sz w:val="28"/>
          <w:szCs w:val="28"/>
        </w:rPr>
        <w:sectPr>
          <w:headerReference r:id="rId19" w:type="default"/>
          <w:footerReference r:id="rId20" w:type="default"/>
          <w:pgSz w:w="11906" w:h="16838"/>
          <w:pgMar w:top="1440" w:right="1800"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pPr>
    </w:p>
    <w:p>
      <w:pPr>
        <w:adjustRightInd w:val="0"/>
        <w:snapToGrid w:val="0"/>
        <w:spacing w:line="360" w:lineRule="auto"/>
        <w:rPr>
          <w:rFonts w:hint="eastAsia" w:ascii="宋体" w:hAnsi="宋体"/>
          <w:bCs/>
          <w:color w:val="auto"/>
          <w:sz w:val="28"/>
          <w:szCs w:val="28"/>
        </w:rPr>
      </w:pPr>
      <w:r>
        <w:rPr>
          <w:rFonts w:hint="eastAsia" w:ascii="宋体" w:hAnsi="宋体"/>
          <w:bCs/>
          <w:color w:val="auto"/>
          <w:sz w:val="28"/>
          <w:szCs w:val="28"/>
        </w:rPr>
        <w:t>附件</w:t>
      </w:r>
      <w:r>
        <w:rPr>
          <w:rFonts w:hint="eastAsia" w:ascii="宋体" w:hAnsi="宋体"/>
          <w:bCs/>
          <w:color w:val="auto"/>
          <w:sz w:val="28"/>
          <w:szCs w:val="28"/>
          <w:lang w:val="en-US" w:eastAsia="zh-CN"/>
        </w:rPr>
        <w:t>4</w:t>
      </w:r>
      <w:r>
        <w:rPr>
          <w:rFonts w:hint="eastAsia" w:ascii="宋体" w:hAnsi="宋体"/>
          <w:bCs/>
          <w:color w:val="auto"/>
          <w:sz w:val="28"/>
          <w:szCs w:val="28"/>
        </w:rPr>
        <w:t>：</w:t>
      </w:r>
    </w:p>
    <w:p>
      <w:pPr>
        <w:pStyle w:val="75"/>
        <w:numPr>
          <w:ilvl w:val="0"/>
          <w:numId w:val="0"/>
        </w:numPr>
        <w:jc w:val="center"/>
        <w:rPr>
          <w:rFonts w:hint="default"/>
          <w:b/>
          <w:bCs/>
          <w:color w:val="auto"/>
          <w:lang w:val="en-US" w:eastAsia="zh-CN"/>
        </w:rPr>
      </w:pPr>
      <w:r>
        <w:rPr>
          <w:rFonts w:hint="eastAsia" w:hAnsi="宋体" w:eastAsia="宋体" w:cs="宋体"/>
          <w:b/>
          <w:bCs/>
          <w:color w:val="auto"/>
          <w:sz w:val="28"/>
          <w:szCs w:val="28"/>
          <w:lang w:val="en-US" w:eastAsia="zh-CN"/>
        </w:rPr>
        <w:t>投标函</w:t>
      </w:r>
    </w:p>
    <w:p>
      <w:pPr>
        <w:adjustRightInd w:val="0"/>
        <w:snapToGrid w:val="0"/>
        <w:spacing w:line="360" w:lineRule="auto"/>
        <w:rPr>
          <w:rFonts w:hint="eastAsia" w:ascii="宋体" w:hAnsi="宋体" w:eastAsia="宋体" w:cs="宋体"/>
          <w:color w:val="auto"/>
          <w:szCs w:val="21"/>
        </w:rPr>
      </w:pPr>
    </w:p>
    <w:p>
      <w:pPr>
        <w:adjustRightInd w:val="0"/>
        <w:snapToGrid w:val="0"/>
        <w:spacing w:line="360" w:lineRule="auto"/>
        <w:rPr>
          <w:rFonts w:hint="eastAsia" w:ascii="宋体" w:hAnsi="宋体"/>
          <w:color w:val="auto"/>
          <w:szCs w:val="21"/>
        </w:rPr>
      </w:pPr>
      <w:r>
        <w:rPr>
          <w:rFonts w:hint="eastAsia" w:ascii="宋体" w:hAnsi="宋体"/>
          <w:color w:val="auto"/>
          <w:szCs w:val="21"/>
        </w:rPr>
        <w:t>致</w:t>
      </w:r>
      <w:r>
        <w:rPr>
          <w:rFonts w:hint="eastAsia" w:ascii="宋体" w:hAnsi="宋体"/>
          <w:color w:val="auto"/>
          <w:szCs w:val="21"/>
          <w:u w:val="single"/>
        </w:rPr>
        <w:t xml:space="preserve">            </w:t>
      </w:r>
      <w:r>
        <w:rPr>
          <w:rFonts w:hint="eastAsia" w:ascii="宋体" w:hAnsi="宋体"/>
          <w:color w:val="auto"/>
          <w:szCs w:val="21"/>
        </w:rPr>
        <w:t xml:space="preserve"> (采购人或采购代理机构)：</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我方己仔细研究了</w:t>
      </w:r>
      <w:r>
        <w:rPr>
          <w:rFonts w:hint="eastAsia" w:ascii="宋体" w:hAnsi="宋体"/>
          <w:color w:val="auto"/>
          <w:szCs w:val="21"/>
          <w:u w:val="single"/>
        </w:rPr>
        <w:t xml:space="preserve">                 (</w:t>
      </w:r>
      <w:r>
        <w:rPr>
          <w:rFonts w:hint="eastAsia" w:ascii="宋体" w:hAnsi="宋体"/>
          <w:color w:val="auto"/>
          <w:szCs w:val="21"/>
        </w:rPr>
        <w:t>项目名称)的招标文件（项目编号：</w:t>
      </w:r>
      <w:r>
        <w:rPr>
          <w:rFonts w:hint="eastAsia" w:ascii="宋体" w:hAnsi="宋体"/>
          <w:color w:val="auto"/>
          <w:szCs w:val="21"/>
          <w:u w:val="single"/>
        </w:rPr>
        <w:t xml:space="preserve">           </w:t>
      </w:r>
      <w:r>
        <w:rPr>
          <w:rFonts w:hint="eastAsia" w:ascii="宋体" w:hAnsi="宋体"/>
          <w:color w:val="auto"/>
          <w:szCs w:val="21"/>
        </w:rPr>
        <w:t>）的全部内容，知悉参加投标的风险，我方承诺接受招标文件的全部条款且无任何异议。</w:t>
      </w:r>
    </w:p>
    <w:p>
      <w:pPr>
        <w:pStyle w:val="25"/>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一、我方同意在招标文件中规定的提交投标文件截止时间起</w:t>
      </w:r>
      <w:r>
        <w:rPr>
          <w:rFonts w:hint="eastAsia" w:ascii="宋体" w:hAnsi="宋体"/>
          <w:color w:val="auto"/>
          <w:sz w:val="21"/>
          <w:szCs w:val="21"/>
          <w:u w:val="single"/>
        </w:rPr>
        <w:t xml:space="preserve">    </w:t>
      </w:r>
      <w:r>
        <w:rPr>
          <w:rFonts w:hint="eastAsia" w:ascii="宋体" w:hAnsi="宋体"/>
          <w:color w:val="auto"/>
          <w:sz w:val="21"/>
          <w:szCs w:val="21"/>
        </w:rPr>
        <w:t>日内(投标文件有效期)遵守本投标文件中的承诺且在此期限期满之前均具有法律约束力。</w:t>
      </w:r>
    </w:p>
    <w:p>
      <w:pPr>
        <w:pStyle w:val="25"/>
        <w:adjustRightInd w:val="0"/>
        <w:snapToGrid w:val="0"/>
        <w:spacing w:line="360" w:lineRule="auto"/>
        <w:ind w:firstLine="420" w:firstLineChars="200"/>
        <w:rPr>
          <w:rFonts w:hint="eastAsia" w:ascii="宋体" w:hAnsi="宋体"/>
          <w:bCs/>
          <w:color w:val="auto"/>
          <w:sz w:val="21"/>
          <w:szCs w:val="21"/>
        </w:rPr>
      </w:pPr>
      <w:r>
        <w:rPr>
          <w:rFonts w:hint="eastAsia" w:ascii="宋体" w:hAnsi="宋体"/>
          <w:color w:val="auto"/>
          <w:sz w:val="21"/>
          <w:szCs w:val="21"/>
        </w:rPr>
        <w:t>二、我方提交</w:t>
      </w:r>
      <w:r>
        <w:rPr>
          <w:rFonts w:hint="eastAsia" w:ascii="宋体" w:hAnsi="宋体"/>
          <w:color w:val="auto"/>
          <w:sz w:val="21"/>
          <w:szCs w:val="21"/>
          <w:lang w:val="en-US" w:eastAsia="zh-CN"/>
        </w:rPr>
        <w:t>电子加密</w:t>
      </w:r>
      <w:r>
        <w:rPr>
          <w:rFonts w:hint="eastAsia" w:ascii="宋体" w:hAnsi="宋体"/>
          <w:color w:val="auto"/>
          <w:sz w:val="21"/>
          <w:szCs w:val="21"/>
        </w:rPr>
        <w:t>投标文件</w:t>
      </w:r>
      <w:r>
        <w:rPr>
          <w:rFonts w:hint="eastAsia" w:ascii="宋体" w:hAnsi="宋体"/>
          <w:color w:val="auto"/>
          <w:sz w:val="21"/>
          <w:szCs w:val="21"/>
          <w:lang w:val="en-US" w:eastAsia="zh-CN"/>
        </w:rPr>
        <w:t>一</w:t>
      </w:r>
      <w:r>
        <w:rPr>
          <w:rFonts w:hint="eastAsia" w:ascii="宋体" w:hAnsi="宋体"/>
          <w:color w:val="auto"/>
          <w:sz w:val="21"/>
          <w:szCs w:val="21"/>
        </w:rPr>
        <w:t>份，并保证投标文件提供的数据和材料是真实、准确的。否则，愿承担《政府采购法》</w:t>
      </w:r>
      <w:r>
        <w:rPr>
          <w:rFonts w:hint="eastAsia" w:ascii="宋体" w:hAnsi="宋体"/>
          <w:bCs/>
          <w:color w:val="auto"/>
          <w:sz w:val="21"/>
          <w:szCs w:val="21"/>
        </w:rPr>
        <w:t>第七十七条规定的法律责任。</w:t>
      </w:r>
    </w:p>
    <w:p>
      <w:pPr>
        <w:pStyle w:val="25"/>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三、我方愿意向贵方提供任何与本项采购有关的数据、情况和技术资料。若贵方需要，我方愿意提供我方作出的一切承诺的证明材料。</w:t>
      </w:r>
    </w:p>
    <w:p>
      <w:pPr>
        <w:pStyle w:val="25"/>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四、我方承诺遵守《政府采购法》的有关规定，保证在获得中标资格后，按照招标文件确定的事项签订政府采购合同，履行双方所签订的合同，并承担合同规定的责任和义务。</w:t>
      </w:r>
    </w:p>
    <w:p>
      <w:pPr>
        <w:pStyle w:val="25"/>
        <w:adjustRightInd w:val="0"/>
        <w:snapToGrid w:val="0"/>
        <w:spacing w:line="360" w:lineRule="auto"/>
        <w:ind w:firstLine="480" w:firstLineChars="200"/>
        <w:rPr>
          <w:rFonts w:hint="eastAsia" w:ascii="宋体" w:hAnsi="宋体" w:eastAsia="宋体" w:cs="宋体"/>
          <w:color w:val="auto"/>
        </w:rPr>
      </w:pPr>
    </w:p>
    <w:p>
      <w:pPr>
        <w:adjustRightInd w:val="0"/>
        <w:snapToGrid w:val="0"/>
        <w:spacing w:line="360" w:lineRule="auto"/>
        <w:ind w:right="24"/>
        <w:rPr>
          <w:rFonts w:hint="eastAsia" w:ascii="宋体" w:hAnsi="宋体" w:eastAsia="宋体" w:cs="宋体"/>
          <w:bCs/>
          <w:color w:val="auto"/>
          <w:szCs w:val="21"/>
        </w:rPr>
      </w:pPr>
    </w:p>
    <w:p>
      <w:pPr>
        <w:adjustRightInd w:val="0"/>
        <w:snapToGrid w:val="0"/>
        <w:spacing w:line="360" w:lineRule="auto"/>
        <w:ind w:right="24"/>
        <w:rPr>
          <w:rFonts w:hint="eastAsia" w:ascii="宋体" w:hAnsi="宋体" w:eastAsia="宋体" w:cs="宋体"/>
          <w:bCs/>
          <w:color w:val="auto"/>
          <w:szCs w:val="21"/>
        </w:rPr>
      </w:pPr>
    </w:p>
    <w:p>
      <w:pPr>
        <w:adjustRightInd w:val="0"/>
        <w:snapToGrid w:val="0"/>
        <w:spacing w:line="360" w:lineRule="auto"/>
        <w:ind w:right="24"/>
        <w:rPr>
          <w:rFonts w:hint="eastAsia" w:ascii="宋体" w:hAnsi="宋体" w:eastAsia="宋体" w:cs="宋体"/>
          <w:bCs/>
          <w:color w:val="auto"/>
          <w:szCs w:val="21"/>
        </w:rPr>
      </w:pPr>
    </w:p>
    <w:p>
      <w:pPr>
        <w:adjustRightInd w:val="0"/>
        <w:snapToGrid w:val="0"/>
        <w:spacing w:line="360" w:lineRule="auto"/>
        <w:ind w:right="24"/>
        <w:rPr>
          <w:rFonts w:hint="eastAsia" w:ascii="宋体" w:hAnsi="宋体" w:eastAsia="宋体" w:cs="宋体"/>
          <w:bCs/>
          <w:color w:val="auto"/>
          <w:szCs w:val="21"/>
        </w:rPr>
      </w:pPr>
    </w:p>
    <w:p>
      <w:pPr>
        <w:adjustRightInd w:val="0"/>
        <w:snapToGrid w:val="0"/>
        <w:spacing w:line="360" w:lineRule="auto"/>
        <w:ind w:right="24"/>
        <w:rPr>
          <w:rFonts w:hint="eastAsia" w:ascii="宋体" w:hAnsi="宋体" w:eastAsia="宋体" w:cs="宋体"/>
          <w:color w:val="auto"/>
          <w:szCs w:val="21"/>
        </w:rPr>
      </w:pPr>
      <w:r>
        <w:rPr>
          <w:rFonts w:hint="eastAsia" w:ascii="宋体" w:hAnsi="宋体" w:eastAsia="宋体" w:cs="宋体"/>
          <w:bCs/>
          <w:color w:val="auto"/>
          <w:szCs w:val="21"/>
        </w:rPr>
        <w:t>附件1：</w:t>
      </w:r>
      <w:r>
        <w:rPr>
          <w:rFonts w:hint="eastAsia" w:ascii="宋体" w:hAnsi="宋体" w:eastAsia="宋体" w:cs="宋体"/>
          <w:color w:val="auto"/>
          <w:szCs w:val="21"/>
        </w:rPr>
        <w:t>法定代表人身份证明(法定代表人参加招标)</w:t>
      </w:r>
    </w:p>
    <w:p>
      <w:pPr>
        <w:adjustRightInd w:val="0"/>
        <w:snapToGrid w:val="0"/>
        <w:spacing w:line="360" w:lineRule="auto"/>
        <w:ind w:right="24"/>
        <w:rPr>
          <w:rFonts w:hint="eastAsia" w:ascii="宋体" w:hAnsi="宋体" w:eastAsia="宋体" w:cs="宋体"/>
          <w:color w:val="auto"/>
          <w:szCs w:val="21"/>
        </w:rPr>
      </w:pPr>
      <w:r>
        <w:rPr>
          <w:rFonts w:hint="eastAsia" w:ascii="宋体" w:hAnsi="宋体" w:eastAsia="宋体" w:cs="宋体"/>
          <w:bCs/>
          <w:color w:val="auto"/>
          <w:szCs w:val="21"/>
        </w:rPr>
        <w:t>附件2</w:t>
      </w:r>
      <w:r>
        <w:rPr>
          <w:rFonts w:hint="eastAsia" w:ascii="宋体" w:hAnsi="宋体" w:eastAsia="宋体" w:cs="宋体"/>
          <w:color w:val="auto"/>
          <w:szCs w:val="21"/>
        </w:rPr>
        <w:t>：法定代表人授权书(委托代理人参加招标)</w:t>
      </w:r>
    </w:p>
    <w:p>
      <w:pPr>
        <w:pStyle w:val="25"/>
        <w:adjustRightInd w:val="0"/>
        <w:snapToGrid w:val="0"/>
        <w:spacing w:line="360" w:lineRule="auto"/>
        <w:rPr>
          <w:rFonts w:hint="eastAsia" w:ascii="宋体" w:hAnsi="宋体" w:eastAsia="宋体" w:cs="宋体"/>
          <w:color w:val="auto"/>
        </w:rPr>
      </w:pPr>
    </w:p>
    <w:p>
      <w:pPr>
        <w:pStyle w:val="25"/>
        <w:adjustRightInd w:val="0"/>
        <w:snapToGrid w:val="0"/>
        <w:spacing w:line="360" w:lineRule="auto"/>
        <w:rPr>
          <w:rFonts w:hint="eastAsia" w:ascii="宋体" w:hAnsi="宋体" w:eastAsia="宋体" w:cs="宋体"/>
          <w:color w:val="auto"/>
        </w:rPr>
      </w:pPr>
    </w:p>
    <w:p>
      <w:pPr>
        <w:pStyle w:val="25"/>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投标人名称(盖单位章)：</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法定代表人或其委托代理人 (签字)：</w:t>
      </w:r>
      <w:r>
        <w:rPr>
          <w:rFonts w:hint="eastAsia" w:ascii="宋体" w:hAnsi="宋体" w:eastAsia="宋体" w:cs="宋体"/>
          <w:color w:val="auto"/>
          <w:szCs w:val="21"/>
          <w:u w:val="single"/>
        </w:rPr>
        <w:t xml:space="preserve">            </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adjustRightInd w:val="0"/>
        <w:snapToGrid w:val="0"/>
        <w:spacing w:line="360" w:lineRule="auto"/>
        <w:ind w:right="24"/>
        <w:rPr>
          <w:rFonts w:hint="eastAsia" w:ascii="宋体" w:hAnsi="宋体" w:eastAsia="宋体" w:cs="宋体"/>
          <w:bCs/>
          <w:color w:val="auto"/>
          <w:sz w:val="28"/>
          <w:szCs w:val="28"/>
        </w:rPr>
      </w:pPr>
    </w:p>
    <w:p>
      <w:pPr>
        <w:adjustRightInd w:val="0"/>
        <w:snapToGrid w:val="0"/>
        <w:spacing w:line="360" w:lineRule="auto"/>
        <w:ind w:right="24"/>
        <w:rPr>
          <w:rFonts w:hint="eastAsia" w:ascii="宋体" w:hAnsi="宋体" w:eastAsia="宋体" w:cs="宋体"/>
          <w:bCs/>
          <w:color w:val="auto"/>
          <w:sz w:val="28"/>
          <w:szCs w:val="28"/>
        </w:rPr>
      </w:pPr>
    </w:p>
    <w:p>
      <w:pPr>
        <w:spacing w:line="360" w:lineRule="auto"/>
        <w:rPr>
          <w:rFonts w:hint="eastAsia" w:ascii="宋体" w:hAnsi="宋体" w:eastAsia="宋体" w:cs="宋体"/>
          <w:color w:val="auto"/>
          <w:szCs w:val="21"/>
        </w:rPr>
      </w:pPr>
    </w:p>
    <w:p>
      <w:pPr>
        <w:adjustRightInd w:val="0"/>
        <w:snapToGrid w:val="0"/>
        <w:spacing w:line="360" w:lineRule="auto"/>
        <w:ind w:right="24"/>
        <w:rPr>
          <w:rFonts w:hint="eastAsia" w:ascii="宋体" w:hAnsi="宋体" w:eastAsia="宋体" w:cs="宋体"/>
          <w:bCs/>
          <w:color w:val="auto"/>
          <w:szCs w:val="21"/>
        </w:rPr>
        <w:sectPr>
          <w:headerReference r:id="rId21" w:type="default"/>
          <w:footerReference r:id="rId22" w:type="default"/>
          <w:pgSz w:w="11906" w:h="16838"/>
          <w:pgMar w:top="1440" w:right="1800" w:bottom="1440" w:left="1800" w:header="851" w:footer="992" w:gutter="0"/>
          <w:pgBorders w:offsetFrom="page">
            <w:top w:val="none" w:sz="0" w:space="0"/>
            <w:left w:val="none" w:sz="0" w:space="0"/>
            <w:bottom w:val="none" w:sz="0" w:space="0"/>
            <w:right w:val="none" w:sz="0" w:space="0"/>
          </w:pgBorders>
          <w:pgNumType w:fmt="decimal"/>
          <w:cols w:space="720" w:num="1"/>
          <w:docGrid w:type="lines" w:linePitch="312" w:charSpace="0"/>
        </w:sectPr>
      </w:pPr>
    </w:p>
    <w:p>
      <w:pPr>
        <w:adjustRightInd w:val="0"/>
        <w:snapToGrid w:val="0"/>
        <w:spacing w:line="360" w:lineRule="auto"/>
        <w:rPr>
          <w:rFonts w:hint="eastAsia" w:ascii="宋体" w:hAnsi="宋体" w:cs="宋体"/>
          <w:color w:val="auto"/>
          <w:sz w:val="28"/>
          <w:szCs w:val="28"/>
          <w:lang w:val="en-US" w:eastAsia="zh-CN"/>
        </w:rPr>
      </w:pPr>
      <w:r>
        <w:rPr>
          <w:rFonts w:hint="eastAsia" w:ascii="宋体" w:hAnsi="宋体" w:eastAsia="宋体" w:cs="宋体"/>
          <w:color w:val="auto"/>
          <w:sz w:val="28"/>
          <w:szCs w:val="28"/>
          <w:lang w:val="en-US" w:eastAsia="zh-CN"/>
        </w:rPr>
        <w:t>附件</w:t>
      </w:r>
      <w:r>
        <w:rPr>
          <w:rFonts w:hint="eastAsia" w:ascii="宋体" w:hAnsi="宋体" w:cs="宋体"/>
          <w:color w:val="auto"/>
          <w:sz w:val="28"/>
          <w:szCs w:val="28"/>
          <w:lang w:val="en-US" w:eastAsia="zh-CN"/>
        </w:rPr>
        <w:t>5</w:t>
      </w:r>
    </w:p>
    <w:p>
      <w:pPr>
        <w:adjustRightInd w:val="0"/>
        <w:snapToGrid w:val="0"/>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投标人基本情况表</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盖投标人单位章</w:t>
      </w:r>
    </w:p>
    <w:tbl>
      <w:tblPr>
        <w:tblStyle w:val="47"/>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620" w:type="dxa"/>
            <w:gridSpan w:val="3"/>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rPr>
              <w:t>投标人</w:t>
            </w:r>
            <w:r>
              <w:rPr>
                <w:rFonts w:hint="eastAsia" w:ascii="宋体" w:hAnsi="宋体" w:eastAsia="宋体" w:cs="宋体"/>
                <w:color w:val="auto"/>
                <w:szCs w:val="21"/>
              </w:rPr>
              <w:t>名称</w:t>
            </w:r>
          </w:p>
        </w:tc>
        <w:tc>
          <w:tcPr>
            <w:tcW w:w="3960" w:type="dxa"/>
            <w:gridSpan w:val="5"/>
            <w:noWrap w:val="0"/>
            <w:vAlign w:val="center"/>
          </w:tcPr>
          <w:p>
            <w:pPr>
              <w:topLinePunct/>
              <w:spacing w:line="440" w:lineRule="exact"/>
              <w:jc w:val="center"/>
              <w:rPr>
                <w:rFonts w:hint="eastAsia" w:ascii="宋体" w:hAnsi="宋体" w:eastAsia="宋体" w:cs="宋体"/>
                <w:color w:val="auto"/>
                <w:szCs w:val="21"/>
              </w:rPr>
            </w:pPr>
          </w:p>
        </w:tc>
        <w:tc>
          <w:tcPr>
            <w:tcW w:w="1329" w:type="dxa"/>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法定代表人</w:t>
            </w:r>
          </w:p>
        </w:tc>
        <w:tc>
          <w:tcPr>
            <w:tcW w:w="1731" w:type="dxa"/>
            <w:noWrap w:val="0"/>
            <w:vAlign w:val="center"/>
          </w:tcPr>
          <w:p>
            <w:pPr>
              <w:topLinePunct/>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620" w:type="dxa"/>
            <w:gridSpan w:val="3"/>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组织机构代码</w:t>
            </w:r>
          </w:p>
        </w:tc>
        <w:tc>
          <w:tcPr>
            <w:tcW w:w="3960" w:type="dxa"/>
            <w:gridSpan w:val="5"/>
            <w:noWrap w:val="0"/>
            <w:vAlign w:val="center"/>
          </w:tcPr>
          <w:p>
            <w:pPr>
              <w:topLinePunct/>
              <w:spacing w:line="440" w:lineRule="exact"/>
              <w:jc w:val="center"/>
              <w:rPr>
                <w:rFonts w:hint="eastAsia" w:ascii="宋体" w:hAnsi="宋体" w:eastAsia="宋体" w:cs="宋体"/>
                <w:color w:val="auto"/>
                <w:szCs w:val="21"/>
              </w:rPr>
            </w:pPr>
          </w:p>
        </w:tc>
        <w:tc>
          <w:tcPr>
            <w:tcW w:w="1329" w:type="dxa"/>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邮政编码</w:t>
            </w:r>
          </w:p>
        </w:tc>
        <w:tc>
          <w:tcPr>
            <w:tcW w:w="1731" w:type="dxa"/>
            <w:noWrap w:val="0"/>
            <w:vAlign w:val="center"/>
          </w:tcPr>
          <w:p>
            <w:pPr>
              <w:topLinePunct/>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委托代理人</w:t>
            </w:r>
          </w:p>
        </w:tc>
        <w:tc>
          <w:tcPr>
            <w:tcW w:w="3960" w:type="dxa"/>
            <w:gridSpan w:val="5"/>
            <w:noWrap w:val="0"/>
            <w:vAlign w:val="center"/>
          </w:tcPr>
          <w:p>
            <w:pPr>
              <w:topLinePunct/>
              <w:spacing w:line="440" w:lineRule="exact"/>
              <w:jc w:val="center"/>
              <w:rPr>
                <w:rFonts w:hint="eastAsia" w:ascii="宋体" w:hAnsi="宋体" w:eastAsia="宋体" w:cs="宋体"/>
                <w:color w:val="auto"/>
                <w:szCs w:val="21"/>
              </w:rPr>
            </w:pPr>
          </w:p>
        </w:tc>
        <w:tc>
          <w:tcPr>
            <w:tcW w:w="1329" w:type="dxa"/>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电子邮箱</w:t>
            </w:r>
          </w:p>
        </w:tc>
        <w:tc>
          <w:tcPr>
            <w:tcW w:w="1731" w:type="dxa"/>
            <w:noWrap w:val="0"/>
            <w:vAlign w:val="center"/>
          </w:tcPr>
          <w:p>
            <w:pPr>
              <w:topLinePunct/>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上年营业收入</w:t>
            </w:r>
          </w:p>
        </w:tc>
        <w:tc>
          <w:tcPr>
            <w:tcW w:w="3960" w:type="dxa"/>
            <w:gridSpan w:val="5"/>
            <w:noWrap w:val="0"/>
            <w:vAlign w:val="center"/>
          </w:tcPr>
          <w:p>
            <w:pPr>
              <w:topLinePunct/>
              <w:spacing w:line="440" w:lineRule="exact"/>
              <w:jc w:val="center"/>
              <w:rPr>
                <w:rFonts w:hint="eastAsia" w:ascii="宋体" w:hAnsi="宋体" w:eastAsia="宋体" w:cs="宋体"/>
                <w:color w:val="auto"/>
                <w:szCs w:val="21"/>
              </w:rPr>
            </w:pPr>
          </w:p>
        </w:tc>
        <w:tc>
          <w:tcPr>
            <w:tcW w:w="1329" w:type="dxa"/>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员工总人数</w:t>
            </w:r>
          </w:p>
        </w:tc>
        <w:tc>
          <w:tcPr>
            <w:tcW w:w="1731" w:type="dxa"/>
            <w:noWrap w:val="0"/>
            <w:vAlign w:val="center"/>
          </w:tcPr>
          <w:p>
            <w:pPr>
              <w:topLinePunct/>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固定电话</w:t>
            </w:r>
          </w:p>
        </w:tc>
        <w:tc>
          <w:tcPr>
            <w:tcW w:w="3960" w:type="dxa"/>
            <w:gridSpan w:val="5"/>
            <w:noWrap w:val="0"/>
            <w:vAlign w:val="center"/>
          </w:tcPr>
          <w:p>
            <w:pPr>
              <w:topLinePunct/>
              <w:spacing w:line="440" w:lineRule="exact"/>
              <w:jc w:val="center"/>
              <w:rPr>
                <w:rFonts w:hint="eastAsia" w:ascii="宋体" w:hAnsi="宋体" w:eastAsia="宋体" w:cs="宋体"/>
                <w:color w:val="auto"/>
                <w:szCs w:val="21"/>
              </w:rPr>
            </w:pPr>
          </w:p>
        </w:tc>
        <w:tc>
          <w:tcPr>
            <w:tcW w:w="1329" w:type="dxa"/>
            <w:noWrap w:val="0"/>
            <w:vAlign w:val="center"/>
          </w:tcPr>
          <w:p>
            <w:pPr>
              <w:topLinePunct/>
              <w:spacing w:line="440" w:lineRule="exact"/>
              <w:jc w:val="center"/>
              <w:rPr>
                <w:rFonts w:hint="eastAsia" w:ascii="宋体" w:hAnsi="宋体" w:eastAsia="宋体"/>
                <w:color w:val="auto"/>
                <w:kern w:val="2"/>
                <w:sz w:val="21"/>
                <w:szCs w:val="21"/>
                <w:lang w:val="en-US" w:eastAsia="zh-CN" w:bidi="ar-SA"/>
              </w:rPr>
            </w:pPr>
            <w:r>
              <w:rPr>
                <w:rFonts w:hint="eastAsia" w:ascii="宋体" w:hAnsi="宋体"/>
                <w:color w:val="auto"/>
                <w:szCs w:val="21"/>
                <w:lang w:val="en-US" w:eastAsia="zh-CN"/>
              </w:rPr>
              <w:t>主管部门</w:t>
            </w:r>
          </w:p>
        </w:tc>
        <w:tc>
          <w:tcPr>
            <w:tcW w:w="1731" w:type="dxa"/>
            <w:noWrap w:val="0"/>
            <w:vAlign w:val="center"/>
          </w:tcPr>
          <w:p>
            <w:pPr>
              <w:topLinePunct/>
              <w:spacing w:line="440" w:lineRule="exact"/>
              <w:jc w:val="center"/>
              <w:rPr>
                <w:rFonts w:hint="eastAsia" w:ascii="宋体" w:hAnsi="宋体"/>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restart"/>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营业执照</w:t>
            </w:r>
          </w:p>
        </w:tc>
        <w:tc>
          <w:tcPr>
            <w:tcW w:w="2044" w:type="dxa"/>
            <w:gridSpan w:val="3"/>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注册号码</w:t>
            </w:r>
          </w:p>
        </w:tc>
        <w:tc>
          <w:tcPr>
            <w:tcW w:w="1440" w:type="dxa"/>
            <w:gridSpan w:val="2"/>
            <w:noWrap w:val="0"/>
            <w:vAlign w:val="center"/>
          </w:tcPr>
          <w:p>
            <w:pPr>
              <w:topLinePunct/>
              <w:spacing w:line="440" w:lineRule="exact"/>
              <w:jc w:val="center"/>
              <w:rPr>
                <w:rFonts w:hint="eastAsia" w:ascii="宋体" w:hAnsi="宋体" w:eastAsia="宋体" w:cs="宋体"/>
                <w:color w:val="auto"/>
                <w:szCs w:val="21"/>
              </w:rPr>
            </w:pPr>
          </w:p>
        </w:tc>
        <w:tc>
          <w:tcPr>
            <w:tcW w:w="1377" w:type="dxa"/>
            <w:gridSpan w:val="2"/>
            <w:noWrap w:val="0"/>
            <w:vAlign w:val="center"/>
          </w:tcPr>
          <w:p>
            <w:pPr>
              <w:topLinePunct/>
              <w:spacing w:line="440" w:lineRule="exact"/>
              <w:ind w:firstLine="105" w:firstLineChars="50"/>
              <w:jc w:val="center"/>
              <w:rPr>
                <w:rFonts w:hint="eastAsia" w:ascii="宋体" w:hAnsi="宋体" w:eastAsia="宋体" w:cs="宋体"/>
                <w:color w:val="auto"/>
                <w:szCs w:val="21"/>
              </w:rPr>
            </w:pPr>
            <w:r>
              <w:rPr>
                <w:rFonts w:hint="eastAsia" w:ascii="宋体" w:hAnsi="宋体" w:eastAsia="宋体" w:cs="宋体"/>
                <w:color w:val="auto"/>
                <w:szCs w:val="21"/>
              </w:rPr>
              <w:t>注册地址</w:t>
            </w:r>
          </w:p>
        </w:tc>
        <w:tc>
          <w:tcPr>
            <w:tcW w:w="3060" w:type="dxa"/>
            <w:gridSpan w:val="2"/>
            <w:noWrap w:val="0"/>
            <w:vAlign w:val="center"/>
          </w:tcPr>
          <w:p>
            <w:pPr>
              <w:topLinePunct/>
              <w:spacing w:line="440" w:lineRule="exact"/>
              <w:ind w:firstLine="105" w:firstLineChars="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noWrap w:val="0"/>
            <w:vAlign w:val="center"/>
          </w:tcPr>
          <w:p>
            <w:pPr>
              <w:topLinePunct/>
              <w:spacing w:line="440" w:lineRule="exact"/>
              <w:jc w:val="center"/>
              <w:rPr>
                <w:rFonts w:hint="eastAsia" w:ascii="宋体" w:hAnsi="宋体" w:eastAsia="宋体" w:cs="宋体"/>
                <w:color w:val="auto"/>
                <w:szCs w:val="21"/>
              </w:rPr>
            </w:pPr>
          </w:p>
        </w:tc>
        <w:tc>
          <w:tcPr>
            <w:tcW w:w="2044" w:type="dxa"/>
            <w:gridSpan w:val="3"/>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发证机关</w:t>
            </w:r>
          </w:p>
        </w:tc>
        <w:tc>
          <w:tcPr>
            <w:tcW w:w="1440" w:type="dxa"/>
            <w:gridSpan w:val="2"/>
            <w:noWrap w:val="0"/>
            <w:vAlign w:val="center"/>
          </w:tcPr>
          <w:p>
            <w:pPr>
              <w:topLinePunct/>
              <w:spacing w:line="440" w:lineRule="exact"/>
              <w:jc w:val="center"/>
              <w:rPr>
                <w:rFonts w:hint="eastAsia" w:ascii="宋体" w:hAnsi="宋体" w:eastAsia="宋体" w:cs="宋体"/>
                <w:color w:val="auto"/>
                <w:szCs w:val="21"/>
              </w:rPr>
            </w:pPr>
          </w:p>
        </w:tc>
        <w:tc>
          <w:tcPr>
            <w:tcW w:w="1377" w:type="dxa"/>
            <w:gridSpan w:val="2"/>
            <w:noWrap w:val="0"/>
            <w:vAlign w:val="center"/>
          </w:tcPr>
          <w:p>
            <w:pPr>
              <w:topLinePunct/>
              <w:spacing w:line="440" w:lineRule="exact"/>
              <w:ind w:firstLine="105" w:firstLineChars="50"/>
              <w:jc w:val="center"/>
              <w:rPr>
                <w:rFonts w:hint="eastAsia" w:ascii="宋体" w:hAnsi="宋体" w:eastAsia="宋体" w:cs="宋体"/>
                <w:color w:val="auto"/>
                <w:szCs w:val="21"/>
              </w:rPr>
            </w:pPr>
            <w:r>
              <w:rPr>
                <w:rFonts w:hint="eastAsia" w:ascii="宋体" w:hAnsi="宋体" w:eastAsia="宋体" w:cs="宋体"/>
                <w:color w:val="auto"/>
                <w:szCs w:val="21"/>
              </w:rPr>
              <w:t>发证日期</w:t>
            </w:r>
          </w:p>
        </w:tc>
        <w:tc>
          <w:tcPr>
            <w:tcW w:w="3060" w:type="dxa"/>
            <w:gridSpan w:val="2"/>
            <w:noWrap w:val="0"/>
            <w:vAlign w:val="center"/>
          </w:tcPr>
          <w:p>
            <w:pPr>
              <w:topLinePunct/>
              <w:spacing w:line="440" w:lineRule="exact"/>
              <w:ind w:firstLine="105" w:firstLineChars="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719" w:type="dxa"/>
            <w:vMerge w:val="continue"/>
            <w:noWrap w:val="0"/>
            <w:vAlign w:val="center"/>
          </w:tcPr>
          <w:p>
            <w:pPr>
              <w:topLinePunct/>
              <w:spacing w:line="440" w:lineRule="exact"/>
              <w:jc w:val="center"/>
              <w:rPr>
                <w:rFonts w:hint="eastAsia" w:ascii="宋体" w:hAnsi="宋体" w:eastAsia="宋体" w:cs="宋体"/>
                <w:color w:val="auto"/>
                <w:szCs w:val="21"/>
              </w:rPr>
            </w:pPr>
          </w:p>
        </w:tc>
        <w:tc>
          <w:tcPr>
            <w:tcW w:w="2044" w:type="dxa"/>
            <w:gridSpan w:val="3"/>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营业范围</w:t>
            </w:r>
          </w:p>
        </w:tc>
        <w:tc>
          <w:tcPr>
            <w:tcW w:w="5877" w:type="dxa"/>
            <w:gridSpan w:val="6"/>
            <w:noWrap w:val="0"/>
            <w:vAlign w:val="center"/>
          </w:tcPr>
          <w:p>
            <w:pPr>
              <w:topLinePunct/>
              <w:spacing w:line="440" w:lineRule="exact"/>
              <w:ind w:firstLine="105" w:firstLineChars="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763" w:type="dxa"/>
            <w:gridSpan w:val="4"/>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基本账户开户行及帐号</w:t>
            </w:r>
          </w:p>
        </w:tc>
        <w:tc>
          <w:tcPr>
            <w:tcW w:w="5877" w:type="dxa"/>
            <w:gridSpan w:val="6"/>
            <w:noWrap w:val="0"/>
            <w:vAlign w:val="center"/>
          </w:tcPr>
          <w:p>
            <w:pPr>
              <w:topLinePunct/>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763" w:type="dxa"/>
            <w:gridSpan w:val="4"/>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税务登记机关</w:t>
            </w:r>
          </w:p>
        </w:tc>
        <w:tc>
          <w:tcPr>
            <w:tcW w:w="5877" w:type="dxa"/>
            <w:gridSpan w:val="6"/>
            <w:noWrap w:val="0"/>
            <w:vAlign w:val="center"/>
          </w:tcPr>
          <w:p>
            <w:pPr>
              <w:topLinePunct/>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3613" w:type="dxa"/>
            <w:gridSpan w:val="5"/>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资质名称</w:t>
            </w:r>
          </w:p>
        </w:tc>
        <w:tc>
          <w:tcPr>
            <w:tcW w:w="884" w:type="dxa"/>
            <w:gridSpan w:val="2"/>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等级</w:t>
            </w:r>
          </w:p>
        </w:tc>
        <w:tc>
          <w:tcPr>
            <w:tcW w:w="1083" w:type="dxa"/>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发证机关</w:t>
            </w:r>
          </w:p>
        </w:tc>
        <w:tc>
          <w:tcPr>
            <w:tcW w:w="3060" w:type="dxa"/>
            <w:gridSpan w:val="2"/>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3613" w:type="dxa"/>
            <w:gridSpan w:val="5"/>
            <w:noWrap w:val="0"/>
            <w:vAlign w:val="center"/>
          </w:tcPr>
          <w:p>
            <w:pPr>
              <w:topLinePunct/>
              <w:spacing w:line="440" w:lineRule="exact"/>
              <w:jc w:val="center"/>
              <w:rPr>
                <w:rFonts w:hint="eastAsia" w:ascii="宋体" w:hAnsi="宋体" w:eastAsia="宋体" w:cs="宋体"/>
                <w:color w:val="auto"/>
                <w:szCs w:val="21"/>
              </w:rPr>
            </w:pPr>
          </w:p>
        </w:tc>
        <w:tc>
          <w:tcPr>
            <w:tcW w:w="884" w:type="dxa"/>
            <w:gridSpan w:val="2"/>
            <w:noWrap w:val="0"/>
            <w:vAlign w:val="center"/>
          </w:tcPr>
          <w:p>
            <w:pPr>
              <w:topLinePunct/>
              <w:spacing w:line="440" w:lineRule="exact"/>
              <w:jc w:val="center"/>
              <w:rPr>
                <w:rFonts w:hint="eastAsia" w:ascii="宋体" w:hAnsi="宋体" w:eastAsia="宋体" w:cs="宋体"/>
                <w:color w:val="auto"/>
                <w:szCs w:val="21"/>
              </w:rPr>
            </w:pPr>
          </w:p>
        </w:tc>
        <w:tc>
          <w:tcPr>
            <w:tcW w:w="1083" w:type="dxa"/>
            <w:noWrap w:val="0"/>
            <w:vAlign w:val="center"/>
          </w:tcPr>
          <w:p>
            <w:pPr>
              <w:topLinePunct/>
              <w:spacing w:line="440" w:lineRule="exact"/>
              <w:jc w:val="center"/>
              <w:rPr>
                <w:rFonts w:hint="eastAsia" w:ascii="宋体" w:hAnsi="宋体" w:eastAsia="宋体" w:cs="宋体"/>
                <w:color w:val="auto"/>
                <w:szCs w:val="21"/>
              </w:rPr>
            </w:pPr>
          </w:p>
        </w:tc>
        <w:tc>
          <w:tcPr>
            <w:tcW w:w="3060" w:type="dxa"/>
            <w:gridSpan w:val="2"/>
            <w:noWrap w:val="0"/>
            <w:vAlign w:val="center"/>
          </w:tcPr>
          <w:p>
            <w:pPr>
              <w:topLinePunct/>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3613" w:type="dxa"/>
            <w:gridSpan w:val="5"/>
            <w:noWrap w:val="0"/>
            <w:vAlign w:val="center"/>
          </w:tcPr>
          <w:p>
            <w:pPr>
              <w:topLinePunct/>
              <w:spacing w:line="440" w:lineRule="exact"/>
              <w:jc w:val="center"/>
              <w:rPr>
                <w:rFonts w:hint="eastAsia" w:ascii="宋体" w:hAnsi="宋体" w:eastAsia="宋体" w:cs="宋体"/>
                <w:color w:val="auto"/>
                <w:szCs w:val="21"/>
              </w:rPr>
            </w:pPr>
          </w:p>
        </w:tc>
        <w:tc>
          <w:tcPr>
            <w:tcW w:w="884" w:type="dxa"/>
            <w:gridSpan w:val="2"/>
            <w:noWrap w:val="0"/>
            <w:vAlign w:val="center"/>
          </w:tcPr>
          <w:p>
            <w:pPr>
              <w:topLinePunct/>
              <w:spacing w:line="440" w:lineRule="exact"/>
              <w:jc w:val="center"/>
              <w:rPr>
                <w:rFonts w:hint="eastAsia" w:ascii="宋体" w:hAnsi="宋体" w:eastAsia="宋体" w:cs="宋体"/>
                <w:color w:val="auto"/>
                <w:szCs w:val="21"/>
              </w:rPr>
            </w:pPr>
          </w:p>
        </w:tc>
        <w:tc>
          <w:tcPr>
            <w:tcW w:w="1083" w:type="dxa"/>
            <w:noWrap w:val="0"/>
            <w:vAlign w:val="center"/>
          </w:tcPr>
          <w:p>
            <w:pPr>
              <w:topLinePunct/>
              <w:spacing w:line="440" w:lineRule="exact"/>
              <w:jc w:val="center"/>
              <w:rPr>
                <w:rFonts w:hint="eastAsia" w:ascii="宋体" w:hAnsi="宋体" w:eastAsia="宋体" w:cs="宋体"/>
                <w:color w:val="auto"/>
                <w:szCs w:val="21"/>
              </w:rPr>
            </w:pPr>
          </w:p>
        </w:tc>
        <w:tc>
          <w:tcPr>
            <w:tcW w:w="3060" w:type="dxa"/>
            <w:gridSpan w:val="2"/>
            <w:noWrap w:val="0"/>
            <w:vAlign w:val="center"/>
          </w:tcPr>
          <w:p>
            <w:pPr>
              <w:topLinePunct/>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1258" w:type="dxa"/>
            <w:gridSpan w:val="2"/>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备注</w:t>
            </w:r>
          </w:p>
        </w:tc>
        <w:tc>
          <w:tcPr>
            <w:tcW w:w="7382" w:type="dxa"/>
            <w:gridSpan w:val="8"/>
            <w:noWrap w:val="0"/>
            <w:vAlign w:val="center"/>
          </w:tcPr>
          <w:p>
            <w:pPr>
              <w:topLinePunct/>
              <w:spacing w:line="440" w:lineRule="exact"/>
              <w:rPr>
                <w:rFonts w:hint="eastAsia" w:ascii="宋体" w:hAnsi="宋体" w:eastAsia="宋体" w:cs="宋体"/>
                <w:color w:val="auto"/>
                <w:szCs w:val="21"/>
              </w:rPr>
            </w:pPr>
          </w:p>
        </w:tc>
      </w:tr>
    </w:tbl>
    <w:p>
      <w:pPr>
        <w:adjustRightInd w:val="0"/>
        <w:snapToGrid w:val="0"/>
        <w:spacing w:line="360" w:lineRule="auto"/>
        <w:jc w:val="center"/>
        <w:rPr>
          <w:rFonts w:hint="eastAsia" w:ascii="宋体" w:hAnsi="宋体" w:eastAsia="宋体" w:cs="宋体"/>
          <w:color w:val="auto"/>
          <w:sz w:val="24"/>
        </w:rPr>
      </w:pPr>
    </w:p>
    <w:p>
      <w:pPr>
        <w:spacing w:line="360" w:lineRule="auto"/>
        <w:rPr>
          <w:rFonts w:hint="eastAsia" w:ascii="宋体" w:hAnsi="宋体" w:cs="宋体"/>
          <w:bCs/>
          <w:color w:val="auto"/>
          <w:sz w:val="28"/>
          <w:szCs w:val="28"/>
          <w:lang w:val="en-US" w:eastAsia="zh-CN"/>
        </w:rPr>
      </w:pPr>
      <w:r>
        <w:rPr>
          <w:rFonts w:hint="eastAsia" w:ascii="宋体" w:hAnsi="宋体" w:eastAsia="宋体" w:cs="宋体"/>
          <w:bCs/>
          <w:color w:val="auto"/>
          <w:sz w:val="28"/>
          <w:szCs w:val="28"/>
        </w:rPr>
        <w:t>附件</w:t>
      </w:r>
      <w:r>
        <w:rPr>
          <w:rFonts w:hint="eastAsia" w:ascii="宋体" w:hAnsi="宋体" w:cs="宋体"/>
          <w:bCs/>
          <w:color w:val="auto"/>
          <w:sz w:val="28"/>
          <w:szCs w:val="28"/>
          <w:lang w:val="en-US" w:eastAsia="zh-CN"/>
        </w:rPr>
        <w:t>6</w:t>
      </w:r>
    </w:p>
    <w:p>
      <w:pPr>
        <w:pStyle w:val="46"/>
        <w:numPr>
          <w:ilvl w:val="0"/>
          <w:numId w:val="0"/>
        </w:numPr>
        <w:jc w:val="center"/>
        <w:rPr>
          <w:rFonts w:hint="eastAsia" w:ascii="宋体" w:hAnsi="宋体" w:eastAsia="宋体" w:cs="宋体"/>
          <w:b/>
          <w:color w:val="auto"/>
          <w:kern w:val="0"/>
          <w:sz w:val="28"/>
          <w:szCs w:val="28"/>
          <w:lang w:val="en-US" w:eastAsia="zh-CN" w:bidi="ar-SA"/>
        </w:rPr>
      </w:pPr>
      <w:r>
        <w:rPr>
          <w:rFonts w:hint="eastAsia" w:ascii="宋体" w:hAnsi="宋体" w:eastAsia="宋体" w:cs="宋体"/>
          <w:b/>
          <w:color w:val="auto"/>
          <w:kern w:val="0"/>
          <w:sz w:val="28"/>
          <w:szCs w:val="28"/>
          <w:lang w:val="en-US" w:eastAsia="zh-CN" w:bidi="ar-SA"/>
        </w:rPr>
        <w:t>参数偏离表</w:t>
      </w:r>
      <w:r>
        <w:rPr>
          <w:rFonts w:hint="eastAsia" w:ascii="宋体" w:hAnsi="宋体" w:cs="宋体"/>
          <w:b/>
          <w:color w:val="auto"/>
          <w:kern w:val="0"/>
          <w:sz w:val="28"/>
          <w:szCs w:val="28"/>
          <w:lang w:val="en-US" w:eastAsia="zh-CN" w:bidi="ar-SA"/>
        </w:rPr>
        <w:t>（商务、技术）</w:t>
      </w:r>
    </w:p>
    <w:p>
      <w:pPr>
        <w:pStyle w:val="46"/>
        <w:numPr>
          <w:ilvl w:val="0"/>
          <w:numId w:val="0"/>
        </w:numPr>
        <w:jc w:val="left"/>
        <w:rPr>
          <w:rFonts w:hint="default" w:ascii="宋体" w:hAnsi="宋体" w:cs="宋体"/>
          <w:b/>
          <w:color w:val="auto"/>
          <w:kern w:val="0"/>
          <w:sz w:val="21"/>
          <w:szCs w:val="21"/>
          <w:lang w:val="en-US" w:eastAsia="zh-CN" w:bidi="ar-SA"/>
        </w:rPr>
      </w:pPr>
      <w:r>
        <w:rPr>
          <w:rFonts w:hint="eastAsia" w:ascii="宋体" w:hAnsi="宋体" w:cs="宋体"/>
          <w:b/>
          <w:color w:val="auto"/>
          <w:kern w:val="0"/>
          <w:sz w:val="21"/>
          <w:szCs w:val="21"/>
          <w:lang w:val="en-US" w:eastAsia="zh-CN" w:bidi="ar-SA"/>
        </w:rPr>
        <w:t>注：请填写完整，否则视同为不响应招标文件，做无效投标处理。</w:t>
      </w:r>
    </w:p>
    <w:tbl>
      <w:tblPr>
        <w:tblStyle w:val="47"/>
        <w:tblW w:w="8870" w:type="dxa"/>
        <w:tblInd w:w="-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605"/>
        <w:gridCol w:w="1994"/>
        <w:gridCol w:w="1825"/>
        <w:gridCol w:w="1667"/>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676"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序号</w:t>
            </w:r>
          </w:p>
        </w:tc>
        <w:tc>
          <w:tcPr>
            <w:tcW w:w="1605"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采购文件品目名称</w:t>
            </w:r>
          </w:p>
        </w:tc>
        <w:tc>
          <w:tcPr>
            <w:tcW w:w="1994"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采购文件要求参数</w:t>
            </w:r>
          </w:p>
        </w:tc>
        <w:tc>
          <w:tcPr>
            <w:tcW w:w="1825"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投标文件响应参数（</w:t>
            </w:r>
            <w:r>
              <w:rPr>
                <w:rFonts w:hint="eastAsia" w:ascii="宋体" w:hAnsi="宋体"/>
                <w:color w:val="000000" w:themeColor="text1"/>
                <w:szCs w:val="21"/>
                <w14:textFill>
                  <w14:solidFill>
                    <w14:schemeClr w14:val="tx1"/>
                  </w14:solidFill>
                </w14:textFill>
              </w:rPr>
              <w:t>投标文件技术参数</w:t>
            </w:r>
            <w:r>
              <w:rPr>
                <w:rFonts w:hint="eastAsia" w:ascii="宋体" w:hAnsi="宋体"/>
                <w:color w:val="000000" w:themeColor="text1"/>
                <w14:textFill>
                  <w14:solidFill>
                    <w14:schemeClr w14:val="tx1"/>
                  </w14:solidFill>
                </w14:textFill>
              </w:rPr>
              <w:t>）</w:t>
            </w:r>
          </w:p>
        </w:tc>
        <w:tc>
          <w:tcPr>
            <w:tcW w:w="1667"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相关证明文件中的描述在投标文件中的具体页码</w:t>
            </w:r>
          </w:p>
        </w:tc>
        <w:tc>
          <w:tcPr>
            <w:tcW w:w="1103"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偏离说明（无偏离，正/负偏离及偏离情况）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76" w:type="dxa"/>
            <w:vAlign w:val="center"/>
          </w:tcPr>
          <w:p>
            <w:pPr>
              <w:snapToGrid w:val="0"/>
              <w:spacing w:line="400" w:lineRule="exact"/>
              <w:jc w:val="center"/>
            </w:pPr>
            <w:r>
              <w:rPr>
                <w:rFonts w:hint="eastAsia"/>
              </w:rPr>
              <w:t>1</w:t>
            </w:r>
          </w:p>
        </w:tc>
        <w:tc>
          <w:tcPr>
            <w:tcW w:w="1605" w:type="dxa"/>
            <w:vAlign w:val="center"/>
          </w:tcPr>
          <w:p>
            <w:pPr>
              <w:snapToGrid w:val="0"/>
              <w:spacing w:line="400" w:lineRule="exact"/>
              <w:jc w:val="center"/>
              <w:rPr>
                <w:rFonts w:ascii="宋体" w:hAnsi="宋体" w:cs="宋体"/>
                <w:i/>
                <w:iCs/>
                <w:szCs w:val="21"/>
              </w:rPr>
            </w:pPr>
            <w:r>
              <w:rPr>
                <w:rFonts w:hint="eastAsia" w:ascii="宋体" w:hAnsi="宋体"/>
                <w:szCs w:val="21"/>
              </w:rPr>
              <w:t>第二章第1.5款：</w:t>
            </w:r>
            <w:r>
              <w:rPr>
                <w:rFonts w:hint="eastAsia" w:ascii="宋体" w:hAnsi="宋体"/>
              </w:rPr>
              <w:t>供货期限</w:t>
            </w:r>
          </w:p>
        </w:tc>
        <w:tc>
          <w:tcPr>
            <w:tcW w:w="1994" w:type="dxa"/>
            <w:vAlign w:val="center"/>
          </w:tcPr>
          <w:p>
            <w:pPr>
              <w:shd w:val="clear" w:color="auto" w:fill="FFFFFF"/>
              <w:spacing w:line="400" w:lineRule="exact"/>
              <w:ind w:left="-88" w:leftChars="-42"/>
              <w:jc w:val="center"/>
              <w:rPr>
                <w:rFonts w:ascii="宋体" w:hAnsi="宋体"/>
              </w:rPr>
            </w:pPr>
            <w:r>
              <w:rPr>
                <w:rFonts w:hint="eastAsia" w:ascii="宋体" w:hAnsi="宋体" w:eastAsia="宋体" w:cs="宋体"/>
                <w:color w:val="FF0000"/>
                <w:kern w:val="0"/>
                <w:szCs w:val="21"/>
                <w:highlight w:val="none"/>
              </w:rPr>
              <w:t>★</w:t>
            </w:r>
            <w:r>
              <w:rPr>
                <w:rFonts w:hint="eastAsia" w:ascii="宋体" w:hAnsi="宋体" w:cs="宋体"/>
                <w:color w:val="FF0000"/>
                <w:kern w:val="0"/>
                <w:szCs w:val="21"/>
                <w:highlight w:val="none"/>
                <w:lang w:val="en-US" w:eastAsia="zh-CN"/>
              </w:rPr>
              <w:t>签订合同后一个月内</w:t>
            </w:r>
          </w:p>
        </w:tc>
        <w:tc>
          <w:tcPr>
            <w:tcW w:w="1825" w:type="dxa"/>
            <w:vAlign w:val="center"/>
          </w:tcPr>
          <w:p>
            <w:pPr>
              <w:shd w:val="clear" w:color="auto" w:fill="FFFFFF"/>
              <w:spacing w:line="400" w:lineRule="exact"/>
              <w:ind w:left="-88" w:leftChars="-42"/>
              <w:rPr>
                <w:rFonts w:ascii="宋体" w:hAnsi="宋体" w:cs="宋体"/>
                <w:i/>
                <w:iCs/>
                <w:szCs w:val="21"/>
              </w:rPr>
            </w:pPr>
            <w:r>
              <w:rPr>
                <w:rFonts w:hint="eastAsia" w:ascii="宋体" w:hAnsi="宋体"/>
                <w:szCs w:val="21"/>
              </w:rPr>
              <w:t xml:space="preserve"> </w:t>
            </w:r>
          </w:p>
        </w:tc>
        <w:tc>
          <w:tcPr>
            <w:tcW w:w="1667" w:type="dxa"/>
            <w:vAlign w:val="center"/>
          </w:tcPr>
          <w:p>
            <w:pPr>
              <w:shd w:val="clear" w:color="auto" w:fill="FFFFFF"/>
              <w:spacing w:line="400" w:lineRule="exact"/>
              <w:ind w:left="-88" w:leftChars="-42"/>
              <w:jc w:val="center"/>
              <w:rPr>
                <w:rFonts w:ascii="宋体" w:hAnsi="宋体"/>
              </w:rPr>
            </w:pPr>
            <w:r>
              <w:rPr>
                <w:rFonts w:hint="eastAsia" w:ascii="宋体" w:hAnsi="宋体" w:cs="宋体"/>
                <w:kern w:val="0"/>
                <w:szCs w:val="21"/>
              </w:rPr>
              <w:t xml:space="preserve">开标一览表（符合性审查文件） </w:t>
            </w:r>
          </w:p>
        </w:tc>
        <w:tc>
          <w:tcPr>
            <w:tcW w:w="1103"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76" w:type="dxa"/>
            <w:vAlign w:val="center"/>
          </w:tcPr>
          <w:p>
            <w:pPr>
              <w:snapToGrid w:val="0"/>
              <w:spacing w:line="400" w:lineRule="exact"/>
              <w:jc w:val="center"/>
            </w:pPr>
            <w:r>
              <w:rPr>
                <w:rFonts w:hint="eastAsia"/>
              </w:rPr>
              <w:t>2</w:t>
            </w:r>
          </w:p>
        </w:tc>
        <w:tc>
          <w:tcPr>
            <w:tcW w:w="1605" w:type="dxa"/>
            <w:vAlign w:val="center"/>
          </w:tcPr>
          <w:p>
            <w:pPr>
              <w:snapToGrid w:val="0"/>
              <w:spacing w:line="400" w:lineRule="exact"/>
              <w:jc w:val="center"/>
              <w:rPr>
                <w:rFonts w:ascii="宋体" w:hAnsi="宋体"/>
              </w:rPr>
            </w:pPr>
            <w:r>
              <w:rPr>
                <w:rFonts w:hint="eastAsia" w:ascii="宋体" w:hAnsi="宋体"/>
                <w:szCs w:val="21"/>
              </w:rPr>
              <w:t>第二章第</w:t>
            </w:r>
            <w:r>
              <w:rPr>
                <w:rFonts w:hint="eastAsia" w:ascii="宋体" w:hAnsi="宋体"/>
                <w:szCs w:val="21"/>
                <w:lang w:val="en-US" w:eastAsia="zh-CN"/>
              </w:rPr>
              <w:t>8</w:t>
            </w:r>
            <w:r>
              <w:rPr>
                <w:rFonts w:hint="eastAsia" w:ascii="宋体" w:hAnsi="宋体"/>
                <w:szCs w:val="21"/>
              </w:rPr>
              <w:t>.1款：</w:t>
            </w:r>
            <w:r>
              <w:rPr>
                <w:rFonts w:hint="eastAsia" w:ascii="宋体" w:hAnsi="宋体"/>
              </w:rPr>
              <w:t>质保期</w:t>
            </w:r>
          </w:p>
        </w:tc>
        <w:tc>
          <w:tcPr>
            <w:tcW w:w="1994" w:type="dxa"/>
            <w:vAlign w:val="center"/>
          </w:tcPr>
          <w:p>
            <w:pPr>
              <w:rPr>
                <w:rFonts w:ascii="宋体" w:hAnsi="宋体"/>
              </w:rPr>
            </w:pPr>
            <w:r>
              <w:rPr>
                <w:rFonts w:hint="eastAsia"/>
                <w:color w:val="FF0000"/>
              </w:rPr>
              <w:t>★</w:t>
            </w:r>
            <w:r>
              <w:rPr>
                <w:rFonts w:hint="eastAsia" w:ascii="宋体" w:hAnsi="宋体"/>
                <w:bCs/>
                <w:color w:val="FF0000"/>
                <w:szCs w:val="21"/>
                <w:lang w:eastAsia="zh-CN"/>
              </w:rPr>
              <w:t>质保期</w:t>
            </w:r>
            <w:r>
              <w:rPr>
                <w:rFonts w:hint="eastAsia" w:ascii="宋体" w:hAnsi="宋体"/>
                <w:bCs/>
                <w:color w:val="FF0000"/>
                <w:szCs w:val="21"/>
                <w:lang w:val="en-US" w:eastAsia="zh-CN"/>
              </w:rPr>
              <w:t>2</w:t>
            </w:r>
            <w:r>
              <w:rPr>
                <w:rFonts w:hint="eastAsia" w:ascii="宋体" w:hAnsi="宋体"/>
                <w:bCs/>
                <w:color w:val="FF0000"/>
                <w:szCs w:val="21"/>
                <w:lang w:eastAsia="zh-CN"/>
              </w:rPr>
              <w:t>年，质保期起计日为合同标的经验收合格交付之日起计</w:t>
            </w:r>
            <w:r>
              <w:rPr>
                <w:rFonts w:hint="eastAsia" w:ascii="宋体" w:hAnsi="宋体"/>
                <w:bCs/>
                <w:color w:val="FF0000"/>
                <w:szCs w:val="21"/>
              </w:rPr>
              <w:t>。</w:t>
            </w:r>
          </w:p>
        </w:tc>
        <w:tc>
          <w:tcPr>
            <w:tcW w:w="1825" w:type="dxa"/>
            <w:vAlign w:val="center"/>
          </w:tcPr>
          <w:p>
            <w:pPr>
              <w:shd w:val="clear" w:color="auto" w:fill="FFFFFF"/>
              <w:spacing w:line="400" w:lineRule="exact"/>
              <w:ind w:left="-88" w:leftChars="-42"/>
              <w:jc w:val="center"/>
              <w:rPr>
                <w:rFonts w:ascii="宋体" w:hAnsi="宋体"/>
              </w:rPr>
            </w:pPr>
          </w:p>
        </w:tc>
        <w:tc>
          <w:tcPr>
            <w:tcW w:w="1667" w:type="dxa"/>
            <w:vAlign w:val="center"/>
          </w:tcPr>
          <w:p>
            <w:pPr>
              <w:shd w:val="clear" w:color="auto" w:fill="FFFFFF"/>
              <w:spacing w:line="400" w:lineRule="exact"/>
              <w:ind w:left="-88" w:leftChars="-42"/>
              <w:jc w:val="center"/>
              <w:rPr>
                <w:rFonts w:ascii="宋体" w:hAnsi="宋体"/>
              </w:rPr>
            </w:pPr>
            <w:r>
              <w:rPr>
                <w:rFonts w:hint="eastAsia" w:ascii="宋体" w:hAnsi="宋体" w:cs="宋体"/>
                <w:kern w:val="0"/>
                <w:szCs w:val="21"/>
              </w:rPr>
              <w:t>开标一览表（符合性审查文件）</w:t>
            </w:r>
          </w:p>
        </w:tc>
        <w:tc>
          <w:tcPr>
            <w:tcW w:w="1103"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76" w:type="dxa"/>
            <w:vAlign w:val="center"/>
          </w:tcPr>
          <w:p>
            <w:pPr>
              <w:snapToGrid w:val="0"/>
              <w:spacing w:line="400" w:lineRule="exact"/>
              <w:jc w:val="center"/>
              <w:rPr>
                <w:rFonts w:ascii="宋体" w:hAnsi="宋体"/>
              </w:rPr>
            </w:pPr>
            <w:r>
              <w:rPr>
                <w:rFonts w:hint="eastAsia"/>
              </w:rPr>
              <w:t>3</w:t>
            </w:r>
          </w:p>
        </w:tc>
        <w:tc>
          <w:tcPr>
            <w:tcW w:w="1605" w:type="dxa"/>
            <w:vAlign w:val="center"/>
          </w:tcPr>
          <w:p>
            <w:pPr>
              <w:snapToGrid w:val="0"/>
              <w:spacing w:line="400" w:lineRule="exact"/>
              <w:jc w:val="center"/>
              <w:rPr>
                <w:rFonts w:ascii="宋体" w:hAnsi="宋体"/>
              </w:rPr>
            </w:pPr>
            <w:r>
              <w:rPr>
                <w:rFonts w:hint="eastAsia" w:ascii="宋体" w:hAnsi="宋体"/>
              </w:rPr>
              <w:t>第</w:t>
            </w:r>
            <w:r>
              <w:rPr>
                <w:rFonts w:hint="eastAsia" w:ascii="宋体" w:hAnsi="宋体"/>
                <w:lang w:val="en-US" w:eastAsia="zh-CN"/>
              </w:rPr>
              <w:t>五</w:t>
            </w:r>
            <w:r>
              <w:rPr>
                <w:rFonts w:hint="eastAsia" w:ascii="宋体" w:hAnsi="宋体"/>
              </w:rPr>
              <w:t>章第1款：</w:t>
            </w:r>
          </w:p>
        </w:tc>
        <w:tc>
          <w:tcPr>
            <w:tcW w:w="1994" w:type="dxa"/>
            <w:vAlign w:val="center"/>
          </w:tcPr>
          <w:p>
            <w:pPr>
              <w:shd w:val="clear" w:color="auto" w:fill="FFFFFF"/>
              <w:spacing w:line="400" w:lineRule="exact"/>
              <w:ind w:left="-88" w:leftChars="-42"/>
              <w:jc w:val="center"/>
              <w:rPr>
                <w:rFonts w:ascii="宋体" w:hAnsi="宋体"/>
              </w:rPr>
            </w:pPr>
            <w:r>
              <w:rPr>
                <w:rFonts w:hint="eastAsia" w:ascii="宋体" w:hAnsi="宋体"/>
                <w:szCs w:val="21"/>
              </w:rPr>
              <w:t xml:space="preserve"> </w:t>
            </w:r>
          </w:p>
        </w:tc>
        <w:tc>
          <w:tcPr>
            <w:tcW w:w="1825" w:type="dxa"/>
            <w:vAlign w:val="center"/>
          </w:tcPr>
          <w:p>
            <w:pPr>
              <w:shd w:val="clear" w:color="auto" w:fill="FFFFFF"/>
              <w:spacing w:line="400" w:lineRule="exact"/>
              <w:ind w:left="-88" w:leftChars="-42"/>
              <w:jc w:val="center"/>
              <w:rPr>
                <w:rFonts w:ascii="宋体" w:hAnsi="宋体"/>
              </w:rPr>
            </w:pPr>
          </w:p>
        </w:tc>
        <w:tc>
          <w:tcPr>
            <w:tcW w:w="1667" w:type="dxa"/>
            <w:vAlign w:val="center"/>
          </w:tcPr>
          <w:p>
            <w:pPr>
              <w:shd w:val="clear" w:color="auto" w:fill="FFFFFF"/>
              <w:spacing w:line="400" w:lineRule="exact"/>
              <w:ind w:left="-88" w:leftChars="-42"/>
              <w:jc w:val="center"/>
              <w:rPr>
                <w:rFonts w:ascii="宋体" w:hAnsi="宋体"/>
              </w:rPr>
            </w:pPr>
            <w:r>
              <w:rPr>
                <w:rFonts w:hint="eastAsia" w:ascii="宋体" w:hAnsi="宋体"/>
              </w:rPr>
              <w:t>投标</w:t>
            </w:r>
            <w:r>
              <w:rPr>
                <w:rFonts w:hint="eastAsia" w:ascii="宋体" w:hAnsi="宋体"/>
                <w:lang w:val="en-US" w:eastAsia="zh-CN"/>
              </w:rPr>
              <w:t>报价</w:t>
            </w:r>
            <w:r>
              <w:rPr>
                <w:rFonts w:hint="eastAsia" w:ascii="宋体" w:hAnsi="宋体"/>
              </w:rPr>
              <w:t>明细表</w:t>
            </w:r>
          </w:p>
          <w:p>
            <w:pPr>
              <w:shd w:val="clear" w:color="auto" w:fill="FFFFFF"/>
              <w:spacing w:line="400" w:lineRule="exact"/>
              <w:ind w:left="-88" w:leftChars="-42"/>
              <w:jc w:val="center"/>
              <w:rPr>
                <w:rFonts w:ascii="宋体" w:hAnsi="宋体"/>
              </w:rPr>
            </w:pPr>
            <w:r>
              <w:rPr>
                <w:rFonts w:hint="eastAsia" w:ascii="宋体" w:hAnsi="宋体"/>
              </w:rPr>
              <w:t>（页码）</w:t>
            </w:r>
          </w:p>
        </w:tc>
        <w:tc>
          <w:tcPr>
            <w:tcW w:w="1103"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76" w:type="dxa"/>
            <w:vAlign w:val="center"/>
          </w:tcPr>
          <w:p>
            <w:pPr>
              <w:snapToGrid w:val="0"/>
              <w:spacing w:line="400" w:lineRule="exact"/>
              <w:jc w:val="center"/>
              <w:rPr>
                <w:rFonts w:ascii="宋体" w:hAnsi="宋体"/>
              </w:rPr>
            </w:pPr>
          </w:p>
        </w:tc>
        <w:tc>
          <w:tcPr>
            <w:tcW w:w="1605" w:type="dxa"/>
            <w:vAlign w:val="center"/>
          </w:tcPr>
          <w:p>
            <w:pPr>
              <w:snapToGrid w:val="0"/>
              <w:spacing w:line="400" w:lineRule="exact"/>
              <w:jc w:val="center"/>
              <w:rPr>
                <w:rFonts w:ascii="宋体" w:hAnsi="宋体"/>
              </w:rPr>
            </w:pPr>
            <w:r>
              <w:rPr>
                <w:rFonts w:hint="eastAsia" w:ascii="宋体" w:hAnsi="宋体" w:cs="宋体"/>
                <w:szCs w:val="21"/>
              </w:rPr>
              <w:t>……</w:t>
            </w:r>
          </w:p>
        </w:tc>
        <w:tc>
          <w:tcPr>
            <w:tcW w:w="1994" w:type="dxa"/>
            <w:vAlign w:val="center"/>
          </w:tcPr>
          <w:p>
            <w:pPr>
              <w:shd w:val="clear" w:color="auto" w:fill="FFFFFF"/>
              <w:spacing w:line="400" w:lineRule="exact"/>
              <w:ind w:left="-88" w:leftChars="-42"/>
              <w:jc w:val="center"/>
              <w:rPr>
                <w:rFonts w:ascii="宋体" w:hAnsi="宋体"/>
              </w:rPr>
            </w:pPr>
            <w:r>
              <w:rPr>
                <w:rFonts w:hint="eastAsia" w:ascii="宋体" w:hAnsi="宋体" w:cs="宋体"/>
                <w:szCs w:val="21"/>
              </w:rPr>
              <w:t>……</w:t>
            </w:r>
          </w:p>
        </w:tc>
        <w:tc>
          <w:tcPr>
            <w:tcW w:w="1825" w:type="dxa"/>
            <w:vAlign w:val="center"/>
          </w:tcPr>
          <w:p>
            <w:pPr>
              <w:shd w:val="clear" w:color="auto" w:fill="FFFFFF"/>
              <w:spacing w:line="400" w:lineRule="exact"/>
              <w:ind w:left="-88" w:leftChars="-42"/>
              <w:jc w:val="center"/>
              <w:rPr>
                <w:rFonts w:ascii="宋体" w:hAnsi="宋体"/>
              </w:rPr>
            </w:pPr>
          </w:p>
        </w:tc>
        <w:tc>
          <w:tcPr>
            <w:tcW w:w="1667" w:type="dxa"/>
            <w:vAlign w:val="center"/>
          </w:tcPr>
          <w:p>
            <w:pPr>
              <w:shd w:val="clear" w:color="auto" w:fill="FFFFFF"/>
              <w:spacing w:line="400" w:lineRule="exact"/>
              <w:ind w:left="-88" w:leftChars="-42"/>
              <w:jc w:val="center"/>
              <w:rPr>
                <w:rFonts w:ascii="宋体" w:hAnsi="宋体"/>
              </w:rPr>
            </w:pPr>
          </w:p>
        </w:tc>
        <w:tc>
          <w:tcPr>
            <w:tcW w:w="1103"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76" w:type="dxa"/>
            <w:vAlign w:val="center"/>
          </w:tcPr>
          <w:p>
            <w:pPr>
              <w:snapToGrid w:val="0"/>
              <w:spacing w:line="400" w:lineRule="exact"/>
              <w:jc w:val="center"/>
              <w:rPr>
                <w:rFonts w:ascii="宋体" w:hAnsi="宋体"/>
              </w:rPr>
            </w:pPr>
          </w:p>
        </w:tc>
        <w:tc>
          <w:tcPr>
            <w:tcW w:w="1605" w:type="dxa"/>
            <w:vAlign w:val="center"/>
          </w:tcPr>
          <w:p>
            <w:pPr>
              <w:snapToGrid w:val="0"/>
              <w:spacing w:line="400" w:lineRule="exact"/>
              <w:jc w:val="center"/>
              <w:rPr>
                <w:rFonts w:ascii="宋体" w:hAnsi="宋体"/>
              </w:rPr>
            </w:pPr>
            <w:r>
              <w:rPr>
                <w:rFonts w:hint="eastAsia" w:ascii="宋体" w:hAnsi="宋体" w:cs="宋体"/>
                <w:szCs w:val="21"/>
              </w:rPr>
              <w:t>……</w:t>
            </w:r>
          </w:p>
        </w:tc>
        <w:tc>
          <w:tcPr>
            <w:tcW w:w="1994" w:type="dxa"/>
            <w:vAlign w:val="center"/>
          </w:tcPr>
          <w:p>
            <w:pPr>
              <w:shd w:val="clear" w:color="auto" w:fill="FFFFFF"/>
              <w:spacing w:line="400" w:lineRule="exact"/>
              <w:ind w:left="-88" w:leftChars="-42"/>
              <w:jc w:val="center"/>
              <w:rPr>
                <w:rFonts w:ascii="宋体" w:hAnsi="宋体"/>
              </w:rPr>
            </w:pPr>
            <w:r>
              <w:rPr>
                <w:rFonts w:hint="eastAsia" w:ascii="宋体" w:hAnsi="宋体" w:cs="宋体"/>
                <w:szCs w:val="21"/>
              </w:rPr>
              <w:t>……</w:t>
            </w:r>
          </w:p>
        </w:tc>
        <w:tc>
          <w:tcPr>
            <w:tcW w:w="1825" w:type="dxa"/>
            <w:vAlign w:val="center"/>
          </w:tcPr>
          <w:p>
            <w:pPr>
              <w:shd w:val="clear" w:color="auto" w:fill="FFFFFF"/>
              <w:spacing w:line="400" w:lineRule="exact"/>
              <w:ind w:left="-88" w:leftChars="-42"/>
              <w:jc w:val="center"/>
              <w:rPr>
                <w:rFonts w:ascii="宋体" w:hAnsi="宋体"/>
              </w:rPr>
            </w:pPr>
          </w:p>
        </w:tc>
        <w:tc>
          <w:tcPr>
            <w:tcW w:w="1667" w:type="dxa"/>
            <w:vAlign w:val="center"/>
          </w:tcPr>
          <w:p>
            <w:pPr>
              <w:shd w:val="clear" w:color="auto" w:fill="FFFFFF"/>
              <w:spacing w:line="400" w:lineRule="exact"/>
              <w:ind w:left="-88" w:leftChars="-42"/>
              <w:jc w:val="center"/>
              <w:rPr>
                <w:rFonts w:ascii="宋体" w:hAnsi="宋体"/>
              </w:rPr>
            </w:pPr>
          </w:p>
        </w:tc>
        <w:tc>
          <w:tcPr>
            <w:tcW w:w="1103"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76" w:type="dxa"/>
            <w:vAlign w:val="center"/>
          </w:tcPr>
          <w:p>
            <w:pPr>
              <w:snapToGrid w:val="0"/>
              <w:spacing w:line="400" w:lineRule="exact"/>
              <w:jc w:val="center"/>
              <w:rPr>
                <w:rFonts w:ascii="宋体" w:hAnsi="宋体"/>
              </w:rPr>
            </w:pPr>
          </w:p>
        </w:tc>
        <w:tc>
          <w:tcPr>
            <w:tcW w:w="1605" w:type="dxa"/>
            <w:vAlign w:val="center"/>
          </w:tcPr>
          <w:p>
            <w:pPr>
              <w:snapToGrid w:val="0"/>
              <w:spacing w:line="400" w:lineRule="exact"/>
              <w:jc w:val="center"/>
              <w:rPr>
                <w:rFonts w:ascii="宋体" w:hAnsi="宋体"/>
              </w:rPr>
            </w:pPr>
            <w:r>
              <w:rPr>
                <w:rFonts w:hint="eastAsia" w:ascii="宋体" w:hAnsi="宋体" w:cs="宋体"/>
                <w:szCs w:val="21"/>
              </w:rPr>
              <w:t>……</w:t>
            </w:r>
          </w:p>
        </w:tc>
        <w:tc>
          <w:tcPr>
            <w:tcW w:w="1994" w:type="dxa"/>
            <w:vAlign w:val="center"/>
          </w:tcPr>
          <w:p>
            <w:pPr>
              <w:snapToGrid w:val="0"/>
              <w:spacing w:line="400" w:lineRule="exact"/>
              <w:ind w:firstLine="630" w:firstLineChars="300"/>
              <w:jc w:val="both"/>
            </w:pPr>
            <w:r>
              <w:rPr>
                <w:rFonts w:hint="eastAsia" w:ascii="宋体" w:hAnsi="宋体" w:cs="宋体"/>
                <w:szCs w:val="21"/>
              </w:rPr>
              <w:t>……</w:t>
            </w:r>
          </w:p>
        </w:tc>
        <w:tc>
          <w:tcPr>
            <w:tcW w:w="1825" w:type="dxa"/>
            <w:vAlign w:val="center"/>
          </w:tcPr>
          <w:p>
            <w:pPr>
              <w:snapToGrid w:val="0"/>
              <w:spacing w:line="400" w:lineRule="exact"/>
              <w:jc w:val="center"/>
            </w:pPr>
          </w:p>
        </w:tc>
        <w:tc>
          <w:tcPr>
            <w:tcW w:w="1667" w:type="dxa"/>
            <w:vAlign w:val="center"/>
          </w:tcPr>
          <w:p>
            <w:pPr>
              <w:shd w:val="clear" w:color="auto" w:fill="FFFFFF"/>
              <w:spacing w:line="400" w:lineRule="exact"/>
              <w:ind w:left="-88" w:leftChars="-42"/>
              <w:jc w:val="center"/>
              <w:rPr>
                <w:rFonts w:ascii="宋体" w:hAnsi="宋体"/>
              </w:rPr>
            </w:pPr>
          </w:p>
        </w:tc>
        <w:tc>
          <w:tcPr>
            <w:tcW w:w="1103"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76" w:type="dxa"/>
            <w:vAlign w:val="center"/>
          </w:tcPr>
          <w:p>
            <w:pPr>
              <w:snapToGrid w:val="0"/>
              <w:spacing w:line="400" w:lineRule="exact"/>
              <w:jc w:val="center"/>
              <w:rPr>
                <w:rFonts w:ascii="宋体" w:hAnsi="宋体"/>
              </w:rPr>
            </w:pPr>
          </w:p>
        </w:tc>
        <w:tc>
          <w:tcPr>
            <w:tcW w:w="1605" w:type="dxa"/>
            <w:vAlign w:val="center"/>
          </w:tcPr>
          <w:p>
            <w:pPr>
              <w:snapToGrid w:val="0"/>
              <w:spacing w:line="400" w:lineRule="exact"/>
              <w:jc w:val="center"/>
              <w:rPr>
                <w:rFonts w:hint="eastAsia" w:ascii="宋体" w:hAnsi="宋体" w:cs="宋体"/>
                <w:szCs w:val="21"/>
              </w:rPr>
            </w:pPr>
            <w:r>
              <w:rPr>
                <w:rFonts w:hint="eastAsia" w:ascii="宋体" w:hAnsi="宋体" w:cs="宋体"/>
                <w:szCs w:val="21"/>
              </w:rPr>
              <w:t>……</w:t>
            </w:r>
          </w:p>
        </w:tc>
        <w:tc>
          <w:tcPr>
            <w:tcW w:w="1994" w:type="dxa"/>
            <w:vAlign w:val="center"/>
          </w:tcPr>
          <w:p>
            <w:pPr>
              <w:shd w:val="clear" w:color="auto" w:fill="FFFFFF"/>
              <w:spacing w:line="400" w:lineRule="exact"/>
              <w:ind w:left="-88" w:leftChars="-42"/>
              <w:jc w:val="center"/>
              <w:rPr>
                <w:rFonts w:hint="eastAsia" w:ascii="宋体" w:hAnsi="宋体" w:cs="宋体"/>
                <w:szCs w:val="21"/>
              </w:rPr>
            </w:pPr>
            <w:r>
              <w:rPr>
                <w:rFonts w:hint="eastAsia" w:ascii="宋体" w:hAnsi="宋体" w:cs="宋体"/>
                <w:szCs w:val="21"/>
              </w:rPr>
              <w:t>……</w:t>
            </w:r>
          </w:p>
        </w:tc>
        <w:tc>
          <w:tcPr>
            <w:tcW w:w="1825" w:type="dxa"/>
            <w:vAlign w:val="center"/>
          </w:tcPr>
          <w:p>
            <w:pPr>
              <w:snapToGrid w:val="0"/>
              <w:spacing w:line="400" w:lineRule="exact"/>
              <w:jc w:val="center"/>
            </w:pPr>
          </w:p>
        </w:tc>
        <w:tc>
          <w:tcPr>
            <w:tcW w:w="1667" w:type="dxa"/>
            <w:vAlign w:val="center"/>
          </w:tcPr>
          <w:p>
            <w:pPr>
              <w:shd w:val="clear" w:color="auto" w:fill="FFFFFF"/>
              <w:spacing w:line="400" w:lineRule="exact"/>
              <w:ind w:left="-88" w:leftChars="-42"/>
              <w:jc w:val="center"/>
              <w:rPr>
                <w:rFonts w:ascii="宋体" w:hAnsi="宋体"/>
              </w:rPr>
            </w:pPr>
          </w:p>
        </w:tc>
        <w:tc>
          <w:tcPr>
            <w:tcW w:w="1103"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76" w:type="dxa"/>
            <w:vAlign w:val="center"/>
          </w:tcPr>
          <w:p>
            <w:pPr>
              <w:snapToGrid w:val="0"/>
              <w:spacing w:line="400" w:lineRule="exact"/>
              <w:jc w:val="center"/>
              <w:rPr>
                <w:rFonts w:ascii="宋体" w:hAnsi="宋体"/>
              </w:rPr>
            </w:pPr>
          </w:p>
        </w:tc>
        <w:tc>
          <w:tcPr>
            <w:tcW w:w="1605" w:type="dxa"/>
            <w:vAlign w:val="center"/>
          </w:tcPr>
          <w:p>
            <w:pPr>
              <w:snapToGrid w:val="0"/>
              <w:spacing w:line="400" w:lineRule="exact"/>
              <w:jc w:val="center"/>
              <w:rPr>
                <w:rFonts w:hint="eastAsia" w:ascii="宋体" w:hAnsi="宋体" w:cs="宋体"/>
                <w:szCs w:val="21"/>
              </w:rPr>
            </w:pPr>
            <w:r>
              <w:rPr>
                <w:rFonts w:hint="eastAsia" w:ascii="宋体" w:hAnsi="宋体" w:cs="宋体"/>
                <w:szCs w:val="21"/>
              </w:rPr>
              <w:t>……</w:t>
            </w:r>
          </w:p>
        </w:tc>
        <w:tc>
          <w:tcPr>
            <w:tcW w:w="1994" w:type="dxa"/>
            <w:vAlign w:val="center"/>
          </w:tcPr>
          <w:p>
            <w:pPr>
              <w:snapToGrid w:val="0"/>
              <w:spacing w:line="400" w:lineRule="exact"/>
              <w:ind w:firstLine="630" w:firstLineChars="300"/>
              <w:jc w:val="both"/>
              <w:rPr>
                <w:rFonts w:hint="eastAsia" w:ascii="宋体" w:hAnsi="宋体" w:cs="宋体"/>
                <w:szCs w:val="21"/>
              </w:rPr>
            </w:pPr>
            <w:r>
              <w:rPr>
                <w:rFonts w:hint="eastAsia" w:ascii="宋体" w:hAnsi="宋体" w:cs="宋体"/>
                <w:szCs w:val="21"/>
              </w:rPr>
              <w:t>……</w:t>
            </w:r>
          </w:p>
        </w:tc>
        <w:tc>
          <w:tcPr>
            <w:tcW w:w="1825" w:type="dxa"/>
            <w:vAlign w:val="center"/>
          </w:tcPr>
          <w:p>
            <w:pPr>
              <w:snapToGrid w:val="0"/>
              <w:spacing w:line="400" w:lineRule="exact"/>
              <w:jc w:val="center"/>
            </w:pPr>
          </w:p>
        </w:tc>
        <w:tc>
          <w:tcPr>
            <w:tcW w:w="1667" w:type="dxa"/>
            <w:vAlign w:val="center"/>
          </w:tcPr>
          <w:p>
            <w:pPr>
              <w:shd w:val="clear" w:color="auto" w:fill="FFFFFF"/>
              <w:spacing w:line="400" w:lineRule="exact"/>
              <w:ind w:left="-88" w:leftChars="-42"/>
              <w:jc w:val="center"/>
              <w:rPr>
                <w:rFonts w:ascii="宋体" w:hAnsi="宋体"/>
              </w:rPr>
            </w:pPr>
          </w:p>
        </w:tc>
        <w:tc>
          <w:tcPr>
            <w:tcW w:w="1103" w:type="dxa"/>
            <w:vAlign w:val="center"/>
          </w:tcPr>
          <w:p>
            <w:pPr>
              <w:shd w:val="clear" w:color="auto" w:fill="FFFFFF"/>
              <w:spacing w:line="400" w:lineRule="exact"/>
              <w:ind w:left="-88" w:leftChars="-42"/>
              <w:jc w:val="center"/>
              <w:rPr>
                <w:rFonts w:ascii="宋体" w:hAnsi="宋体"/>
              </w:rPr>
            </w:pPr>
          </w:p>
        </w:tc>
      </w:tr>
    </w:tbl>
    <w:p>
      <w:pPr>
        <w:autoSpaceDE w:val="0"/>
        <w:autoSpaceDN w:val="0"/>
        <w:spacing w:line="360" w:lineRule="auto"/>
        <w:ind w:right="471"/>
        <w:textAlignment w:val="bottom"/>
        <w:rPr>
          <w:rFonts w:hint="eastAsia" w:ascii="宋体" w:hAnsi="宋体" w:cs="Arial"/>
          <w:color w:val="auto"/>
        </w:rPr>
      </w:pPr>
    </w:p>
    <w:p>
      <w:pPr>
        <w:autoSpaceDE w:val="0"/>
        <w:autoSpaceDN w:val="0"/>
        <w:spacing w:line="360" w:lineRule="auto"/>
        <w:ind w:right="471"/>
        <w:textAlignment w:val="bottom"/>
        <w:rPr>
          <w:rFonts w:hint="eastAsia" w:ascii="宋体" w:hAnsi="宋体" w:cs="Arial"/>
          <w:color w:val="auto"/>
        </w:rPr>
      </w:pPr>
    </w:p>
    <w:p>
      <w:pPr>
        <w:autoSpaceDE w:val="0"/>
        <w:autoSpaceDN w:val="0"/>
        <w:spacing w:line="360" w:lineRule="auto"/>
        <w:ind w:right="471"/>
        <w:textAlignment w:val="bottom"/>
        <w:rPr>
          <w:rFonts w:hint="eastAsia" w:ascii="宋体" w:hAnsi="宋体" w:cs="Arial"/>
          <w:b/>
          <w:bCs/>
          <w:color w:val="auto"/>
        </w:rPr>
      </w:pPr>
      <w:r>
        <w:rPr>
          <w:rFonts w:hint="eastAsia" w:ascii="宋体" w:hAnsi="宋体" w:cs="Arial"/>
          <w:b/>
          <w:bCs/>
          <w:color w:val="auto"/>
        </w:rPr>
        <w:t>注：</w:t>
      </w:r>
    </w:p>
    <w:p>
      <w:pPr>
        <w:numPr>
          <w:ilvl w:val="0"/>
          <w:numId w:val="9"/>
        </w:numPr>
        <w:autoSpaceDE w:val="0"/>
        <w:autoSpaceDN w:val="0"/>
        <w:spacing w:line="360" w:lineRule="auto"/>
        <w:ind w:right="471"/>
        <w:textAlignment w:val="bottom"/>
        <w:rPr>
          <w:rFonts w:hint="eastAsia" w:ascii="宋体" w:hAnsi="宋体" w:cs="Arial"/>
          <w:color w:val="auto"/>
          <w:szCs w:val="21"/>
        </w:rPr>
      </w:pPr>
      <w:r>
        <w:rPr>
          <w:rFonts w:hint="eastAsia" w:ascii="宋体" w:hAnsi="宋体" w:cs="Arial"/>
          <w:color w:val="auto"/>
          <w:szCs w:val="21"/>
        </w:rPr>
        <w:t>投标单位应在响应技术文件中对本技术规格书逐条按顺序响应，做出必要的解释并列出技术偏差表。而不应完全复制招标文件中技术参数要求，统一回答“响应”“无偏离”等。</w:t>
      </w:r>
    </w:p>
    <w:p>
      <w:pPr>
        <w:numPr>
          <w:ilvl w:val="0"/>
          <w:numId w:val="0"/>
        </w:numPr>
        <w:autoSpaceDE w:val="0"/>
        <w:autoSpaceDN w:val="0"/>
        <w:spacing w:line="360" w:lineRule="auto"/>
        <w:ind w:right="471" w:rightChars="0"/>
        <w:textAlignment w:val="bottom"/>
        <w:rPr>
          <w:rFonts w:hint="eastAsia" w:ascii="宋体" w:hAnsi="宋体" w:cs="Arial"/>
          <w:b/>
          <w:bCs/>
          <w:color w:val="auto"/>
          <w:szCs w:val="21"/>
          <w:lang w:val="en-US" w:eastAsia="zh-CN"/>
        </w:rPr>
      </w:pPr>
      <w:r>
        <w:rPr>
          <w:rFonts w:hint="eastAsia" w:ascii="宋体" w:hAnsi="宋体" w:eastAsia="宋体" w:cs="宋体"/>
          <w:color w:val="auto"/>
          <w:szCs w:val="21"/>
          <w:lang w:val="en-US" w:eastAsia="zh-CN"/>
        </w:rPr>
        <w:t>2、</w:t>
      </w:r>
      <w:r>
        <w:rPr>
          <w:rFonts w:hint="eastAsia" w:ascii="宋体" w:hAnsi="宋体" w:eastAsia="宋体" w:cs="宋体"/>
          <w:color w:val="auto"/>
          <w:szCs w:val="21"/>
        </w:rPr>
        <w:t>投标人可在此表后附其</w:t>
      </w:r>
      <w:r>
        <w:rPr>
          <w:rFonts w:hint="eastAsia" w:ascii="宋体" w:hAnsi="宋体" w:cs="宋体"/>
          <w:color w:val="auto"/>
          <w:szCs w:val="21"/>
          <w:lang w:val="en-US" w:eastAsia="zh-CN"/>
        </w:rPr>
        <w:t>产品</w:t>
      </w:r>
      <w:r>
        <w:rPr>
          <w:rFonts w:hint="eastAsia" w:ascii="宋体" w:hAnsi="宋体" w:eastAsia="宋体" w:cs="宋体"/>
          <w:color w:val="auto"/>
          <w:szCs w:val="21"/>
        </w:rPr>
        <w:t>详细说明</w:t>
      </w:r>
      <w:r>
        <w:rPr>
          <w:rFonts w:hint="eastAsia" w:ascii="宋体" w:hAnsi="宋体" w:eastAsia="宋体" w:cs="宋体"/>
          <w:color w:val="auto"/>
          <w:szCs w:val="21"/>
          <w:lang w:eastAsia="zh-CN"/>
        </w:rPr>
        <w:t>。</w:t>
      </w:r>
    </w:p>
    <w:p>
      <w:pPr>
        <w:numPr>
          <w:ilvl w:val="0"/>
          <w:numId w:val="0"/>
        </w:numPr>
        <w:autoSpaceDE w:val="0"/>
        <w:autoSpaceDN w:val="0"/>
        <w:spacing w:line="360" w:lineRule="auto"/>
        <w:ind w:right="471" w:rightChars="0"/>
        <w:textAlignment w:val="bottom"/>
        <w:rPr>
          <w:rFonts w:hint="eastAsia" w:ascii="宋体" w:hAnsi="宋体" w:cs="Arial"/>
          <w:b/>
          <w:bCs/>
          <w:color w:val="auto"/>
          <w:szCs w:val="21"/>
          <w:lang w:val="en-US" w:eastAsia="zh-CN"/>
        </w:rPr>
      </w:pPr>
      <w:r>
        <w:rPr>
          <w:rFonts w:hint="eastAsia" w:ascii="宋体" w:hAnsi="宋体" w:cs="Arial"/>
          <w:b/>
          <w:bCs/>
          <w:color w:val="auto"/>
          <w:szCs w:val="21"/>
          <w:lang w:val="en-US" w:eastAsia="zh-CN"/>
        </w:rPr>
        <w:t>3、此表第1、2项不得存在负偏离，否则视同为无效投标。</w:t>
      </w:r>
    </w:p>
    <w:p>
      <w:pPr>
        <w:numPr>
          <w:ilvl w:val="0"/>
          <w:numId w:val="0"/>
        </w:numPr>
        <w:autoSpaceDE w:val="0"/>
        <w:autoSpaceDN w:val="0"/>
        <w:spacing w:line="360" w:lineRule="auto"/>
        <w:ind w:right="471" w:rightChars="0"/>
        <w:textAlignment w:val="bottom"/>
        <w:rPr>
          <w:rFonts w:hint="eastAsia" w:ascii="宋体" w:hAnsi="宋体" w:cs="Arial"/>
          <w:b/>
          <w:bCs/>
          <w:color w:val="auto"/>
          <w:szCs w:val="21"/>
          <w:lang w:val="en-US" w:eastAsia="zh-CN"/>
        </w:rPr>
      </w:pPr>
      <w:r>
        <w:rPr>
          <w:rFonts w:hint="eastAsia" w:ascii="宋体" w:hAnsi="宋体" w:cs="Arial"/>
          <w:b/>
          <w:bCs/>
          <w:szCs w:val="21"/>
          <w:highlight w:val="none"/>
          <w:lang w:val="en-US" w:eastAsia="zh-CN"/>
        </w:rPr>
        <w:t>4、此表第3项往后，</w:t>
      </w:r>
      <w:r>
        <w:rPr>
          <w:rFonts w:hint="eastAsia" w:ascii="宋体" w:hAnsi="宋体" w:cs="Arial"/>
          <w:b/>
          <w:bCs/>
          <w:szCs w:val="21"/>
          <w:lang w:val="en-US" w:eastAsia="zh-CN"/>
        </w:rPr>
        <w:t>请</w:t>
      </w:r>
      <w:r>
        <w:rPr>
          <w:rFonts w:hint="eastAsia" w:ascii="宋体" w:hAnsi="宋体" w:cs="Arial"/>
          <w:b/>
          <w:bCs/>
          <w:szCs w:val="21"/>
          <w:lang w:val="zh-CN"/>
        </w:rPr>
        <w:t>供应商应根据投标</w:t>
      </w:r>
      <w:r>
        <w:rPr>
          <w:rFonts w:hint="eastAsia" w:ascii="宋体" w:hAnsi="宋体" w:cs="Arial"/>
          <w:b/>
          <w:bCs/>
          <w:szCs w:val="21"/>
          <w:lang w:val="en-US" w:eastAsia="zh-CN"/>
        </w:rPr>
        <w:t>货物</w:t>
      </w:r>
      <w:r>
        <w:rPr>
          <w:rFonts w:hint="eastAsia" w:ascii="宋体" w:hAnsi="宋体" w:cs="Arial"/>
          <w:b/>
          <w:bCs/>
          <w:szCs w:val="21"/>
          <w:lang w:val="zh-CN"/>
        </w:rPr>
        <w:t>的性能指标、对照文件中“</w:t>
      </w:r>
      <w:r>
        <w:rPr>
          <w:rFonts w:hint="eastAsia" w:ascii="宋体" w:hAnsi="宋体" w:cs="Arial"/>
          <w:b/>
          <w:bCs/>
          <w:szCs w:val="21"/>
          <w:lang w:val="en-US" w:eastAsia="zh-CN"/>
        </w:rPr>
        <w:t>第五章 采购需求</w:t>
      </w:r>
      <w:r>
        <w:rPr>
          <w:rFonts w:hint="eastAsia" w:ascii="宋体" w:hAnsi="宋体" w:cs="Arial"/>
          <w:b/>
          <w:bCs/>
          <w:szCs w:val="21"/>
          <w:lang w:val="zh-CN"/>
        </w:rPr>
        <w:t>”中的</w:t>
      </w:r>
      <w:r>
        <w:rPr>
          <w:rFonts w:hint="eastAsia" w:ascii="宋体" w:hAnsi="宋体" w:cs="Arial"/>
          <w:b/>
          <w:bCs/>
          <w:szCs w:val="21"/>
          <w:lang w:val="en-US" w:eastAsia="zh-CN"/>
        </w:rPr>
        <w:t>所有</w:t>
      </w:r>
      <w:r>
        <w:rPr>
          <w:rFonts w:hint="eastAsia" w:ascii="宋体" w:hAnsi="宋体" w:cs="Arial"/>
          <w:b/>
          <w:bCs/>
          <w:szCs w:val="21"/>
          <w:lang w:val="zh-CN"/>
        </w:rPr>
        <w:t>参数要求，如实逐条一一对应填写响应情况。</w:t>
      </w:r>
    </w:p>
    <w:p>
      <w:pPr>
        <w:numPr>
          <w:ilvl w:val="0"/>
          <w:numId w:val="0"/>
        </w:numPr>
        <w:autoSpaceDE w:val="0"/>
        <w:autoSpaceDN w:val="0"/>
        <w:spacing w:line="360" w:lineRule="auto"/>
        <w:ind w:right="471" w:rightChars="0"/>
        <w:textAlignment w:val="bottom"/>
        <w:rPr>
          <w:rFonts w:hint="eastAsia" w:ascii="宋体" w:hAnsi="宋体" w:cs="Arial"/>
          <w:b/>
          <w:bCs/>
          <w:color w:val="auto"/>
          <w:szCs w:val="21"/>
          <w:lang w:val="en-US" w:eastAsia="zh-CN"/>
        </w:rPr>
      </w:pPr>
      <w:r>
        <w:rPr>
          <w:rFonts w:hint="eastAsia" w:ascii="宋体" w:hAnsi="宋体" w:cs="Arial"/>
          <w:b/>
          <w:bCs/>
          <w:color w:val="auto"/>
          <w:szCs w:val="21"/>
          <w:lang w:val="en-US" w:eastAsia="zh-CN"/>
        </w:rPr>
        <w:t>5、请依照实际投标参数填写，验收时如发现为谋取中标而填写虚假参数信息，将上报失信名单并追究相关责任。</w:t>
      </w:r>
    </w:p>
    <w:p>
      <w:pPr>
        <w:adjustRightInd w:val="0"/>
        <w:snapToGrid w:val="0"/>
        <w:spacing w:line="360" w:lineRule="auto"/>
        <w:rPr>
          <w:rFonts w:hint="eastAsia" w:ascii="宋体" w:hAnsi="宋体" w:eastAsia="宋体" w:cs="宋体"/>
          <w:color w:val="auto"/>
        </w:rPr>
      </w:pPr>
    </w:p>
    <w:p>
      <w:pPr>
        <w:adjustRightInd w:val="0"/>
        <w:snapToGrid w:val="0"/>
        <w:spacing w:line="360" w:lineRule="auto"/>
        <w:rPr>
          <w:rFonts w:hint="eastAsia" w:ascii="宋体" w:hAnsi="宋体" w:eastAsia="宋体" w:cs="宋体"/>
          <w:b/>
          <w:bCs/>
          <w:color w:val="auto"/>
          <w:szCs w:val="21"/>
        </w:rPr>
      </w:pPr>
      <w:r>
        <w:rPr>
          <w:rFonts w:hint="eastAsia" w:ascii="宋体" w:hAnsi="宋体" w:eastAsia="宋体" w:cs="宋体"/>
          <w:b/>
          <w:bCs/>
          <w:color w:val="auto"/>
        </w:rPr>
        <w:t>投标人</w:t>
      </w:r>
      <w:r>
        <w:rPr>
          <w:rFonts w:hint="eastAsia" w:ascii="宋体" w:hAnsi="宋体" w:eastAsia="宋体" w:cs="宋体"/>
          <w:b/>
          <w:bCs/>
          <w:color w:val="auto"/>
          <w:szCs w:val="21"/>
        </w:rPr>
        <w:t>（盖单位章）：</w:t>
      </w:r>
    </w:p>
    <w:p>
      <w:pPr>
        <w:adjustRightInd w:val="0"/>
        <w:snapToGrid w:val="0"/>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法定代表人或其委托代理人签字：</w:t>
      </w:r>
      <w:r>
        <w:rPr>
          <w:rFonts w:hint="eastAsia" w:ascii="宋体" w:hAnsi="宋体" w:eastAsia="宋体" w:cs="宋体"/>
          <w:b/>
          <w:bCs/>
          <w:color w:val="auto"/>
          <w:szCs w:val="21"/>
          <w:u w:val="single"/>
        </w:rPr>
        <w:t xml:space="preserve">       </w:t>
      </w:r>
    </w:p>
    <w:p>
      <w:pPr>
        <w:adjustRightInd w:val="0"/>
        <w:snapToGrid w:val="0"/>
        <w:spacing w:line="360" w:lineRule="auto"/>
        <w:rPr>
          <w:rFonts w:hint="eastAsia"/>
          <w:b/>
          <w:bCs/>
          <w:lang w:val="en-US" w:eastAsia="zh-CN"/>
        </w:rPr>
      </w:pPr>
      <w:r>
        <w:rPr>
          <w:rFonts w:hint="eastAsia" w:ascii="宋体" w:hAnsi="宋体" w:eastAsia="宋体" w:cs="宋体"/>
          <w:b/>
          <w:bCs/>
          <w:color w:val="auto"/>
          <w:szCs w:val="21"/>
        </w:rPr>
        <w:t>日期：</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rPr>
        <w:t>年</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rPr>
        <w:t>月</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rPr>
        <w:t>日</w:t>
      </w:r>
      <w:r>
        <w:rPr>
          <w:rFonts w:hint="eastAsia" w:ascii="宋体" w:hAnsi="宋体" w:eastAsia="宋体" w:cs="宋体"/>
          <w:b/>
          <w:bCs/>
          <w:color w:val="auto"/>
          <w:sz w:val="24"/>
        </w:rPr>
        <w:t xml:space="preserve"> </w:t>
      </w:r>
    </w:p>
    <w:p>
      <w:pPr>
        <w:rPr>
          <w:rFonts w:hint="eastAsia" w:ascii="宋体" w:hAnsi="宋体" w:eastAsia="宋体" w:cs="宋体"/>
          <w:bCs/>
          <w:color w:val="auto"/>
          <w:sz w:val="28"/>
          <w:szCs w:val="28"/>
        </w:rPr>
      </w:pPr>
      <w:r>
        <w:rPr>
          <w:rFonts w:hint="eastAsia" w:ascii="宋体" w:hAnsi="宋体" w:eastAsia="宋体" w:cs="宋体"/>
          <w:bCs/>
          <w:color w:val="auto"/>
          <w:sz w:val="28"/>
          <w:szCs w:val="28"/>
        </w:rPr>
        <w:br w:type="page"/>
      </w:r>
    </w:p>
    <w:p>
      <w:pPr>
        <w:spacing w:line="360" w:lineRule="auto"/>
        <w:rPr>
          <w:rFonts w:hint="eastAsia" w:ascii="宋体" w:hAnsi="宋体" w:eastAsia="宋体" w:cs="宋体"/>
          <w:bCs/>
          <w:color w:val="auto"/>
          <w:sz w:val="28"/>
          <w:szCs w:val="28"/>
          <w:lang w:eastAsia="zh-CN"/>
        </w:rPr>
      </w:pPr>
      <w:r>
        <w:rPr>
          <w:rFonts w:hint="eastAsia" w:ascii="宋体" w:hAnsi="宋体" w:eastAsia="宋体" w:cs="宋体"/>
          <w:bCs/>
          <w:color w:val="auto"/>
          <w:sz w:val="28"/>
          <w:szCs w:val="28"/>
        </w:rPr>
        <w:t>附件</w:t>
      </w:r>
      <w:r>
        <w:rPr>
          <w:rFonts w:hint="eastAsia" w:ascii="宋体" w:hAnsi="宋体" w:cs="宋体"/>
          <w:bCs/>
          <w:color w:val="auto"/>
          <w:sz w:val="28"/>
          <w:szCs w:val="28"/>
          <w:lang w:val="en-US" w:eastAsia="zh-CN"/>
        </w:rPr>
        <w:t>7</w:t>
      </w:r>
    </w:p>
    <w:p>
      <w:pPr>
        <w:adjustRightInd w:val="0"/>
        <w:snapToGrid w:val="0"/>
        <w:spacing w:line="360" w:lineRule="auto"/>
        <w:jc w:val="center"/>
        <w:rPr>
          <w:rFonts w:hint="default"/>
          <w:color w:val="auto"/>
          <w:sz w:val="21"/>
          <w:szCs w:val="21"/>
          <w:lang w:val="en-US" w:eastAsia="zh-CN"/>
        </w:rPr>
      </w:pPr>
      <w:r>
        <w:rPr>
          <w:rFonts w:hint="eastAsia" w:ascii="宋体" w:hAnsi="宋体" w:cs="宋体"/>
          <w:color w:val="auto"/>
          <w:sz w:val="28"/>
          <w:szCs w:val="28"/>
          <w:lang w:val="en-US" w:eastAsia="zh-CN"/>
        </w:rPr>
        <w:t>近三年同类项目业绩表</w:t>
      </w:r>
    </w:p>
    <w:p>
      <w:pPr>
        <w:tabs>
          <w:tab w:val="left" w:pos="3600"/>
        </w:tabs>
        <w:adjustRightInd w:val="0"/>
        <w:snapToGrid w:val="0"/>
        <w:jc w:val="center"/>
        <w:rPr>
          <w:rFonts w:hint="eastAsia" w:ascii="宋体" w:hAnsi="宋体" w:cs="宋体"/>
          <w:b/>
          <w:bCs/>
          <w:color w:val="auto"/>
          <w:spacing w:val="6"/>
          <w:kern w:val="0"/>
          <w:szCs w:val="21"/>
        </w:rPr>
      </w:pPr>
    </w:p>
    <w:p>
      <w:pPr>
        <w:tabs>
          <w:tab w:val="left" w:pos="5580"/>
        </w:tabs>
        <w:spacing w:before="120"/>
        <w:rPr>
          <w:rFonts w:hint="eastAsia" w:ascii="宋体" w:hAnsi="宋体" w:cs="宋体"/>
          <w:color w:val="auto"/>
          <w:szCs w:val="21"/>
        </w:rPr>
      </w:pPr>
      <w:r>
        <w:rPr>
          <w:rFonts w:hint="eastAsia" w:ascii="宋体" w:hAnsi="宋体" w:cs="宋体"/>
          <w:color w:val="auto"/>
          <w:szCs w:val="21"/>
        </w:rPr>
        <w:t>近三年(</w:t>
      </w:r>
      <w:r>
        <w:rPr>
          <w:rFonts w:hint="eastAsia" w:ascii="宋体" w:hAnsi="宋体" w:cs="宋体"/>
          <w:color w:val="auto"/>
          <w:szCs w:val="21"/>
          <w:lang w:eastAsia="zh-CN"/>
        </w:rPr>
        <w:t>2020年1月1日</w:t>
      </w:r>
      <w:r>
        <w:rPr>
          <w:rFonts w:hint="eastAsia" w:ascii="宋体" w:hAnsi="宋体" w:cs="宋体"/>
          <w:color w:val="auto"/>
          <w:szCs w:val="21"/>
        </w:rPr>
        <w:t>至今）</w:t>
      </w:r>
      <w:r>
        <w:rPr>
          <w:rFonts w:hint="eastAsia" w:ascii="宋体" w:hAnsi="宋体" w:cs="宋体"/>
          <w:b/>
          <w:bCs/>
          <w:color w:val="auto"/>
          <w:szCs w:val="21"/>
        </w:rPr>
        <w:t>同类项目</w:t>
      </w:r>
      <w:r>
        <w:rPr>
          <w:rFonts w:hint="eastAsia" w:ascii="宋体" w:hAnsi="宋体" w:cs="宋体"/>
          <w:color w:val="auto"/>
          <w:szCs w:val="21"/>
        </w:rPr>
        <w:t>业绩统计：</w:t>
      </w:r>
    </w:p>
    <w:tbl>
      <w:tblPr>
        <w:tblStyle w:val="47"/>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2106"/>
        <w:gridCol w:w="1841"/>
        <w:gridCol w:w="1528"/>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14" w:type="dxa"/>
            <w:noWrap w:val="0"/>
            <w:vAlign w:val="center"/>
          </w:tcPr>
          <w:p>
            <w:pPr>
              <w:pStyle w:val="117"/>
              <w:spacing w:line="320" w:lineRule="exact"/>
              <w:jc w:val="center"/>
              <w:rPr>
                <w:rFonts w:hint="eastAsia" w:ascii="宋体" w:hAnsi="宋体" w:cs="宋体"/>
                <w:color w:val="auto"/>
                <w:kern w:val="2"/>
                <w:sz w:val="21"/>
                <w:szCs w:val="21"/>
              </w:rPr>
            </w:pPr>
            <w:r>
              <w:rPr>
                <w:rFonts w:hint="eastAsia" w:ascii="宋体" w:hAnsi="宋体" w:cs="宋体"/>
                <w:color w:val="auto"/>
                <w:kern w:val="2"/>
                <w:sz w:val="21"/>
                <w:szCs w:val="21"/>
              </w:rPr>
              <w:t>地　　区</w:t>
            </w:r>
          </w:p>
        </w:tc>
        <w:tc>
          <w:tcPr>
            <w:tcW w:w="2106" w:type="dxa"/>
            <w:noWrap w:val="0"/>
            <w:vAlign w:val="center"/>
          </w:tcPr>
          <w:p>
            <w:pPr>
              <w:pStyle w:val="117"/>
              <w:spacing w:line="320" w:lineRule="exact"/>
              <w:ind w:right="-107" w:rightChars="-51"/>
              <w:jc w:val="center"/>
              <w:rPr>
                <w:rFonts w:hint="eastAsia" w:ascii="宋体" w:hAnsi="宋体" w:cs="宋体"/>
                <w:color w:val="auto"/>
                <w:kern w:val="2"/>
                <w:sz w:val="21"/>
                <w:szCs w:val="21"/>
              </w:rPr>
            </w:pPr>
            <w:r>
              <w:rPr>
                <w:rFonts w:hint="eastAsia" w:ascii="宋体" w:hAnsi="宋体" w:cs="宋体"/>
                <w:color w:val="auto"/>
                <w:kern w:val="2"/>
                <w:sz w:val="21"/>
                <w:szCs w:val="21"/>
              </w:rPr>
              <w:t>项目名称</w:t>
            </w:r>
          </w:p>
        </w:tc>
        <w:tc>
          <w:tcPr>
            <w:tcW w:w="1841" w:type="dxa"/>
            <w:noWrap w:val="0"/>
            <w:vAlign w:val="center"/>
          </w:tcPr>
          <w:p>
            <w:pPr>
              <w:pStyle w:val="117"/>
              <w:spacing w:line="320" w:lineRule="exact"/>
              <w:jc w:val="center"/>
              <w:rPr>
                <w:rFonts w:hint="eastAsia" w:ascii="宋体" w:hAnsi="宋体" w:cs="宋体"/>
                <w:color w:val="auto"/>
                <w:kern w:val="2"/>
                <w:sz w:val="21"/>
                <w:szCs w:val="21"/>
              </w:rPr>
            </w:pPr>
            <w:r>
              <w:rPr>
                <w:rFonts w:hint="eastAsia" w:ascii="宋体" w:hAnsi="宋体" w:cs="宋体"/>
                <w:color w:val="auto"/>
                <w:kern w:val="2"/>
                <w:sz w:val="21"/>
                <w:szCs w:val="21"/>
              </w:rPr>
              <w:t>中标日期或</w:t>
            </w:r>
          </w:p>
          <w:p>
            <w:pPr>
              <w:pStyle w:val="117"/>
              <w:spacing w:line="320" w:lineRule="exact"/>
              <w:jc w:val="center"/>
              <w:rPr>
                <w:rFonts w:hint="eastAsia" w:ascii="宋体" w:hAnsi="宋体" w:cs="宋体"/>
                <w:color w:val="auto"/>
                <w:kern w:val="2"/>
                <w:sz w:val="21"/>
                <w:szCs w:val="21"/>
              </w:rPr>
            </w:pPr>
            <w:r>
              <w:rPr>
                <w:rFonts w:hint="eastAsia" w:ascii="宋体" w:hAnsi="宋体" w:cs="宋体"/>
                <w:color w:val="auto"/>
                <w:kern w:val="2"/>
                <w:sz w:val="21"/>
                <w:szCs w:val="21"/>
              </w:rPr>
              <w:t>合同签订日期</w:t>
            </w:r>
          </w:p>
        </w:tc>
        <w:tc>
          <w:tcPr>
            <w:tcW w:w="1528" w:type="dxa"/>
            <w:noWrap w:val="0"/>
            <w:vAlign w:val="center"/>
          </w:tcPr>
          <w:p>
            <w:pPr>
              <w:pStyle w:val="117"/>
              <w:spacing w:line="320" w:lineRule="exact"/>
              <w:jc w:val="center"/>
              <w:rPr>
                <w:rFonts w:hint="eastAsia" w:ascii="宋体" w:hAnsi="宋体" w:cs="宋体"/>
                <w:color w:val="auto"/>
                <w:kern w:val="2"/>
                <w:sz w:val="21"/>
                <w:szCs w:val="21"/>
              </w:rPr>
            </w:pPr>
            <w:r>
              <w:rPr>
                <w:rFonts w:hint="eastAsia" w:ascii="宋体" w:hAnsi="宋体" w:cs="宋体"/>
                <w:color w:val="auto"/>
                <w:kern w:val="2"/>
                <w:sz w:val="21"/>
                <w:szCs w:val="21"/>
              </w:rPr>
              <w:t>中标金额</w:t>
            </w:r>
          </w:p>
        </w:tc>
        <w:tc>
          <w:tcPr>
            <w:tcW w:w="1628" w:type="dxa"/>
            <w:noWrap w:val="0"/>
            <w:vAlign w:val="center"/>
          </w:tcPr>
          <w:p>
            <w:pPr>
              <w:pStyle w:val="117"/>
              <w:spacing w:line="320" w:lineRule="exact"/>
              <w:jc w:val="center"/>
              <w:rPr>
                <w:rFonts w:hint="eastAsia" w:ascii="宋体" w:hAnsi="宋体" w:cs="宋体"/>
                <w:color w:val="auto"/>
                <w:kern w:val="2"/>
                <w:sz w:val="21"/>
                <w:szCs w:val="21"/>
              </w:rPr>
            </w:pPr>
            <w:r>
              <w:rPr>
                <w:rFonts w:hint="eastAsia" w:ascii="宋体" w:hAnsi="宋体" w:cs="宋体"/>
                <w:color w:val="auto"/>
                <w:kern w:val="2"/>
                <w:sz w:val="21"/>
                <w:szCs w:val="21"/>
              </w:rPr>
              <w:t>验收结果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rPr>
                <w:rFonts w:hint="eastAsia" w:ascii="宋体" w:hAnsi="宋体" w:cs="宋体"/>
                <w:color w:val="auto"/>
                <w:szCs w:val="21"/>
              </w:rPr>
            </w:pP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rPr>
                <w:rFonts w:hint="eastAsia" w:ascii="宋体" w:hAnsi="宋体" w:cs="宋体"/>
                <w:color w:val="auto"/>
                <w:szCs w:val="21"/>
              </w:rPr>
            </w:pP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rPr>
                <w:rFonts w:hint="eastAsia" w:ascii="宋体" w:hAnsi="宋体" w:cs="宋体"/>
                <w:color w:val="auto"/>
                <w:szCs w:val="21"/>
              </w:rPr>
            </w:pP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rPr>
                <w:rFonts w:hint="eastAsia" w:ascii="宋体" w:hAnsi="宋体" w:cs="宋体"/>
                <w:color w:val="auto"/>
                <w:szCs w:val="21"/>
              </w:rPr>
            </w:pP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rPr>
                <w:rFonts w:hint="eastAsia" w:ascii="宋体" w:hAnsi="宋体" w:cs="宋体"/>
                <w:color w:val="auto"/>
                <w:szCs w:val="21"/>
              </w:rPr>
            </w:pP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rPr>
                <w:rFonts w:hint="eastAsia" w:ascii="宋体" w:hAnsi="宋体" w:cs="宋体"/>
                <w:color w:val="auto"/>
                <w:szCs w:val="21"/>
              </w:rPr>
            </w:pP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rPr>
                <w:rFonts w:hint="eastAsia" w:ascii="宋体" w:hAnsi="宋体" w:cs="宋体"/>
                <w:color w:val="auto"/>
                <w:szCs w:val="21"/>
              </w:rPr>
            </w:pP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rPr>
                <w:rFonts w:hint="eastAsia" w:ascii="宋体" w:hAnsi="宋体" w:cs="宋体"/>
                <w:color w:val="auto"/>
                <w:szCs w:val="21"/>
              </w:rPr>
            </w:pP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jc w:val="center"/>
              <w:rPr>
                <w:rFonts w:ascii="宋体" w:hAnsi="宋体" w:cs="宋体"/>
                <w:color w:val="auto"/>
                <w:szCs w:val="21"/>
              </w:rPr>
            </w:pPr>
            <w:r>
              <w:rPr>
                <w:rFonts w:hint="eastAsia" w:ascii="宋体" w:hAnsi="宋体" w:cs="宋体"/>
                <w:color w:val="auto"/>
                <w:szCs w:val="21"/>
              </w:rPr>
              <w:t>...</w:t>
            </w: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jc w:val="center"/>
              <w:rPr>
                <w:rFonts w:hint="eastAsia" w:ascii="宋体" w:hAnsi="宋体" w:cs="宋体"/>
                <w:color w:val="auto"/>
                <w:szCs w:val="21"/>
              </w:rPr>
            </w:pPr>
            <w:r>
              <w:rPr>
                <w:rFonts w:hint="eastAsia" w:ascii="宋体" w:hAnsi="宋体" w:cs="宋体"/>
                <w:color w:val="auto"/>
                <w:szCs w:val="21"/>
              </w:rPr>
              <w:t>...</w:t>
            </w: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jc w:val="center"/>
              <w:rPr>
                <w:rFonts w:hint="eastAsia" w:ascii="宋体" w:hAnsi="宋体" w:cs="宋体"/>
                <w:color w:val="auto"/>
                <w:szCs w:val="21"/>
              </w:rPr>
            </w:pP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bl>
    <w:p>
      <w:pPr>
        <w:tabs>
          <w:tab w:val="left" w:pos="5580"/>
        </w:tabs>
        <w:spacing w:before="120"/>
        <w:ind w:firstLine="210" w:firstLineChars="100"/>
        <w:rPr>
          <w:rFonts w:hint="eastAsia" w:ascii="宋体" w:hAnsi="宋体" w:cs="宋体"/>
          <w:b/>
          <w:bCs/>
          <w:color w:val="auto"/>
          <w:sz w:val="24"/>
          <w:szCs w:val="24"/>
          <w:highlight w:val="yellow"/>
          <w:u w:val="single"/>
        </w:rPr>
      </w:pPr>
      <w:r>
        <w:rPr>
          <w:rFonts w:hint="eastAsia" w:ascii="宋体" w:hAnsi="宋体" w:cs="宋体"/>
          <w:color w:val="auto"/>
          <w:szCs w:val="21"/>
          <w:lang w:val="en-US" w:eastAsia="zh-CN"/>
        </w:rPr>
        <w:t>注：1、</w:t>
      </w:r>
      <w:r>
        <w:rPr>
          <w:rFonts w:hint="eastAsia" w:ascii="宋体" w:hAnsi="宋体" w:cs="宋体"/>
          <w:color w:val="auto"/>
          <w:szCs w:val="21"/>
        </w:rPr>
        <w:t>此表可向下延伸，</w:t>
      </w:r>
      <w:r>
        <w:rPr>
          <w:rFonts w:hint="eastAsia" w:ascii="宋体" w:hAnsi="宋体" w:cs="宋体"/>
          <w:b/>
          <w:bCs/>
          <w:color w:val="auto"/>
          <w:sz w:val="24"/>
          <w:szCs w:val="24"/>
          <w:highlight w:val="yellow"/>
          <w:u w:val="single"/>
        </w:rPr>
        <w:t>后附中标通知书或合同</w:t>
      </w:r>
      <w:r>
        <w:rPr>
          <w:rFonts w:hint="eastAsia" w:ascii="宋体" w:hAnsi="宋体" w:cs="宋体"/>
          <w:b/>
          <w:bCs/>
          <w:color w:val="auto"/>
          <w:sz w:val="24"/>
          <w:szCs w:val="24"/>
          <w:highlight w:val="yellow"/>
          <w:u w:val="single"/>
          <w:lang w:val="en-US" w:eastAsia="zh-CN"/>
        </w:rPr>
        <w:t>扫描</w:t>
      </w:r>
      <w:r>
        <w:rPr>
          <w:rFonts w:hint="eastAsia" w:ascii="宋体" w:hAnsi="宋体" w:cs="宋体"/>
          <w:b/>
          <w:bCs/>
          <w:color w:val="auto"/>
          <w:sz w:val="24"/>
          <w:szCs w:val="24"/>
          <w:highlight w:val="yellow"/>
          <w:u w:val="single"/>
        </w:rPr>
        <w:t>件作为业绩评审资料</w:t>
      </w:r>
      <w:r>
        <w:rPr>
          <w:rFonts w:hint="eastAsia" w:ascii="宋体" w:hAnsi="宋体" w:cs="宋体"/>
          <w:b/>
          <w:bCs/>
          <w:color w:val="auto"/>
          <w:sz w:val="24"/>
          <w:szCs w:val="24"/>
          <w:highlight w:val="yellow"/>
          <w:u w:val="single"/>
          <w:lang w:eastAsia="zh-CN"/>
        </w:rPr>
        <w:t>，</w:t>
      </w:r>
      <w:r>
        <w:rPr>
          <w:rFonts w:hint="eastAsia" w:ascii="宋体" w:hAnsi="宋体" w:cs="宋体"/>
          <w:b/>
          <w:bCs/>
          <w:color w:val="auto"/>
          <w:sz w:val="24"/>
          <w:szCs w:val="24"/>
          <w:highlight w:val="yellow"/>
          <w:u w:val="single"/>
          <w:lang w:val="en-US" w:eastAsia="zh-CN"/>
        </w:rPr>
        <w:t>提供资料中须显示中标金额及日期</w:t>
      </w:r>
      <w:r>
        <w:rPr>
          <w:rFonts w:hint="eastAsia" w:ascii="宋体" w:hAnsi="宋体" w:cs="宋体"/>
          <w:b/>
          <w:bCs/>
          <w:color w:val="auto"/>
          <w:sz w:val="24"/>
          <w:szCs w:val="24"/>
          <w:highlight w:val="yellow"/>
          <w:u w:val="single"/>
        </w:rPr>
        <w:t>。</w:t>
      </w:r>
    </w:p>
    <w:p>
      <w:pPr>
        <w:tabs>
          <w:tab w:val="left" w:pos="5580"/>
        </w:tabs>
        <w:spacing w:before="120"/>
        <w:ind w:firstLine="454"/>
        <w:rPr>
          <w:rFonts w:hint="eastAsia" w:ascii="宋体" w:hAnsi="宋体" w:cs="宋体"/>
          <w:color w:val="auto"/>
          <w:szCs w:val="21"/>
        </w:rPr>
      </w:pPr>
    </w:p>
    <w:p>
      <w:pPr>
        <w:tabs>
          <w:tab w:val="left" w:pos="5580"/>
        </w:tabs>
        <w:spacing w:before="120"/>
        <w:ind w:firstLine="454"/>
        <w:rPr>
          <w:rFonts w:hint="eastAsia" w:ascii="宋体" w:hAnsi="宋体" w:cs="宋体"/>
          <w:color w:val="auto"/>
          <w:szCs w:val="21"/>
        </w:rPr>
      </w:pPr>
      <w:r>
        <w:rPr>
          <w:rFonts w:hint="eastAsia" w:ascii="宋体" w:hAnsi="宋体" w:cs="宋体"/>
          <w:color w:val="auto"/>
          <w:szCs w:val="21"/>
        </w:rPr>
        <w:t>兹证明上述声明是真实、正确的，我们同意遵照贵方要求出示有关证明文件。</w:t>
      </w:r>
    </w:p>
    <w:p>
      <w:pPr>
        <w:tabs>
          <w:tab w:val="left" w:pos="5580"/>
        </w:tabs>
        <w:spacing w:before="120"/>
        <w:rPr>
          <w:rFonts w:hint="eastAsia" w:ascii="宋体" w:hAnsi="宋体" w:cs="宋体"/>
          <w:color w:val="auto"/>
          <w:szCs w:val="21"/>
        </w:rPr>
      </w:pPr>
    </w:p>
    <w:p>
      <w:pPr>
        <w:tabs>
          <w:tab w:val="left" w:pos="5580"/>
        </w:tabs>
        <w:spacing w:before="120"/>
        <w:ind w:left="454" w:firstLine="454"/>
        <w:jc w:val="left"/>
        <w:rPr>
          <w:rFonts w:hint="eastAsia" w:ascii="宋体" w:hAnsi="宋体" w:cs="宋体"/>
          <w:color w:val="auto"/>
          <w:szCs w:val="21"/>
        </w:rPr>
      </w:pPr>
      <w:r>
        <w:rPr>
          <w:rFonts w:hint="eastAsia" w:ascii="宋体" w:hAnsi="宋体" w:cs="宋体"/>
          <w:color w:val="auto"/>
          <w:szCs w:val="21"/>
        </w:rPr>
        <w:t>日期：__________________________________________</w:t>
      </w:r>
    </w:p>
    <w:p>
      <w:pPr>
        <w:tabs>
          <w:tab w:val="left" w:pos="5580"/>
        </w:tabs>
        <w:spacing w:before="120"/>
        <w:ind w:left="454" w:firstLine="454"/>
        <w:jc w:val="left"/>
        <w:rPr>
          <w:rFonts w:hint="eastAsia" w:ascii="宋体" w:hAnsi="宋体" w:cs="宋体"/>
          <w:color w:val="auto"/>
          <w:szCs w:val="21"/>
        </w:rPr>
      </w:pPr>
      <w:r>
        <w:rPr>
          <w:rFonts w:hint="eastAsia" w:ascii="宋体" w:hAnsi="宋体" w:cs="宋体"/>
          <w:color w:val="auto"/>
          <w:szCs w:val="21"/>
        </w:rPr>
        <w:t>投标单位授权代表(签字)：________________________________</w:t>
      </w:r>
    </w:p>
    <w:p>
      <w:pPr>
        <w:tabs>
          <w:tab w:val="left" w:pos="5580"/>
        </w:tabs>
        <w:spacing w:before="120"/>
        <w:ind w:left="454" w:firstLine="454"/>
        <w:jc w:val="left"/>
        <w:rPr>
          <w:rFonts w:hint="eastAsia" w:ascii="宋体" w:hAnsi="宋体" w:cs="宋体"/>
          <w:color w:val="auto"/>
          <w:szCs w:val="21"/>
        </w:rPr>
      </w:pPr>
      <w:r>
        <w:rPr>
          <w:rFonts w:hint="eastAsia" w:ascii="宋体" w:hAnsi="宋体" w:cs="宋体"/>
          <w:color w:val="auto"/>
          <w:szCs w:val="21"/>
        </w:rPr>
        <w:t>投标单位授权代表的职务：________________________________</w:t>
      </w:r>
    </w:p>
    <w:p>
      <w:pPr>
        <w:tabs>
          <w:tab w:val="left" w:pos="5580"/>
        </w:tabs>
        <w:spacing w:before="120"/>
        <w:ind w:left="454" w:firstLine="454"/>
        <w:jc w:val="left"/>
        <w:rPr>
          <w:rFonts w:hint="eastAsia" w:ascii="宋体" w:hAnsi="宋体" w:cs="宋体"/>
          <w:color w:val="auto"/>
          <w:szCs w:val="21"/>
        </w:rPr>
      </w:pPr>
      <w:r>
        <w:rPr>
          <w:rFonts w:hint="eastAsia" w:ascii="宋体" w:hAnsi="宋体" w:cs="宋体"/>
          <w:color w:val="auto"/>
          <w:szCs w:val="21"/>
        </w:rPr>
        <w:t>电话号：________________________________________</w:t>
      </w:r>
    </w:p>
    <w:p>
      <w:pPr>
        <w:tabs>
          <w:tab w:val="left" w:pos="5580"/>
        </w:tabs>
        <w:spacing w:before="120"/>
        <w:ind w:left="454" w:firstLine="454"/>
        <w:jc w:val="left"/>
        <w:rPr>
          <w:rFonts w:hint="eastAsia" w:ascii="宋体" w:hAnsi="宋体" w:cs="宋体"/>
          <w:color w:val="auto"/>
          <w:szCs w:val="21"/>
        </w:rPr>
      </w:pPr>
      <w:r>
        <w:rPr>
          <w:rFonts w:hint="eastAsia" w:ascii="宋体" w:hAnsi="宋体" w:cs="宋体"/>
          <w:color w:val="auto"/>
          <w:szCs w:val="21"/>
        </w:rPr>
        <w:t>传真号：________________________________________</w:t>
      </w:r>
    </w:p>
    <w:p>
      <w:pPr>
        <w:tabs>
          <w:tab w:val="left" w:pos="5580"/>
        </w:tabs>
        <w:spacing w:before="120"/>
        <w:ind w:left="454" w:firstLine="454"/>
        <w:jc w:val="left"/>
        <w:rPr>
          <w:rFonts w:hint="eastAsia" w:ascii="宋体" w:hAnsi="宋体" w:cs="宋体"/>
          <w:color w:val="auto"/>
          <w:szCs w:val="21"/>
        </w:rPr>
      </w:pPr>
      <w:r>
        <w:rPr>
          <w:rFonts w:hint="eastAsia" w:ascii="宋体" w:hAnsi="宋体" w:cs="宋体"/>
          <w:color w:val="auto"/>
          <w:szCs w:val="21"/>
          <w:lang w:val="en-US" w:eastAsia="zh-CN"/>
        </w:rPr>
        <w:t>签章：____</w:t>
      </w:r>
      <w:r>
        <w:rPr>
          <w:rFonts w:hint="eastAsia" w:ascii="宋体" w:hAnsi="宋体" w:cs="宋体"/>
          <w:color w:val="auto"/>
          <w:szCs w:val="21"/>
        </w:rPr>
        <w:t>______________________________________</w:t>
      </w:r>
    </w:p>
    <w:p>
      <w:pPr>
        <w:adjustRightInd w:val="0"/>
        <w:snapToGrid w:val="0"/>
        <w:spacing w:line="360" w:lineRule="auto"/>
        <w:ind w:firstLine="420" w:firstLineChars="200"/>
        <w:jc w:val="center"/>
        <w:rPr>
          <w:rFonts w:hint="eastAsia" w:ascii="宋体" w:hAnsi="宋体" w:eastAsia="宋体" w:cs="宋体"/>
          <w:color w:val="auto"/>
          <w:sz w:val="28"/>
          <w:szCs w:val="28"/>
        </w:rPr>
      </w:pPr>
      <w:r>
        <w:rPr>
          <w:rFonts w:hint="eastAsia" w:ascii="宋体" w:hAnsi="宋体"/>
          <w:color w:val="auto"/>
        </w:rPr>
        <w:br w:type="page"/>
      </w:r>
    </w:p>
    <w:p>
      <w:pPr>
        <w:adjustRightInd w:val="0"/>
        <w:snapToGrid w:val="0"/>
        <w:spacing w:line="360" w:lineRule="auto"/>
        <w:ind w:right="24"/>
        <w:rPr>
          <w:rFonts w:hint="default" w:ascii="宋体" w:hAnsi="宋体" w:eastAsia="宋体" w:cs="宋体"/>
          <w:bCs/>
          <w:color w:val="auto"/>
          <w:sz w:val="28"/>
          <w:szCs w:val="28"/>
          <w:lang w:val="en-US" w:eastAsia="zh-CN"/>
        </w:rPr>
      </w:pPr>
      <w:r>
        <w:rPr>
          <w:rFonts w:hint="eastAsia" w:ascii="宋体" w:hAnsi="宋体" w:eastAsia="宋体" w:cs="宋体"/>
          <w:bCs/>
          <w:color w:val="auto"/>
          <w:sz w:val="28"/>
          <w:szCs w:val="28"/>
        </w:rPr>
        <w:t>附件</w:t>
      </w:r>
      <w:r>
        <w:rPr>
          <w:rFonts w:hint="eastAsia" w:ascii="宋体" w:hAnsi="宋体" w:cs="宋体"/>
          <w:bCs/>
          <w:color w:val="auto"/>
          <w:sz w:val="28"/>
          <w:szCs w:val="28"/>
          <w:lang w:val="en-US" w:eastAsia="zh-CN"/>
        </w:rPr>
        <w:t>8</w:t>
      </w:r>
    </w:p>
    <w:p>
      <w:pPr>
        <w:adjustRightInd w:val="0"/>
        <w:snapToGrid w:val="0"/>
        <w:ind w:left="-88" w:leftChars="-42" w:firstLine="280" w:firstLineChars="100"/>
        <w:jc w:val="center"/>
        <w:rPr>
          <w:rFonts w:hint="eastAsia" w:ascii="宋体" w:hAnsi="宋体"/>
          <w:bCs/>
          <w:color w:val="auto"/>
          <w:sz w:val="28"/>
          <w:szCs w:val="28"/>
        </w:rPr>
      </w:pPr>
      <w:r>
        <w:rPr>
          <w:rFonts w:hint="eastAsia" w:ascii="宋体" w:hAnsi="宋体"/>
          <w:bCs/>
          <w:color w:val="auto"/>
          <w:sz w:val="28"/>
          <w:szCs w:val="28"/>
        </w:rPr>
        <w:t>拟投入本项目的服务人员一览表</w:t>
      </w:r>
    </w:p>
    <w:p>
      <w:pPr>
        <w:spacing w:line="420" w:lineRule="exact"/>
        <w:jc w:val="center"/>
        <w:rPr>
          <w:rFonts w:hint="eastAsia" w:ascii="宋体" w:hAnsi="宋体"/>
          <w:b/>
          <w:color w:val="auto"/>
          <w:szCs w:val="21"/>
        </w:rPr>
      </w:pPr>
    </w:p>
    <w:tbl>
      <w:tblPr>
        <w:tblStyle w:val="47"/>
        <w:tblW w:w="85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183"/>
        <w:gridCol w:w="945"/>
        <w:gridCol w:w="1137"/>
        <w:gridCol w:w="1359"/>
        <w:gridCol w:w="1470"/>
        <w:gridCol w:w="1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exact"/>
          <w:jc w:val="center"/>
        </w:trPr>
        <w:tc>
          <w:tcPr>
            <w:tcW w:w="8512" w:type="dxa"/>
            <w:gridSpan w:val="7"/>
            <w:noWrap w:val="0"/>
            <w:vAlign w:val="center"/>
          </w:tcPr>
          <w:p>
            <w:pPr>
              <w:ind w:firstLine="12"/>
              <w:jc w:val="center"/>
              <w:rPr>
                <w:rFonts w:hint="eastAsia" w:ascii="宋体" w:hAnsi="宋体" w:eastAsia="宋体"/>
                <w:color w:val="auto"/>
                <w:lang w:eastAsia="zh-CN"/>
              </w:rPr>
            </w:pPr>
            <w:r>
              <w:rPr>
                <w:rFonts w:hint="eastAsia" w:ascii="宋体" w:hAnsi="宋体"/>
                <w:color w:val="auto"/>
              </w:rPr>
              <w:t>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jc w:val="center"/>
        </w:trPr>
        <w:tc>
          <w:tcPr>
            <w:tcW w:w="1276" w:type="dxa"/>
            <w:noWrap w:val="0"/>
            <w:vAlign w:val="center"/>
          </w:tcPr>
          <w:p>
            <w:pPr>
              <w:jc w:val="center"/>
              <w:rPr>
                <w:rFonts w:hint="eastAsia" w:ascii="宋体" w:hAnsi="宋体"/>
                <w:color w:val="auto"/>
              </w:rPr>
            </w:pPr>
            <w:r>
              <w:rPr>
                <w:rFonts w:hint="eastAsia" w:ascii="宋体" w:hAnsi="宋体"/>
                <w:color w:val="auto"/>
              </w:rPr>
              <w:t>职责分工</w:t>
            </w:r>
          </w:p>
        </w:tc>
        <w:tc>
          <w:tcPr>
            <w:tcW w:w="1183" w:type="dxa"/>
            <w:noWrap w:val="0"/>
            <w:vAlign w:val="center"/>
          </w:tcPr>
          <w:p>
            <w:pPr>
              <w:jc w:val="center"/>
              <w:rPr>
                <w:rFonts w:hint="eastAsia" w:ascii="宋体" w:hAnsi="宋体"/>
                <w:color w:val="auto"/>
              </w:rPr>
            </w:pPr>
            <w:r>
              <w:rPr>
                <w:rFonts w:hint="eastAsia" w:ascii="宋体" w:hAnsi="宋体"/>
                <w:color w:val="auto"/>
              </w:rPr>
              <w:t>姓名</w:t>
            </w:r>
          </w:p>
        </w:tc>
        <w:tc>
          <w:tcPr>
            <w:tcW w:w="945" w:type="dxa"/>
            <w:noWrap w:val="0"/>
            <w:vAlign w:val="center"/>
          </w:tcPr>
          <w:p>
            <w:pPr>
              <w:jc w:val="center"/>
              <w:rPr>
                <w:rFonts w:hint="eastAsia" w:ascii="宋体" w:hAnsi="宋体"/>
                <w:color w:val="auto"/>
              </w:rPr>
            </w:pPr>
            <w:r>
              <w:rPr>
                <w:rFonts w:hint="eastAsia" w:ascii="宋体" w:hAnsi="宋体"/>
                <w:color w:val="auto"/>
              </w:rPr>
              <w:t>年龄</w:t>
            </w:r>
          </w:p>
        </w:tc>
        <w:tc>
          <w:tcPr>
            <w:tcW w:w="1137" w:type="dxa"/>
            <w:noWrap w:val="0"/>
            <w:vAlign w:val="center"/>
          </w:tcPr>
          <w:p>
            <w:pPr>
              <w:jc w:val="center"/>
              <w:rPr>
                <w:rFonts w:hint="eastAsia" w:ascii="宋体" w:hAnsi="宋体"/>
                <w:color w:val="auto"/>
              </w:rPr>
            </w:pPr>
            <w:r>
              <w:rPr>
                <w:rFonts w:hint="eastAsia" w:ascii="宋体" w:hAnsi="宋体"/>
                <w:color w:val="auto"/>
              </w:rPr>
              <w:t>专业</w:t>
            </w:r>
          </w:p>
        </w:tc>
        <w:tc>
          <w:tcPr>
            <w:tcW w:w="1359" w:type="dxa"/>
            <w:noWrap w:val="0"/>
            <w:vAlign w:val="center"/>
          </w:tcPr>
          <w:p>
            <w:pPr>
              <w:jc w:val="center"/>
              <w:rPr>
                <w:rFonts w:hint="eastAsia" w:ascii="宋体" w:hAnsi="宋体"/>
                <w:color w:val="auto"/>
              </w:rPr>
            </w:pPr>
            <w:r>
              <w:rPr>
                <w:rFonts w:hint="eastAsia" w:ascii="宋体" w:hAnsi="宋体"/>
                <w:color w:val="auto"/>
              </w:rPr>
              <w:t>在本项目中担任的岗位</w:t>
            </w:r>
          </w:p>
        </w:tc>
        <w:tc>
          <w:tcPr>
            <w:tcW w:w="1470" w:type="dxa"/>
            <w:noWrap w:val="0"/>
            <w:vAlign w:val="center"/>
          </w:tcPr>
          <w:p>
            <w:pPr>
              <w:ind w:firstLine="12"/>
              <w:jc w:val="center"/>
              <w:rPr>
                <w:rFonts w:hint="eastAsia" w:ascii="宋体" w:hAnsi="宋体"/>
                <w:color w:val="auto"/>
              </w:rPr>
            </w:pPr>
            <w:r>
              <w:rPr>
                <w:rFonts w:hint="eastAsia" w:ascii="宋体" w:hAnsi="宋体"/>
                <w:color w:val="auto"/>
              </w:rPr>
              <w:t>从事类似工作年限</w:t>
            </w:r>
          </w:p>
        </w:tc>
        <w:tc>
          <w:tcPr>
            <w:tcW w:w="1142" w:type="dxa"/>
            <w:noWrap w:val="0"/>
            <w:vAlign w:val="center"/>
          </w:tcPr>
          <w:p>
            <w:pPr>
              <w:ind w:firstLine="12"/>
              <w:jc w:val="center"/>
              <w:rPr>
                <w:rFonts w:hint="eastAsia" w:ascii="宋体" w:hAnsi="宋体"/>
                <w:color w:val="auto"/>
              </w:rPr>
            </w:pPr>
            <w:r>
              <w:rPr>
                <w:rFonts w:hint="eastAsia" w:ascii="宋体" w:hAnsi="宋体"/>
                <w:color w:va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jc w:val="center"/>
              <w:rPr>
                <w:rFonts w:hint="eastAsia" w:ascii="宋体" w:hAnsi="宋体"/>
                <w:color w:val="auto"/>
              </w:rPr>
            </w:pPr>
            <w:r>
              <w:rPr>
                <w:rFonts w:hint="eastAsia" w:ascii="宋体" w:hAnsi="宋体"/>
                <w:color w:val="auto"/>
              </w:rPr>
              <w:t>项目负责人</w:t>
            </w:r>
          </w:p>
        </w:tc>
        <w:tc>
          <w:tcPr>
            <w:tcW w:w="1183" w:type="dxa"/>
            <w:noWrap w:val="0"/>
            <w:vAlign w:val="center"/>
          </w:tcPr>
          <w:p>
            <w:pPr>
              <w:jc w:val="center"/>
              <w:rPr>
                <w:rFonts w:hint="eastAsia" w:ascii="宋体" w:hAnsi="宋体"/>
                <w:color w:val="auto"/>
              </w:rPr>
            </w:pPr>
          </w:p>
        </w:tc>
        <w:tc>
          <w:tcPr>
            <w:tcW w:w="945" w:type="dxa"/>
            <w:noWrap w:val="0"/>
            <w:vAlign w:val="center"/>
          </w:tcPr>
          <w:p>
            <w:pPr>
              <w:jc w:val="center"/>
              <w:rPr>
                <w:rFonts w:hint="eastAsia" w:ascii="宋体" w:hAnsi="宋体"/>
                <w:color w:val="auto"/>
              </w:rPr>
            </w:pPr>
          </w:p>
        </w:tc>
        <w:tc>
          <w:tcPr>
            <w:tcW w:w="1137" w:type="dxa"/>
            <w:noWrap w:val="0"/>
            <w:vAlign w:val="center"/>
          </w:tcPr>
          <w:p>
            <w:pPr>
              <w:pStyle w:val="150"/>
              <w:keepNext w:val="0"/>
              <w:adjustRightInd/>
              <w:spacing w:before="0" w:after="0" w:line="240" w:lineRule="auto"/>
              <w:textAlignment w:val="auto"/>
              <w:rPr>
                <w:rFonts w:hint="eastAsia" w:ascii="宋体" w:hAnsi="宋体"/>
                <w:snapToGrid/>
                <w:color w:val="auto"/>
                <w:spacing w:val="0"/>
                <w:kern w:val="2"/>
                <w:szCs w:val="24"/>
              </w:rPr>
            </w:pPr>
          </w:p>
        </w:tc>
        <w:tc>
          <w:tcPr>
            <w:tcW w:w="1359" w:type="dxa"/>
            <w:noWrap w:val="0"/>
            <w:vAlign w:val="center"/>
          </w:tcPr>
          <w:p>
            <w:pPr>
              <w:jc w:val="center"/>
              <w:rPr>
                <w:rFonts w:hint="eastAsia" w:ascii="宋体" w:hAnsi="宋体"/>
                <w:color w:val="auto"/>
              </w:rPr>
            </w:pPr>
          </w:p>
        </w:tc>
        <w:tc>
          <w:tcPr>
            <w:tcW w:w="1470" w:type="dxa"/>
            <w:noWrap w:val="0"/>
            <w:vAlign w:val="center"/>
          </w:tcPr>
          <w:p>
            <w:pPr>
              <w:ind w:firstLine="12"/>
              <w:jc w:val="center"/>
              <w:rPr>
                <w:rFonts w:hint="eastAsia" w:ascii="宋体" w:hAnsi="宋体"/>
                <w:color w:val="auto"/>
              </w:rPr>
            </w:pPr>
          </w:p>
        </w:tc>
        <w:tc>
          <w:tcPr>
            <w:tcW w:w="1142" w:type="dxa"/>
            <w:noWrap w:val="0"/>
            <w:vAlign w:val="center"/>
          </w:tcPr>
          <w:p>
            <w:pPr>
              <w:ind w:firstLine="12"/>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noWrap w:val="0"/>
            <w:vAlign w:val="center"/>
          </w:tcPr>
          <w:p>
            <w:pPr>
              <w:jc w:val="center"/>
              <w:rPr>
                <w:rFonts w:hint="eastAsia" w:ascii="宋体" w:hAnsi="宋体"/>
                <w:color w:val="auto"/>
              </w:rPr>
            </w:pPr>
            <w:r>
              <w:rPr>
                <w:rFonts w:hint="eastAsia" w:ascii="宋体" w:hAnsi="宋体"/>
                <w:color w:val="auto"/>
              </w:rPr>
              <w:t>其人员</w:t>
            </w:r>
          </w:p>
        </w:tc>
        <w:tc>
          <w:tcPr>
            <w:tcW w:w="1183" w:type="dxa"/>
            <w:noWrap w:val="0"/>
            <w:vAlign w:val="center"/>
          </w:tcPr>
          <w:p>
            <w:pPr>
              <w:jc w:val="center"/>
              <w:rPr>
                <w:rFonts w:hint="eastAsia" w:ascii="宋体" w:hAnsi="宋体"/>
                <w:color w:val="auto"/>
              </w:rPr>
            </w:pPr>
          </w:p>
        </w:tc>
        <w:tc>
          <w:tcPr>
            <w:tcW w:w="945" w:type="dxa"/>
            <w:noWrap w:val="0"/>
            <w:vAlign w:val="center"/>
          </w:tcPr>
          <w:p>
            <w:pPr>
              <w:jc w:val="center"/>
              <w:rPr>
                <w:rFonts w:hint="eastAsia" w:ascii="宋体" w:hAnsi="宋体"/>
                <w:color w:val="auto"/>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color w:val="auto"/>
              </w:rPr>
            </w:pPr>
          </w:p>
        </w:tc>
        <w:tc>
          <w:tcPr>
            <w:tcW w:w="1183" w:type="dxa"/>
            <w:noWrap w:val="0"/>
            <w:vAlign w:val="center"/>
          </w:tcPr>
          <w:p>
            <w:pPr>
              <w:jc w:val="center"/>
              <w:rPr>
                <w:rFonts w:hint="eastAsia" w:ascii="宋体" w:hAnsi="宋体"/>
                <w:color w:val="auto"/>
              </w:rPr>
            </w:pPr>
          </w:p>
        </w:tc>
        <w:tc>
          <w:tcPr>
            <w:tcW w:w="945" w:type="dxa"/>
            <w:noWrap w:val="0"/>
            <w:vAlign w:val="center"/>
          </w:tcPr>
          <w:p>
            <w:pPr>
              <w:jc w:val="center"/>
              <w:rPr>
                <w:rFonts w:hint="eastAsia" w:ascii="宋体" w:hAnsi="宋体"/>
                <w:color w:val="auto"/>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noWrap w:val="0"/>
            <w:vAlign w:val="center"/>
          </w:tcPr>
          <w:p>
            <w:pPr>
              <w:jc w:val="center"/>
              <w:rPr>
                <w:rFonts w:hint="eastAsia" w:ascii="宋体" w:hAnsi="宋体"/>
                <w:color w:val="auto"/>
              </w:rPr>
            </w:pPr>
          </w:p>
        </w:tc>
        <w:tc>
          <w:tcPr>
            <w:tcW w:w="1183" w:type="dxa"/>
            <w:tcBorders>
              <w:bottom w:val="single" w:color="auto" w:sz="4" w:space="0"/>
            </w:tcBorders>
            <w:noWrap w:val="0"/>
            <w:vAlign w:val="center"/>
          </w:tcPr>
          <w:p>
            <w:pPr>
              <w:jc w:val="center"/>
              <w:rPr>
                <w:rFonts w:hint="eastAsia" w:ascii="宋体" w:hAnsi="宋体"/>
                <w:color w:val="auto"/>
              </w:rPr>
            </w:pPr>
          </w:p>
        </w:tc>
        <w:tc>
          <w:tcPr>
            <w:tcW w:w="945" w:type="dxa"/>
            <w:noWrap w:val="0"/>
            <w:vAlign w:val="center"/>
          </w:tcPr>
          <w:p>
            <w:pPr>
              <w:jc w:val="center"/>
              <w:rPr>
                <w:rFonts w:hint="eastAsia" w:ascii="宋体" w:hAnsi="宋体"/>
                <w:color w:val="auto"/>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exact"/>
          <w:jc w:val="center"/>
        </w:trPr>
        <w:tc>
          <w:tcPr>
            <w:tcW w:w="8512" w:type="dxa"/>
            <w:gridSpan w:val="7"/>
            <w:tcBorders>
              <w:top w:val="single" w:color="auto" w:sz="4" w:space="0"/>
              <w:bottom w:val="single" w:color="auto" w:sz="4" w:space="0"/>
            </w:tcBorders>
            <w:noWrap w:val="0"/>
            <w:vAlign w:val="center"/>
          </w:tcPr>
          <w:p>
            <w:pPr>
              <w:jc w:val="center"/>
              <w:rPr>
                <w:rFonts w:hint="default"/>
                <w:color w:val="auto"/>
                <w:lang w:val="en-US" w:eastAsia="zh-CN"/>
              </w:rPr>
            </w:pPr>
            <w:r>
              <w:rPr>
                <w:rFonts w:hint="eastAsia"/>
                <w:color w:val="auto"/>
                <w:lang w:val="en-US" w:eastAsia="zh-CN"/>
              </w:rPr>
              <w:t>设备清单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color w:val="auto"/>
              </w:rPr>
            </w:pPr>
            <w:r>
              <w:rPr>
                <w:rFonts w:hint="eastAsia" w:ascii="宋体" w:hAnsi="宋体"/>
                <w:color w:val="auto"/>
              </w:rPr>
              <w:t>序号</w:t>
            </w:r>
          </w:p>
        </w:tc>
        <w:tc>
          <w:tcPr>
            <w:tcW w:w="2128" w:type="dxa"/>
            <w:gridSpan w:val="2"/>
            <w:tcBorders>
              <w:top w:val="single" w:color="auto" w:sz="4" w:space="0"/>
              <w:bottom w:val="single" w:color="auto" w:sz="4" w:space="0"/>
            </w:tcBorders>
            <w:noWrap w:val="0"/>
            <w:vAlign w:val="center"/>
          </w:tcPr>
          <w:p>
            <w:pPr>
              <w:jc w:val="center"/>
              <w:rPr>
                <w:rFonts w:hint="eastAsia" w:ascii="宋体" w:hAnsi="宋体"/>
                <w:color w:val="auto"/>
              </w:rPr>
            </w:pPr>
            <w:r>
              <w:rPr>
                <w:rFonts w:hint="eastAsia" w:ascii="宋体" w:hAnsi="宋体"/>
                <w:color w:val="auto"/>
              </w:rPr>
              <w:t>设备名称</w:t>
            </w:r>
          </w:p>
        </w:tc>
        <w:tc>
          <w:tcPr>
            <w:tcW w:w="1137" w:type="dxa"/>
            <w:noWrap w:val="0"/>
            <w:vAlign w:val="center"/>
          </w:tcPr>
          <w:p>
            <w:pPr>
              <w:jc w:val="center"/>
              <w:rPr>
                <w:rFonts w:hint="eastAsia" w:ascii="宋体" w:hAnsi="宋体"/>
                <w:color w:val="auto"/>
              </w:rPr>
            </w:pPr>
            <w:r>
              <w:rPr>
                <w:rFonts w:hint="eastAsia" w:ascii="宋体" w:hAnsi="宋体"/>
                <w:color w:val="auto"/>
              </w:rPr>
              <w:t>规格型号</w:t>
            </w:r>
          </w:p>
        </w:tc>
        <w:tc>
          <w:tcPr>
            <w:tcW w:w="1359" w:type="dxa"/>
            <w:noWrap w:val="0"/>
            <w:vAlign w:val="center"/>
          </w:tcPr>
          <w:p>
            <w:pPr>
              <w:jc w:val="center"/>
              <w:rPr>
                <w:rFonts w:hint="eastAsia" w:ascii="宋体" w:hAnsi="宋体"/>
                <w:color w:val="auto"/>
              </w:rPr>
            </w:pPr>
            <w:r>
              <w:rPr>
                <w:rFonts w:hint="eastAsia" w:ascii="宋体" w:hAnsi="宋体"/>
                <w:color w:val="auto"/>
              </w:rPr>
              <w:t>单位</w:t>
            </w:r>
          </w:p>
        </w:tc>
        <w:tc>
          <w:tcPr>
            <w:tcW w:w="1470" w:type="dxa"/>
            <w:noWrap w:val="0"/>
            <w:vAlign w:val="center"/>
          </w:tcPr>
          <w:p>
            <w:pPr>
              <w:jc w:val="center"/>
              <w:rPr>
                <w:rFonts w:hint="eastAsia" w:ascii="宋体" w:hAnsi="宋体"/>
                <w:color w:val="auto"/>
              </w:rPr>
            </w:pPr>
            <w:r>
              <w:rPr>
                <w:rFonts w:hint="eastAsia" w:ascii="宋体" w:hAnsi="宋体"/>
                <w:color w:val="auto"/>
              </w:rPr>
              <w:t>数量</w:t>
            </w:r>
          </w:p>
        </w:tc>
        <w:tc>
          <w:tcPr>
            <w:tcW w:w="1142" w:type="dxa"/>
            <w:noWrap w:val="0"/>
            <w:vAlign w:val="center"/>
          </w:tcPr>
          <w:p>
            <w:pPr>
              <w:jc w:val="center"/>
              <w:rPr>
                <w:rFonts w:hint="eastAsia" w:ascii="宋体" w:hAnsi="宋体"/>
                <w:color w:val="auto"/>
              </w:rPr>
            </w:pPr>
            <w:r>
              <w:rPr>
                <w:rFonts w:hint="eastAsia" w:ascii="宋体" w:hAnsi="宋体"/>
                <w:color w:va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eastAsia="宋体"/>
                <w:color w:val="auto"/>
                <w:lang w:val="en-US" w:eastAsia="zh-CN"/>
              </w:rPr>
            </w:pPr>
            <w:r>
              <w:rPr>
                <w:rFonts w:hint="eastAsia" w:ascii="宋体" w:hAnsi="宋体"/>
                <w:color w:val="auto"/>
                <w:lang w:val="en-US" w:eastAsia="zh-CN"/>
              </w:rPr>
              <w:t>1</w:t>
            </w:r>
          </w:p>
        </w:tc>
        <w:tc>
          <w:tcPr>
            <w:tcW w:w="2128" w:type="dxa"/>
            <w:gridSpan w:val="2"/>
            <w:tcBorders>
              <w:top w:val="single" w:color="auto" w:sz="4" w:space="0"/>
              <w:bottom w:val="single" w:color="auto" w:sz="4" w:space="0"/>
            </w:tcBorders>
            <w:noWrap w:val="0"/>
            <w:vAlign w:val="center"/>
          </w:tcPr>
          <w:p>
            <w:pPr>
              <w:jc w:val="center"/>
              <w:rPr>
                <w:rFonts w:hint="default" w:ascii="宋体" w:hAnsi="宋体" w:eastAsia="宋体"/>
                <w:color w:val="auto"/>
                <w:lang w:val="en-US" w:eastAsia="zh-CN"/>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eastAsia="宋体"/>
                <w:color w:val="auto"/>
                <w:lang w:val="en-US" w:eastAsia="zh-CN"/>
              </w:rPr>
            </w:pPr>
            <w:r>
              <w:rPr>
                <w:rFonts w:hint="eastAsia" w:ascii="宋体" w:hAnsi="宋体"/>
                <w:color w:val="auto"/>
                <w:lang w:val="en-US" w:eastAsia="zh-CN"/>
              </w:rPr>
              <w:t>2</w:t>
            </w:r>
          </w:p>
        </w:tc>
        <w:tc>
          <w:tcPr>
            <w:tcW w:w="2128" w:type="dxa"/>
            <w:gridSpan w:val="2"/>
            <w:tcBorders>
              <w:top w:val="single" w:color="auto" w:sz="4" w:space="0"/>
              <w:bottom w:val="single" w:color="auto" w:sz="4" w:space="0"/>
            </w:tcBorders>
            <w:noWrap w:val="0"/>
            <w:vAlign w:val="center"/>
          </w:tcPr>
          <w:p>
            <w:pPr>
              <w:jc w:val="center"/>
              <w:rPr>
                <w:rFonts w:hint="default" w:ascii="宋体" w:hAnsi="宋体" w:eastAsia="宋体"/>
                <w:color w:val="auto"/>
                <w:lang w:val="en-US" w:eastAsia="zh-CN"/>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eastAsia="宋体"/>
                <w:color w:val="auto"/>
                <w:lang w:val="en-US" w:eastAsia="zh-CN"/>
              </w:rPr>
            </w:pPr>
            <w:r>
              <w:rPr>
                <w:rFonts w:hint="eastAsia" w:ascii="宋体" w:hAnsi="宋体"/>
                <w:color w:val="auto"/>
                <w:lang w:val="en-US" w:eastAsia="zh-CN"/>
              </w:rPr>
              <w:t>3</w:t>
            </w:r>
          </w:p>
        </w:tc>
        <w:tc>
          <w:tcPr>
            <w:tcW w:w="2128" w:type="dxa"/>
            <w:gridSpan w:val="2"/>
            <w:tcBorders>
              <w:top w:val="single" w:color="auto" w:sz="4" w:space="0"/>
              <w:bottom w:val="single" w:color="auto" w:sz="4" w:space="0"/>
            </w:tcBorders>
            <w:noWrap w:val="0"/>
            <w:vAlign w:val="center"/>
          </w:tcPr>
          <w:p>
            <w:pPr>
              <w:jc w:val="center"/>
              <w:rPr>
                <w:rFonts w:hint="eastAsia" w:ascii="宋体" w:hAnsi="宋体"/>
                <w:color w:val="auto"/>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eastAsia="宋体"/>
                <w:color w:val="auto"/>
                <w:lang w:val="en-US" w:eastAsia="zh-CN"/>
              </w:rPr>
            </w:pPr>
            <w:r>
              <w:rPr>
                <w:rFonts w:hint="eastAsia" w:ascii="宋体" w:hAnsi="宋体"/>
                <w:color w:val="auto"/>
                <w:lang w:val="en-US" w:eastAsia="zh-CN"/>
              </w:rPr>
              <w:t>4</w:t>
            </w:r>
          </w:p>
        </w:tc>
        <w:tc>
          <w:tcPr>
            <w:tcW w:w="2128" w:type="dxa"/>
            <w:gridSpan w:val="2"/>
            <w:tcBorders>
              <w:top w:val="single" w:color="auto" w:sz="4" w:space="0"/>
              <w:bottom w:val="single" w:color="auto" w:sz="4" w:space="0"/>
            </w:tcBorders>
            <w:noWrap w:val="0"/>
            <w:vAlign w:val="center"/>
          </w:tcPr>
          <w:p>
            <w:pPr>
              <w:jc w:val="center"/>
              <w:rPr>
                <w:rFonts w:hint="default" w:ascii="宋体" w:hAnsi="宋体" w:eastAsia="宋体"/>
                <w:color w:val="auto"/>
                <w:lang w:val="en-US" w:eastAsia="zh-CN"/>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bl>
    <w:p>
      <w:pPr>
        <w:spacing w:line="400" w:lineRule="exact"/>
        <w:rPr>
          <w:rFonts w:hint="eastAsia" w:ascii="宋体" w:hAnsi="宋体"/>
          <w:color w:val="auto"/>
        </w:rPr>
      </w:pPr>
    </w:p>
    <w:p>
      <w:pPr>
        <w:spacing w:line="400" w:lineRule="exact"/>
        <w:rPr>
          <w:rFonts w:hint="eastAsia" w:ascii="宋体" w:hAnsi="宋体"/>
          <w:color w:val="auto"/>
        </w:rPr>
      </w:pPr>
    </w:p>
    <w:p>
      <w:pPr>
        <w:pStyle w:val="27"/>
        <w:adjustRightInd w:val="0"/>
        <w:snapToGrid w:val="0"/>
        <w:spacing w:line="360" w:lineRule="auto"/>
        <w:ind w:left="0" w:leftChars="0" w:firstLine="0" w:firstLineChars="0"/>
        <w:rPr>
          <w:rFonts w:hint="eastAsia" w:ascii="宋体" w:hAnsi="宋体"/>
          <w:bCs/>
          <w:color w:val="auto"/>
          <w:sz w:val="21"/>
          <w:szCs w:val="21"/>
        </w:rPr>
      </w:pPr>
      <w:r>
        <w:rPr>
          <w:rFonts w:hint="eastAsia" w:ascii="宋体" w:hAnsi="宋体"/>
          <w:color w:val="auto"/>
          <w:sz w:val="21"/>
          <w:szCs w:val="21"/>
        </w:rPr>
        <w:t>投标人名称：</w:t>
      </w:r>
      <w:r>
        <w:rPr>
          <w:rFonts w:hint="eastAsia" w:ascii="宋体" w:hAnsi="宋体"/>
          <w:color w:val="auto"/>
          <w:sz w:val="21"/>
          <w:szCs w:val="21"/>
          <w:u w:val="single"/>
        </w:rPr>
        <w:t xml:space="preserve">                   </w:t>
      </w:r>
    </w:p>
    <w:p>
      <w:pPr>
        <w:adjustRightInd w:val="0"/>
        <w:snapToGrid w:val="0"/>
        <w:spacing w:line="360" w:lineRule="auto"/>
        <w:rPr>
          <w:rFonts w:hint="eastAsia" w:ascii="宋体" w:hAnsi="宋体"/>
          <w:color w:val="auto"/>
          <w:szCs w:val="21"/>
        </w:rPr>
      </w:pPr>
      <w:r>
        <w:rPr>
          <w:rFonts w:hint="eastAsia" w:ascii="宋体" w:hAnsi="宋体"/>
          <w:color w:val="auto"/>
          <w:szCs w:val="21"/>
        </w:rPr>
        <w:t>法定代表人或其委托代理人(签字)：</w:t>
      </w:r>
      <w:r>
        <w:rPr>
          <w:rFonts w:hint="eastAsia" w:ascii="宋体" w:hAnsi="宋体"/>
          <w:color w:val="auto"/>
          <w:szCs w:val="21"/>
          <w:u w:val="single"/>
        </w:rPr>
        <w:t xml:space="preserve">                   </w:t>
      </w:r>
    </w:p>
    <w:p>
      <w:pPr>
        <w:adjustRightInd w:val="0"/>
        <w:snapToGrid w:val="0"/>
        <w:spacing w:line="360" w:lineRule="auto"/>
        <w:rPr>
          <w:rFonts w:hint="eastAsia" w:ascii="宋体" w:hAnsi="宋体"/>
          <w:color w:val="auto"/>
          <w:szCs w:val="21"/>
        </w:rPr>
      </w:pPr>
      <w:r>
        <w:rPr>
          <w:rFonts w:hint="eastAsia" w:ascii="宋体" w:hAnsi="宋体"/>
          <w:color w:val="auto"/>
          <w:szCs w:val="21"/>
        </w:rPr>
        <w:t>日</w:t>
      </w:r>
      <w:r>
        <w:rPr>
          <w:rFonts w:hint="eastAsia" w:ascii="宋体" w:hAnsi="宋体"/>
          <w:color w:val="auto"/>
          <w:szCs w:val="21"/>
          <w:lang w:val="en-US" w:eastAsia="zh-CN"/>
        </w:rPr>
        <w:t xml:space="preserve">    </w:t>
      </w:r>
      <w:r>
        <w:rPr>
          <w:rFonts w:hint="eastAsia" w:ascii="宋体" w:hAnsi="宋体"/>
          <w:color w:val="auto"/>
          <w:szCs w:val="21"/>
        </w:rPr>
        <w:t xml:space="preserve">期： </w:t>
      </w:r>
      <w:r>
        <w:rPr>
          <w:rFonts w:hint="eastAsia" w:ascii="宋体" w:hAnsi="宋体"/>
          <w:color w:val="auto"/>
          <w:szCs w:val="21"/>
          <w:u w:val="single"/>
        </w:rPr>
        <w:t xml:space="preserve">     </w:t>
      </w:r>
      <w:r>
        <w:rPr>
          <w:rFonts w:hint="eastAsia" w:ascii="宋体" w:hAnsi="宋体"/>
          <w:color w:val="auto"/>
          <w:szCs w:val="21"/>
        </w:rPr>
        <w:t xml:space="preserve"> 年 </w:t>
      </w:r>
      <w:r>
        <w:rPr>
          <w:rFonts w:hint="eastAsia" w:ascii="宋体" w:hAnsi="宋体"/>
          <w:color w:val="auto"/>
          <w:szCs w:val="21"/>
          <w:u w:val="single"/>
        </w:rPr>
        <w:t xml:space="preserve">    </w:t>
      </w:r>
      <w:r>
        <w:rPr>
          <w:rFonts w:hint="eastAsia" w:ascii="宋体" w:hAnsi="宋体"/>
          <w:color w:val="auto"/>
          <w:szCs w:val="21"/>
        </w:rPr>
        <w:t xml:space="preserve"> 月 </w:t>
      </w:r>
      <w:r>
        <w:rPr>
          <w:rFonts w:hint="eastAsia" w:ascii="宋体" w:hAnsi="宋体"/>
          <w:color w:val="auto"/>
          <w:szCs w:val="21"/>
          <w:u w:val="single"/>
        </w:rPr>
        <w:t xml:space="preserve">   </w:t>
      </w:r>
      <w:r>
        <w:rPr>
          <w:rFonts w:hint="eastAsia" w:ascii="宋体" w:hAnsi="宋体"/>
          <w:color w:val="auto"/>
          <w:szCs w:val="21"/>
        </w:rPr>
        <w:t xml:space="preserve"> 日</w:t>
      </w:r>
    </w:p>
    <w:p>
      <w:pPr>
        <w:rPr>
          <w:rFonts w:hint="eastAsia" w:ascii="宋体" w:hAnsi="宋体"/>
          <w:color w:val="auto"/>
        </w:rPr>
        <w:sectPr>
          <w:headerReference r:id="rId23" w:type="default"/>
          <w:footerReference r:id="rId24" w:type="default"/>
          <w:pgSz w:w="11906" w:h="16838"/>
          <w:pgMar w:top="2098" w:right="1417" w:bottom="1984" w:left="1417" w:header="851" w:footer="992" w:gutter="0"/>
          <w:pgBorders w:offsetFrom="page">
            <w:top w:val="none" w:sz="0" w:space="0"/>
            <w:left w:val="none" w:sz="0" w:space="0"/>
            <w:bottom w:val="none" w:sz="0" w:space="0"/>
            <w:right w:val="none" w:sz="0" w:space="0"/>
          </w:pgBorders>
          <w:cols w:space="425" w:num="1"/>
          <w:docGrid w:type="lines" w:linePitch="312" w:charSpace="0"/>
        </w:sectPr>
      </w:pPr>
    </w:p>
    <w:p>
      <w:pPr>
        <w:adjustRightInd w:val="0"/>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附件9</w:t>
      </w:r>
    </w:p>
    <w:p>
      <w:pPr>
        <w:adjustRightInd w:val="0"/>
        <w:snapToGrid w:val="0"/>
        <w:spacing w:line="360" w:lineRule="auto"/>
        <w:ind w:firstLine="560" w:firstLineChars="200"/>
        <w:jc w:val="center"/>
        <w:rPr>
          <w:rFonts w:ascii="宋体" w:hAnsi="宋体" w:cs="宋体"/>
          <w:color w:val="000000" w:themeColor="text1"/>
          <w:sz w:val="28"/>
          <w:szCs w:val="28"/>
          <w:highlight w:val="yellow"/>
          <w14:textFill>
            <w14:solidFill>
              <w14:schemeClr w14:val="tx1"/>
            </w14:solidFill>
          </w14:textFill>
        </w:rPr>
      </w:pPr>
    </w:p>
    <w:p>
      <w:pPr>
        <w:adjustRightInd w:val="0"/>
        <w:snapToGrid w:val="0"/>
        <w:spacing w:line="360" w:lineRule="auto"/>
        <w:ind w:firstLine="562" w:firstLineChars="200"/>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具备履行合同所必需的设备和专业技术能力的承诺</w:t>
      </w:r>
    </w:p>
    <w:p>
      <w:pPr>
        <w:adjustRightInd w:val="0"/>
        <w:snapToGrid w:val="0"/>
        <w:spacing w:line="360" w:lineRule="auto"/>
        <w:ind w:firstLine="560" w:firstLineChars="200"/>
        <w:jc w:val="center"/>
        <w:rPr>
          <w:rFonts w:ascii="宋体" w:hAnsi="宋体" w:cs="宋体"/>
          <w:color w:val="000000" w:themeColor="text1"/>
          <w:sz w:val="28"/>
          <w:szCs w:val="28"/>
          <w14:textFill>
            <w14:solidFill>
              <w14:schemeClr w14:val="tx1"/>
            </w14:solidFill>
          </w14:textFill>
        </w:rPr>
      </w:pPr>
    </w:p>
    <w:p>
      <w:pPr>
        <w:autoSpaceDE w:val="0"/>
        <w:autoSpaceDN w:val="0"/>
        <w:adjustRightInd w:val="0"/>
        <w:spacing w:line="440" w:lineRule="exact"/>
        <w:jc w:val="left"/>
        <w:rPr>
          <w:rFonts w:ascii="宋体" w:hAnsi="宋体" w:cs="宋体"/>
          <w:color w:val="000000" w:themeColor="text1"/>
          <w:kern w:val="0"/>
          <w:sz w:val="23"/>
          <w:szCs w:val="23"/>
          <w14:textFill>
            <w14:solidFill>
              <w14:schemeClr w14:val="tx1"/>
            </w14:solidFill>
          </w14:textFill>
        </w:rPr>
      </w:pPr>
      <w:r>
        <w:rPr>
          <w:rFonts w:hint="eastAsia" w:ascii="宋体" w:hAnsi="宋体" w:cs="宋体"/>
          <w:color w:val="000000" w:themeColor="text1"/>
          <w:kern w:val="0"/>
          <w:sz w:val="23"/>
          <w:szCs w:val="23"/>
          <w14:textFill>
            <w14:solidFill>
              <w14:schemeClr w14:val="tx1"/>
            </w14:solidFill>
          </w14:textFill>
        </w:rPr>
        <w:t xml:space="preserve">本投标单位郑重声明： </w:t>
      </w:r>
    </w:p>
    <w:p>
      <w:pPr>
        <w:autoSpaceDE w:val="0"/>
        <w:autoSpaceDN w:val="0"/>
        <w:adjustRightInd w:val="0"/>
        <w:spacing w:line="440" w:lineRule="exact"/>
        <w:ind w:left="420"/>
        <w:jc w:val="left"/>
        <w:rPr>
          <w:rFonts w:ascii="宋体" w:hAnsi="宋体" w:cs="宋体"/>
          <w:color w:val="000000" w:themeColor="text1"/>
          <w:kern w:val="0"/>
          <w:sz w:val="23"/>
          <w:szCs w:val="23"/>
          <w14:textFill>
            <w14:solidFill>
              <w14:schemeClr w14:val="tx1"/>
            </w14:solidFill>
          </w14:textFill>
        </w:rPr>
      </w:pPr>
    </w:p>
    <w:p>
      <w:pPr>
        <w:autoSpaceDE w:val="0"/>
        <w:autoSpaceDN w:val="0"/>
        <w:adjustRightInd w:val="0"/>
        <w:spacing w:line="440" w:lineRule="exact"/>
        <w:ind w:firstLine="460" w:firstLineChars="200"/>
        <w:jc w:val="left"/>
        <w:rPr>
          <w:rFonts w:ascii="宋体" w:hAnsi="宋体" w:cs="宋体"/>
          <w:color w:val="000000" w:themeColor="text1"/>
          <w:kern w:val="0"/>
          <w:sz w:val="23"/>
          <w:szCs w:val="23"/>
          <w14:textFill>
            <w14:solidFill>
              <w14:schemeClr w14:val="tx1"/>
            </w14:solidFill>
          </w14:textFill>
        </w:rPr>
      </w:pPr>
      <w:r>
        <w:rPr>
          <w:rFonts w:hint="eastAsia" w:ascii="宋体" w:hAnsi="宋体" w:cs="宋体"/>
          <w:color w:val="000000" w:themeColor="text1"/>
          <w:kern w:val="0"/>
          <w:sz w:val="23"/>
          <w:szCs w:val="23"/>
          <w14:textFill>
            <w14:solidFill>
              <w14:schemeClr w14:val="tx1"/>
            </w14:solidFill>
          </w14:textFill>
        </w:rPr>
        <w:t xml:space="preserve">本公司（或单位）具备本项目履行合同所必需的设备和专业技术能力，特此承诺。 </w:t>
      </w:r>
    </w:p>
    <w:p>
      <w:pPr>
        <w:autoSpaceDE w:val="0"/>
        <w:autoSpaceDN w:val="0"/>
        <w:adjustRightInd w:val="0"/>
        <w:spacing w:line="440" w:lineRule="exact"/>
        <w:jc w:val="left"/>
        <w:rPr>
          <w:rFonts w:ascii="宋体" w:hAnsi="宋体" w:cs="宋体"/>
          <w:color w:val="000000" w:themeColor="text1"/>
          <w:kern w:val="0"/>
          <w:sz w:val="23"/>
          <w:szCs w:val="23"/>
          <w14:textFill>
            <w14:solidFill>
              <w14:schemeClr w14:val="tx1"/>
            </w14:solidFill>
          </w14:textFill>
        </w:rPr>
      </w:pP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 w:val="23"/>
          <w:szCs w:val="23"/>
          <w14:textFill>
            <w14:solidFill>
              <w14:schemeClr w14:val="tx1"/>
            </w14:solidFill>
          </w14:textFill>
        </w:rPr>
        <w:t>投标单位</w:t>
      </w:r>
      <w:r>
        <w:rPr>
          <w:rFonts w:hint="eastAsia" w:ascii="宋体" w:hAnsi="宋体" w:cs="宋体"/>
          <w:color w:val="000000" w:themeColor="text1"/>
          <w:szCs w:val="21"/>
          <w14:textFill>
            <w14:solidFill>
              <w14:schemeClr w14:val="tx1"/>
            </w14:solidFill>
          </w14:textFill>
        </w:rPr>
        <w:t>（盖单位章）：</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法定代表人或其委托代理人（签字）：</w:t>
      </w:r>
      <w:r>
        <w:rPr>
          <w:rFonts w:hint="eastAsia" w:ascii="宋体" w:hAnsi="宋体" w:cs="宋体"/>
          <w:color w:val="000000" w:themeColor="text1"/>
          <w:szCs w:val="21"/>
          <w:u w:val="single"/>
          <w14:textFill>
            <w14:solidFill>
              <w14:schemeClr w14:val="tx1"/>
            </w14:solidFill>
          </w14:textFill>
        </w:rPr>
        <w:t xml:space="preserve">               </w:t>
      </w:r>
    </w:p>
    <w:p>
      <w:pPr>
        <w:adjustRightInd w:val="0"/>
        <w:snapToGrid w:val="0"/>
        <w:spacing w:line="360" w:lineRule="auto"/>
        <w:rPr>
          <w:rFonts w:hint="eastAsia" w:ascii="宋体" w:hAnsi="宋体"/>
          <w:color w:val="auto"/>
        </w:rPr>
        <w:sectPr>
          <w:pgSz w:w="11906" w:h="16838"/>
          <w:pgMar w:top="2098" w:right="1417" w:bottom="1984" w:left="1417" w:header="851" w:footer="992" w:gutter="0"/>
          <w:pgBorders w:offsetFrom="page">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000000" w:themeColor="text1"/>
          <w:szCs w:val="21"/>
          <w14:textFill>
            <w14:solidFill>
              <w14:schemeClr w14:val="tx1"/>
            </w14:solidFill>
          </w14:textFill>
        </w:rPr>
        <w:t>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p>
    <w:p>
      <w:pPr>
        <w:rPr>
          <w:rFonts w:hint="default" w:ascii="宋体" w:hAnsi="宋体" w:eastAsia="宋体"/>
          <w:bCs/>
          <w:color w:val="auto"/>
          <w:sz w:val="28"/>
          <w:szCs w:val="28"/>
          <w:lang w:val="en-US" w:eastAsia="zh-CN"/>
        </w:rPr>
      </w:pPr>
      <w:r>
        <w:rPr>
          <w:rFonts w:hint="eastAsia" w:ascii="宋体" w:hAnsi="宋体"/>
          <w:bCs/>
          <w:color w:val="auto"/>
          <w:sz w:val="28"/>
          <w:szCs w:val="28"/>
        </w:rPr>
        <w:t>附件</w:t>
      </w:r>
      <w:r>
        <w:rPr>
          <w:rFonts w:hint="eastAsia" w:ascii="宋体" w:hAnsi="宋体"/>
          <w:bCs/>
          <w:color w:val="auto"/>
          <w:sz w:val="28"/>
          <w:szCs w:val="28"/>
          <w:lang w:val="en-US" w:eastAsia="zh-CN"/>
        </w:rPr>
        <w:t>10</w:t>
      </w:r>
    </w:p>
    <w:p>
      <w:pPr>
        <w:adjustRightInd w:val="0"/>
        <w:snapToGrid w:val="0"/>
        <w:ind w:left="-88" w:leftChars="-42" w:firstLine="280" w:firstLineChars="100"/>
        <w:jc w:val="center"/>
        <w:rPr>
          <w:rFonts w:hint="eastAsia" w:ascii="宋体" w:hAnsi="宋体"/>
          <w:bCs/>
          <w:color w:val="auto"/>
          <w:sz w:val="28"/>
          <w:szCs w:val="28"/>
        </w:rPr>
      </w:pPr>
      <w:r>
        <w:rPr>
          <w:rFonts w:hint="eastAsia" w:ascii="宋体" w:hAnsi="宋体"/>
          <w:bCs/>
          <w:color w:val="auto"/>
          <w:sz w:val="28"/>
          <w:szCs w:val="28"/>
          <w:lang w:val="en-US" w:eastAsia="zh-CN"/>
        </w:rPr>
        <w:t>售后</w:t>
      </w:r>
      <w:r>
        <w:rPr>
          <w:rFonts w:hint="eastAsia" w:ascii="宋体" w:hAnsi="宋体"/>
          <w:bCs/>
          <w:color w:val="auto"/>
          <w:sz w:val="28"/>
          <w:szCs w:val="28"/>
        </w:rPr>
        <w:t>服务附表</w:t>
      </w:r>
    </w:p>
    <w:p>
      <w:pPr>
        <w:topLinePunct/>
        <w:spacing w:line="440" w:lineRule="exact"/>
        <w:rPr>
          <w:rFonts w:hint="eastAsia" w:ascii="宋体" w:hAnsi="宋体"/>
          <w:b/>
          <w:color w:val="auto"/>
          <w:szCs w:val="21"/>
        </w:rPr>
      </w:pPr>
    </w:p>
    <w:p>
      <w:pPr>
        <w:topLinePunct/>
        <w:spacing w:line="440" w:lineRule="exact"/>
        <w:rPr>
          <w:rFonts w:hint="eastAsia" w:ascii="宋体" w:hAnsi="宋体"/>
          <w:b/>
          <w:color w:val="auto"/>
          <w:szCs w:val="21"/>
          <w:u w:val="single"/>
        </w:rPr>
      </w:pPr>
      <w:r>
        <w:rPr>
          <w:rFonts w:hint="eastAsia" w:ascii="宋体" w:hAnsi="宋体"/>
          <w:b/>
          <w:color w:val="auto"/>
          <w:szCs w:val="21"/>
        </w:rPr>
        <w:t>项目编号：</w:t>
      </w:r>
      <w:r>
        <w:rPr>
          <w:rFonts w:hint="eastAsia" w:ascii="宋体" w:hAnsi="宋体"/>
          <w:b/>
          <w:color w:val="auto"/>
          <w:szCs w:val="21"/>
          <w:u w:val="single"/>
        </w:rPr>
        <w:t xml:space="preserve">                           </w:t>
      </w:r>
    </w:p>
    <w:p>
      <w:pPr>
        <w:topLinePunct/>
        <w:spacing w:line="440" w:lineRule="exact"/>
        <w:rPr>
          <w:rFonts w:ascii="宋体" w:hAnsi="宋体"/>
          <w:b/>
          <w:color w:val="auto"/>
          <w:szCs w:val="21"/>
        </w:rPr>
      </w:pPr>
      <w:r>
        <w:rPr>
          <w:rFonts w:hint="eastAsia" w:ascii="宋体" w:hAnsi="宋体"/>
          <w:b/>
          <w:color w:val="auto"/>
          <w:szCs w:val="21"/>
        </w:rPr>
        <w:t>投标人名称：</w:t>
      </w:r>
      <w:r>
        <w:rPr>
          <w:rFonts w:hint="eastAsia" w:ascii="宋体" w:hAnsi="宋体"/>
          <w:b/>
          <w:color w:val="auto"/>
          <w:szCs w:val="21"/>
          <w:u w:val="single"/>
        </w:rPr>
        <w:t xml:space="preserve">                          </w:t>
      </w:r>
      <w:r>
        <w:rPr>
          <w:rFonts w:hint="eastAsia" w:ascii="宋体" w:hAnsi="宋体"/>
          <w:b/>
          <w:color w:val="auto"/>
          <w:szCs w:val="21"/>
        </w:rPr>
        <w:t xml:space="preserve">         </w:t>
      </w:r>
    </w:p>
    <w:tbl>
      <w:tblPr>
        <w:tblStyle w:val="47"/>
        <w:tblW w:w="87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440"/>
        <w:gridCol w:w="191"/>
        <w:gridCol w:w="1440"/>
        <w:gridCol w:w="705"/>
        <w:gridCol w:w="1196"/>
        <w:gridCol w:w="20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rPr>
              <w:t>服务网点名称</w:t>
            </w:r>
          </w:p>
        </w:tc>
        <w:tc>
          <w:tcPr>
            <w:tcW w:w="497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jc w:val="center"/>
              <w:rPr>
                <w:rFonts w:ascii="宋体" w:hAnsi="宋体"/>
                <w:color w:val="auto"/>
                <w:szCs w:val="21"/>
              </w:rPr>
            </w:pPr>
          </w:p>
        </w:tc>
        <w:tc>
          <w:tcPr>
            <w:tcW w:w="2048"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jc w:val="center"/>
              <w:rPr>
                <w:rFonts w:ascii="宋体" w:hAnsi="宋体"/>
                <w:color w:val="auto"/>
                <w:szCs w:val="21"/>
              </w:rPr>
            </w:pPr>
            <w:r>
              <w:rPr>
                <w:rFonts w:hint="eastAsia" w:ascii="宋体" w:hAnsi="宋体"/>
                <w:color w:val="auto"/>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rPr>
              <w:t>地址</w:t>
            </w:r>
          </w:p>
        </w:tc>
        <w:tc>
          <w:tcPr>
            <w:tcW w:w="497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jc w:val="center"/>
              <w:rPr>
                <w:rFonts w:ascii="宋体" w:hAnsi="宋体"/>
                <w:color w:val="auto"/>
                <w:szCs w:val="21"/>
              </w:rPr>
            </w:pPr>
          </w:p>
        </w:tc>
        <w:tc>
          <w:tcPr>
            <w:tcW w:w="204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rPr>
              <w:t>注册资本金</w:t>
            </w: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color w:val="auto"/>
                <w:szCs w:val="21"/>
              </w:rPr>
            </w:pPr>
          </w:p>
        </w:tc>
        <w:tc>
          <w:tcPr>
            <w:tcW w:w="2336"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rPr>
                <w:rFonts w:ascii="宋体" w:hAnsi="宋体"/>
                <w:color w:val="auto"/>
                <w:szCs w:val="21"/>
              </w:rPr>
            </w:pPr>
            <w:r>
              <w:rPr>
                <w:rFonts w:hint="eastAsia" w:ascii="宋体" w:hAnsi="宋体"/>
                <w:color w:val="auto"/>
                <w:szCs w:val="21"/>
              </w:rPr>
              <w:t>其中：投标人出资比例</w:t>
            </w:r>
          </w:p>
        </w:tc>
        <w:tc>
          <w:tcPr>
            <w:tcW w:w="119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color w:val="auto"/>
                <w:szCs w:val="21"/>
              </w:rPr>
            </w:pPr>
          </w:p>
        </w:tc>
        <w:tc>
          <w:tcPr>
            <w:tcW w:w="2048" w:type="dxa"/>
            <w:vMerge w:val="restart"/>
            <w:tcBorders>
              <w:top w:val="single" w:color="auto" w:sz="4" w:space="0"/>
              <w:left w:val="single" w:color="auto" w:sz="4" w:space="0"/>
              <w:right w:val="single" w:color="auto" w:sz="4" w:space="0"/>
            </w:tcBorders>
            <w:noWrap w:val="0"/>
            <w:vAlign w:val="center"/>
          </w:tcPr>
          <w:p>
            <w:pPr>
              <w:snapToGrid w:val="0"/>
              <w:spacing w:before="50" w:after="156" w:afterLines="50" w:line="400" w:lineRule="exact"/>
              <w:rPr>
                <w:rFonts w:hint="eastAsia" w:ascii="宋体" w:hAnsi="宋体"/>
                <w:color w:val="auto"/>
                <w:szCs w:val="21"/>
              </w:rPr>
            </w:pPr>
            <w:r>
              <w:rPr>
                <w:rFonts w:hint="eastAsia" w:ascii="宋体" w:hAnsi="宋体"/>
                <w:color w:val="auto"/>
                <w:szCs w:val="21"/>
              </w:rPr>
              <w:t>提供相关证明材料（如：营业执照或租房合同等）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rPr>
              <w:t>员工总人数</w:t>
            </w: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color w:val="auto"/>
                <w:szCs w:val="21"/>
              </w:rPr>
            </w:pPr>
          </w:p>
        </w:tc>
        <w:tc>
          <w:tcPr>
            <w:tcW w:w="2336"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rPr>
                <w:rFonts w:ascii="宋体" w:hAnsi="宋体"/>
                <w:color w:val="auto"/>
                <w:szCs w:val="21"/>
              </w:rPr>
            </w:pPr>
            <w:r>
              <w:rPr>
                <w:rFonts w:hint="eastAsia" w:ascii="宋体" w:hAnsi="宋体"/>
                <w:color w:val="auto"/>
                <w:szCs w:val="21"/>
              </w:rPr>
              <w:t>其中：技术人员数</w:t>
            </w:r>
          </w:p>
        </w:tc>
        <w:tc>
          <w:tcPr>
            <w:tcW w:w="119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color w:val="auto"/>
                <w:szCs w:val="21"/>
              </w:rPr>
            </w:pPr>
          </w:p>
        </w:tc>
        <w:tc>
          <w:tcPr>
            <w:tcW w:w="2048" w:type="dxa"/>
            <w:vMerge w:val="continue"/>
            <w:tcBorders>
              <w:left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rPr>
              <w:t>经营期限</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color w:val="auto"/>
                <w:szCs w:val="21"/>
              </w:rPr>
            </w:pPr>
          </w:p>
        </w:tc>
        <w:tc>
          <w:tcPr>
            <w:tcW w:w="2048" w:type="dxa"/>
            <w:vMerge w:val="continue"/>
            <w:tcBorders>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lang w:val="en-US" w:eastAsia="zh-CN"/>
              </w:rPr>
              <w:t>售后</w:t>
            </w:r>
            <w:r>
              <w:rPr>
                <w:rFonts w:hint="eastAsia" w:ascii="宋体" w:hAnsi="宋体"/>
                <w:color w:val="auto"/>
                <w:szCs w:val="21"/>
              </w:rPr>
              <w:t>服务协议</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color w:val="auto"/>
                <w:szCs w:val="21"/>
              </w:rPr>
            </w:pPr>
          </w:p>
        </w:tc>
        <w:tc>
          <w:tcPr>
            <w:tcW w:w="20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rPr>
              <w:t>提供相关证明材料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lang w:val="en-US" w:eastAsia="zh-CN"/>
              </w:rPr>
              <w:t>售后</w:t>
            </w:r>
            <w:r>
              <w:rPr>
                <w:rFonts w:hint="eastAsia" w:ascii="宋体" w:hAnsi="宋体"/>
                <w:color w:val="auto"/>
                <w:szCs w:val="21"/>
              </w:rPr>
              <w:t>服务内容</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color w:val="auto"/>
                <w:szCs w:val="21"/>
              </w:rPr>
            </w:pPr>
          </w:p>
        </w:tc>
        <w:tc>
          <w:tcPr>
            <w:tcW w:w="2048" w:type="dxa"/>
            <w:vMerge w:val="restart"/>
            <w:tcBorders>
              <w:top w:val="single" w:color="auto" w:sz="4" w:space="0"/>
              <w:left w:val="single" w:color="auto" w:sz="4" w:space="0"/>
              <w:right w:val="single" w:color="auto" w:sz="4" w:space="0"/>
            </w:tcBorders>
            <w:noWrap w:val="0"/>
            <w:vAlign w:val="center"/>
          </w:tcPr>
          <w:p>
            <w:pPr>
              <w:snapToGrid w:val="0"/>
              <w:spacing w:before="50" w:after="156" w:afterLines="50" w:line="400" w:lineRule="exact"/>
              <w:rPr>
                <w:rFonts w:hint="eastAsia" w:ascii="宋体" w:hAnsi="宋体" w:eastAsia="宋体"/>
                <w:color w:val="auto"/>
                <w:szCs w:val="21"/>
                <w:lang w:eastAsia="zh-CN"/>
              </w:rPr>
            </w:pPr>
            <w:r>
              <w:rPr>
                <w:rFonts w:hint="eastAsia" w:ascii="宋体" w:hAnsi="宋体"/>
                <w:color w:val="auto"/>
                <w:szCs w:val="21"/>
              </w:rPr>
              <w:t>此部分内容做附件进行详细说明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lang w:val="en-US" w:eastAsia="zh-CN"/>
              </w:rPr>
              <w:t>售后</w:t>
            </w:r>
            <w:r>
              <w:rPr>
                <w:rFonts w:hint="eastAsia" w:ascii="宋体" w:hAnsi="宋体"/>
                <w:color w:val="auto"/>
                <w:szCs w:val="21"/>
              </w:rPr>
              <w:t>服务承诺</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color w:val="auto"/>
                <w:szCs w:val="21"/>
              </w:rPr>
            </w:pPr>
          </w:p>
        </w:tc>
        <w:tc>
          <w:tcPr>
            <w:tcW w:w="2048" w:type="dxa"/>
            <w:vMerge w:val="continue"/>
            <w:tcBorders>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rPr>
              <w:t>工作业绩</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color w:val="auto"/>
                <w:szCs w:val="21"/>
              </w:rPr>
            </w:pPr>
          </w:p>
        </w:tc>
        <w:tc>
          <w:tcPr>
            <w:tcW w:w="20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rPr>
              <w:t>提供相关证明材料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rPr>
              <w:t>业务咨询电话</w:t>
            </w:r>
          </w:p>
        </w:tc>
        <w:tc>
          <w:tcPr>
            <w:tcW w:w="1631" w:type="dxa"/>
            <w:gridSpan w:val="2"/>
            <w:tcBorders>
              <w:top w:val="single" w:color="auto" w:sz="4" w:space="0"/>
              <w:left w:val="single" w:color="auto" w:sz="4" w:space="0"/>
              <w:bottom w:val="single" w:color="auto" w:sz="4" w:space="0"/>
              <w:right w:val="single" w:color="auto" w:sz="2" w:space="0"/>
            </w:tcBorders>
            <w:noWrap w:val="0"/>
            <w:vAlign w:val="top"/>
          </w:tcPr>
          <w:p>
            <w:pPr>
              <w:snapToGrid w:val="0"/>
              <w:spacing w:before="50" w:after="156" w:afterLines="50" w:line="400" w:lineRule="exact"/>
              <w:jc w:val="left"/>
              <w:rPr>
                <w:rFonts w:ascii="宋体" w:hAnsi="宋体"/>
                <w:color w:val="auto"/>
                <w:szCs w:val="21"/>
              </w:rPr>
            </w:pPr>
          </w:p>
        </w:tc>
        <w:tc>
          <w:tcPr>
            <w:tcW w:w="1440" w:type="dxa"/>
            <w:tcBorders>
              <w:top w:val="single" w:color="auto" w:sz="4" w:space="0"/>
              <w:left w:val="single" w:color="auto" w:sz="2" w:space="0"/>
              <w:bottom w:val="single" w:color="auto" w:sz="4" w:space="0"/>
              <w:right w:val="single" w:color="auto" w:sz="2" w:space="0"/>
            </w:tcBorders>
            <w:noWrap w:val="0"/>
            <w:vAlign w:val="top"/>
          </w:tcPr>
          <w:p>
            <w:pPr>
              <w:snapToGrid w:val="0"/>
              <w:spacing w:before="50" w:after="156" w:afterLines="50" w:line="400" w:lineRule="exact"/>
              <w:ind w:firstLine="210" w:firstLineChars="100"/>
              <w:jc w:val="left"/>
              <w:rPr>
                <w:rFonts w:ascii="宋体" w:hAnsi="宋体"/>
                <w:color w:val="auto"/>
                <w:szCs w:val="21"/>
              </w:rPr>
            </w:pPr>
            <w:r>
              <w:rPr>
                <w:rFonts w:hint="eastAsia" w:ascii="宋体" w:hAnsi="宋体"/>
                <w:color w:val="auto"/>
                <w:szCs w:val="21"/>
              </w:rPr>
              <w:t>传</w:t>
            </w:r>
            <w:r>
              <w:rPr>
                <w:rFonts w:ascii="宋体" w:hAnsi="宋体"/>
                <w:color w:val="auto"/>
                <w:szCs w:val="21"/>
              </w:rPr>
              <w:t xml:space="preserve"> 真</w:t>
            </w:r>
          </w:p>
        </w:tc>
        <w:tc>
          <w:tcPr>
            <w:tcW w:w="1901" w:type="dxa"/>
            <w:gridSpan w:val="2"/>
            <w:tcBorders>
              <w:top w:val="single" w:color="auto" w:sz="4" w:space="0"/>
              <w:left w:val="single" w:color="auto" w:sz="2" w:space="0"/>
              <w:bottom w:val="single" w:color="auto" w:sz="4" w:space="0"/>
              <w:right w:val="single" w:color="auto" w:sz="2" w:space="0"/>
            </w:tcBorders>
            <w:noWrap w:val="0"/>
            <w:vAlign w:val="top"/>
          </w:tcPr>
          <w:p>
            <w:pPr>
              <w:snapToGrid w:val="0"/>
              <w:spacing w:before="50" w:after="156" w:afterLines="50" w:line="400" w:lineRule="exact"/>
              <w:jc w:val="left"/>
              <w:rPr>
                <w:rFonts w:ascii="宋体" w:hAnsi="宋体"/>
                <w:color w:val="auto"/>
                <w:szCs w:val="21"/>
              </w:rPr>
            </w:pPr>
          </w:p>
        </w:tc>
        <w:tc>
          <w:tcPr>
            <w:tcW w:w="2048" w:type="dxa"/>
            <w:vMerge w:val="restart"/>
            <w:tcBorders>
              <w:top w:val="single" w:color="auto" w:sz="4" w:space="0"/>
              <w:left w:val="single" w:color="auto" w:sz="2" w:space="0"/>
              <w:right w:val="single" w:color="auto" w:sz="4" w:space="0"/>
            </w:tcBorders>
            <w:noWrap w:val="0"/>
            <w:vAlign w:val="center"/>
          </w:tcPr>
          <w:p>
            <w:pPr>
              <w:snapToGrid w:val="0"/>
              <w:spacing w:before="50" w:after="156" w:afterLines="50" w:line="400" w:lineRule="exact"/>
              <w:rPr>
                <w:rFonts w:hint="eastAsia" w:ascii="宋体" w:hAnsi="宋体"/>
                <w:color w:val="auto"/>
                <w:szCs w:val="21"/>
              </w:rPr>
            </w:pPr>
            <w:r>
              <w:rPr>
                <w:rFonts w:hint="eastAsia" w:ascii="宋体" w:hAnsi="宋体"/>
                <w:color w:val="auto"/>
                <w:szCs w:val="21"/>
              </w:rPr>
              <w:t>附人员身份证等相关证件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rPr>
              <w:t>负责人</w:t>
            </w:r>
          </w:p>
        </w:tc>
        <w:tc>
          <w:tcPr>
            <w:tcW w:w="1631" w:type="dxa"/>
            <w:gridSpan w:val="2"/>
            <w:tcBorders>
              <w:top w:val="single" w:color="auto" w:sz="4" w:space="0"/>
              <w:left w:val="single" w:color="auto" w:sz="4" w:space="0"/>
              <w:bottom w:val="single" w:color="auto" w:sz="4" w:space="0"/>
              <w:right w:val="single" w:color="auto" w:sz="2" w:space="0"/>
            </w:tcBorders>
            <w:noWrap w:val="0"/>
            <w:vAlign w:val="top"/>
          </w:tcPr>
          <w:p>
            <w:pPr>
              <w:snapToGrid w:val="0"/>
              <w:spacing w:before="50" w:after="156" w:afterLines="50" w:line="400" w:lineRule="exact"/>
              <w:jc w:val="left"/>
              <w:rPr>
                <w:rFonts w:ascii="宋体" w:hAnsi="宋体"/>
                <w:color w:val="auto"/>
                <w:szCs w:val="21"/>
              </w:rPr>
            </w:pPr>
          </w:p>
        </w:tc>
        <w:tc>
          <w:tcPr>
            <w:tcW w:w="1440" w:type="dxa"/>
            <w:tcBorders>
              <w:top w:val="single" w:color="auto" w:sz="4" w:space="0"/>
              <w:left w:val="single" w:color="auto" w:sz="2" w:space="0"/>
              <w:bottom w:val="single" w:color="auto" w:sz="4" w:space="0"/>
              <w:right w:val="single" w:color="auto" w:sz="2" w:space="0"/>
            </w:tcBorders>
            <w:noWrap w:val="0"/>
            <w:vAlign w:val="top"/>
          </w:tcPr>
          <w:p>
            <w:pPr>
              <w:snapToGrid w:val="0"/>
              <w:spacing w:before="50" w:after="156" w:afterLines="50" w:line="400" w:lineRule="exact"/>
              <w:jc w:val="left"/>
              <w:rPr>
                <w:rFonts w:ascii="宋体" w:hAnsi="宋体"/>
                <w:color w:val="auto"/>
                <w:szCs w:val="21"/>
              </w:rPr>
            </w:pPr>
            <w:r>
              <w:rPr>
                <w:rFonts w:hint="eastAsia" w:ascii="宋体" w:hAnsi="宋体"/>
                <w:color w:val="auto"/>
                <w:szCs w:val="21"/>
              </w:rPr>
              <w:t>联系电话</w:t>
            </w:r>
          </w:p>
        </w:tc>
        <w:tc>
          <w:tcPr>
            <w:tcW w:w="1901" w:type="dxa"/>
            <w:gridSpan w:val="2"/>
            <w:tcBorders>
              <w:top w:val="single" w:color="auto" w:sz="4" w:space="0"/>
              <w:left w:val="single" w:color="auto" w:sz="2" w:space="0"/>
              <w:bottom w:val="single" w:color="auto" w:sz="4" w:space="0"/>
              <w:right w:val="single" w:color="auto" w:sz="2" w:space="0"/>
            </w:tcBorders>
            <w:noWrap w:val="0"/>
            <w:vAlign w:val="top"/>
          </w:tcPr>
          <w:p>
            <w:pPr>
              <w:snapToGrid w:val="0"/>
              <w:spacing w:before="50" w:after="156" w:afterLines="50" w:line="400" w:lineRule="exact"/>
              <w:jc w:val="left"/>
              <w:rPr>
                <w:rFonts w:ascii="宋体" w:hAnsi="宋体"/>
                <w:color w:val="auto"/>
                <w:szCs w:val="21"/>
              </w:rPr>
            </w:pPr>
          </w:p>
        </w:tc>
        <w:tc>
          <w:tcPr>
            <w:tcW w:w="2048" w:type="dxa"/>
            <w:vMerge w:val="continue"/>
            <w:tcBorders>
              <w:left w:val="single" w:color="auto" w:sz="2"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color w:val="auto"/>
                <w:szCs w:val="21"/>
              </w:rPr>
            </w:pPr>
          </w:p>
        </w:tc>
      </w:tr>
    </w:tbl>
    <w:p>
      <w:pPr>
        <w:spacing w:line="440" w:lineRule="exact"/>
        <w:jc w:val="right"/>
        <w:rPr>
          <w:rFonts w:hint="eastAsia" w:ascii="宋体" w:hAnsi="宋体"/>
          <w:color w:val="auto"/>
          <w:szCs w:val="21"/>
        </w:rPr>
      </w:pPr>
    </w:p>
    <w:p>
      <w:pPr>
        <w:pStyle w:val="27"/>
        <w:adjustRightInd w:val="0"/>
        <w:snapToGrid w:val="0"/>
        <w:spacing w:line="360" w:lineRule="auto"/>
        <w:ind w:left="0" w:leftChars="0" w:firstLine="0" w:firstLineChars="0"/>
        <w:jc w:val="left"/>
        <w:rPr>
          <w:rFonts w:hint="eastAsia" w:ascii="宋体" w:hAnsi="宋体"/>
          <w:bCs/>
          <w:color w:val="auto"/>
          <w:sz w:val="21"/>
          <w:szCs w:val="21"/>
        </w:rPr>
      </w:pPr>
      <w:r>
        <w:rPr>
          <w:rFonts w:hint="eastAsia" w:ascii="宋体" w:hAnsi="宋体"/>
          <w:color w:val="auto"/>
          <w:sz w:val="21"/>
          <w:szCs w:val="21"/>
        </w:rPr>
        <w:t>投标人名称：</w:t>
      </w:r>
      <w:r>
        <w:rPr>
          <w:rFonts w:hint="eastAsia" w:ascii="宋体" w:hAnsi="宋体"/>
          <w:color w:val="auto"/>
          <w:sz w:val="21"/>
          <w:szCs w:val="21"/>
          <w:u w:val="single"/>
        </w:rPr>
        <w:t xml:space="preserve">                   </w:t>
      </w:r>
    </w:p>
    <w:p>
      <w:pPr>
        <w:adjustRightInd w:val="0"/>
        <w:snapToGrid w:val="0"/>
        <w:spacing w:line="360" w:lineRule="auto"/>
        <w:rPr>
          <w:rFonts w:hint="eastAsia" w:ascii="宋体" w:hAnsi="宋体"/>
          <w:color w:val="auto"/>
          <w:szCs w:val="21"/>
        </w:rPr>
      </w:pPr>
      <w:r>
        <w:rPr>
          <w:rFonts w:hint="eastAsia" w:ascii="宋体" w:hAnsi="宋体"/>
          <w:color w:val="auto"/>
          <w:szCs w:val="21"/>
        </w:rPr>
        <w:t>法定代表人或其委托代理人(签字)：</w:t>
      </w:r>
      <w:r>
        <w:rPr>
          <w:rFonts w:hint="eastAsia" w:ascii="宋体" w:hAnsi="宋体"/>
          <w:color w:val="auto"/>
          <w:szCs w:val="21"/>
          <w:u w:val="single"/>
        </w:rPr>
        <w:t xml:space="preserve">                   </w:t>
      </w:r>
    </w:p>
    <w:p>
      <w:pPr>
        <w:topLinePunct/>
        <w:spacing w:line="440" w:lineRule="exact"/>
        <w:rPr>
          <w:rFonts w:hint="eastAsia" w:ascii="宋体" w:hAnsi="宋体"/>
          <w:color w:val="auto"/>
          <w:szCs w:val="21"/>
        </w:rPr>
      </w:pPr>
      <w:r>
        <w:rPr>
          <w:rFonts w:hint="eastAsia"/>
          <w:color w:val="auto"/>
        </w:rPr>
        <w:t xml:space="preserve">日          期： </w:t>
      </w:r>
      <w:r>
        <w:rPr>
          <w:rFonts w:hint="eastAsia"/>
          <w:color w:val="auto"/>
          <w:u w:val="single"/>
        </w:rPr>
        <w:t xml:space="preserve">     </w:t>
      </w:r>
      <w:r>
        <w:rPr>
          <w:rFonts w:hint="eastAsia"/>
          <w:color w:val="auto"/>
        </w:rPr>
        <w:t xml:space="preserve"> 年 </w:t>
      </w:r>
      <w:r>
        <w:rPr>
          <w:rFonts w:hint="eastAsia"/>
          <w:color w:val="auto"/>
          <w:u w:val="single"/>
        </w:rPr>
        <w:t xml:space="preserve">    </w:t>
      </w:r>
      <w:r>
        <w:rPr>
          <w:rFonts w:hint="eastAsia"/>
          <w:color w:val="auto"/>
        </w:rPr>
        <w:t xml:space="preserve"> 月 </w:t>
      </w:r>
      <w:r>
        <w:rPr>
          <w:rFonts w:hint="eastAsia"/>
          <w:color w:val="auto"/>
          <w:u w:val="single"/>
        </w:rPr>
        <w:t xml:space="preserve">   </w:t>
      </w:r>
      <w:r>
        <w:rPr>
          <w:rFonts w:hint="eastAsia"/>
          <w:color w:val="auto"/>
        </w:rPr>
        <w:t xml:space="preserve"> 日</w:t>
      </w:r>
    </w:p>
    <w:p>
      <w:pPr>
        <w:numPr>
          <w:ilvl w:val="0"/>
          <w:numId w:val="0"/>
        </w:numPr>
        <w:autoSpaceDE w:val="0"/>
        <w:autoSpaceDN w:val="0"/>
        <w:spacing w:line="360" w:lineRule="auto"/>
        <w:ind w:right="471" w:rightChars="0"/>
        <w:textAlignment w:val="bottom"/>
        <w:rPr>
          <w:rFonts w:hint="eastAsia" w:hAnsi="宋体"/>
          <w:bCs/>
          <w:color w:val="auto"/>
          <w:sz w:val="28"/>
          <w:szCs w:val="28"/>
        </w:rPr>
      </w:pPr>
      <w:r>
        <w:rPr>
          <w:rFonts w:hint="eastAsia" w:ascii="宋体" w:hAnsi="宋体" w:eastAsia="宋体" w:cs="宋体"/>
          <w:b/>
          <w:bCs w:val="0"/>
          <w:color w:val="auto"/>
          <w:sz w:val="28"/>
          <w:szCs w:val="28"/>
          <w:lang w:val="en-US" w:eastAsia="zh-CN"/>
        </w:rPr>
        <w:br w:type="page"/>
      </w:r>
    </w:p>
    <w:p>
      <w:pPr>
        <w:adjustRightInd w:val="0"/>
        <w:snapToGrid w:val="0"/>
        <w:spacing w:line="360" w:lineRule="auto"/>
        <w:jc w:val="center"/>
        <w:outlineLvl w:val="1"/>
        <w:rPr>
          <w:rFonts w:hint="eastAsia" w:ascii="宋体" w:hAnsi="宋体" w:eastAsia="宋体" w:cs="宋体"/>
          <w:b/>
          <w:color w:val="auto"/>
          <w:sz w:val="28"/>
          <w:szCs w:val="28"/>
        </w:rPr>
      </w:pPr>
      <w:r>
        <w:rPr>
          <w:rFonts w:hint="eastAsia" w:ascii="宋体" w:hAnsi="宋体" w:eastAsia="宋体" w:cs="宋体"/>
          <w:b/>
          <w:bCs w:val="0"/>
          <w:color w:val="auto"/>
          <w:sz w:val="28"/>
          <w:szCs w:val="28"/>
          <w:lang w:val="en-US" w:eastAsia="zh-CN"/>
        </w:rPr>
        <w:t>商务技术响应文件</w:t>
      </w:r>
      <w:r>
        <w:rPr>
          <w:rFonts w:hint="eastAsia" w:ascii="宋体" w:hAnsi="宋体" w:eastAsia="宋体" w:cs="宋体"/>
          <w:b/>
          <w:bCs w:val="0"/>
          <w:color w:val="auto"/>
          <w:sz w:val="28"/>
          <w:szCs w:val="28"/>
        </w:rPr>
        <w:t>说</w:t>
      </w:r>
      <w:r>
        <w:rPr>
          <w:rFonts w:hint="eastAsia" w:ascii="宋体" w:hAnsi="宋体" w:eastAsia="宋体" w:cs="宋体"/>
          <w:b/>
          <w:color w:val="auto"/>
          <w:sz w:val="28"/>
          <w:szCs w:val="28"/>
        </w:rPr>
        <w:t>明</w:t>
      </w:r>
    </w:p>
    <w:p>
      <w:pPr>
        <w:adjustRightInd w:val="0"/>
        <w:snapToGrid w:val="0"/>
        <w:spacing w:line="360" w:lineRule="auto"/>
        <w:ind w:left="-88" w:leftChars="-42" w:firstLine="210" w:firstLineChars="100"/>
        <w:rPr>
          <w:rFonts w:hint="eastAsia" w:ascii="宋体" w:hAnsi="宋体" w:eastAsia="宋体" w:cs="宋体"/>
          <w:color w:val="auto"/>
          <w:szCs w:val="21"/>
        </w:rPr>
      </w:pPr>
    </w:p>
    <w:p>
      <w:pPr>
        <w:adjustRightInd w:val="0"/>
        <w:snapToGrid w:val="0"/>
        <w:spacing w:line="360" w:lineRule="auto"/>
        <w:ind w:left="-88" w:leftChars="-42" w:firstLine="211" w:firstLineChars="100"/>
        <w:rPr>
          <w:rFonts w:hint="eastAsia" w:ascii="宋体" w:hAnsi="宋体" w:eastAsia="宋体" w:cs="宋体"/>
          <w:b/>
          <w:color w:val="auto"/>
          <w:szCs w:val="21"/>
          <w:highlight w:val="yellow"/>
        </w:rPr>
      </w:pPr>
      <w:r>
        <w:rPr>
          <w:rFonts w:hint="eastAsia" w:ascii="宋体" w:hAnsi="宋体" w:eastAsia="宋体" w:cs="宋体"/>
          <w:b/>
          <w:color w:val="auto"/>
          <w:szCs w:val="21"/>
          <w:highlight w:val="yellow"/>
          <w:lang w:val="en-US" w:eastAsia="zh-CN"/>
        </w:rPr>
        <w:t>商务技术响应文件可依照项目具体要求灵活提供</w:t>
      </w:r>
      <w:r>
        <w:rPr>
          <w:rFonts w:hint="eastAsia" w:ascii="宋体" w:hAnsi="宋体" w:eastAsia="宋体" w:cs="宋体"/>
          <w:b/>
          <w:color w:val="auto"/>
          <w:szCs w:val="21"/>
          <w:highlight w:val="yellow"/>
        </w:rPr>
        <w:t>：</w:t>
      </w:r>
    </w:p>
    <w:p>
      <w:pPr>
        <w:numPr>
          <w:ilvl w:val="0"/>
          <w:numId w:val="0"/>
        </w:numPr>
        <w:autoSpaceDE w:val="0"/>
        <w:autoSpaceDN w:val="0"/>
        <w:spacing w:line="360" w:lineRule="auto"/>
        <w:ind w:right="471" w:rightChars="0"/>
        <w:textAlignment w:val="bottom"/>
        <w:rPr>
          <w:rFonts w:hint="eastAsia" w:hAnsi="宋体"/>
          <w:bCs/>
          <w:color w:val="auto"/>
          <w:sz w:val="28"/>
          <w:szCs w:val="28"/>
        </w:rPr>
      </w:pPr>
      <w:r>
        <w:rPr>
          <w:rFonts w:hint="eastAsia" w:ascii="宋体" w:hAnsi="宋体" w:eastAsia="宋体" w:cs="宋体"/>
          <w:bCs/>
          <w:color w:val="auto"/>
          <w:sz w:val="28"/>
          <w:szCs w:val="28"/>
        </w:rPr>
        <w:br w:type="page"/>
      </w:r>
    </w:p>
    <w:p>
      <w:pPr>
        <w:numPr>
          <w:ilvl w:val="0"/>
          <w:numId w:val="0"/>
        </w:numPr>
        <w:autoSpaceDE w:val="0"/>
        <w:autoSpaceDN w:val="0"/>
        <w:spacing w:line="360" w:lineRule="auto"/>
        <w:ind w:right="471" w:rightChars="0"/>
        <w:textAlignment w:val="bottom"/>
        <w:rPr>
          <w:rFonts w:hint="default" w:ascii="宋体" w:hAnsi="宋体" w:eastAsia="宋体"/>
          <w:bCs/>
          <w:color w:val="auto"/>
          <w:sz w:val="28"/>
          <w:szCs w:val="28"/>
          <w:lang w:val="en-US" w:eastAsia="zh-CN"/>
        </w:rPr>
      </w:pPr>
      <w:r>
        <w:rPr>
          <w:rFonts w:hint="eastAsia" w:hAnsi="宋体"/>
          <w:bCs/>
          <w:color w:val="auto"/>
          <w:sz w:val="28"/>
          <w:szCs w:val="28"/>
        </w:rPr>
        <w:t>附件</w:t>
      </w:r>
      <w:r>
        <w:rPr>
          <w:rFonts w:hint="eastAsia" w:hAnsi="宋体"/>
          <w:bCs/>
          <w:color w:val="auto"/>
          <w:sz w:val="28"/>
          <w:szCs w:val="28"/>
          <w:lang w:val="en-US" w:eastAsia="zh-CN"/>
        </w:rPr>
        <w:t>11</w:t>
      </w:r>
    </w:p>
    <w:p>
      <w:pPr>
        <w:adjustRightInd w:val="0"/>
        <w:snapToGrid w:val="0"/>
        <w:spacing w:line="360" w:lineRule="auto"/>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rPr>
        <w:t>开标</w:t>
      </w:r>
      <w:r>
        <w:rPr>
          <w:rFonts w:hint="eastAsia" w:ascii="宋体" w:hAnsi="宋体" w:eastAsia="宋体" w:cs="宋体"/>
          <w:b/>
          <w:bCs/>
          <w:color w:val="auto"/>
          <w:sz w:val="32"/>
          <w:szCs w:val="32"/>
          <w:lang w:val="en-US" w:eastAsia="zh-CN"/>
        </w:rPr>
        <w:t>记录</w:t>
      </w:r>
      <w:r>
        <w:rPr>
          <w:rFonts w:hint="eastAsia" w:ascii="宋体" w:hAnsi="宋体" w:eastAsia="宋体" w:cs="宋体"/>
          <w:b/>
          <w:bCs/>
          <w:color w:val="auto"/>
          <w:sz w:val="32"/>
          <w:szCs w:val="32"/>
        </w:rPr>
        <w:t>表</w:t>
      </w:r>
    </w:p>
    <w:p>
      <w:pPr>
        <w:adjustRightInd w:val="0"/>
        <w:snapToGrid w:val="0"/>
        <w:spacing w:line="360" w:lineRule="auto"/>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注：1、电子版投标文件内附《开标记录表》</w:t>
      </w:r>
    </w:p>
    <w:p>
      <w:pPr>
        <w:adjustRightInd w:val="0"/>
        <w:snapToGrid w:val="0"/>
        <w:spacing w:line="360" w:lineRule="auto"/>
        <w:jc w:val="left"/>
        <w:rPr>
          <w:rFonts w:hint="eastAsia" w:ascii="宋体" w:hAnsi="宋体" w:eastAsia="宋体" w:cs="宋体"/>
          <w:b/>
          <w:color w:val="auto"/>
          <w:szCs w:val="21"/>
        </w:rPr>
      </w:pPr>
      <w:r>
        <w:rPr>
          <w:rFonts w:hint="eastAsia" w:ascii="宋体" w:hAnsi="宋体" w:eastAsia="宋体" w:cs="宋体"/>
          <w:b/>
          <w:color w:val="auto"/>
          <w:szCs w:val="21"/>
        </w:rPr>
        <w:t>项目名称：</w:t>
      </w:r>
    </w:p>
    <w:p>
      <w:pPr>
        <w:adjustRightInd w:val="0"/>
        <w:snapToGrid w:val="0"/>
        <w:spacing w:line="360" w:lineRule="auto"/>
        <w:rPr>
          <w:rFonts w:hint="eastAsia" w:ascii="宋体" w:hAnsi="宋体" w:eastAsia="宋体" w:cs="宋体"/>
          <w:b/>
          <w:color w:val="auto"/>
          <w:szCs w:val="21"/>
        </w:rPr>
      </w:pPr>
      <w:r>
        <w:rPr>
          <w:rFonts w:hint="eastAsia" w:ascii="宋体" w:hAnsi="宋体" w:eastAsia="宋体" w:cs="宋体"/>
          <w:b/>
          <w:color w:val="auto"/>
          <w:szCs w:val="21"/>
        </w:rPr>
        <w:t>项目编号：</w:t>
      </w:r>
    </w:p>
    <w:tbl>
      <w:tblPr>
        <w:tblStyle w:val="47"/>
        <w:tblW w:w="84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3"/>
        <w:gridCol w:w="2302"/>
        <w:gridCol w:w="3766"/>
        <w:gridCol w:w="17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6068" w:type="dxa"/>
            <w:gridSpan w:val="2"/>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内容</w:t>
            </w:r>
          </w:p>
        </w:tc>
        <w:tc>
          <w:tcPr>
            <w:tcW w:w="1726"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2302"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投标人名称</w:t>
            </w:r>
          </w:p>
        </w:tc>
        <w:tc>
          <w:tcPr>
            <w:tcW w:w="3766"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Cs w:val="21"/>
              </w:rPr>
            </w:pPr>
          </w:p>
        </w:tc>
        <w:tc>
          <w:tcPr>
            <w:tcW w:w="1726"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4"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投标总报价</w:t>
            </w:r>
          </w:p>
        </w:tc>
        <w:tc>
          <w:tcPr>
            <w:tcW w:w="376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auto"/>
                <w:szCs w:val="21"/>
              </w:rPr>
            </w:pPr>
            <w:r>
              <w:rPr>
                <w:rFonts w:hint="eastAsia" w:ascii="宋体" w:hAnsi="宋体" w:eastAsia="宋体" w:cs="宋体"/>
                <w:color w:val="auto"/>
                <w:szCs w:val="21"/>
              </w:rPr>
              <w:t>大写：           元</w:t>
            </w:r>
          </w:p>
          <w:p>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小写：           元</w:t>
            </w:r>
          </w:p>
        </w:tc>
        <w:tc>
          <w:tcPr>
            <w:tcW w:w="172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left"/>
              <w:rPr>
                <w:rFonts w:hint="default" w:ascii="宋体" w:hAnsi="宋体" w:eastAsia="宋体" w:cs="宋体"/>
                <w:color w:val="auto"/>
                <w:szCs w:val="21"/>
                <w:u w:val="single"/>
                <w:lang w:val="en-US"/>
              </w:rPr>
            </w:pPr>
            <w:r>
              <w:rPr>
                <w:rFonts w:hint="eastAsia" w:ascii="宋体" w:hAnsi="宋体" w:cs="宋体"/>
                <w:color w:val="auto"/>
                <w:szCs w:val="21"/>
                <w:lang w:val="en-US" w:eastAsia="zh-CN"/>
              </w:rPr>
              <w:t>供货期限</w:t>
            </w:r>
          </w:p>
        </w:tc>
        <w:tc>
          <w:tcPr>
            <w:tcW w:w="376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宋体" w:hAnsi="宋体" w:eastAsia="宋体" w:cs="宋体"/>
                <w:color w:val="auto"/>
                <w:szCs w:val="21"/>
                <w:u w:val="single"/>
                <w:lang w:val="en-US" w:eastAsia="zh-CN"/>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Cs w:val="21"/>
                <w:u w:val="single"/>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质保期</w:t>
            </w:r>
          </w:p>
        </w:tc>
        <w:tc>
          <w:tcPr>
            <w:tcW w:w="376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宋体" w:hAnsi="宋体" w:eastAsia="宋体" w:cs="宋体"/>
                <w:color w:val="auto"/>
                <w:szCs w:val="21"/>
                <w:u w:val="single"/>
                <w:lang w:val="en-US" w:eastAsia="zh-CN"/>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Cs w:val="21"/>
                <w:u w:val="single"/>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核心产品品牌</w:t>
            </w:r>
          </w:p>
        </w:tc>
        <w:tc>
          <w:tcPr>
            <w:tcW w:w="3766"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rPr>
                <w:rFonts w:hint="eastAsia" w:ascii="宋体" w:hAnsi="宋体" w:eastAsia="宋体" w:cs="宋体"/>
                <w:color w:val="auto"/>
                <w:szCs w:val="21"/>
                <w:highlight w:val="cyan"/>
              </w:rPr>
            </w:pPr>
          </w:p>
        </w:tc>
        <w:tc>
          <w:tcPr>
            <w:tcW w:w="1726"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rPr>
                <w:rFonts w:hint="eastAsia" w:ascii="宋体" w:hAnsi="宋体" w:eastAsia="宋体" w:cs="宋体"/>
                <w:color w:val="auto"/>
                <w:szCs w:val="21"/>
                <w:highlight w:val="cyan"/>
              </w:rPr>
            </w:pPr>
          </w:p>
        </w:tc>
      </w:tr>
    </w:tbl>
    <w:p>
      <w:pPr>
        <w:adjustRightInd w:val="0"/>
        <w:snapToGrid w:val="0"/>
        <w:spacing w:line="360" w:lineRule="auto"/>
        <w:rPr>
          <w:rFonts w:hint="eastAsia" w:ascii="宋体" w:hAnsi="宋体" w:eastAsia="宋体" w:cs="宋体"/>
          <w:color w:val="auto"/>
          <w:szCs w:val="21"/>
        </w:rPr>
      </w:pP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注: 1、报价一经涂改，应在涂改处加盖单位公章或者由法定代表人或授权委托人签字或盖章，否则其投标作无效标处理。</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2、报价包括完成本项目招标范围内所有运输费、保险费、增值税、仓储费，操作方面的培训费、调试费、保修期内的维修所需的备件费以及上门服务等所有相关费用。</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3、项目须附详细的投标报价明细表，投标报价明细表中金额和开标一览表金额一致。</w:t>
      </w:r>
    </w:p>
    <w:p>
      <w:pPr>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加注“▲”号的产品为核心产品，任意一种核心产品为同一品牌时，</w:t>
      </w:r>
      <w:r>
        <w:rPr>
          <w:rFonts w:hint="eastAsia" w:ascii="宋体" w:hAnsi="宋体" w:eastAsia="宋体" w:cs="宋体"/>
          <w:color w:val="auto"/>
          <w:szCs w:val="21"/>
          <w:highlight w:val="none"/>
          <w:lang w:val="en-US" w:eastAsia="zh-CN"/>
        </w:rPr>
        <w:t>核心产品品牌具有唯一性，不接受选择性产品品牌报价。</w:t>
      </w:r>
      <w:r>
        <w:rPr>
          <w:rFonts w:hint="eastAsia" w:ascii="宋体" w:hAnsi="宋体" w:eastAsia="宋体" w:cs="宋体"/>
          <w:color w:val="auto"/>
          <w:szCs w:val="21"/>
          <w:highlight w:val="none"/>
        </w:rPr>
        <w:t>按照</w:t>
      </w:r>
      <w:r>
        <w:rPr>
          <w:rFonts w:hint="eastAsia" w:ascii="宋体" w:hAnsi="宋体" w:eastAsia="宋体" w:cs="宋体"/>
          <w:color w:val="auto"/>
          <w:szCs w:val="21"/>
          <w:highlight w:val="none"/>
          <w:lang w:val="en-US" w:eastAsia="zh-CN"/>
        </w:rPr>
        <w:t>87号令第三十一条</w:t>
      </w:r>
      <w:r>
        <w:rPr>
          <w:rFonts w:hint="eastAsia" w:ascii="宋体" w:hAnsi="宋体" w:eastAsia="宋体" w:cs="宋体"/>
          <w:color w:val="auto"/>
          <w:szCs w:val="21"/>
          <w:highlight w:val="none"/>
        </w:rPr>
        <w:t>执</w:t>
      </w:r>
      <w:r>
        <w:rPr>
          <w:rFonts w:hint="eastAsia" w:ascii="宋体" w:hAnsi="宋体" w:eastAsia="宋体" w:cs="宋体"/>
          <w:color w:val="auto"/>
          <w:szCs w:val="21"/>
          <w:highlight w:val="none"/>
          <w:lang w:val="en-US" w:eastAsia="zh-CN"/>
        </w:rPr>
        <w:t>行。【</w:t>
      </w:r>
      <w:r>
        <w:rPr>
          <w:rFonts w:hint="eastAsia" w:ascii="宋体" w:hAnsi="宋体" w:eastAsia="宋体" w:cs="宋体"/>
          <w:b/>
          <w:bCs/>
          <w:color w:val="auto"/>
          <w:szCs w:val="21"/>
          <w:highlight w:val="none"/>
          <w:lang w:val="en-US" w:eastAsia="zh-CN"/>
        </w:rPr>
        <w:t>本项目核心产品为普通车床</w:t>
      </w:r>
      <w:r>
        <w:rPr>
          <w:rFonts w:hint="eastAsia" w:ascii="宋体" w:hAnsi="宋体" w:eastAsia="宋体" w:cs="宋体"/>
          <w:color w:val="auto"/>
          <w:szCs w:val="21"/>
          <w:highlight w:val="none"/>
          <w:lang w:val="en-US" w:eastAsia="zh-CN"/>
        </w:rPr>
        <w:t>】</w:t>
      </w:r>
    </w:p>
    <w:p>
      <w:pPr>
        <w:adjustRightInd w:val="0"/>
        <w:snapToGrid w:val="0"/>
        <w:spacing w:line="360" w:lineRule="auto"/>
        <w:rPr>
          <w:rFonts w:hint="eastAsia" w:ascii="宋体" w:hAnsi="宋体" w:eastAsia="宋体" w:cs="宋体"/>
          <w:color w:val="auto"/>
          <w:szCs w:val="21"/>
        </w:rPr>
      </w:pP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rPr>
        <w:t>投标人</w:t>
      </w:r>
      <w:r>
        <w:rPr>
          <w:rFonts w:hint="eastAsia" w:ascii="宋体" w:hAnsi="宋体" w:eastAsia="宋体" w:cs="宋体"/>
          <w:color w:val="auto"/>
          <w:szCs w:val="21"/>
        </w:rPr>
        <w:t>（盖单位章）：</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法定代表人或其委托代理人签字：</w:t>
      </w:r>
      <w:r>
        <w:rPr>
          <w:rFonts w:hint="eastAsia" w:ascii="宋体" w:hAnsi="宋体" w:eastAsia="宋体" w:cs="宋体"/>
          <w:color w:val="auto"/>
          <w:szCs w:val="21"/>
          <w:u w:val="single"/>
        </w:rPr>
        <w:t xml:space="preserve">       </w:t>
      </w:r>
    </w:p>
    <w:p>
      <w:pPr>
        <w:adjustRightInd w:val="0"/>
        <w:snapToGrid w:val="0"/>
        <w:spacing w:line="360" w:lineRule="auto"/>
        <w:jc w:val="right"/>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rPr>
          <w:rFonts w:hint="eastAsia" w:ascii="宋体" w:hAnsi="宋体" w:eastAsia="宋体" w:cs="宋体"/>
          <w:bCs/>
          <w:color w:val="auto"/>
          <w:sz w:val="28"/>
          <w:szCs w:val="28"/>
        </w:rPr>
      </w:pPr>
      <w:r>
        <w:rPr>
          <w:rFonts w:hint="eastAsia" w:ascii="宋体" w:hAnsi="宋体" w:eastAsia="宋体" w:cs="宋体"/>
          <w:bCs/>
          <w:color w:val="auto"/>
          <w:sz w:val="28"/>
          <w:szCs w:val="28"/>
        </w:rPr>
        <w:br w:type="page"/>
      </w:r>
    </w:p>
    <w:p>
      <w:pPr>
        <w:adjustRightInd w:val="0"/>
        <w:snapToGrid w:val="0"/>
        <w:rPr>
          <w:rFonts w:hint="default" w:ascii="宋体" w:hAnsi="宋体" w:eastAsia="宋体"/>
          <w:bCs/>
          <w:color w:val="auto"/>
          <w:sz w:val="28"/>
          <w:szCs w:val="28"/>
          <w:lang w:val="en-US" w:eastAsia="zh-CN"/>
        </w:rPr>
      </w:pPr>
      <w:r>
        <w:rPr>
          <w:rFonts w:hint="eastAsia" w:ascii="宋体" w:hAnsi="宋体"/>
          <w:bCs/>
          <w:color w:val="auto"/>
          <w:sz w:val="28"/>
          <w:szCs w:val="28"/>
        </w:rPr>
        <w:t>附件</w:t>
      </w:r>
      <w:r>
        <w:rPr>
          <w:rFonts w:hint="eastAsia" w:ascii="宋体" w:hAnsi="宋体"/>
          <w:bCs/>
          <w:color w:val="auto"/>
          <w:sz w:val="28"/>
          <w:szCs w:val="28"/>
          <w:lang w:val="en-US" w:eastAsia="zh-CN"/>
        </w:rPr>
        <w:t>12</w:t>
      </w:r>
    </w:p>
    <w:p>
      <w:pPr>
        <w:adjustRightInd w:val="0"/>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投标报价明细表</w:t>
      </w:r>
    </w:p>
    <w:p>
      <w:pPr>
        <w:adjustRightInd w:val="0"/>
        <w:snapToGrid w:val="0"/>
        <w:spacing w:line="360" w:lineRule="auto"/>
        <w:jc w:val="center"/>
        <w:rPr>
          <w:rFonts w:hint="eastAsia" w:ascii="宋体" w:hAnsi="宋体" w:eastAsia="宋体" w:cs="宋体"/>
          <w:b/>
          <w:color w:val="auto"/>
          <w:sz w:val="28"/>
          <w:szCs w:val="28"/>
        </w:rPr>
      </w:pPr>
      <w:r>
        <w:rPr>
          <w:rFonts w:hint="eastAsia" w:ascii="宋体" w:hAnsi="宋体" w:cs="宋体"/>
          <w:b w:val="0"/>
          <w:bCs/>
          <w:i w:val="0"/>
          <w:iCs w:val="0"/>
          <w:color w:val="auto"/>
          <w:sz w:val="21"/>
          <w:szCs w:val="21"/>
          <w:lang w:eastAsia="zh-CN"/>
        </w:rPr>
        <w:t>（</w:t>
      </w:r>
      <w:r>
        <w:rPr>
          <w:rFonts w:hint="eastAsia" w:ascii="宋体" w:hAnsi="宋体" w:cs="宋体"/>
          <w:b w:val="0"/>
          <w:bCs/>
          <w:i w:val="0"/>
          <w:iCs w:val="0"/>
          <w:color w:val="auto"/>
          <w:sz w:val="21"/>
          <w:szCs w:val="21"/>
          <w:lang w:val="en-US" w:eastAsia="zh-CN"/>
        </w:rPr>
        <w:t>此</w:t>
      </w:r>
      <w:r>
        <w:rPr>
          <w:rFonts w:hint="eastAsia" w:ascii="宋体" w:hAnsi="宋体"/>
          <w:bCs/>
          <w:color w:val="auto"/>
          <w:sz w:val="24"/>
          <w:lang w:val="en-US" w:eastAsia="zh-CN"/>
        </w:rPr>
        <w:t>表将公示于中标结果公告中</w:t>
      </w:r>
      <w:r>
        <w:rPr>
          <w:rFonts w:hint="eastAsia" w:ascii="宋体" w:hAnsi="宋体" w:cs="宋体"/>
          <w:b w:val="0"/>
          <w:bCs/>
          <w:i w:val="0"/>
          <w:iCs w:val="0"/>
          <w:color w:val="auto"/>
          <w:sz w:val="21"/>
          <w:szCs w:val="21"/>
          <w:lang w:eastAsia="zh-CN"/>
        </w:rPr>
        <w:t>）</w:t>
      </w:r>
      <w:r>
        <w:rPr>
          <w:rFonts w:hint="eastAsia" w:ascii="宋体" w:hAnsi="宋体" w:eastAsia="宋体" w:cs="宋体"/>
          <w:b/>
          <w:color w:val="auto"/>
          <w:sz w:val="28"/>
          <w:szCs w:val="28"/>
        </w:rPr>
        <w:t xml:space="preserve"> </w:t>
      </w:r>
    </w:p>
    <w:p>
      <w:pPr>
        <w:spacing w:line="360" w:lineRule="exact"/>
        <w:jc w:val="left"/>
        <w:rPr>
          <w:rFonts w:hint="eastAsia" w:ascii="宋体" w:hAnsi="宋体" w:eastAsia="宋体" w:cs="宋体"/>
          <w:b/>
          <w:color w:val="auto"/>
        </w:rPr>
      </w:pPr>
      <w:r>
        <w:rPr>
          <w:rFonts w:hint="eastAsia" w:ascii="宋体" w:hAnsi="宋体" w:eastAsia="宋体" w:cs="宋体"/>
          <w:b/>
          <w:color w:val="auto"/>
        </w:rPr>
        <w:t xml:space="preserve">项目名称：                                                        </w:t>
      </w:r>
    </w:p>
    <w:p>
      <w:pPr>
        <w:spacing w:line="360" w:lineRule="exact"/>
        <w:jc w:val="left"/>
        <w:rPr>
          <w:rFonts w:hint="eastAsia" w:ascii="宋体" w:hAnsi="宋体" w:eastAsia="宋体" w:cs="宋体"/>
          <w:b/>
          <w:color w:val="auto"/>
        </w:rPr>
      </w:pPr>
      <w:r>
        <w:rPr>
          <w:rFonts w:hint="eastAsia" w:ascii="宋体" w:hAnsi="宋体" w:eastAsia="宋体" w:cs="宋体"/>
          <w:b/>
          <w:color w:val="auto"/>
        </w:rPr>
        <w:t>项目编号：                                                 金额单位：元</w:t>
      </w:r>
    </w:p>
    <w:tbl>
      <w:tblPr>
        <w:tblStyle w:val="47"/>
        <w:tblW w:w="85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1"/>
        <w:gridCol w:w="1072"/>
        <w:gridCol w:w="928"/>
        <w:gridCol w:w="784"/>
        <w:gridCol w:w="2000"/>
        <w:gridCol w:w="912"/>
        <w:gridCol w:w="672"/>
        <w:gridCol w:w="832"/>
        <w:gridCol w:w="7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货物名称</w:t>
            </w: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制造商、原产地</w:t>
            </w: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cs="宋体"/>
                <w:color w:val="auto"/>
                <w:szCs w:val="21"/>
                <w:lang w:val="en-US" w:eastAsia="zh-CN"/>
              </w:rPr>
            </w:pPr>
            <w:r>
              <w:rPr>
                <w:rFonts w:hint="eastAsia" w:ascii="宋体" w:hAnsi="宋体" w:cs="宋体"/>
                <w:color w:val="auto"/>
                <w:szCs w:val="21"/>
                <w:lang w:val="en-US" w:eastAsia="zh-CN"/>
              </w:rPr>
              <w:t>品牌型号</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cs="宋体"/>
                <w:color w:val="auto"/>
                <w:szCs w:val="21"/>
                <w:lang w:val="en-US" w:eastAsia="zh-CN"/>
              </w:rPr>
            </w:pPr>
            <w:r>
              <w:rPr>
                <w:rFonts w:hint="eastAsia" w:ascii="宋体" w:hAnsi="宋体" w:cs="宋体"/>
                <w:color w:val="auto"/>
                <w:szCs w:val="21"/>
                <w:lang w:val="en-US" w:eastAsia="zh-CN"/>
              </w:rPr>
              <w:t>投标参数</w:t>
            </w:r>
          </w:p>
        </w:tc>
        <w:tc>
          <w:tcPr>
            <w:tcW w:w="91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单位及数量</w:t>
            </w: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单价</w:t>
            </w: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合计</w:t>
            </w: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hint="eastAsia" w:ascii="宋体" w:hAnsi="宋体" w:eastAsia="宋体" w:cs="宋体"/>
                <w:color w:val="auto"/>
                <w:szCs w:val="21"/>
                <w:lang w:val="en-US" w:eastAsia="zh-CN"/>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pacing w:val="-10"/>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6</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7</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8</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9</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12</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13</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w:t>
            </w: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1" w:hRule="exact"/>
          <w:jc w:val="center"/>
        </w:trPr>
        <w:tc>
          <w:tcPr>
            <w:tcW w:w="1643"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总报价</w:t>
            </w:r>
          </w:p>
        </w:tc>
        <w:tc>
          <w:tcPr>
            <w:tcW w:w="6875" w:type="dxa"/>
            <w:gridSpan w:val="7"/>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left"/>
              <w:rPr>
                <w:rFonts w:hint="eastAsia" w:ascii="宋体" w:hAnsi="宋体" w:cs="宋体"/>
                <w:color w:val="auto"/>
                <w:szCs w:val="21"/>
                <w:lang w:val="en-US" w:eastAsia="zh-CN"/>
              </w:rPr>
            </w:pPr>
            <w:r>
              <w:rPr>
                <w:rFonts w:hint="eastAsia" w:ascii="宋体" w:hAnsi="宋体" w:cs="宋体"/>
                <w:color w:val="auto"/>
                <w:szCs w:val="21"/>
                <w:lang w:val="en-US" w:eastAsia="zh-CN"/>
              </w:rPr>
              <w:t>大写：</w:t>
            </w:r>
          </w:p>
          <w:p>
            <w:pPr>
              <w:tabs>
                <w:tab w:val="left" w:pos="1418"/>
              </w:tabs>
              <w:snapToGrid w:val="0"/>
              <w:spacing w:before="50" w:after="50"/>
              <w:jc w:val="left"/>
              <w:rPr>
                <w:rFonts w:hint="eastAsia" w:ascii="宋体" w:hAnsi="宋体" w:cs="宋体"/>
                <w:color w:val="auto"/>
                <w:szCs w:val="21"/>
                <w:lang w:val="en-US" w:eastAsia="zh-CN"/>
              </w:rPr>
            </w:pPr>
          </w:p>
          <w:p>
            <w:pPr>
              <w:tabs>
                <w:tab w:val="left" w:pos="1418"/>
              </w:tabs>
              <w:snapToGrid w:val="0"/>
              <w:spacing w:before="50" w:after="50"/>
              <w:jc w:val="left"/>
              <w:rPr>
                <w:rFonts w:hint="default"/>
                <w:color w:val="auto"/>
                <w:lang w:val="en-US" w:eastAsia="zh-CN"/>
              </w:rPr>
            </w:pPr>
            <w:r>
              <w:rPr>
                <w:rFonts w:hint="eastAsia" w:ascii="宋体" w:hAnsi="宋体" w:cs="宋体"/>
                <w:color w:val="auto"/>
                <w:szCs w:val="21"/>
                <w:lang w:val="en-US" w:eastAsia="zh-CN"/>
              </w:rPr>
              <w:t>小写：</w:t>
            </w:r>
          </w:p>
        </w:tc>
      </w:tr>
    </w:tbl>
    <w:p>
      <w:pPr>
        <w:adjustRightInd w:val="0"/>
        <w:snapToGrid w:val="0"/>
        <w:spacing w:line="360" w:lineRule="auto"/>
        <w:ind w:left="-88" w:leftChars="-42"/>
        <w:rPr>
          <w:rFonts w:hint="eastAsia" w:ascii="宋体" w:hAnsi="宋体" w:eastAsia="宋体" w:cs="宋体"/>
          <w:b/>
          <w:color w:val="auto"/>
          <w:szCs w:val="21"/>
        </w:rPr>
      </w:pPr>
    </w:p>
    <w:p>
      <w:pPr>
        <w:adjustRightInd w:val="0"/>
        <w:snapToGrid w:val="0"/>
        <w:spacing w:line="360" w:lineRule="auto"/>
        <w:ind w:left="-88" w:leftChars="-42" w:firstLine="420" w:firstLineChars="200"/>
        <w:rPr>
          <w:rFonts w:hint="eastAsia" w:ascii="宋体" w:hAnsi="宋体" w:eastAsia="宋体" w:cs="宋体"/>
          <w:color w:val="auto"/>
          <w:szCs w:val="21"/>
        </w:rPr>
      </w:pPr>
      <w:r>
        <w:rPr>
          <w:rFonts w:hint="eastAsia" w:ascii="宋体" w:hAnsi="宋体" w:eastAsia="宋体" w:cs="宋体"/>
          <w:color w:val="auto"/>
          <w:szCs w:val="21"/>
        </w:rPr>
        <w:t>注：1、投标人可在此表后附其报价详细说明</w:t>
      </w:r>
      <w:r>
        <w:rPr>
          <w:rFonts w:hint="eastAsia" w:ascii="宋体" w:hAnsi="宋体" w:eastAsia="宋体" w:cs="宋体"/>
          <w:color w:val="auto"/>
          <w:szCs w:val="21"/>
          <w:lang w:eastAsia="zh-CN"/>
        </w:rPr>
        <w:t>。</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rPr>
        <w:t>投标人</w:t>
      </w:r>
      <w:r>
        <w:rPr>
          <w:rFonts w:hint="eastAsia" w:ascii="宋体" w:hAnsi="宋体" w:eastAsia="宋体" w:cs="宋体"/>
          <w:color w:val="auto"/>
          <w:szCs w:val="21"/>
        </w:rPr>
        <w:t>（盖单位章）：</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法定代表人或其委托代理人签字：</w:t>
      </w:r>
      <w:r>
        <w:rPr>
          <w:rFonts w:hint="eastAsia" w:ascii="宋体" w:hAnsi="宋体" w:eastAsia="宋体" w:cs="宋体"/>
          <w:color w:val="auto"/>
          <w:szCs w:val="21"/>
          <w:u w:val="single"/>
        </w:rPr>
        <w:t xml:space="preserve">       </w:t>
      </w:r>
    </w:p>
    <w:p>
      <w:pPr>
        <w:adjustRightInd w:val="0"/>
        <w:snapToGrid w:val="0"/>
        <w:spacing w:line="360" w:lineRule="auto"/>
        <w:rPr>
          <w:rFonts w:hint="eastAsia" w:ascii="宋体" w:hAnsi="宋体" w:eastAsia="宋体" w:cs="宋体"/>
          <w:b/>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r>
        <w:rPr>
          <w:rFonts w:hint="eastAsia" w:ascii="宋体" w:hAnsi="宋体" w:eastAsia="宋体" w:cs="宋体"/>
          <w:b/>
          <w:color w:val="auto"/>
          <w:sz w:val="24"/>
        </w:rPr>
        <w:t xml:space="preserve"> </w:t>
      </w:r>
    </w:p>
    <w:p>
      <w:pPr>
        <w:rPr>
          <w:rFonts w:hint="eastAsia" w:ascii="宋体" w:hAnsi="宋体"/>
          <w:bCs/>
          <w:color w:val="auto"/>
          <w:sz w:val="28"/>
          <w:szCs w:val="28"/>
        </w:rPr>
      </w:pPr>
    </w:p>
    <w:p>
      <w:pPr>
        <w:rPr>
          <w:rFonts w:hint="eastAsia" w:ascii="宋体" w:hAnsi="宋体"/>
          <w:bCs/>
          <w:color w:val="auto"/>
          <w:sz w:val="28"/>
          <w:szCs w:val="28"/>
        </w:rPr>
      </w:pPr>
    </w:p>
    <w:p>
      <w:pPr>
        <w:rPr>
          <w:rFonts w:hint="default" w:ascii="宋体" w:hAnsi="宋体" w:eastAsia="宋体"/>
          <w:color w:val="auto"/>
          <w:lang w:val="en-US" w:eastAsia="zh-CN"/>
        </w:rPr>
      </w:pPr>
      <w:r>
        <w:rPr>
          <w:rFonts w:hint="eastAsia" w:ascii="宋体" w:hAnsi="宋体"/>
          <w:bCs/>
          <w:color w:val="auto"/>
          <w:sz w:val="28"/>
          <w:szCs w:val="28"/>
        </w:rPr>
        <w:t>附件</w:t>
      </w:r>
      <w:r>
        <w:rPr>
          <w:rFonts w:hint="eastAsia" w:ascii="宋体" w:hAnsi="宋体"/>
          <w:bCs/>
          <w:color w:val="auto"/>
          <w:sz w:val="28"/>
          <w:szCs w:val="28"/>
          <w:lang w:val="en-US" w:eastAsia="zh-CN"/>
        </w:rPr>
        <w:t>13</w:t>
      </w:r>
    </w:p>
    <w:p>
      <w:pPr>
        <w:spacing w:line="560" w:lineRule="exact"/>
        <w:ind w:firstLine="643" w:firstLineChars="200"/>
        <w:jc w:val="center"/>
        <w:rPr>
          <w:rFonts w:hint="eastAsia" w:ascii="宋体" w:hAnsi="宋体" w:cs="Times New Roman"/>
          <w:b/>
          <w:bCs/>
          <w:color w:val="000000" w:themeColor="text1"/>
          <w:sz w:val="32"/>
          <w:szCs w:val="32"/>
          <w14:textFill>
            <w14:solidFill>
              <w14:schemeClr w14:val="tx1"/>
            </w14:solidFill>
          </w14:textFill>
        </w:rPr>
      </w:pPr>
      <w:r>
        <w:rPr>
          <w:rFonts w:hint="eastAsia" w:ascii="宋体" w:hAnsi="宋体" w:cs="Times New Roman"/>
          <w:b/>
          <w:bCs/>
          <w:color w:val="000000" w:themeColor="text1"/>
          <w:sz w:val="32"/>
          <w:szCs w:val="32"/>
          <w14:textFill>
            <w14:solidFill>
              <w14:schemeClr w14:val="tx1"/>
            </w14:solidFill>
          </w14:textFill>
        </w:rPr>
        <w:t>中小企业声明函（货物）</w:t>
      </w:r>
    </w:p>
    <w:p>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cs="Times New Roman"/>
          <w:color w:val="000000" w:themeColor="text1"/>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本公司（联合体）郑重声明，根据《政府采购促进中小企业发展管理办法》（财库﹝2020﹞46 号）的规定，本公司（联合体）参加</w:t>
      </w:r>
      <w:r>
        <w:rPr>
          <w:rFonts w:hint="eastAsia" w:ascii="宋体" w:hAnsi="宋体" w:cs="Times New Roman"/>
          <w:color w:val="FF0000"/>
          <w:szCs w:val="21"/>
          <w:u w:val="single"/>
        </w:rPr>
        <w:t xml:space="preserve"> </w:t>
      </w:r>
      <w:r>
        <w:rPr>
          <w:rFonts w:hint="eastAsia" w:ascii="宋体" w:hAnsi="宋体" w:cs="Times New Roman"/>
          <w:color w:val="FF0000"/>
          <w:szCs w:val="21"/>
          <w:u w:val="single"/>
          <w:lang w:val="en-US" w:eastAsia="zh-CN"/>
        </w:rPr>
        <w:t xml:space="preserve">    </w:t>
      </w:r>
      <w:r>
        <w:rPr>
          <w:rFonts w:hint="eastAsia" w:ascii="宋体" w:hAnsi="宋体" w:cs="Times New Roman"/>
          <w:color w:val="FF0000"/>
          <w:szCs w:val="21"/>
          <w:u w:val="single"/>
        </w:rPr>
        <w:t>（单位名称）</w:t>
      </w:r>
      <w:r>
        <w:rPr>
          <w:rFonts w:hint="eastAsia" w:ascii="宋体" w:hAnsi="宋体" w:cs="Times New Roman"/>
          <w:color w:val="FF0000"/>
          <w:szCs w:val="21"/>
          <w:u w:val="single"/>
          <w:lang w:val="en-US" w:eastAsia="zh-CN"/>
        </w:rPr>
        <w:t xml:space="preserve">  </w:t>
      </w:r>
      <w:r>
        <w:rPr>
          <w:rFonts w:hint="eastAsia" w:ascii="宋体" w:hAnsi="宋体" w:cs="Times New Roman"/>
          <w:color w:val="FF0000"/>
          <w:szCs w:val="21"/>
          <w:u w:val="single"/>
        </w:rPr>
        <w:t xml:space="preserve"> </w:t>
      </w:r>
      <w:r>
        <w:rPr>
          <w:rFonts w:hint="eastAsia" w:ascii="宋体" w:hAnsi="宋体" w:cs="Times New Roman"/>
          <w:color w:val="000000" w:themeColor="text1"/>
          <w:szCs w:val="21"/>
          <w14:textFill>
            <w14:solidFill>
              <w14:schemeClr w14:val="tx1"/>
            </w14:solidFill>
          </w14:textFill>
        </w:rPr>
        <w:t xml:space="preserve">的 </w:t>
      </w:r>
      <w:r>
        <w:rPr>
          <w:rFonts w:hint="eastAsia" w:ascii="宋体" w:hAnsi="宋体" w:cs="Times New Roman"/>
          <w:color w:val="FF0000"/>
          <w:szCs w:val="21"/>
          <w:u w:val="single"/>
          <w:lang w:val="en-US" w:eastAsia="zh-CN"/>
        </w:rPr>
        <w:t xml:space="preserve">    </w:t>
      </w:r>
      <w:r>
        <w:rPr>
          <w:rFonts w:hint="eastAsia" w:ascii="宋体" w:hAnsi="宋体" w:cs="Times New Roman"/>
          <w:color w:val="FF0000"/>
          <w:szCs w:val="21"/>
          <w:u w:val="single"/>
        </w:rPr>
        <w:t>（项目名称）</w:t>
      </w:r>
      <w:r>
        <w:rPr>
          <w:rFonts w:hint="eastAsia" w:ascii="宋体" w:hAnsi="宋体" w:cs="Times New Roman"/>
          <w:color w:val="FF0000"/>
          <w:szCs w:val="21"/>
          <w:u w:val="single"/>
          <w:lang w:val="en-US" w:eastAsia="zh-CN"/>
        </w:rPr>
        <w:t xml:space="preserve">  </w:t>
      </w:r>
      <w:r>
        <w:rPr>
          <w:rFonts w:hint="eastAsia" w:ascii="宋体" w:hAnsi="宋体" w:cs="Times New Roman"/>
          <w:color w:val="FF0000"/>
          <w:szCs w:val="21"/>
          <w:u w:val="single"/>
        </w:rPr>
        <w:t xml:space="preserve"> </w:t>
      </w:r>
      <w:r>
        <w:rPr>
          <w:rFonts w:hint="eastAsia" w:ascii="宋体" w:hAnsi="宋体" w:cs="Times New Roman"/>
          <w:color w:val="000000" w:themeColor="text1"/>
          <w:szCs w:val="21"/>
          <w14:textFill>
            <w14:solidFill>
              <w14:schemeClr w14:val="tx1"/>
            </w14:solidFill>
          </w14:textFill>
        </w:rPr>
        <w:t>采购活动，提供的货物全部由符合政策要求的中小企业制造。相关企业（含联合体中的中小企业、签订分包意向协议的中小企业）的具体情况如下：</w:t>
      </w:r>
    </w:p>
    <w:p>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cs="Times New Roman"/>
          <w:color w:val="000000" w:themeColor="text1"/>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 xml:space="preserve">1. </w:t>
      </w:r>
      <w:r>
        <w:rPr>
          <w:rFonts w:hint="eastAsia" w:ascii="宋体" w:hAnsi="宋体" w:cs="Times New Roman"/>
          <w:color w:val="FF0000"/>
          <w:szCs w:val="21"/>
          <w:u w:val="single"/>
        </w:rPr>
        <w:t xml:space="preserve">（标的名称） </w:t>
      </w:r>
      <w:r>
        <w:rPr>
          <w:rFonts w:hint="eastAsia" w:ascii="宋体" w:hAnsi="宋体" w:cs="Times New Roman"/>
          <w:color w:val="000000" w:themeColor="text1"/>
          <w:szCs w:val="21"/>
          <w14:textFill>
            <w14:solidFill>
              <w14:schemeClr w14:val="tx1"/>
            </w14:solidFill>
          </w14:textFill>
        </w:rPr>
        <w:t>，属于</w:t>
      </w:r>
      <w:r>
        <w:rPr>
          <w:rFonts w:hint="eastAsia" w:ascii="宋体" w:hAnsi="宋体" w:cs="Times New Roman"/>
          <w:color w:val="FF0000"/>
          <w:szCs w:val="21"/>
          <w:u w:val="single"/>
        </w:rPr>
        <w:t xml:space="preserve"> （采购文件中明确的所属行业）</w:t>
      </w:r>
      <w:r>
        <w:rPr>
          <w:rFonts w:hint="eastAsia" w:ascii="宋体" w:hAnsi="宋体" w:cs="Times New Roman"/>
          <w:color w:val="000000" w:themeColor="text1"/>
          <w:szCs w:val="21"/>
          <w14:textFill>
            <w14:solidFill>
              <w14:schemeClr w14:val="tx1"/>
            </w14:solidFill>
          </w14:textFill>
        </w:rPr>
        <w:t xml:space="preserve">行业 ；制造商为 </w:t>
      </w:r>
      <w:r>
        <w:rPr>
          <w:rFonts w:hint="eastAsia" w:ascii="宋体" w:hAnsi="宋体" w:cs="Times New Roman"/>
          <w:color w:val="FF0000"/>
          <w:szCs w:val="21"/>
          <w:u w:val="single"/>
        </w:rPr>
        <w:t xml:space="preserve">（企业名称） </w:t>
      </w:r>
      <w:r>
        <w:rPr>
          <w:rFonts w:hint="eastAsia" w:ascii="宋体" w:hAnsi="宋体" w:cs="Times New Roman"/>
          <w:color w:val="000000" w:themeColor="text1"/>
          <w:szCs w:val="21"/>
          <w14:textFill>
            <w14:solidFill>
              <w14:schemeClr w14:val="tx1"/>
            </w14:solidFill>
          </w14:textFill>
        </w:rPr>
        <w:t>，从业人员</w:t>
      </w:r>
      <w:r>
        <w:rPr>
          <w:rFonts w:hint="eastAsia" w:ascii="宋体" w:hAnsi="宋体" w:cs="Times New Roman"/>
          <w:color w:val="FF0000"/>
          <w:szCs w:val="21"/>
          <w:u w:val="single"/>
          <w:lang w:val="en-US" w:eastAsia="zh-CN"/>
        </w:rPr>
        <w:t xml:space="preserve">    </w:t>
      </w:r>
      <w:r>
        <w:rPr>
          <w:rFonts w:hint="eastAsia" w:ascii="宋体" w:hAnsi="宋体" w:cs="Times New Roman"/>
          <w:color w:val="FF0000"/>
          <w:szCs w:val="21"/>
          <w:u w:val="single"/>
        </w:rPr>
        <w:t xml:space="preserve"> </w:t>
      </w:r>
      <w:r>
        <w:rPr>
          <w:rFonts w:hint="eastAsia" w:ascii="宋体" w:hAnsi="宋体" w:cs="Times New Roman"/>
          <w:color w:val="000000" w:themeColor="text1"/>
          <w:szCs w:val="21"/>
          <w14:textFill>
            <w14:solidFill>
              <w14:schemeClr w14:val="tx1"/>
            </w14:solidFill>
          </w14:textFill>
        </w:rPr>
        <w:t>人，营业收入为</w:t>
      </w:r>
      <w:r>
        <w:rPr>
          <w:rFonts w:hint="eastAsia" w:ascii="宋体" w:hAnsi="宋体" w:cs="Times New Roman"/>
          <w:color w:val="FF0000"/>
          <w:szCs w:val="21"/>
          <w:u w:val="single"/>
          <w:lang w:val="en-US" w:eastAsia="zh-CN"/>
        </w:rPr>
        <w:t xml:space="preserve">    </w:t>
      </w:r>
      <w:r>
        <w:rPr>
          <w:rFonts w:hint="eastAsia" w:ascii="宋体" w:hAnsi="宋体" w:cs="Times New Roman"/>
          <w:color w:val="FF0000"/>
          <w:szCs w:val="21"/>
          <w:u w:val="single"/>
        </w:rPr>
        <w:t xml:space="preserve"> </w:t>
      </w:r>
      <w:r>
        <w:rPr>
          <w:rFonts w:hint="eastAsia" w:ascii="宋体" w:hAnsi="宋体" w:cs="Times New Roman"/>
          <w:color w:val="000000" w:themeColor="text1"/>
          <w:szCs w:val="21"/>
          <w14:textFill>
            <w14:solidFill>
              <w14:schemeClr w14:val="tx1"/>
            </w14:solidFill>
          </w14:textFill>
        </w:rPr>
        <w:t>万元，资产总额为</w:t>
      </w:r>
      <w:r>
        <w:rPr>
          <w:rFonts w:hint="eastAsia" w:ascii="宋体" w:hAnsi="宋体" w:cs="Times New Roman"/>
          <w:color w:val="FF0000"/>
          <w:szCs w:val="21"/>
          <w:u w:val="single"/>
        </w:rPr>
        <w:t xml:space="preserve"> </w:t>
      </w:r>
      <w:r>
        <w:rPr>
          <w:rFonts w:hint="eastAsia" w:ascii="宋体" w:hAnsi="宋体" w:cs="Times New Roman"/>
          <w:color w:val="FF0000"/>
          <w:szCs w:val="21"/>
          <w:u w:val="single"/>
          <w:lang w:val="en-US" w:eastAsia="zh-CN"/>
        </w:rPr>
        <w:t xml:space="preserve">   </w:t>
      </w:r>
      <w:r>
        <w:rPr>
          <w:rFonts w:hint="eastAsia" w:ascii="宋体" w:hAnsi="宋体" w:cs="Times New Roman"/>
          <w:color w:val="000000" w:themeColor="text1"/>
          <w:szCs w:val="21"/>
          <w14:textFill>
            <w14:solidFill>
              <w14:schemeClr w14:val="tx1"/>
            </w14:solidFill>
          </w14:textFill>
        </w:rPr>
        <w:t>万元 ，属于</w:t>
      </w:r>
      <w:r>
        <w:rPr>
          <w:rFonts w:hint="eastAsia" w:ascii="宋体" w:hAnsi="宋体" w:cs="Times New Roman"/>
          <w:color w:val="FF0000"/>
          <w:szCs w:val="21"/>
          <w:u w:val="single"/>
        </w:rPr>
        <w:t xml:space="preserve"> </w:t>
      </w:r>
      <w:r>
        <w:rPr>
          <w:rFonts w:hint="eastAsia" w:ascii="宋体" w:hAnsi="宋体" w:cs="Times New Roman"/>
          <w:color w:val="FF0000"/>
          <w:szCs w:val="21"/>
          <w:u w:val="single"/>
          <w:lang w:val="en-US" w:eastAsia="zh-CN"/>
        </w:rPr>
        <w:t xml:space="preserve">     </w:t>
      </w:r>
      <w:r>
        <w:rPr>
          <w:rFonts w:hint="eastAsia" w:ascii="宋体" w:hAnsi="宋体" w:cs="Times New Roman"/>
          <w:color w:val="FF0000"/>
          <w:szCs w:val="21"/>
        </w:rPr>
        <w:t xml:space="preserve">（中型企业、小型企业、微型企业） </w:t>
      </w:r>
      <w:r>
        <w:rPr>
          <w:rFonts w:hint="eastAsia" w:ascii="宋体" w:hAnsi="宋体" w:cs="Times New Roman"/>
          <w:color w:val="000000" w:themeColor="text1"/>
          <w:szCs w:val="21"/>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cs="Times New Roman"/>
          <w:color w:val="000000" w:themeColor="text1"/>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 xml:space="preserve">2. </w:t>
      </w:r>
      <w:r>
        <w:rPr>
          <w:rFonts w:hint="eastAsia" w:ascii="宋体" w:hAnsi="宋体" w:cs="Times New Roman"/>
          <w:color w:val="FF0000"/>
          <w:szCs w:val="21"/>
          <w:u w:val="single"/>
        </w:rPr>
        <w:t xml:space="preserve">（标的名称） </w:t>
      </w:r>
      <w:r>
        <w:rPr>
          <w:rFonts w:hint="eastAsia" w:ascii="宋体" w:hAnsi="宋体" w:cs="Times New Roman"/>
          <w:color w:val="000000" w:themeColor="text1"/>
          <w:szCs w:val="21"/>
          <w14:textFill>
            <w14:solidFill>
              <w14:schemeClr w14:val="tx1"/>
            </w14:solidFill>
          </w14:textFill>
        </w:rPr>
        <w:t>，属于</w:t>
      </w:r>
      <w:r>
        <w:rPr>
          <w:rFonts w:hint="eastAsia" w:ascii="宋体" w:hAnsi="宋体" w:cs="Times New Roman"/>
          <w:color w:val="FF0000"/>
          <w:szCs w:val="21"/>
          <w:u w:val="single"/>
        </w:rPr>
        <w:t xml:space="preserve"> （采购文件中明确的所属行业）</w:t>
      </w:r>
      <w:r>
        <w:rPr>
          <w:rFonts w:hint="eastAsia" w:ascii="宋体" w:hAnsi="宋体" w:cs="Times New Roman"/>
          <w:color w:val="000000" w:themeColor="text1"/>
          <w:szCs w:val="21"/>
          <w14:textFill>
            <w14:solidFill>
              <w14:schemeClr w14:val="tx1"/>
            </w14:solidFill>
          </w14:textFill>
        </w:rPr>
        <w:t xml:space="preserve">行业 ；制造商为 </w:t>
      </w:r>
      <w:r>
        <w:rPr>
          <w:rFonts w:hint="eastAsia" w:ascii="宋体" w:hAnsi="宋体" w:cs="Times New Roman"/>
          <w:color w:val="FF0000"/>
          <w:szCs w:val="21"/>
          <w:u w:val="single"/>
        </w:rPr>
        <w:t xml:space="preserve">（企业名称） </w:t>
      </w:r>
      <w:r>
        <w:rPr>
          <w:rFonts w:hint="eastAsia" w:ascii="宋体" w:hAnsi="宋体" w:cs="Times New Roman"/>
          <w:color w:val="000000" w:themeColor="text1"/>
          <w:szCs w:val="21"/>
          <w14:textFill>
            <w14:solidFill>
              <w14:schemeClr w14:val="tx1"/>
            </w14:solidFill>
          </w14:textFill>
        </w:rPr>
        <w:t>，从业人员</w:t>
      </w:r>
      <w:r>
        <w:rPr>
          <w:rFonts w:hint="eastAsia" w:ascii="宋体" w:hAnsi="宋体" w:cs="Times New Roman"/>
          <w:color w:val="FF0000"/>
          <w:szCs w:val="21"/>
          <w:u w:val="single"/>
          <w:lang w:val="en-US" w:eastAsia="zh-CN"/>
        </w:rPr>
        <w:t xml:space="preserve">    </w:t>
      </w:r>
      <w:r>
        <w:rPr>
          <w:rFonts w:hint="eastAsia" w:ascii="宋体" w:hAnsi="宋体" w:cs="Times New Roman"/>
          <w:color w:val="FF0000"/>
          <w:szCs w:val="21"/>
          <w:u w:val="single"/>
        </w:rPr>
        <w:t xml:space="preserve"> </w:t>
      </w:r>
      <w:r>
        <w:rPr>
          <w:rFonts w:hint="eastAsia" w:ascii="宋体" w:hAnsi="宋体" w:cs="Times New Roman"/>
          <w:color w:val="000000" w:themeColor="text1"/>
          <w:szCs w:val="21"/>
          <w14:textFill>
            <w14:solidFill>
              <w14:schemeClr w14:val="tx1"/>
            </w14:solidFill>
          </w14:textFill>
        </w:rPr>
        <w:t>人，营业收入为</w:t>
      </w:r>
      <w:r>
        <w:rPr>
          <w:rFonts w:hint="eastAsia" w:ascii="宋体" w:hAnsi="宋体" w:cs="Times New Roman"/>
          <w:color w:val="FF0000"/>
          <w:szCs w:val="21"/>
          <w:u w:val="single"/>
          <w:lang w:val="en-US" w:eastAsia="zh-CN"/>
        </w:rPr>
        <w:t xml:space="preserve">    </w:t>
      </w:r>
      <w:r>
        <w:rPr>
          <w:rFonts w:hint="eastAsia" w:ascii="宋体" w:hAnsi="宋体" w:cs="Times New Roman"/>
          <w:color w:val="FF0000"/>
          <w:szCs w:val="21"/>
          <w:u w:val="single"/>
        </w:rPr>
        <w:t xml:space="preserve"> </w:t>
      </w:r>
      <w:r>
        <w:rPr>
          <w:rFonts w:hint="eastAsia" w:ascii="宋体" w:hAnsi="宋体" w:cs="Times New Roman"/>
          <w:color w:val="000000" w:themeColor="text1"/>
          <w:szCs w:val="21"/>
          <w14:textFill>
            <w14:solidFill>
              <w14:schemeClr w14:val="tx1"/>
            </w14:solidFill>
          </w14:textFill>
        </w:rPr>
        <w:t>万元，资产总额为</w:t>
      </w:r>
      <w:r>
        <w:rPr>
          <w:rFonts w:hint="eastAsia" w:ascii="宋体" w:hAnsi="宋体" w:cs="Times New Roman"/>
          <w:color w:val="FF0000"/>
          <w:szCs w:val="21"/>
          <w:u w:val="single"/>
        </w:rPr>
        <w:t xml:space="preserve"> </w:t>
      </w:r>
      <w:r>
        <w:rPr>
          <w:rFonts w:hint="eastAsia" w:ascii="宋体" w:hAnsi="宋体" w:cs="Times New Roman"/>
          <w:color w:val="FF0000"/>
          <w:szCs w:val="21"/>
          <w:u w:val="single"/>
          <w:lang w:val="en-US" w:eastAsia="zh-CN"/>
        </w:rPr>
        <w:t xml:space="preserve">   </w:t>
      </w:r>
      <w:r>
        <w:rPr>
          <w:rFonts w:hint="eastAsia" w:ascii="宋体" w:hAnsi="宋体" w:cs="Times New Roman"/>
          <w:color w:val="000000" w:themeColor="text1"/>
          <w:szCs w:val="21"/>
          <w14:textFill>
            <w14:solidFill>
              <w14:schemeClr w14:val="tx1"/>
            </w14:solidFill>
          </w14:textFill>
        </w:rPr>
        <w:t>万元 ，属于</w:t>
      </w:r>
      <w:r>
        <w:rPr>
          <w:rFonts w:hint="eastAsia" w:ascii="宋体" w:hAnsi="宋体" w:cs="Times New Roman"/>
          <w:color w:val="FF0000"/>
          <w:szCs w:val="21"/>
          <w:u w:val="single"/>
        </w:rPr>
        <w:t xml:space="preserve"> </w:t>
      </w:r>
      <w:r>
        <w:rPr>
          <w:rFonts w:hint="eastAsia" w:ascii="宋体" w:hAnsi="宋体" w:cs="Times New Roman"/>
          <w:color w:val="FF0000"/>
          <w:szCs w:val="21"/>
          <w:u w:val="single"/>
          <w:lang w:val="en-US" w:eastAsia="zh-CN"/>
        </w:rPr>
        <w:t xml:space="preserve">     </w:t>
      </w:r>
      <w:r>
        <w:rPr>
          <w:rFonts w:hint="eastAsia" w:ascii="宋体" w:hAnsi="宋体" w:cs="Times New Roman"/>
          <w:color w:val="FF0000"/>
          <w:szCs w:val="21"/>
        </w:rPr>
        <w:t>（中型企业、小型企业、微型企业）</w:t>
      </w:r>
      <w:r>
        <w:rPr>
          <w:rFonts w:hint="eastAsia" w:ascii="宋体" w:hAnsi="宋体" w:cs="Times New Roman"/>
          <w:color w:val="000000" w:themeColor="text1"/>
          <w:szCs w:val="21"/>
          <w14:textFill>
            <w14:solidFill>
              <w14:schemeClr w14:val="tx1"/>
            </w14:solidFill>
          </w14:textFill>
        </w:rPr>
        <w:t xml:space="preserve"> ；</w:t>
      </w:r>
    </w:p>
    <w:p>
      <w:pPr>
        <w:keepNext w:val="0"/>
        <w:keepLines w:val="0"/>
        <w:pageBreakBefore w:val="0"/>
        <w:widowControl w:val="0"/>
        <w:kinsoku/>
        <w:overflowPunct/>
        <w:topLinePunct w:val="0"/>
        <w:autoSpaceDE/>
        <w:autoSpaceDN/>
        <w:bidi w:val="0"/>
        <w:adjustRightInd/>
        <w:snapToGrid/>
        <w:spacing w:line="400" w:lineRule="exact"/>
        <w:ind w:firstLine="422" w:firstLineChars="200"/>
        <w:textAlignment w:val="auto"/>
        <w:rPr>
          <w:rFonts w:hint="eastAsia" w:ascii="宋体" w:hAnsi="宋体" w:cs="Times New Roman"/>
          <w:b/>
          <w:bCs/>
          <w:color w:val="FF0000"/>
          <w:szCs w:val="21"/>
        </w:rPr>
      </w:pPr>
      <w:r>
        <w:rPr>
          <w:rFonts w:hint="eastAsia" w:ascii="宋体" w:hAnsi="宋体" w:cs="Times New Roman"/>
          <w:b/>
          <w:bCs/>
          <w:color w:val="FF0000"/>
          <w:szCs w:val="21"/>
        </w:rPr>
        <w:t>……</w:t>
      </w:r>
    </w:p>
    <w:p>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cs="Times New Roman"/>
          <w:color w:val="000000" w:themeColor="text1"/>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以上企业，不属于大企业的分支机构，不存在控股股东为大企业的情形，也不存在与大企业的负责人为同一人的情形。</w:t>
      </w:r>
    </w:p>
    <w:p>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cs="Times New Roman"/>
          <w:color w:val="000000" w:themeColor="text1"/>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本企业对上述声明内容的真实性负责。如有虚假，将依法承担相应责任。</w:t>
      </w:r>
    </w:p>
    <w:p>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right"/>
        <w:textAlignment w:val="auto"/>
        <w:rPr>
          <w:rFonts w:hint="eastAsia" w:ascii="宋体" w:hAnsi="宋体" w:cs="Times New Roman"/>
          <w:color w:val="000000" w:themeColor="text1"/>
          <w:szCs w:val="21"/>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right"/>
        <w:textAlignment w:val="auto"/>
        <w:rPr>
          <w:rFonts w:hint="default" w:ascii="宋体" w:hAnsi="宋体" w:eastAsia="宋体" w:cs="Times New Roman"/>
          <w:color w:val="000000" w:themeColor="text1"/>
          <w:szCs w:val="21"/>
          <w:lang w:val="en-US" w:eastAsia="zh-CN"/>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企业名称（盖章）：</w:t>
      </w:r>
      <w:r>
        <w:rPr>
          <w:rFonts w:hint="eastAsia" w:ascii="宋体" w:hAnsi="宋体" w:cs="Times New Roman"/>
          <w:color w:val="000000" w:themeColor="text1"/>
          <w:szCs w:val="21"/>
          <w:lang w:val="en-US" w:eastAsia="zh-CN"/>
          <w14:textFill>
            <w14:solidFill>
              <w14:schemeClr w14:val="tx1"/>
            </w14:solidFill>
          </w14:textFill>
        </w:rPr>
        <w:t xml:space="preserve">                   </w:t>
      </w:r>
    </w:p>
    <w:p>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right"/>
        <w:textAlignment w:val="auto"/>
        <w:rPr>
          <w:rFonts w:hint="default" w:ascii="宋体" w:hAnsi="宋体" w:eastAsia="宋体" w:cs="Times New Roman"/>
          <w:color w:val="000000" w:themeColor="text1"/>
          <w:szCs w:val="21"/>
          <w:lang w:val="en-US" w:eastAsia="zh-CN"/>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日 期：</w:t>
      </w:r>
      <w:r>
        <w:rPr>
          <w:rFonts w:hint="eastAsia" w:ascii="宋体" w:hAnsi="宋体" w:cs="Times New Roman"/>
          <w:color w:val="000000" w:themeColor="text1"/>
          <w:szCs w:val="21"/>
          <w:lang w:val="en-US" w:eastAsia="zh-CN"/>
          <w14:textFill>
            <w14:solidFill>
              <w14:schemeClr w14:val="tx1"/>
            </w14:solidFill>
          </w14:textFill>
        </w:rPr>
        <w:t xml:space="preserve">                          </w:t>
      </w:r>
    </w:p>
    <w:p>
      <w:pPr>
        <w:adjustRightInd w:val="0"/>
        <w:snapToGrid w:val="0"/>
        <w:spacing w:line="360" w:lineRule="auto"/>
        <w:ind w:firstLine="450" w:firstLineChars="250"/>
        <w:rPr>
          <w:rFonts w:hint="eastAsia" w:ascii="宋体" w:hAnsi="宋体" w:cs="Times New Roman"/>
          <w:color w:val="auto"/>
          <w:sz w:val="18"/>
          <w:szCs w:val="18"/>
          <w:highlight w:val="none"/>
        </w:rPr>
      </w:pPr>
      <w:r>
        <w:rPr>
          <w:rFonts w:hint="eastAsia" w:ascii="宋体" w:hAnsi="宋体" w:cs="Times New Roman"/>
          <w:color w:val="auto"/>
          <w:sz w:val="18"/>
          <w:szCs w:val="18"/>
          <w:highlight w:val="none"/>
        </w:rPr>
        <w:t>1</w:t>
      </w:r>
      <w:r>
        <w:rPr>
          <w:rFonts w:hint="eastAsia" w:ascii="宋体" w:hAnsi="宋体" w:cs="Times New Roman"/>
          <w:color w:val="auto"/>
          <w:sz w:val="18"/>
          <w:szCs w:val="18"/>
          <w:highlight w:val="none"/>
          <w:lang w:val="en-US" w:eastAsia="zh-CN"/>
        </w:rPr>
        <w:t>.</w:t>
      </w:r>
      <w:r>
        <w:rPr>
          <w:rFonts w:hint="eastAsia" w:ascii="宋体" w:hAnsi="宋体" w:cs="Times New Roman"/>
          <w:color w:val="auto"/>
          <w:sz w:val="18"/>
          <w:szCs w:val="18"/>
          <w:highlight w:val="none"/>
        </w:rPr>
        <w:t>从业人员、营业收入、资产总额填报上一年度数据，无上一年度数据的新成立企业可不填报。</w:t>
      </w:r>
    </w:p>
    <w:p>
      <w:pPr>
        <w:adjustRightInd w:val="0"/>
        <w:snapToGrid w:val="0"/>
        <w:spacing w:line="360" w:lineRule="auto"/>
        <w:ind w:firstLine="525" w:firstLineChars="250"/>
        <w:rPr>
          <w:rFonts w:hint="eastAsia" w:ascii="宋体" w:hAnsi="宋体"/>
          <w:color w:val="auto"/>
          <w:szCs w:val="21"/>
          <w:highlight w:val="none"/>
        </w:rPr>
      </w:pPr>
    </w:p>
    <w:p>
      <w:pPr>
        <w:adjustRightInd w:val="0"/>
        <w:snapToGrid w:val="0"/>
        <w:spacing w:line="360" w:lineRule="auto"/>
        <w:ind w:firstLine="525" w:firstLineChars="250"/>
        <w:rPr>
          <w:rFonts w:hint="eastAsia" w:ascii="宋体" w:hAnsi="宋体" w:eastAsia="宋体"/>
          <w:b/>
          <w:bCs/>
          <w:color w:val="auto"/>
          <w:sz w:val="18"/>
          <w:szCs w:val="18"/>
          <w:highlight w:val="none"/>
          <w:lang w:eastAsia="zh-CN"/>
        </w:rPr>
      </w:pPr>
      <w:r>
        <w:rPr>
          <w:rFonts w:hint="eastAsia" w:ascii="宋体" w:hAnsi="宋体"/>
          <w:color w:val="auto"/>
          <w:szCs w:val="21"/>
          <w:highlight w:val="none"/>
        </w:rPr>
        <w:t>说明：</w:t>
      </w:r>
      <w:r>
        <w:rPr>
          <w:rFonts w:hint="eastAsia" w:ascii="宋体" w:hAnsi="宋体"/>
          <w:color w:val="auto"/>
          <w:sz w:val="18"/>
          <w:szCs w:val="18"/>
          <w:highlight w:val="none"/>
        </w:rPr>
        <w:t>1、填写前请认真阅读</w:t>
      </w:r>
      <w:r>
        <w:rPr>
          <w:rFonts w:hint="eastAsia" w:ascii="宋体" w:hAnsi="宋体"/>
          <w:color w:val="auto"/>
          <w:spacing w:val="6"/>
          <w:sz w:val="18"/>
          <w:szCs w:val="18"/>
          <w:highlight w:val="none"/>
        </w:rPr>
        <w:t>《财政部</w:t>
      </w:r>
      <w:r>
        <w:rPr>
          <w:rFonts w:hint="eastAsia" w:ascii="宋体" w:hAnsi="宋体"/>
          <w:color w:val="auto"/>
          <w:spacing w:val="6"/>
          <w:sz w:val="18"/>
          <w:szCs w:val="18"/>
          <w:highlight w:val="none"/>
          <w:lang w:eastAsia="zh-CN"/>
        </w:rPr>
        <w:t>、</w:t>
      </w:r>
      <w:r>
        <w:rPr>
          <w:rFonts w:hint="eastAsia" w:ascii="宋体" w:hAnsi="宋体"/>
          <w:color w:val="auto"/>
          <w:spacing w:val="6"/>
          <w:sz w:val="18"/>
          <w:szCs w:val="18"/>
          <w:highlight w:val="none"/>
        </w:rPr>
        <w:t>工业和信息化部</w:t>
      </w:r>
      <w:r>
        <w:rPr>
          <w:rFonts w:hint="eastAsia" w:ascii="宋体" w:hAnsi="宋体"/>
          <w:bCs/>
          <w:color w:val="auto"/>
          <w:sz w:val="18"/>
          <w:szCs w:val="18"/>
          <w:highlight w:val="none"/>
        </w:rPr>
        <w:t>关于印发＜政府采购促进中小企业发展</w:t>
      </w:r>
      <w:r>
        <w:rPr>
          <w:rFonts w:hint="eastAsia" w:ascii="宋体" w:hAnsi="宋体"/>
          <w:bCs/>
          <w:color w:val="auto"/>
          <w:sz w:val="18"/>
          <w:szCs w:val="18"/>
          <w:highlight w:val="none"/>
          <w:lang w:val="en-US" w:eastAsia="zh-CN"/>
        </w:rPr>
        <w:t>管理</w:t>
      </w:r>
      <w:r>
        <w:rPr>
          <w:rFonts w:hint="eastAsia" w:ascii="宋体" w:hAnsi="宋体"/>
          <w:bCs/>
          <w:color w:val="auto"/>
          <w:sz w:val="18"/>
          <w:szCs w:val="18"/>
          <w:highlight w:val="none"/>
        </w:rPr>
        <w:t>办法＞的通知》(</w:t>
      </w:r>
      <w:r>
        <w:rPr>
          <w:rFonts w:hint="eastAsia" w:ascii="宋体" w:hAnsi="宋体"/>
          <w:color w:val="auto"/>
          <w:sz w:val="18"/>
          <w:szCs w:val="18"/>
          <w:highlight w:val="none"/>
        </w:rPr>
        <w:t>财库[20</w:t>
      </w:r>
      <w:r>
        <w:rPr>
          <w:rFonts w:hint="eastAsia" w:ascii="宋体" w:hAnsi="宋体"/>
          <w:color w:val="auto"/>
          <w:sz w:val="18"/>
          <w:szCs w:val="18"/>
          <w:highlight w:val="none"/>
          <w:lang w:val="en-US" w:eastAsia="zh-CN"/>
        </w:rPr>
        <w:t>20</w:t>
      </w: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46</w:t>
      </w:r>
      <w:r>
        <w:rPr>
          <w:rFonts w:hint="eastAsia" w:ascii="宋体" w:hAnsi="宋体"/>
          <w:color w:val="auto"/>
          <w:sz w:val="18"/>
          <w:szCs w:val="18"/>
          <w:highlight w:val="none"/>
        </w:rPr>
        <w:t>号)相关规定。</w:t>
      </w:r>
      <w:r>
        <w:rPr>
          <w:rFonts w:hint="eastAsia" w:ascii="宋体" w:hAnsi="宋体"/>
          <w:b/>
          <w:bCs/>
          <w:color w:val="auto"/>
          <w:sz w:val="18"/>
          <w:szCs w:val="18"/>
          <w:highlight w:val="none"/>
          <w:lang w:eastAsia="zh-CN"/>
        </w:rPr>
        <w:t>填写内容无漏项、能够明确体现每一项符合中小企业政策要求标的物。</w:t>
      </w:r>
    </w:p>
    <w:p>
      <w:pPr>
        <w:adjustRightInd w:val="0"/>
        <w:snapToGrid w:val="0"/>
        <w:spacing w:line="360" w:lineRule="auto"/>
        <w:ind w:left="0" w:leftChars="0" w:firstLine="360" w:firstLineChars="200"/>
        <w:rPr>
          <w:rFonts w:hint="default" w:ascii="宋体" w:hAnsi="宋体"/>
          <w:color w:val="auto"/>
          <w:sz w:val="18"/>
          <w:szCs w:val="18"/>
          <w:highlight w:val="none"/>
          <w:lang w:val="en-US" w:eastAsia="zh-CN"/>
        </w:rPr>
      </w:pPr>
      <w:r>
        <w:rPr>
          <w:rFonts w:hint="eastAsia" w:ascii="宋体" w:hAnsi="宋体"/>
          <w:color w:val="auto"/>
          <w:sz w:val="18"/>
          <w:szCs w:val="18"/>
          <w:highlight w:val="none"/>
          <w:lang w:val="en-US" w:eastAsia="zh-CN"/>
        </w:rPr>
        <w:t>2、请查看</w:t>
      </w:r>
      <w:r>
        <w:rPr>
          <w:rFonts w:hint="eastAsia" w:ascii="宋体" w:hAnsi="宋体"/>
          <w:b/>
          <w:bCs/>
          <w:color w:val="auto"/>
          <w:sz w:val="18"/>
          <w:szCs w:val="18"/>
          <w:highlight w:val="none"/>
          <w:lang w:val="en-US" w:eastAsia="zh-CN"/>
        </w:rPr>
        <w:t>《</w:t>
      </w:r>
      <w:r>
        <w:rPr>
          <w:rFonts w:hint="eastAsia" w:ascii="宋体" w:hAnsi="宋体"/>
          <w:b/>
          <w:bCs/>
          <w:color w:val="auto"/>
          <w:sz w:val="18"/>
          <w:szCs w:val="18"/>
          <w:highlight w:val="none"/>
        </w:rPr>
        <w:t>关于印发中小企业划型标准规定的通知》</w:t>
      </w:r>
      <w:r>
        <w:rPr>
          <w:rFonts w:hint="eastAsia" w:ascii="宋体" w:hAnsi="宋体"/>
          <w:color w:val="auto"/>
          <w:sz w:val="18"/>
          <w:szCs w:val="18"/>
          <w:highlight w:val="none"/>
          <w:lang w:val="en-US" w:eastAsia="zh-CN"/>
        </w:rPr>
        <w:t>规定后填报“行业”类型。行业应划分为：</w:t>
      </w:r>
      <w:r>
        <w:rPr>
          <w:rFonts w:hint="eastAsia" w:ascii="宋体" w:hAnsi="宋体"/>
          <w:color w:val="auto"/>
          <w:sz w:val="18"/>
          <w:szCs w:val="18"/>
          <w:highlight w:val="none"/>
        </w:rPr>
        <w:t>农、林、牧、渔业</w:t>
      </w:r>
      <w:r>
        <w:rPr>
          <w:rFonts w:hint="eastAsia" w:ascii="宋体" w:hAnsi="宋体"/>
          <w:color w:val="auto"/>
          <w:sz w:val="18"/>
          <w:szCs w:val="18"/>
          <w:highlight w:val="none"/>
          <w:lang w:eastAsia="zh-CN"/>
        </w:rPr>
        <w:t>、</w:t>
      </w:r>
      <w:r>
        <w:rPr>
          <w:rFonts w:hint="eastAsia" w:ascii="宋体" w:hAnsi="宋体"/>
          <w:color w:val="auto"/>
          <w:sz w:val="18"/>
          <w:szCs w:val="18"/>
          <w:highlight w:val="none"/>
        </w:rPr>
        <w:t>工业</w:t>
      </w:r>
      <w:r>
        <w:rPr>
          <w:rFonts w:hint="eastAsia" w:ascii="宋体" w:hAnsi="宋体"/>
          <w:color w:val="auto"/>
          <w:sz w:val="18"/>
          <w:szCs w:val="18"/>
          <w:highlight w:val="none"/>
          <w:lang w:eastAsia="zh-CN"/>
        </w:rPr>
        <w:t>、</w:t>
      </w:r>
      <w:r>
        <w:rPr>
          <w:rFonts w:hint="eastAsia" w:ascii="宋体" w:hAnsi="宋体"/>
          <w:color w:val="auto"/>
          <w:sz w:val="18"/>
          <w:szCs w:val="18"/>
          <w:highlight w:val="none"/>
        </w:rPr>
        <w:t>建筑业</w:t>
      </w:r>
      <w:r>
        <w:rPr>
          <w:rFonts w:hint="eastAsia" w:ascii="宋体" w:hAnsi="宋体"/>
          <w:color w:val="auto"/>
          <w:sz w:val="18"/>
          <w:szCs w:val="18"/>
          <w:highlight w:val="none"/>
          <w:lang w:eastAsia="zh-CN"/>
        </w:rPr>
        <w:t>、</w:t>
      </w:r>
      <w:r>
        <w:rPr>
          <w:rFonts w:hint="eastAsia" w:ascii="宋体" w:hAnsi="宋体"/>
          <w:color w:val="auto"/>
          <w:sz w:val="18"/>
          <w:szCs w:val="18"/>
          <w:highlight w:val="none"/>
        </w:rPr>
        <w:t>批发业</w:t>
      </w:r>
      <w:r>
        <w:rPr>
          <w:rFonts w:hint="eastAsia" w:ascii="宋体" w:hAnsi="宋体"/>
          <w:color w:val="auto"/>
          <w:sz w:val="18"/>
          <w:szCs w:val="18"/>
          <w:highlight w:val="none"/>
          <w:lang w:eastAsia="zh-CN"/>
        </w:rPr>
        <w:t>、</w:t>
      </w:r>
      <w:r>
        <w:rPr>
          <w:rFonts w:hint="eastAsia" w:ascii="宋体" w:hAnsi="宋体"/>
          <w:color w:val="auto"/>
          <w:sz w:val="18"/>
          <w:szCs w:val="18"/>
          <w:highlight w:val="none"/>
        </w:rPr>
        <w:t>零售业</w:t>
      </w:r>
      <w:r>
        <w:rPr>
          <w:rFonts w:hint="eastAsia" w:ascii="宋体" w:hAnsi="宋体"/>
          <w:color w:val="auto"/>
          <w:sz w:val="18"/>
          <w:szCs w:val="18"/>
          <w:highlight w:val="none"/>
          <w:lang w:eastAsia="zh-CN"/>
        </w:rPr>
        <w:t>、</w:t>
      </w:r>
      <w:r>
        <w:rPr>
          <w:rFonts w:hint="eastAsia" w:ascii="宋体" w:hAnsi="宋体"/>
          <w:color w:val="auto"/>
          <w:sz w:val="18"/>
          <w:szCs w:val="18"/>
          <w:highlight w:val="none"/>
        </w:rPr>
        <w:t>交通运输业</w:t>
      </w:r>
      <w:r>
        <w:rPr>
          <w:rFonts w:hint="eastAsia" w:ascii="宋体" w:hAnsi="宋体"/>
          <w:color w:val="auto"/>
          <w:sz w:val="18"/>
          <w:szCs w:val="18"/>
          <w:highlight w:val="none"/>
          <w:lang w:eastAsia="zh-CN"/>
        </w:rPr>
        <w:t>、</w:t>
      </w:r>
      <w:r>
        <w:rPr>
          <w:rFonts w:hint="eastAsia" w:ascii="宋体" w:hAnsi="宋体"/>
          <w:color w:val="auto"/>
          <w:sz w:val="18"/>
          <w:szCs w:val="18"/>
          <w:highlight w:val="none"/>
        </w:rPr>
        <w:t>仓储业</w:t>
      </w:r>
      <w:r>
        <w:rPr>
          <w:rFonts w:hint="eastAsia" w:ascii="宋体" w:hAnsi="宋体"/>
          <w:color w:val="auto"/>
          <w:sz w:val="18"/>
          <w:szCs w:val="18"/>
          <w:highlight w:val="none"/>
          <w:lang w:eastAsia="zh-CN"/>
        </w:rPr>
        <w:t>、</w:t>
      </w:r>
      <w:r>
        <w:rPr>
          <w:rFonts w:hint="eastAsia" w:ascii="宋体" w:hAnsi="宋体"/>
          <w:color w:val="auto"/>
          <w:sz w:val="18"/>
          <w:szCs w:val="18"/>
          <w:highlight w:val="none"/>
        </w:rPr>
        <w:t>邮政业</w:t>
      </w:r>
      <w:r>
        <w:rPr>
          <w:rFonts w:hint="eastAsia" w:ascii="宋体" w:hAnsi="宋体"/>
          <w:color w:val="auto"/>
          <w:sz w:val="18"/>
          <w:szCs w:val="18"/>
          <w:highlight w:val="none"/>
          <w:lang w:eastAsia="zh-CN"/>
        </w:rPr>
        <w:t>、</w:t>
      </w:r>
      <w:r>
        <w:rPr>
          <w:rFonts w:hint="eastAsia" w:ascii="宋体" w:hAnsi="宋体"/>
          <w:color w:val="auto"/>
          <w:sz w:val="18"/>
          <w:szCs w:val="18"/>
          <w:highlight w:val="none"/>
        </w:rPr>
        <w:t>住宿业</w:t>
      </w:r>
      <w:r>
        <w:rPr>
          <w:rFonts w:hint="eastAsia" w:ascii="宋体" w:hAnsi="宋体"/>
          <w:color w:val="auto"/>
          <w:sz w:val="18"/>
          <w:szCs w:val="18"/>
          <w:highlight w:val="none"/>
          <w:lang w:eastAsia="zh-CN"/>
        </w:rPr>
        <w:t>、</w:t>
      </w:r>
      <w:r>
        <w:rPr>
          <w:rFonts w:hint="eastAsia" w:ascii="宋体" w:hAnsi="宋体"/>
          <w:color w:val="auto"/>
          <w:sz w:val="18"/>
          <w:szCs w:val="18"/>
          <w:highlight w:val="none"/>
        </w:rPr>
        <w:t>餐饮业</w:t>
      </w:r>
      <w:r>
        <w:rPr>
          <w:rFonts w:hint="eastAsia" w:ascii="宋体" w:hAnsi="宋体"/>
          <w:color w:val="auto"/>
          <w:sz w:val="18"/>
          <w:szCs w:val="18"/>
          <w:highlight w:val="none"/>
          <w:lang w:eastAsia="zh-CN"/>
        </w:rPr>
        <w:t>、</w:t>
      </w:r>
      <w:r>
        <w:rPr>
          <w:rFonts w:hint="eastAsia" w:ascii="宋体" w:hAnsi="宋体"/>
          <w:color w:val="auto"/>
          <w:sz w:val="18"/>
          <w:szCs w:val="18"/>
          <w:highlight w:val="none"/>
        </w:rPr>
        <w:t>信息传输业</w:t>
      </w:r>
      <w:r>
        <w:rPr>
          <w:rFonts w:hint="eastAsia" w:ascii="宋体" w:hAnsi="宋体"/>
          <w:color w:val="auto"/>
          <w:sz w:val="18"/>
          <w:szCs w:val="18"/>
          <w:highlight w:val="none"/>
          <w:lang w:eastAsia="zh-CN"/>
        </w:rPr>
        <w:t>、</w:t>
      </w:r>
      <w:r>
        <w:rPr>
          <w:rFonts w:hint="eastAsia" w:ascii="宋体" w:hAnsi="宋体"/>
          <w:color w:val="auto"/>
          <w:sz w:val="18"/>
          <w:szCs w:val="18"/>
          <w:highlight w:val="none"/>
        </w:rPr>
        <w:t>软件和信息技术服务业</w:t>
      </w:r>
      <w:r>
        <w:rPr>
          <w:rFonts w:hint="eastAsia" w:ascii="宋体" w:hAnsi="宋体"/>
          <w:color w:val="auto"/>
          <w:sz w:val="18"/>
          <w:szCs w:val="18"/>
          <w:highlight w:val="none"/>
          <w:lang w:eastAsia="zh-CN"/>
        </w:rPr>
        <w:t>、</w:t>
      </w:r>
      <w:r>
        <w:rPr>
          <w:rFonts w:hint="eastAsia" w:ascii="宋体" w:hAnsi="宋体"/>
          <w:color w:val="auto"/>
          <w:sz w:val="18"/>
          <w:szCs w:val="18"/>
          <w:highlight w:val="none"/>
        </w:rPr>
        <w:t>房地产开发经营</w:t>
      </w:r>
      <w:r>
        <w:rPr>
          <w:rFonts w:hint="eastAsia" w:ascii="宋体" w:hAnsi="宋体"/>
          <w:color w:val="auto"/>
          <w:sz w:val="18"/>
          <w:szCs w:val="18"/>
          <w:highlight w:val="none"/>
          <w:lang w:eastAsia="zh-CN"/>
        </w:rPr>
        <w:t>、</w:t>
      </w:r>
      <w:r>
        <w:rPr>
          <w:rFonts w:hint="eastAsia" w:ascii="宋体" w:hAnsi="宋体"/>
          <w:color w:val="auto"/>
          <w:sz w:val="18"/>
          <w:szCs w:val="18"/>
          <w:highlight w:val="none"/>
        </w:rPr>
        <w:t>物业管理</w:t>
      </w:r>
      <w:r>
        <w:rPr>
          <w:rFonts w:hint="eastAsia" w:ascii="宋体" w:hAnsi="宋体"/>
          <w:color w:val="auto"/>
          <w:sz w:val="18"/>
          <w:szCs w:val="18"/>
          <w:highlight w:val="none"/>
          <w:lang w:eastAsia="zh-CN"/>
        </w:rPr>
        <w:t>、</w:t>
      </w:r>
      <w:r>
        <w:rPr>
          <w:rFonts w:hint="eastAsia" w:ascii="宋体" w:hAnsi="宋体"/>
          <w:color w:val="auto"/>
          <w:sz w:val="18"/>
          <w:szCs w:val="18"/>
          <w:highlight w:val="none"/>
        </w:rPr>
        <w:t>租赁和商务服务业</w:t>
      </w:r>
      <w:r>
        <w:rPr>
          <w:rFonts w:hint="eastAsia" w:ascii="宋体" w:hAnsi="宋体"/>
          <w:color w:val="auto"/>
          <w:sz w:val="18"/>
          <w:szCs w:val="18"/>
          <w:highlight w:val="none"/>
          <w:lang w:eastAsia="zh-CN"/>
        </w:rPr>
        <w:t>、</w:t>
      </w:r>
      <w:r>
        <w:rPr>
          <w:rFonts w:hint="eastAsia" w:ascii="宋体" w:hAnsi="宋体"/>
          <w:color w:val="auto"/>
          <w:sz w:val="18"/>
          <w:szCs w:val="18"/>
          <w:highlight w:val="none"/>
        </w:rPr>
        <w:t>其他未列明行业</w:t>
      </w:r>
      <w:r>
        <w:rPr>
          <w:rFonts w:hint="eastAsia" w:ascii="宋体" w:hAnsi="宋体"/>
          <w:color w:val="auto"/>
          <w:sz w:val="18"/>
          <w:szCs w:val="18"/>
          <w:highlight w:val="none"/>
          <w:lang w:val="en-US" w:eastAsia="zh-CN"/>
        </w:rPr>
        <w:t>等</w:t>
      </w:r>
      <w:r>
        <w:rPr>
          <w:rFonts w:hint="eastAsia" w:ascii="宋体" w:hAnsi="宋体"/>
          <w:color w:val="auto"/>
          <w:sz w:val="18"/>
          <w:szCs w:val="18"/>
          <w:highlight w:val="none"/>
          <w:lang w:eastAsia="zh-CN"/>
        </w:rPr>
        <w:t>。</w:t>
      </w:r>
    </w:p>
    <w:p>
      <w:pPr>
        <w:spacing w:line="300" w:lineRule="exact"/>
        <w:ind w:firstLine="360" w:firstLineChars="200"/>
        <w:rPr>
          <w:rFonts w:hint="eastAsia" w:ascii="宋体" w:hAnsi="宋体"/>
          <w:color w:val="000000" w:themeColor="text1"/>
          <w:sz w:val="18"/>
          <w:szCs w:val="18"/>
          <w:highlight w:val="none"/>
          <w:lang w:eastAsia="zh-CN"/>
          <w14:textFill>
            <w14:solidFill>
              <w14:schemeClr w14:val="tx1"/>
            </w14:solidFill>
          </w14:textFill>
        </w:rPr>
      </w:pPr>
      <w:r>
        <w:rPr>
          <w:rFonts w:hint="eastAsia" w:ascii="宋体" w:hAnsi="宋体"/>
          <w:color w:val="000000" w:themeColor="text1"/>
          <w:sz w:val="18"/>
          <w:szCs w:val="18"/>
          <w:highlight w:val="none"/>
          <w:lang w:eastAsia="zh-CN"/>
          <w14:textFill>
            <w14:solidFill>
              <w14:schemeClr w14:val="tx1"/>
            </w14:solidFill>
          </w14:textFill>
        </w:rPr>
        <w:t>3、中标（成交）供应商享受中小企业扶持政策的，将随中标（成交）结果同时公告其《中小企业声明函》，接受社会监督。</w:t>
      </w:r>
      <w:r>
        <w:rPr>
          <w:rFonts w:hint="eastAsia" w:ascii="宋体" w:hAnsi="宋体"/>
          <w:b/>
          <w:bCs/>
          <w:color w:val="000000" w:themeColor="text1"/>
          <w:sz w:val="18"/>
          <w:szCs w:val="18"/>
          <w:highlight w:val="none"/>
          <w:lang w:eastAsia="zh-CN"/>
          <w14:textFill>
            <w14:solidFill>
              <w14:schemeClr w14:val="tx1"/>
            </w14:solidFill>
          </w14:textFill>
        </w:rPr>
        <w:t>（</w:t>
      </w:r>
      <w:r>
        <w:rPr>
          <w:rFonts w:hint="eastAsia" w:ascii="宋体" w:hAnsi="宋体" w:eastAsia="宋体" w:cs="Times New Roman"/>
          <w:b/>
          <w:bCs/>
          <w:color w:val="000000" w:themeColor="text1"/>
          <w:sz w:val="18"/>
          <w:szCs w:val="18"/>
          <w:highlight w:val="none"/>
          <w:lang w:eastAsia="zh-CN"/>
          <w14:textFill>
            <w14:solidFill>
              <w14:schemeClr w14:val="tx1"/>
            </w14:solidFill>
          </w14:textFill>
        </w:rPr>
        <w:t>本项目</w:t>
      </w:r>
      <w:r>
        <w:rPr>
          <w:rFonts w:hint="eastAsia" w:ascii="宋体" w:hAnsi="宋体" w:cs="Times New Roman"/>
          <w:b/>
          <w:bCs/>
          <w:color w:val="000000" w:themeColor="text1"/>
          <w:sz w:val="18"/>
          <w:szCs w:val="18"/>
          <w:highlight w:val="none"/>
          <w:lang w:eastAsia="zh-CN"/>
          <w14:textFill>
            <w14:solidFill>
              <w14:schemeClr w14:val="tx1"/>
            </w14:solidFill>
          </w14:textFill>
        </w:rPr>
        <w:t>（标段三）</w:t>
      </w:r>
      <w:r>
        <w:rPr>
          <w:rFonts w:hint="eastAsia" w:ascii="宋体" w:hAnsi="宋体" w:eastAsia="宋体" w:cs="Times New Roman"/>
          <w:b/>
          <w:bCs/>
          <w:color w:val="000000" w:themeColor="text1"/>
          <w:sz w:val="18"/>
          <w:szCs w:val="18"/>
          <w:highlight w:val="none"/>
          <w:lang w:eastAsia="zh-CN"/>
          <w14:textFill>
            <w14:solidFill>
              <w14:schemeClr w14:val="tx1"/>
            </w14:solidFill>
          </w14:textFill>
        </w:rPr>
        <w:t>不专门面向中小企业预留份额。给予小型和微型企业产品的价格给予10%的扣除，用扣除后的价格参与评审</w:t>
      </w:r>
      <w:r>
        <w:rPr>
          <w:rFonts w:hint="eastAsia" w:ascii="宋体" w:hAnsi="宋体" w:eastAsia="宋体" w:cs="Times New Roman"/>
          <w:b/>
          <w:bCs/>
          <w:color w:val="000000" w:themeColor="text1"/>
          <w:sz w:val="18"/>
          <w:szCs w:val="18"/>
          <w:highlight w:val="none"/>
          <w:lang w:val="en-US" w:eastAsia="zh-CN"/>
          <w14:textFill>
            <w14:solidFill>
              <w14:schemeClr w14:val="tx1"/>
            </w14:solidFill>
          </w14:textFill>
        </w:rPr>
        <w:t>。</w:t>
      </w:r>
      <w:r>
        <w:rPr>
          <w:rFonts w:hint="eastAsia" w:ascii="宋体" w:hAnsi="宋体"/>
          <w:b/>
          <w:bCs/>
          <w:color w:val="000000" w:themeColor="text1"/>
          <w:sz w:val="18"/>
          <w:szCs w:val="18"/>
          <w:highlight w:val="none"/>
          <w:lang w:val="en-US" w:eastAsia="zh-CN"/>
          <w14:textFill>
            <w14:solidFill>
              <w14:schemeClr w14:val="tx1"/>
            </w14:solidFill>
          </w14:textFill>
        </w:rPr>
        <w:t>）</w:t>
      </w:r>
    </w:p>
    <w:p>
      <w:pPr>
        <w:adjustRightInd w:val="0"/>
        <w:snapToGrid w:val="0"/>
        <w:spacing w:line="360" w:lineRule="auto"/>
        <w:ind w:left="0" w:leftChars="0" w:firstLine="361" w:firstLineChars="200"/>
        <w:rPr>
          <w:rFonts w:hint="default" w:ascii="宋体" w:hAnsi="宋体"/>
          <w:b/>
          <w:bCs/>
          <w:color w:val="000000" w:themeColor="text1"/>
          <w:sz w:val="18"/>
          <w:szCs w:val="18"/>
          <w:highlight w:val="none"/>
          <w:lang w:val="en-US" w:eastAsia="zh-CN"/>
          <w14:textFill>
            <w14:solidFill>
              <w14:schemeClr w14:val="tx1"/>
            </w14:solidFill>
          </w14:textFill>
        </w:rPr>
      </w:pPr>
      <w:r>
        <w:rPr>
          <w:rFonts w:hint="eastAsia" w:ascii="宋体" w:hAnsi="宋体"/>
          <w:b/>
          <w:bCs/>
          <w:color w:val="000000" w:themeColor="text1"/>
          <w:sz w:val="18"/>
          <w:szCs w:val="18"/>
          <w:highlight w:val="none"/>
          <w:u w:val="single"/>
          <w:lang w:eastAsia="zh-CN"/>
          <w14:textFill>
            <w14:solidFill>
              <w14:schemeClr w14:val="tx1"/>
            </w14:solidFill>
          </w14:textFill>
        </w:rPr>
        <w:t>4.例：</w:t>
      </w:r>
      <w:r>
        <w:rPr>
          <w:rFonts w:hint="eastAsia" w:ascii="宋体" w:hAnsi="宋体" w:cs="Times New Roman"/>
          <w:b/>
          <w:bCs/>
          <w:color w:val="FF0000"/>
          <w:sz w:val="18"/>
          <w:szCs w:val="18"/>
          <w:highlight w:val="none"/>
          <w:u w:val="single"/>
          <w:lang w:eastAsia="zh-CN"/>
        </w:rPr>
        <w:t>无线RF手持终端</w:t>
      </w:r>
      <w:r>
        <w:rPr>
          <w:rFonts w:hint="eastAsia" w:ascii="宋体" w:hAnsi="宋体"/>
          <w:b/>
          <w:bCs/>
          <w:color w:val="000000" w:themeColor="text1"/>
          <w:sz w:val="18"/>
          <w:szCs w:val="18"/>
          <w:highlight w:val="none"/>
          <w:u w:val="single"/>
          <w:lang w:eastAsia="zh-CN"/>
          <w14:textFill>
            <w14:solidFill>
              <w14:schemeClr w14:val="tx1"/>
            </w14:solidFill>
          </w14:textFill>
        </w:rPr>
        <w:t>，属于</w:t>
      </w:r>
      <w:r>
        <w:rPr>
          <w:rFonts w:hint="eastAsia" w:ascii="宋体" w:hAnsi="宋体"/>
          <w:b/>
          <w:bCs/>
          <w:color w:val="FF0000"/>
          <w:sz w:val="18"/>
          <w:szCs w:val="18"/>
          <w:highlight w:val="none"/>
          <w:u w:val="single"/>
          <w:lang w:eastAsia="zh-CN"/>
        </w:rPr>
        <w:t>工业</w:t>
      </w:r>
      <w:r>
        <w:rPr>
          <w:rFonts w:hint="eastAsia" w:ascii="宋体" w:hAnsi="宋体"/>
          <w:b/>
          <w:bCs/>
          <w:color w:val="000000" w:themeColor="text1"/>
          <w:sz w:val="18"/>
          <w:szCs w:val="18"/>
          <w:highlight w:val="none"/>
          <w:u w:val="single"/>
          <w:lang w:eastAsia="zh-CN"/>
          <w14:textFill>
            <w14:solidFill>
              <w14:schemeClr w14:val="tx1"/>
            </w14:solidFill>
          </w14:textFill>
        </w:rPr>
        <w:t>；制造商为</w:t>
      </w:r>
      <w:r>
        <w:rPr>
          <w:rFonts w:hint="eastAsia" w:ascii="宋体" w:hAnsi="宋体"/>
          <w:b/>
          <w:bCs/>
          <w:color w:val="FF0000"/>
          <w:sz w:val="18"/>
          <w:szCs w:val="18"/>
          <w:highlight w:val="none"/>
          <w:u w:val="single"/>
          <w:lang w:eastAsia="zh-CN"/>
        </w:rPr>
        <w:t>***有限公司</w:t>
      </w:r>
      <w:r>
        <w:rPr>
          <w:rFonts w:hint="eastAsia" w:ascii="宋体" w:hAnsi="宋体"/>
          <w:b/>
          <w:bCs/>
          <w:color w:val="000000" w:themeColor="text1"/>
          <w:sz w:val="18"/>
          <w:szCs w:val="18"/>
          <w:highlight w:val="none"/>
          <w:u w:val="single"/>
          <w:lang w:eastAsia="zh-CN"/>
          <w14:textFill>
            <w14:solidFill>
              <w14:schemeClr w14:val="tx1"/>
            </w14:solidFill>
          </w14:textFill>
        </w:rPr>
        <w:t>，从业人员</w:t>
      </w:r>
      <w:r>
        <w:rPr>
          <w:rFonts w:hint="eastAsia" w:ascii="宋体" w:hAnsi="宋体"/>
          <w:b/>
          <w:bCs/>
          <w:color w:val="FF0000"/>
          <w:sz w:val="18"/>
          <w:szCs w:val="18"/>
          <w:highlight w:val="none"/>
          <w:u w:val="single"/>
          <w:lang w:eastAsia="zh-CN"/>
        </w:rPr>
        <w:t xml:space="preserve"> 30 </w:t>
      </w:r>
      <w:r>
        <w:rPr>
          <w:rFonts w:hint="eastAsia" w:ascii="宋体" w:hAnsi="宋体"/>
          <w:b/>
          <w:bCs/>
          <w:color w:val="000000" w:themeColor="text1"/>
          <w:sz w:val="18"/>
          <w:szCs w:val="18"/>
          <w:highlight w:val="none"/>
          <w:u w:val="single"/>
          <w:lang w:eastAsia="zh-CN"/>
          <w14:textFill>
            <w14:solidFill>
              <w14:schemeClr w14:val="tx1"/>
            </w14:solidFill>
          </w14:textFill>
        </w:rPr>
        <w:t>人，营业收入为</w:t>
      </w:r>
      <w:r>
        <w:rPr>
          <w:rFonts w:hint="eastAsia" w:ascii="宋体" w:hAnsi="宋体"/>
          <w:b/>
          <w:bCs/>
          <w:color w:val="FF0000"/>
          <w:sz w:val="18"/>
          <w:szCs w:val="18"/>
          <w:highlight w:val="none"/>
          <w:u w:val="single"/>
          <w:lang w:eastAsia="zh-CN"/>
        </w:rPr>
        <w:t xml:space="preserve"> 50 </w:t>
      </w:r>
      <w:r>
        <w:rPr>
          <w:rFonts w:hint="eastAsia" w:ascii="宋体" w:hAnsi="宋体"/>
          <w:b/>
          <w:bCs/>
          <w:color w:val="000000" w:themeColor="text1"/>
          <w:sz w:val="18"/>
          <w:szCs w:val="18"/>
          <w:highlight w:val="none"/>
          <w:u w:val="single"/>
          <w:lang w:eastAsia="zh-CN"/>
          <w14:textFill>
            <w14:solidFill>
              <w14:schemeClr w14:val="tx1"/>
            </w14:solidFill>
          </w14:textFill>
        </w:rPr>
        <w:t>万元，资产总额为</w:t>
      </w:r>
      <w:r>
        <w:rPr>
          <w:rFonts w:hint="eastAsia" w:ascii="宋体" w:hAnsi="宋体"/>
          <w:b/>
          <w:bCs/>
          <w:color w:val="FF0000"/>
          <w:sz w:val="18"/>
          <w:szCs w:val="18"/>
          <w:highlight w:val="none"/>
          <w:u w:val="single"/>
          <w:lang w:eastAsia="zh-CN"/>
        </w:rPr>
        <w:t xml:space="preserve"> 150 </w:t>
      </w:r>
      <w:r>
        <w:rPr>
          <w:rFonts w:hint="eastAsia" w:ascii="宋体" w:hAnsi="宋体"/>
          <w:b/>
          <w:bCs/>
          <w:color w:val="000000" w:themeColor="text1"/>
          <w:sz w:val="18"/>
          <w:szCs w:val="18"/>
          <w:highlight w:val="none"/>
          <w:u w:val="single"/>
          <w:lang w:eastAsia="zh-CN"/>
          <w14:textFill>
            <w14:solidFill>
              <w14:schemeClr w14:val="tx1"/>
            </w14:solidFill>
          </w14:textFill>
        </w:rPr>
        <w:t>万元，属于</w:t>
      </w:r>
      <w:r>
        <w:rPr>
          <w:rFonts w:hint="eastAsia" w:ascii="宋体" w:hAnsi="宋体"/>
          <w:b/>
          <w:bCs/>
          <w:color w:val="FF0000"/>
          <w:sz w:val="18"/>
          <w:szCs w:val="18"/>
          <w:highlight w:val="none"/>
          <w:u w:val="single"/>
          <w:lang w:eastAsia="zh-CN"/>
        </w:rPr>
        <w:t>微型企业</w:t>
      </w:r>
      <w:r>
        <w:rPr>
          <w:rFonts w:hint="eastAsia" w:ascii="宋体" w:hAnsi="宋体"/>
          <w:b/>
          <w:bCs/>
          <w:color w:val="000000" w:themeColor="text1"/>
          <w:sz w:val="18"/>
          <w:szCs w:val="18"/>
          <w:highlight w:val="none"/>
          <w:u w:val="single"/>
          <w:lang w:eastAsia="zh-CN"/>
          <w14:textFill>
            <w14:solidFill>
              <w14:schemeClr w14:val="tx1"/>
            </w14:solidFill>
          </w14:textFill>
        </w:rPr>
        <w:t>。</w:t>
      </w:r>
    </w:p>
    <w:p>
      <w:pPr>
        <w:pStyle w:val="24"/>
        <w:ind w:left="0" w:leftChars="0" w:firstLine="361" w:firstLineChars="200"/>
        <w:rPr>
          <w:rFonts w:hint="eastAsia" w:ascii="宋体" w:hAnsi="宋体" w:cs="Times New Roman"/>
          <w:b/>
          <w:bCs/>
          <w:i w:val="0"/>
          <w:iCs w:val="0"/>
          <w:color w:val="000000" w:themeColor="text1"/>
          <w:kern w:val="2"/>
          <w:sz w:val="18"/>
          <w:szCs w:val="18"/>
          <w:highlight w:val="none"/>
          <w:lang w:val="en-US" w:eastAsia="zh-CN" w:bidi="ar-SA"/>
          <w14:textFill>
            <w14:solidFill>
              <w14:schemeClr w14:val="tx1"/>
            </w14:solidFill>
          </w14:textFill>
        </w:rPr>
      </w:pPr>
      <w:r>
        <w:rPr>
          <w:rFonts w:hint="eastAsia" w:ascii="宋体" w:hAnsi="宋体" w:cs="Times New Roman"/>
          <w:b/>
          <w:bCs/>
          <w:i w:val="0"/>
          <w:iCs w:val="0"/>
          <w:color w:val="000000" w:themeColor="text1"/>
          <w:kern w:val="2"/>
          <w:sz w:val="18"/>
          <w:szCs w:val="18"/>
          <w:highlight w:val="none"/>
          <w:lang w:val="en-US" w:eastAsia="zh-CN" w:bidi="ar-SA"/>
          <w14:textFill>
            <w14:solidFill>
              <w14:schemeClr w14:val="tx1"/>
            </w14:solidFill>
          </w14:textFill>
        </w:rPr>
        <w:t>5.</w:t>
      </w:r>
      <w:r>
        <w:rPr>
          <w:rFonts w:hint="eastAsia" w:ascii="宋体" w:hAnsi="宋体" w:eastAsia="宋体" w:cs="Times New Roman"/>
          <w:b/>
          <w:bCs/>
          <w:i w:val="0"/>
          <w:iCs w:val="0"/>
          <w:color w:val="000000" w:themeColor="text1"/>
          <w:kern w:val="2"/>
          <w:sz w:val="18"/>
          <w:szCs w:val="18"/>
          <w:highlight w:val="none"/>
          <w:lang w:val="en-US" w:eastAsia="zh-CN" w:bidi="ar-SA"/>
          <w14:textFill>
            <w14:solidFill>
              <w14:schemeClr w14:val="tx1"/>
            </w14:solidFill>
          </w14:textFill>
        </w:rPr>
        <w:t>《关于印发中小企业划型标准规定的通知》规定</w:t>
      </w:r>
      <w:r>
        <w:rPr>
          <w:rFonts w:hint="eastAsia" w:ascii="宋体" w:hAnsi="宋体" w:cs="Times New Roman"/>
          <w:b/>
          <w:bCs/>
          <w:i w:val="0"/>
          <w:iCs w:val="0"/>
          <w:color w:val="000000" w:themeColor="text1"/>
          <w:kern w:val="2"/>
          <w:sz w:val="18"/>
          <w:szCs w:val="18"/>
          <w:highlight w:val="none"/>
          <w:lang w:val="en-US" w:eastAsia="zh-CN" w:bidi="ar-SA"/>
          <w14:textFill>
            <w14:solidFill>
              <w14:schemeClr w14:val="tx1"/>
            </w14:solidFill>
          </w14:textFill>
        </w:rPr>
        <w:t xml:space="preserve">  </w:t>
      </w:r>
    </w:p>
    <w:p>
      <w:pPr>
        <w:pStyle w:val="24"/>
        <w:ind w:left="0" w:leftChars="0" w:firstLine="361" w:firstLineChars="200"/>
        <w:rPr>
          <w:rFonts w:hint="eastAsia" w:ascii="宋体" w:hAnsi="宋体" w:eastAsia="宋体" w:cs="Times New Roman"/>
          <w:b/>
          <w:bCs/>
          <w:i w:val="0"/>
          <w:iCs w:val="0"/>
          <w:color w:val="FF0000"/>
          <w:kern w:val="2"/>
          <w:sz w:val="18"/>
          <w:szCs w:val="18"/>
          <w:highlight w:val="none"/>
          <w:u w:val="none"/>
          <w:lang w:val="en-US" w:eastAsia="zh-CN" w:bidi="ar-SA"/>
        </w:rPr>
      </w:pPr>
      <w:r>
        <w:rPr>
          <w:rFonts w:hint="eastAsia" w:ascii="宋体" w:hAnsi="宋体" w:eastAsia="宋体" w:cs="Times New Roman"/>
          <w:b/>
          <w:bCs/>
          <w:i w:val="0"/>
          <w:iCs w:val="0"/>
          <w:color w:val="FF0000"/>
          <w:kern w:val="2"/>
          <w:sz w:val="18"/>
          <w:szCs w:val="18"/>
          <w:highlight w:val="none"/>
          <w:u w:val="none"/>
          <w:lang w:val="en-US" w:eastAsia="zh-CN" w:bidi="ar-SA"/>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ind w:firstLine="361" w:firstLineChars="200"/>
        <w:rPr>
          <w:rFonts w:hint="eastAsia" w:ascii="宋体" w:hAnsi="宋体" w:eastAsia="宋体" w:cs="Times New Roman"/>
          <w:b/>
          <w:bCs/>
          <w:i w:val="0"/>
          <w:iCs w:val="0"/>
          <w:color w:val="FF0000"/>
          <w:kern w:val="2"/>
          <w:sz w:val="18"/>
          <w:szCs w:val="18"/>
          <w:highlight w:val="none"/>
          <w:u w:val="single"/>
          <w:lang w:val="en-US" w:eastAsia="zh-CN" w:bidi="ar-SA"/>
        </w:rPr>
      </w:pPr>
      <w:r>
        <w:rPr>
          <w:rFonts w:hint="eastAsia" w:ascii="宋体" w:hAnsi="宋体" w:eastAsia="宋体" w:cs="Times New Roman"/>
          <w:b/>
          <w:bCs/>
          <w:i w:val="0"/>
          <w:iCs w:val="0"/>
          <w:color w:val="FF0000"/>
          <w:kern w:val="2"/>
          <w:sz w:val="18"/>
          <w:szCs w:val="18"/>
          <w:highlight w:val="none"/>
          <w:u w:val="none"/>
          <w:lang w:val="en-US" w:eastAsia="zh-CN" w:bidi="ar-SA"/>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rPr>
          <w:rFonts w:hint="eastAsia" w:ascii="宋体" w:hAnsi="宋体"/>
          <w:color w:val="000000" w:themeColor="text1"/>
          <w:sz w:val="18"/>
          <w:szCs w:val="18"/>
          <w:highlight w:val="none"/>
          <w:lang w:eastAsia="zh-CN"/>
          <w14:textFill>
            <w14:solidFill>
              <w14:schemeClr w14:val="tx1"/>
            </w14:solidFill>
          </w14:textFill>
        </w:rPr>
      </w:pPr>
      <w:r>
        <w:rPr>
          <w:rFonts w:hint="eastAsia" w:ascii="宋体" w:hAnsi="宋体"/>
          <w:color w:val="000000" w:themeColor="text1"/>
          <w:sz w:val="18"/>
          <w:szCs w:val="18"/>
          <w:highlight w:val="none"/>
          <w:lang w:eastAsia="zh-CN"/>
          <w14:textFill>
            <w14:solidFill>
              <w14:schemeClr w14:val="tx1"/>
            </w14:solidFill>
          </w14:textFill>
        </w:rPr>
        <w:br w:type="page"/>
      </w:r>
    </w:p>
    <w:p>
      <w:pPr>
        <w:adjustRightInd w:val="0"/>
        <w:snapToGrid w:val="0"/>
        <w:spacing w:line="360" w:lineRule="auto"/>
        <w:ind w:right="24"/>
        <w:rPr>
          <w:rFonts w:hint="eastAsia" w:ascii="宋体" w:hAnsi="宋体" w:eastAsia="宋体" w:cs="宋体"/>
          <w:color w:val="auto"/>
          <w:sz w:val="32"/>
          <w:szCs w:val="32"/>
        </w:rPr>
      </w:pPr>
      <w:r>
        <w:rPr>
          <w:rFonts w:hint="eastAsia" w:ascii="宋体" w:hAnsi="宋体" w:eastAsia="宋体" w:cs="宋体"/>
          <w:bCs/>
          <w:color w:val="auto"/>
          <w:sz w:val="28"/>
          <w:szCs w:val="28"/>
        </w:rPr>
        <w:t>附件</w:t>
      </w:r>
      <w:r>
        <w:rPr>
          <w:rFonts w:hint="eastAsia" w:ascii="宋体" w:hAnsi="宋体" w:cs="宋体"/>
          <w:bCs/>
          <w:color w:val="auto"/>
          <w:sz w:val="28"/>
          <w:szCs w:val="28"/>
          <w:lang w:val="en-US" w:eastAsia="zh-CN"/>
        </w:rPr>
        <w:t>13-1</w:t>
      </w:r>
      <w:r>
        <w:rPr>
          <w:rFonts w:hint="eastAsia" w:ascii="宋体" w:hAnsi="宋体" w:eastAsia="宋体" w:cs="宋体"/>
          <w:color w:val="auto"/>
          <w:sz w:val="32"/>
          <w:szCs w:val="32"/>
        </w:rPr>
        <w:t xml:space="preserve">    </w:t>
      </w:r>
    </w:p>
    <w:p>
      <w:pPr>
        <w:tabs>
          <w:tab w:val="left" w:pos="3600"/>
        </w:tabs>
        <w:adjustRightInd w:val="0"/>
        <w:snapToGrid w:val="0"/>
        <w:jc w:val="center"/>
        <w:rPr>
          <w:rFonts w:ascii="宋体" w:hAnsi="宋体" w:cs="宋体"/>
          <w:b/>
          <w:bCs/>
          <w:color w:val="auto"/>
          <w:spacing w:val="6"/>
          <w:kern w:val="0"/>
          <w:sz w:val="24"/>
        </w:rPr>
      </w:pPr>
      <w:r>
        <w:rPr>
          <w:rFonts w:hint="eastAsia" w:ascii="宋体" w:hAnsi="宋体" w:cs="宋体"/>
          <w:b/>
          <w:bCs/>
          <w:color w:val="auto"/>
          <w:spacing w:val="6"/>
          <w:kern w:val="0"/>
          <w:sz w:val="24"/>
        </w:rPr>
        <w:t>残疾人福利性单位声明函</w:t>
      </w:r>
    </w:p>
    <w:p>
      <w:pPr>
        <w:spacing w:line="588" w:lineRule="exact"/>
        <w:rPr>
          <w:rFonts w:ascii="仿宋_GB2312" w:eastAsia="仿宋_GB2312"/>
          <w:b/>
          <w:color w:val="auto"/>
          <w:spacing w:val="6"/>
          <w:sz w:val="30"/>
          <w:szCs w:val="30"/>
        </w:rPr>
      </w:pPr>
    </w:p>
    <w:p>
      <w:pPr>
        <w:widowControl/>
        <w:adjustRightInd w:val="0"/>
        <w:snapToGrid w:val="0"/>
        <w:spacing w:before="156" w:beforeLines="50" w:line="360" w:lineRule="auto"/>
        <w:ind w:firstLine="444" w:firstLineChars="200"/>
        <w:jc w:val="left"/>
        <w:rPr>
          <w:rFonts w:ascii="宋体" w:hAnsi="宋体" w:cs="宋体"/>
          <w:color w:val="auto"/>
          <w:spacing w:val="6"/>
          <w:kern w:val="0"/>
          <w:szCs w:val="21"/>
        </w:rPr>
      </w:pPr>
      <w:r>
        <w:rPr>
          <w:rFonts w:hint="eastAsia" w:ascii="宋体" w:hAnsi="宋体" w:cs="宋体"/>
          <w:color w:val="auto"/>
          <w:spacing w:val="6"/>
          <w:kern w:val="0"/>
          <w:szCs w:val="21"/>
        </w:rPr>
        <w:t>本单位郑重声明，根据《财政部</w:t>
      </w:r>
      <w:r>
        <w:rPr>
          <w:rFonts w:ascii="宋体" w:hAnsi="宋体" w:cs="宋体"/>
          <w:color w:val="auto"/>
          <w:spacing w:val="6"/>
          <w:kern w:val="0"/>
          <w:szCs w:val="21"/>
        </w:rPr>
        <w:t xml:space="preserve"> </w:t>
      </w:r>
      <w:r>
        <w:rPr>
          <w:rFonts w:hint="eastAsia" w:ascii="宋体" w:hAnsi="宋体" w:cs="宋体"/>
          <w:color w:val="auto"/>
          <w:spacing w:val="6"/>
          <w:kern w:val="0"/>
          <w:szCs w:val="21"/>
        </w:rPr>
        <w:t>民政部</w:t>
      </w:r>
      <w:r>
        <w:rPr>
          <w:rFonts w:ascii="宋体" w:hAnsi="宋体" w:cs="宋体"/>
          <w:color w:val="auto"/>
          <w:spacing w:val="6"/>
          <w:kern w:val="0"/>
          <w:szCs w:val="21"/>
        </w:rPr>
        <w:t xml:space="preserve"> </w:t>
      </w:r>
      <w:r>
        <w:rPr>
          <w:rFonts w:hint="eastAsia" w:ascii="宋体" w:hAnsi="宋体" w:cs="宋体"/>
          <w:color w:val="auto"/>
          <w:spacing w:val="6"/>
          <w:kern w:val="0"/>
          <w:szCs w:val="21"/>
        </w:rPr>
        <w:t>中国残疾人联合会关于促进残疾人就业政府采购政策的通知》（财库〔</w:t>
      </w:r>
      <w:r>
        <w:rPr>
          <w:rFonts w:ascii="宋体" w:hAnsi="宋体" w:cs="宋体"/>
          <w:color w:val="auto"/>
          <w:spacing w:val="6"/>
          <w:kern w:val="0"/>
          <w:szCs w:val="21"/>
        </w:rPr>
        <w:t>2017</w:t>
      </w:r>
      <w:r>
        <w:rPr>
          <w:rFonts w:hint="eastAsia" w:ascii="宋体" w:hAnsi="宋体" w:cs="宋体"/>
          <w:color w:val="auto"/>
          <w:spacing w:val="6"/>
          <w:kern w:val="0"/>
          <w:szCs w:val="21"/>
        </w:rPr>
        <w:t>〕</w:t>
      </w:r>
      <w:r>
        <w:rPr>
          <w:rFonts w:ascii="宋体" w:hAnsi="宋体" w:cs="宋体"/>
          <w:color w:val="auto"/>
          <w:spacing w:val="6"/>
          <w:kern w:val="0"/>
          <w:szCs w:val="21"/>
        </w:rPr>
        <w:t xml:space="preserve"> 141</w:t>
      </w:r>
      <w:r>
        <w:rPr>
          <w:rFonts w:hint="eastAsia" w:ascii="宋体" w:hAnsi="宋体" w:cs="宋体"/>
          <w:color w:val="auto"/>
          <w:spacing w:val="6"/>
          <w:kern w:val="0"/>
          <w:szCs w:val="21"/>
        </w:rPr>
        <w:t>号）的规定，本单位为符合条件的残疾人福利性单位，且本单位参加</w:t>
      </w:r>
      <w:r>
        <w:rPr>
          <w:rFonts w:ascii="宋体" w:hAnsi="宋体" w:cs="宋体"/>
          <w:color w:val="auto"/>
          <w:spacing w:val="6"/>
          <w:kern w:val="0"/>
          <w:szCs w:val="21"/>
        </w:rPr>
        <w:t>______</w:t>
      </w:r>
      <w:r>
        <w:rPr>
          <w:rFonts w:hint="eastAsia" w:ascii="宋体" w:hAnsi="宋体" w:cs="宋体"/>
          <w:color w:val="auto"/>
          <w:spacing w:val="6"/>
          <w:kern w:val="0"/>
          <w:szCs w:val="21"/>
        </w:rPr>
        <w:t>单位的</w:t>
      </w:r>
      <w:r>
        <w:rPr>
          <w:rFonts w:ascii="宋体" w:hAnsi="宋体" w:cs="宋体"/>
          <w:color w:val="auto"/>
          <w:spacing w:val="6"/>
          <w:kern w:val="0"/>
          <w:szCs w:val="21"/>
        </w:rPr>
        <w:t>______</w:t>
      </w:r>
      <w:r>
        <w:rPr>
          <w:rFonts w:hint="eastAsia" w:ascii="宋体" w:hAnsi="宋体" w:cs="宋体"/>
          <w:color w:val="auto"/>
          <w:spacing w:val="6"/>
          <w:kern w:val="0"/>
          <w:szCs w:val="21"/>
        </w:rPr>
        <w:t>项目采购活动提供本单位制造的货物（由本单位承担工程</w:t>
      </w:r>
      <w:r>
        <w:rPr>
          <w:rFonts w:ascii="宋体" w:hAnsi="宋体" w:cs="宋体"/>
          <w:color w:val="auto"/>
          <w:spacing w:val="6"/>
          <w:kern w:val="0"/>
          <w:szCs w:val="21"/>
        </w:rPr>
        <w:t>/</w:t>
      </w:r>
      <w:r>
        <w:rPr>
          <w:rFonts w:hint="eastAsia" w:ascii="宋体" w:hAnsi="宋体" w:cs="宋体"/>
          <w:color w:val="auto"/>
          <w:spacing w:val="6"/>
          <w:kern w:val="0"/>
          <w:szCs w:val="21"/>
        </w:rPr>
        <w:t>提供服务），或者提供其他残疾人福利性单位制造的货物（不包括使用非残疾人福利性单位注册商标的货物）。</w:t>
      </w:r>
    </w:p>
    <w:p>
      <w:pPr>
        <w:widowControl/>
        <w:adjustRightInd w:val="0"/>
        <w:snapToGrid w:val="0"/>
        <w:spacing w:before="156" w:beforeLines="50" w:line="360" w:lineRule="auto"/>
        <w:ind w:firstLine="444" w:firstLineChars="200"/>
        <w:jc w:val="left"/>
        <w:rPr>
          <w:rFonts w:ascii="宋体" w:hAnsi="宋体" w:cs="宋体"/>
          <w:color w:val="auto"/>
          <w:spacing w:val="6"/>
          <w:kern w:val="0"/>
          <w:szCs w:val="21"/>
        </w:rPr>
      </w:pPr>
      <w:r>
        <w:rPr>
          <w:rFonts w:hint="eastAsia" w:ascii="宋体" w:hAnsi="宋体" w:cs="宋体"/>
          <w:color w:val="auto"/>
          <w:spacing w:val="6"/>
          <w:kern w:val="0"/>
          <w:szCs w:val="21"/>
        </w:rPr>
        <w:t>本单位对上述声明的真实性负责。如有虚假，将依法承担相应责任。</w:t>
      </w:r>
    </w:p>
    <w:p>
      <w:pPr>
        <w:spacing w:line="588" w:lineRule="exact"/>
        <w:ind w:firstLine="624" w:firstLineChars="200"/>
        <w:rPr>
          <w:rFonts w:ascii="仿宋_GB2312" w:eastAsia="仿宋_GB2312"/>
          <w:color w:val="auto"/>
          <w:spacing w:val="6"/>
          <w:sz w:val="30"/>
          <w:szCs w:val="30"/>
        </w:rPr>
      </w:pPr>
    </w:p>
    <w:p>
      <w:pPr>
        <w:spacing w:line="588" w:lineRule="exact"/>
        <w:ind w:firstLine="624" w:firstLineChars="200"/>
        <w:rPr>
          <w:rFonts w:ascii="仿宋_GB2312" w:eastAsia="仿宋_GB2312"/>
          <w:color w:val="auto"/>
          <w:spacing w:val="6"/>
          <w:sz w:val="30"/>
          <w:szCs w:val="30"/>
        </w:rPr>
      </w:pPr>
    </w:p>
    <w:p>
      <w:pPr>
        <w:widowControl/>
        <w:adjustRightInd w:val="0"/>
        <w:snapToGrid w:val="0"/>
        <w:spacing w:line="360" w:lineRule="auto"/>
        <w:ind w:firstLine="624" w:firstLineChars="200"/>
        <w:jc w:val="center"/>
        <w:rPr>
          <w:rFonts w:ascii="宋体" w:hAnsi="宋体" w:cs="宋体"/>
          <w:color w:val="auto"/>
          <w:spacing w:val="6"/>
          <w:kern w:val="0"/>
          <w:szCs w:val="21"/>
        </w:rPr>
      </w:pPr>
      <w:r>
        <w:rPr>
          <w:rFonts w:ascii="仿宋_GB2312" w:eastAsia="仿宋_GB2312"/>
          <w:color w:val="auto"/>
          <w:spacing w:val="6"/>
          <w:sz w:val="30"/>
          <w:szCs w:val="30"/>
        </w:rPr>
        <w:t xml:space="preserve">       </w:t>
      </w:r>
      <w:r>
        <w:rPr>
          <w:rFonts w:hint="eastAsia" w:ascii="宋体" w:hAnsi="宋体" w:cs="宋体"/>
          <w:color w:val="auto"/>
          <w:spacing w:val="6"/>
          <w:kern w:val="0"/>
          <w:szCs w:val="21"/>
        </w:rPr>
        <w:t xml:space="preserve">投标单位名称（盖单位章）： </w:t>
      </w:r>
    </w:p>
    <w:p>
      <w:pPr>
        <w:widowControl/>
        <w:adjustRightInd w:val="0"/>
        <w:snapToGrid w:val="0"/>
        <w:spacing w:line="360" w:lineRule="auto"/>
        <w:ind w:firstLine="444" w:firstLineChars="200"/>
        <w:jc w:val="center"/>
        <w:rPr>
          <w:rFonts w:ascii="宋体" w:hAnsi="宋体"/>
          <w:color w:val="auto"/>
          <w:szCs w:val="21"/>
        </w:rPr>
      </w:pPr>
      <w:r>
        <w:rPr>
          <w:rFonts w:hint="eastAsia" w:ascii="宋体" w:hAnsi="宋体" w:cs="宋体"/>
          <w:color w:val="auto"/>
          <w:spacing w:val="6"/>
          <w:kern w:val="0"/>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djustRightInd w:val="0"/>
        <w:snapToGrid w:val="0"/>
        <w:spacing w:line="360" w:lineRule="auto"/>
        <w:ind w:right="24"/>
        <w:rPr>
          <w:rFonts w:ascii="宋体" w:hAnsi="宋体"/>
          <w:b/>
          <w:color w:val="auto"/>
          <w:sz w:val="28"/>
          <w:szCs w:val="28"/>
        </w:rPr>
      </w:pPr>
    </w:p>
    <w:p>
      <w:pPr>
        <w:pStyle w:val="41"/>
        <w:spacing w:before="0" w:beforeAutospacing="0" w:after="0" w:afterAutospacing="0"/>
        <w:rPr>
          <w:color w:val="auto"/>
          <w:spacing w:val="6"/>
          <w:sz w:val="21"/>
          <w:szCs w:val="21"/>
        </w:rPr>
      </w:pPr>
      <w:r>
        <w:rPr>
          <w:rFonts w:hint="eastAsia"/>
          <w:color w:val="auto"/>
          <w:spacing w:val="6"/>
          <w:sz w:val="21"/>
          <w:szCs w:val="21"/>
        </w:rPr>
        <w:t>说明：</w:t>
      </w:r>
    </w:p>
    <w:p>
      <w:pPr>
        <w:pStyle w:val="41"/>
        <w:spacing w:before="0" w:beforeAutospacing="0" w:after="0" w:afterAutospacing="0"/>
        <w:ind w:firstLine="444" w:firstLineChars="200"/>
        <w:rPr>
          <w:color w:val="auto"/>
          <w:spacing w:val="6"/>
          <w:sz w:val="21"/>
          <w:szCs w:val="21"/>
        </w:rPr>
      </w:pPr>
      <w:r>
        <w:rPr>
          <w:rFonts w:hint="eastAsia"/>
          <w:color w:val="auto"/>
          <w:spacing w:val="6"/>
          <w:sz w:val="21"/>
          <w:szCs w:val="21"/>
        </w:rPr>
        <w:t>1、残疾人福利性单位视同小微企业，残疾人福利性单位应当同时满足以下条件：</w:t>
      </w:r>
    </w:p>
    <w:p>
      <w:pPr>
        <w:pStyle w:val="41"/>
        <w:spacing w:before="0" w:beforeAutospacing="0" w:after="0" w:afterAutospacing="0"/>
        <w:ind w:firstLine="444" w:firstLineChars="200"/>
        <w:rPr>
          <w:color w:val="auto"/>
          <w:spacing w:val="6"/>
          <w:sz w:val="21"/>
          <w:szCs w:val="21"/>
        </w:rPr>
      </w:pPr>
      <w:r>
        <w:rPr>
          <w:rFonts w:hint="eastAsia"/>
          <w:color w:val="auto"/>
          <w:spacing w:val="6"/>
          <w:sz w:val="21"/>
          <w:szCs w:val="21"/>
        </w:rPr>
        <w:t>①安置的残疾人占本单位在职职工人数的比例不低于25%（含25%），并且安置的残疾人人数不少于10人（含10人）；</w:t>
      </w:r>
    </w:p>
    <w:p>
      <w:pPr>
        <w:pStyle w:val="41"/>
        <w:spacing w:before="0" w:beforeAutospacing="0" w:after="0" w:afterAutospacing="0"/>
        <w:ind w:firstLine="444" w:firstLineChars="200"/>
        <w:rPr>
          <w:color w:val="auto"/>
          <w:spacing w:val="6"/>
          <w:sz w:val="21"/>
          <w:szCs w:val="21"/>
        </w:rPr>
      </w:pPr>
      <w:r>
        <w:rPr>
          <w:rFonts w:hint="eastAsia"/>
          <w:color w:val="auto"/>
          <w:spacing w:val="6"/>
          <w:sz w:val="21"/>
          <w:szCs w:val="21"/>
        </w:rPr>
        <w:t>②依法与安置的每位残疾人签订了一年以上（含一年）的劳动合同或服务协议；</w:t>
      </w:r>
    </w:p>
    <w:p>
      <w:pPr>
        <w:pStyle w:val="41"/>
        <w:spacing w:before="0" w:beforeAutospacing="0" w:after="0" w:afterAutospacing="0"/>
        <w:ind w:firstLine="444" w:firstLineChars="200"/>
        <w:rPr>
          <w:color w:val="auto"/>
          <w:spacing w:val="6"/>
          <w:sz w:val="21"/>
          <w:szCs w:val="21"/>
        </w:rPr>
      </w:pPr>
      <w:r>
        <w:rPr>
          <w:rFonts w:hint="eastAsia"/>
          <w:color w:val="auto"/>
          <w:spacing w:val="6"/>
          <w:sz w:val="21"/>
          <w:szCs w:val="21"/>
        </w:rPr>
        <w:t>③为安置的每位残疾人按月足额缴纳了基本养老保险、基本医疗保险、失业保险、工伤保险和生育保险等社会保险费；</w:t>
      </w:r>
    </w:p>
    <w:p>
      <w:pPr>
        <w:pStyle w:val="41"/>
        <w:spacing w:before="0" w:beforeAutospacing="0" w:after="0" w:afterAutospacing="0"/>
        <w:ind w:firstLine="444" w:firstLineChars="200"/>
        <w:rPr>
          <w:color w:val="auto"/>
          <w:spacing w:val="6"/>
          <w:sz w:val="21"/>
          <w:szCs w:val="21"/>
        </w:rPr>
      </w:pPr>
      <w:r>
        <w:rPr>
          <w:rFonts w:hint="eastAsia"/>
          <w:color w:val="auto"/>
          <w:spacing w:val="6"/>
          <w:sz w:val="21"/>
          <w:szCs w:val="21"/>
        </w:rPr>
        <w:t>④通过银行等金融机构向安置的每位残疾人，按月支付了不低于单位所在区县适用的经省级人民政府批准的月最低工资标准的工资；</w:t>
      </w:r>
    </w:p>
    <w:p>
      <w:pPr>
        <w:pStyle w:val="41"/>
        <w:spacing w:before="0" w:beforeAutospacing="0" w:after="0" w:afterAutospacing="0"/>
        <w:ind w:firstLine="444" w:firstLineChars="200"/>
        <w:rPr>
          <w:color w:val="auto"/>
          <w:spacing w:val="6"/>
          <w:sz w:val="21"/>
          <w:szCs w:val="21"/>
        </w:rPr>
      </w:pPr>
      <w:r>
        <w:rPr>
          <w:rFonts w:hint="eastAsia"/>
          <w:color w:val="auto"/>
          <w:spacing w:val="6"/>
          <w:sz w:val="21"/>
          <w:szCs w:val="21"/>
        </w:rPr>
        <w:t>⑤提供本单位制造的货物、承担的工程或者服务（以下简称产品），或者提供其他残疾人福利性单位制造的货物（不包括使用非残疾人福利性单位注册商标的货物）。</w:t>
      </w:r>
    </w:p>
    <w:p>
      <w:pPr>
        <w:pStyle w:val="41"/>
        <w:spacing w:before="0" w:beforeAutospacing="0" w:after="0" w:afterAutospacing="0"/>
        <w:rPr>
          <w:color w:val="auto"/>
          <w:spacing w:val="6"/>
          <w:sz w:val="21"/>
          <w:szCs w:val="21"/>
        </w:rPr>
      </w:pPr>
    </w:p>
    <w:p>
      <w:pPr>
        <w:pStyle w:val="41"/>
        <w:spacing w:before="0" w:beforeAutospacing="0" w:after="0" w:afterAutospacing="0"/>
        <w:ind w:firstLine="444" w:firstLineChars="200"/>
        <w:rPr>
          <w:color w:val="auto"/>
          <w:spacing w:val="6"/>
          <w:sz w:val="21"/>
          <w:szCs w:val="21"/>
        </w:rPr>
      </w:pPr>
    </w:p>
    <w:p>
      <w:pPr>
        <w:pStyle w:val="41"/>
        <w:spacing w:before="0" w:beforeAutospacing="0" w:after="0" w:afterAutospacing="0"/>
        <w:ind w:firstLine="444" w:firstLineChars="200"/>
        <w:rPr>
          <w:color w:val="auto"/>
          <w:spacing w:val="6"/>
          <w:sz w:val="21"/>
          <w:szCs w:val="21"/>
        </w:rPr>
      </w:pPr>
      <w:r>
        <w:rPr>
          <w:rFonts w:hint="eastAsia"/>
          <w:color w:val="auto"/>
          <w:spacing w:val="6"/>
          <w:sz w:val="21"/>
          <w:szCs w:val="21"/>
        </w:rPr>
        <w:t>2、监狱企业视同为小微企业。如属于监狱企业，需提供由省级以上监狱管理局、戒毒管理局（含新疆生产建设兵团）出具的属于监狱企业的证明文件。</w:t>
      </w:r>
    </w:p>
    <w:p>
      <w:pPr>
        <w:pStyle w:val="5"/>
        <w:rPr>
          <w:rFonts w:hint="default" w:hAnsi="宋体"/>
          <w:b/>
          <w:color w:val="auto"/>
          <w:sz w:val="24"/>
          <w:szCs w:val="24"/>
        </w:rPr>
      </w:pPr>
      <w:r>
        <w:rPr>
          <w:rFonts w:hint="eastAsia"/>
          <w:color w:val="auto"/>
          <w:spacing w:val="6"/>
          <w:sz w:val="21"/>
          <w:szCs w:val="21"/>
        </w:rPr>
        <w:br w:type="page"/>
      </w:r>
    </w:p>
    <w:p>
      <w:pPr>
        <w:pStyle w:val="24"/>
        <w:ind w:left="0" w:leftChars="0" w:firstLine="0" w:firstLineChars="0"/>
        <w:rPr>
          <w:rFonts w:hint="eastAsia" w:ascii="宋体" w:hAnsi="宋体" w:cs="宋体"/>
          <w:color w:val="auto"/>
          <w:spacing w:val="6"/>
          <w:kern w:val="0"/>
          <w:sz w:val="21"/>
          <w:szCs w:val="21"/>
          <w:highlight w:val="none"/>
          <w:lang w:val="en-US" w:eastAsia="zh-CN" w:bidi="ar-SA"/>
        </w:rPr>
      </w:pPr>
      <w:r>
        <w:rPr>
          <w:rFonts w:hint="eastAsia" w:ascii="宋体" w:hAnsi="宋体" w:eastAsia="宋体" w:cs="Times New Roman"/>
          <w:bCs/>
          <w:i w:val="0"/>
          <w:iCs w:val="0"/>
          <w:color w:val="auto"/>
          <w:kern w:val="2"/>
          <w:sz w:val="28"/>
          <w:szCs w:val="28"/>
          <w:lang w:val="en-US" w:eastAsia="zh-CN" w:bidi="ar-SA"/>
        </w:rPr>
        <w:t>附件1</w:t>
      </w:r>
      <w:r>
        <w:rPr>
          <w:rFonts w:hint="eastAsia" w:ascii="宋体" w:hAnsi="宋体" w:cs="Times New Roman"/>
          <w:bCs/>
          <w:i w:val="0"/>
          <w:iCs w:val="0"/>
          <w:color w:val="auto"/>
          <w:kern w:val="2"/>
          <w:sz w:val="28"/>
          <w:szCs w:val="28"/>
          <w:lang w:val="en-US" w:eastAsia="zh-CN" w:bidi="ar-SA"/>
        </w:rPr>
        <w:t>4</w:t>
      </w:r>
      <w:r>
        <w:rPr>
          <w:rFonts w:hint="eastAsia" w:ascii="宋体" w:hAnsi="宋体" w:cs="宋体"/>
          <w:color w:val="auto"/>
          <w:spacing w:val="6"/>
          <w:kern w:val="0"/>
          <w:sz w:val="21"/>
          <w:szCs w:val="21"/>
          <w:lang w:val="en-US" w:eastAsia="zh-CN" w:bidi="ar-SA"/>
        </w:rPr>
        <w:t xml:space="preserve"> </w:t>
      </w:r>
    </w:p>
    <w:p>
      <w:pPr>
        <w:autoSpaceDN w:val="0"/>
        <w:spacing w:line="360" w:lineRule="auto"/>
        <w:jc w:val="center"/>
        <w:rPr>
          <w:rFonts w:hint="eastAsia"/>
          <w:b/>
          <w:bCs/>
          <w:sz w:val="24"/>
          <w:highlight w:val="none"/>
        </w:rPr>
      </w:pPr>
      <w:r>
        <w:rPr>
          <w:rFonts w:hint="eastAsia"/>
          <w:b/>
          <w:bCs/>
          <w:sz w:val="24"/>
          <w:highlight w:val="none"/>
        </w:rPr>
        <w:t>实质性条款情况表</w:t>
      </w:r>
    </w:p>
    <w:p>
      <w:pPr>
        <w:spacing w:line="460" w:lineRule="exact"/>
        <w:rPr>
          <w:rFonts w:ascii="宋体" w:hAnsi="宋体" w:cs="宋体"/>
          <w:szCs w:val="21"/>
          <w:highlight w:val="none"/>
        </w:rPr>
      </w:pPr>
      <w:r>
        <w:rPr>
          <w:rFonts w:hint="eastAsia" w:ascii="宋体" w:hAnsi="宋体" w:cs="宋体"/>
          <w:szCs w:val="21"/>
          <w:highlight w:val="none"/>
        </w:rPr>
        <w:t>项目名称：</w:t>
      </w:r>
    </w:p>
    <w:p>
      <w:pPr>
        <w:spacing w:line="460" w:lineRule="exact"/>
        <w:rPr>
          <w:rFonts w:ascii="宋体" w:hAnsi="宋体" w:cs="宋体"/>
          <w:szCs w:val="21"/>
          <w:highlight w:val="none"/>
        </w:rPr>
      </w:pPr>
      <w:r>
        <w:rPr>
          <w:rFonts w:hint="eastAsia" w:ascii="宋体" w:hAnsi="宋体" w:cs="宋体"/>
          <w:szCs w:val="21"/>
          <w:highlight w:val="none"/>
        </w:rPr>
        <w:t>项目编号：</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281"/>
        <w:gridCol w:w="1420"/>
        <w:gridCol w:w="1703"/>
        <w:gridCol w:w="1703"/>
        <w:gridCol w:w="37"/>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7"/>
            <w:shd w:val="clear" w:color="auto" w:fill="auto"/>
            <w:vAlign w:val="center"/>
          </w:tcPr>
          <w:p>
            <w:pPr>
              <w:jc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64" w:type="pct"/>
            <w:gridSpan w:val="2"/>
            <w:shd w:val="clear" w:color="auto" w:fill="auto"/>
            <w:vAlign w:val="center"/>
          </w:tcPr>
          <w:p>
            <w:pPr>
              <w:jc w:val="center"/>
              <w:rPr>
                <w:rFonts w:hint="eastAsia" w:ascii="黑体" w:hAnsi="黑体" w:eastAsia="黑体" w:cs="黑体"/>
                <w:sz w:val="20"/>
                <w:szCs w:val="20"/>
                <w:lang w:val="en-GB"/>
              </w:rPr>
            </w:pPr>
            <w:r>
              <w:rPr>
                <w:rFonts w:hint="eastAsia" w:ascii="黑体" w:hAnsi="黑体" w:eastAsia="黑体" w:cs="黑体"/>
                <w:sz w:val="20"/>
                <w:szCs w:val="20"/>
                <w:lang w:val="en-GB"/>
              </w:rPr>
              <w:t>产品名称</w:t>
            </w:r>
          </w:p>
        </w:tc>
        <w:tc>
          <w:tcPr>
            <w:tcW w:w="2853" w:type="pct"/>
            <w:gridSpan w:val="4"/>
            <w:shd w:val="clear" w:color="auto" w:fill="auto"/>
            <w:vAlign w:val="center"/>
          </w:tcPr>
          <w:p>
            <w:pPr>
              <w:jc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实质性需求条款</w:t>
            </w:r>
          </w:p>
        </w:tc>
        <w:tc>
          <w:tcPr>
            <w:tcW w:w="982" w:type="pct"/>
            <w:shd w:val="clear" w:color="auto" w:fill="auto"/>
            <w:vAlign w:val="center"/>
          </w:tcPr>
          <w:p>
            <w:pPr>
              <w:jc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是否满足（是/否）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64" w:type="pct"/>
            <w:gridSpan w:val="2"/>
            <w:shd w:val="clear" w:color="auto" w:fill="auto"/>
            <w:vAlign w:val="center"/>
          </w:tcPr>
          <w:p>
            <w:pPr>
              <w:jc w:val="center"/>
              <w:rPr>
                <w:rFonts w:hint="eastAsia" w:ascii="黑体" w:hAnsi="黑体" w:eastAsia="黑体" w:cs="黑体"/>
                <w:sz w:val="20"/>
                <w:szCs w:val="20"/>
                <w:lang w:val="en-GB" w:eastAsia="zh-CN"/>
              </w:rPr>
            </w:pPr>
            <w:r>
              <w:rPr>
                <w:rFonts w:hint="eastAsia" w:ascii="黑体" w:hAnsi="黑体" w:eastAsia="黑体" w:cs="黑体"/>
                <w:sz w:val="20"/>
                <w:szCs w:val="20"/>
                <w:lang w:val="en-US" w:eastAsia="zh-CN"/>
              </w:rPr>
              <w:t>供货</w:t>
            </w:r>
            <w:r>
              <w:rPr>
                <w:rFonts w:hint="eastAsia" w:ascii="黑体" w:hAnsi="黑体" w:eastAsia="黑体" w:cs="黑体"/>
                <w:sz w:val="20"/>
                <w:szCs w:val="20"/>
                <w:lang w:val="en-GB" w:eastAsia="zh-CN"/>
              </w:rPr>
              <w:t>期限</w:t>
            </w:r>
          </w:p>
        </w:tc>
        <w:tc>
          <w:tcPr>
            <w:tcW w:w="2853" w:type="pct"/>
            <w:gridSpan w:val="4"/>
            <w:shd w:val="clear" w:color="auto" w:fill="auto"/>
            <w:vAlign w:val="center"/>
          </w:tcPr>
          <w:p>
            <w:pPr>
              <w:rPr>
                <w:rFonts w:hint="eastAsia" w:ascii="黑体" w:hAnsi="黑体" w:eastAsia="黑体" w:cs="黑体"/>
                <w:color w:val="FF0000"/>
                <w:sz w:val="20"/>
                <w:szCs w:val="20"/>
                <w:lang w:val="en-GB" w:eastAsia="zh-CN"/>
              </w:rPr>
            </w:pPr>
            <w:r>
              <w:rPr>
                <w:rFonts w:hint="eastAsia" w:ascii="黑体" w:hAnsi="黑体" w:eastAsia="黑体" w:cs="黑体"/>
                <w:color w:val="FF0000"/>
                <w:sz w:val="20"/>
                <w:szCs w:val="20"/>
                <w:lang w:val="en-GB" w:eastAsia="zh-CN"/>
              </w:rPr>
              <w:t>★</w:t>
            </w:r>
            <w:r>
              <w:rPr>
                <w:rFonts w:hint="eastAsia" w:ascii="黑体" w:hAnsi="黑体" w:eastAsia="黑体" w:cs="黑体"/>
                <w:color w:val="FF0000"/>
                <w:sz w:val="20"/>
                <w:szCs w:val="20"/>
                <w:lang w:val="en-US" w:eastAsia="zh-CN"/>
              </w:rPr>
              <w:t>签订合同后一个月内</w:t>
            </w:r>
          </w:p>
        </w:tc>
        <w:tc>
          <w:tcPr>
            <w:tcW w:w="982" w:type="pct"/>
            <w:shd w:val="clear" w:color="auto" w:fill="auto"/>
            <w:vAlign w:val="center"/>
          </w:tcPr>
          <w:p>
            <w:pPr>
              <w:rPr>
                <w:rFonts w:hint="eastAsia" w:ascii="黑体" w:hAnsi="黑体" w:eastAsia="黑体" w:cs="黑体"/>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64" w:type="pct"/>
            <w:gridSpan w:val="2"/>
            <w:shd w:val="clear" w:color="auto" w:fill="auto"/>
            <w:vAlign w:val="center"/>
          </w:tcPr>
          <w:p>
            <w:pPr>
              <w:jc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质保期</w:t>
            </w:r>
          </w:p>
        </w:tc>
        <w:tc>
          <w:tcPr>
            <w:tcW w:w="2853" w:type="pct"/>
            <w:gridSpan w:val="4"/>
            <w:shd w:val="clear" w:color="auto" w:fill="auto"/>
            <w:vAlign w:val="center"/>
          </w:tcPr>
          <w:p>
            <w:pPr>
              <w:rPr>
                <w:rFonts w:hint="eastAsia" w:ascii="黑体" w:hAnsi="黑体" w:eastAsia="黑体" w:cs="黑体"/>
                <w:color w:val="FF0000"/>
                <w:sz w:val="20"/>
                <w:szCs w:val="20"/>
                <w:lang w:val="en-GB" w:eastAsia="zh-CN"/>
              </w:rPr>
            </w:pPr>
            <w:r>
              <w:rPr>
                <w:rFonts w:hint="eastAsia" w:ascii="黑体" w:hAnsi="黑体" w:eastAsia="黑体" w:cs="黑体"/>
                <w:color w:val="FF0000"/>
                <w:sz w:val="20"/>
                <w:szCs w:val="20"/>
              </w:rPr>
              <w:t>★</w:t>
            </w:r>
            <w:r>
              <w:rPr>
                <w:rFonts w:hint="eastAsia" w:ascii="黑体" w:hAnsi="黑体" w:eastAsia="黑体" w:cs="黑体"/>
                <w:color w:val="FF0000"/>
                <w:sz w:val="20"/>
                <w:szCs w:val="20"/>
                <w:lang w:eastAsia="zh-CN"/>
              </w:rPr>
              <w:t>质保期</w:t>
            </w:r>
            <w:r>
              <w:rPr>
                <w:rFonts w:hint="eastAsia" w:ascii="黑体" w:hAnsi="黑体" w:eastAsia="黑体" w:cs="黑体"/>
                <w:color w:val="FF0000"/>
                <w:sz w:val="20"/>
                <w:szCs w:val="20"/>
                <w:lang w:val="en-US" w:eastAsia="zh-CN"/>
              </w:rPr>
              <w:t>2</w:t>
            </w:r>
            <w:r>
              <w:rPr>
                <w:rFonts w:hint="eastAsia" w:ascii="黑体" w:hAnsi="黑体" w:eastAsia="黑体" w:cs="黑体"/>
                <w:color w:val="FF0000"/>
                <w:sz w:val="20"/>
                <w:szCs w:val="20"/>
                <w:lang w:eastAsia="zh-CN"/>
              </w:rPr>
              <w:t>年，质保期起计日为合同标的经验收合格交付之日起计</w:t>
            </w:r>
            <w:r>
              <w:rPr>
                <w:rFonts w:hint="eastAsia" w:ascii="黑体" w:hAnsi="黑体" w:eastAsia="黑体" w:cs="黑体"/>
                <w:color w:val="FF0000"/>
                <w:sz w:val="20"/>
                <w:szCs w:val="20"/>
              </w:rPr>
              <w:t>。</w:t>
            </w:r>
          </w:p>
        </w:tc>
        <w:tc>
          <w:tcPr>
            <w:tcW w:w="982" w:type="pct"/>
            <w:shd w:val="clear" w:color="auto" w:fill="auto"/>
            <w:vAlign w:val="center"/>
          </w:tcPr>
          <w:p>
            <w:pPr>
              <w:rPr>
                <w:rFonts w:hint="eastAsia" w:ascii="黑体" w:hAnsi="黑体" w:eastAsia="黑体" w:cs="黑体"/>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64" w:type="pct"/>
            <w:gridSpan w:val="2"/>
            <w:shd w:val="clear" w:color="auto" w:fill="auto"/>
            <w:vAlign w:val="center"/>
          </w:tcPr>
          <w:p>
            <w:pPr>
              <w:jc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“第五章采购需求”</w:t>
            </w:r>
          </w:p>
        </w:tc>
        <w:tc>
          <w:tcPr>
            <w:tcW w:w="2853" w:type="pct"/>
            <w:gridSpan w:val="4"/>
            <w:shd w:val="clear" w:color="auto" w:fill="auto"/>
            <w:vAlign w:val="center"/>
          </w:tcPr>
          <w:p>
            <w:pPr>
              <w:spacing w:line="240" w:lineRule="exact"/>
              <w:jc w:val="both"/>
              <w:rPr>
                <w:rFonts w:hint="eastAsia" w:ascii="黑体" w:hAnsi="黑体" w:eastAsia="黑体" w:cs="黑体"/>
                <w:b/>
                <w:bCs w:val="0"/>
                <w:color w:val="FF0000"/>
                <w:sz w:val="20"/>
                <w:szCs w:val="20"/>
              </w:rPr>
            </w:pPr>
            <w:r>
              <w:rPr>
                <w:rFonts w:hint="eastAsia" w:ascii="黑体" w:hAnsi="黑体" w:eastAsia="黑体" w:cs="黑体"/>
                <w:color w:val="FF0000"/>
                <w:sz w:val="20"/>
                <w:szCs w:val="20"/>
                <w:lang w:val="en-GB" w:eastAsia="zh-CN"/>
              </w:rPr>
              <w:t>详见“第</w:t>
            </w:r>
            <w:r>
              <w:rPr>
                <w:rFonts w:hint="eastAsia" w:ascii="黑体" w:hAnsi="黑体" w:eastAsia="黑体" w:cs="黑体"/>
                <w:color w:val="FF0000"/>
                <w:sz w:val="20"/>
                <w:szCs w:val="20"/>
                <w:lang w:val="en-US" w:eastAsia="zh-CN"/>
              </w:rPr>
              <w:t>五</w:t>
            </w:r>
            <w:r>
              <w:rPr>
                <w:rFonts w:hint="eastAsia" w:ascii="黑体" w:hAnsi="黑体" w:eastAsia="黑体" w:cs="黑体"/>
                <w:color w:val="FF0000"/>
                <w:sz w:val="20"/>
                <w:szCs w:val="20"/>
                <w:lang w:val="en-GB" w:eastAsia="zh-CN"/>
              </w:rPr>
              <w:t>章</w:t>
            </w:r>
            <w:r>
              <w:rPr>
                <w:rFonts w:hint="eastAsia" w:ascii="黑体" w:hAnsi="黑体" w:eastAsia="黑体" w:cs="黑体"/>
                <w:color w:val="FF0000"/>
                <w:sz w:val="20"/>
                <w:szCs w:val="20"/>
                <w:lang w:val="en-US" w:eastAsia="zh-CN"/>
              </w:rPr>
              <w:t xml:space="preserve"> 采购需求”（注：此处可承诺完全满足</w:t>
            </w:r>
            <w:r>
              <w:rPr>
                <w:rFonts w:hint="eastAsia" w:ascii="黑体" w:hAnsi="黑体" w:eastAsia="黑体" w:cs="黑体"/>
                <w:color w:val="FF0000"/>
                <w:sz w:val="20"/>
                <w:szCs w:val="20"/>
                <w:lang w:val="en-GB" w:eastAsia="zh-CN"/>
              </w:rPr>
              <w:t>“第</w:t>
            </w:r>
            <w:r>
              <w:rPr>
                <w:rFonts w:hint="eastAsia" w:ascii="黑体" w:hAnsi="黑体" w:eastAsia="黑体" w:cs="黑体"/>
                <w:color w:val="FF0000"/>
                <w:sz w:val="20"/>
                <w:szCs w:val="20"/>
                <w:lang w:val="en-US" w:eastAsia="zh-CN"/>
              </w:rPr>
              <w:t>五</w:t>
            </w:r>
            <w:r>
              <w:rPr>
                <w:rFonts w:hint="eastAsia" w:ascii="黑体" w:hAnsi="黑体" w:eastAsia="黑体" w:cs="黑体"/>
                <w:color w:val="FF0000"/>
                <w:sz w:val="20"/>
                <w:szCs w:val="20"/>
                <w:lang w:val="en-GB" w:eastAsia="zh-CN"/>
              </w:rPr>
              <w:t>章</w:t>
            </w:r>
            <w:r>
              <w:rPr>
                <w:rFonts w:hint="eastAsia" w:ascii="黑体" w:hAnsi="黑体" w:eastAsia="黑体" w:cs="黑体"/>
                <w:color w:val="FF0000"/>
                <w:sz w:val="20"/>
                <w:szCs w:val="20"/>
                <w:lang w:val="en-US" w:eastAsia="zh-CN"/>
              </w:rPr>
              <w:t xml:space="preserve"> 采购需求”中所有条款要求，无需逐一列明采购需求中具体内容。）</w:t>
            </w:r>
          </w:p>
        </w:tc>
        <w:tc>
          <w:tcPr>
            <w:tcW w:w="982" w:type="pct"/>
            <w:shd w:val="clear" w:color="auto" w:fill="auto"/>
            <w:vAlign w:val="center"/>
          </w:tcPr>
          <w:p>
            <w:pPr>
              <w:rPr>
                <w:rFonts w:hint="eastAsia" w:ascii="黑体" w:hAnsi="黑体" w:eastAsia="黑体" w:cs="黑体"/>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7"/>
            <w:shd w:val="clear" w:color="auto" w:fill="auto"/>
            <w:vAlign w:val="center"/>
          </w:tcPr>
          <w:p>
            <w:pPr>
              <w:pStyle w:val="327"/>
              <w:tabs>
                <w:tab w:val="left" w:pos="1260"/>
              </w:tabs>
              <w:adjustRightInd w:val="0"/>
              <w:snapToGrid w:val="0"/>
              <w:jc w:val="center"/>
              <w:rPr>
                <w:rFonts w:hint="eastAsia" w:ascii="黑体" w:hAnsi="黑体" w:eastAsia="黑体" w:cs="黑体"/>
                <w:sz w:val="20"/>
                <w:szCs w:val="20"/>
                <w:lang w:val="en-GB" w:eastAsia="zh-CN"/>
              </w:rPr>
            </w:pPr>
            <w:r>
              <w:rPr>
                <w:rFonts w:hint="eastAsia" w:ascii="黑体" w:hAnsi="黑体" w:eastAsia="黑体" w:cs="黑体"/>
                <w:color w:val="000000"/>
                <w:sz w:val="20"/>
                <w:szCs w:val="20"/>
                <w:shd w:val="clear" w:color="auto" w:fill="FFFFFF"/>
              </w:rPr>
              <w:t>强制节能产品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7"/>
            <w:shd w:val="clear" w:color="auto" w:fill="auto"/>
            <w:vAlign w:val="center"/>
          </w:tcPr>
          <w:p>
            <w:pPr>
              <w:pStyle w:val="327"/>
              <w:tabs>
                <w:tab w:val="left" w:pos="1260"/>
              </w:tabs>
              <w:adjustRightInd w:val="0"/>
              <w:snapToGrid w:val="0"/>
              <w:ind w:firstLine="400" w:firstLineChars="200"/>
              <w:jc w:val="left"/>
              <w:rPr>
                <w:rFonts w:hint="eastAsia" w:ascii="黑体" w:hAnsi="黑体" w:eastAsia="黑体" w:cs="黑体"/>
                <w:sz w:val="20"/>
                <w:szCs w:val="20"/>
                <w:lang w:val="en-GB" w:eastAsia="zh-CN"/>
              </w:rPr>
            </w:pPr>
            <w:r>
              <w:rPr>
                <w:rFonts w:hint="eastAsia" w:ascii="黑体" w:hAnsi="黑体" w:eastAsia="黑体" w:cs="黑体"/>
                <w:sz w:val="20"/>
                <w:szCs w:val="20"/>
              </w:rPr>
              <w:t>依照</w:t>
            </w:r>
            <w:r>
              <w:rPr>
                <w:rFonts w:hint="eastAsia" w:ascii="黑体" w:hAnsi="黑体" w:eastAsia="黑体" w:cs="黑体"/>
                <w:color w:val="000000"/>
                <w:sz w:val="20"/>
                <w:szCs w:val="20"/>
                <w:shd w:val="clear" w:color="auto" w:fill="FFFFFF"/>
              </w:rPr>
              <w:t>《关于调整优化节能产品、环境标志产品政府采购执行机制的通知》（财库〔2019〕9号）及《关于印发节能产品政府采购品目清单的通知》（财库〔2019〕19号）规定，品目清单中标记星号的为强制采购产品，强制采购产品的投标产品必须有认证证书，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99" w:type="pct"/>
            <w:shd w:val="clear" w:color="auto" w:fill="auto"/>
            <w:vAlign w:val="center"/>
          </w:tcPr>
          <w:p>
            <w:pPr>
              <w:pStyle w:val="327"/>
              <w:tabs>
                <w:tab w:val="left" w:pos="1260"/>
              </w:tabs>
              <w:adjustRightInd w:val="0"/>
              <w:snapToGrid w:val="0"/>
              <w:jc w:val="center"/>
              <w:rPr>
                <w:rFonts w:hint="eastAsia" w:ascii="黑体" w:hAnsi="黑体" w:eastAsia="黑体" w:cs="黑体"/>
                <w:sz w:val="20"/>
                <w:szCs w:val="20"/>
                <w:lang w:val="en-US" w:eastAsia="zh-CN"/>
              </w:rPr>
            </w:pPr>
            <w:r>
              <w:rPr>
                <w:rFonts w:hint="eastAsia" w:ascii="黑体" w:hAnsi="黑体" w:eastAsia="黑体" w:cs="黑体"/>
                <w:sz w:val="20"/>
                <w:szCs w:val="20"/>
              </w:rPr>
              <w:t>序号</w:t>
            </w:r>
          </w:p>
        </w:tc>
        <w:tc>
          <w:tcPr>
            <w:tcW w:w="998" w:type="pct"/>
            <w:gridSpan w:val="2"/>
            <w:shd w:val="clear" w:color="auto" w:fill="auto"/>
            <w:vAlign w:val="center"/>
          </w:tcPr>
          <w:p>
            <w:pPr>
              <w:pStyle w:val="327"/>
              <w:tabs>
                <w:tab w:val="left" w:pos="1260"/>
              </w:tabs>
              <w:adjustRightInd w:val="0"/>
              <w:snapToGrid w:val="0"/>
              <w:jc w:val="center"/>
              <w:rPr>
                <w:rFonts w:hint="eastAsia" w:ascii="黑体" w:hAnsi="黑体" w:eastAsia="黑体" w:cs="黑体"/>
                <w:b/>
                <w:bCs w:val="0"/>
                <w:color w:val="FF0000"/>
                <w:sz w:val="20"/>
                <w:szCs w:val="20"/>
              </w:rPr>
            </w:pPr>
            <w:r>
              <w:rPr>
                <w:rFonts w:hint="eastAsia" w:ascii="黑体" w:hAnsi="黑体" w:eastAsia="黑体" w:cs="黑体"/>
                <w:sz w:val="20"/>
                <w:szCs w:val="20"/>
              </w:rPr>
              <w:t>产品名称</w:t>
            </w:r>
          </w:p>
        </w:tc>
        <w:tc>
          <w:tcPr>
            <w:tcW w:w="999" w:type="pct"/>
            <w:shd w:val="clear" w:color="auto" w:fill="auto"/>
            <w:vAlign w:val="center"/>
          </w:tcPr>
          <w:p>
            <w:pPr>
              <w:pStyle w:val="327"/>
              <w:tabs>
                <w:tab w:val="left" w:pos="1260"/>
              </w:tabs>
              <w:adjustRightInd w:val="0"/>
              <w:snapToGrid w:val="0"/>
              <w:jc w:val="center"/>
              <w:rPr>
                <w:rFonts w:hint="eastAsia" w:ascii="黑体" w:hAnsi="黑体" w:eastAsia="黑体" w:cs="黑体"/>
                <w:sz w:val="20"/>
                <w:szCs w:val="20"/>
                <w:lang w:val="en-GB" w:eastAsia="zh-CN"/>
              </w:rPr>
            </w:pPr>
            <w:r>
              <w:rPr>
                <w:rFonts w:hint="eastAsia" w:ascii="黑体" w:hAnsi="黑体" w:eastAsia="黑体" w:cs="黑体"/>
                <w:bCs/>
                <w:sz w:val="20"/>
                <w:szCs w:val="20"/>
              </w:rPr>
              <w:t>编码</w:t>
            </w:r>
          </w:p>
        </w:tc>
        <w:tc>
          <w:tcPr>
            <w:tcW w:w="999" w:type="pct"/>
            <w:shd w:val="clear" w:color="auto" w:fill="auto"/>
            <w:vAlign w:val="center"/>
          </w:tcPr>
          <w:p>
            <w:pPr>
              <w:pStyle w:val="327"/>
              <w:tabs>
                <w:tab w:val="left" w:pos="1260"/>
              </w:tabs>
              <w:adjustRightInd w:val="0"/>
              <w:snapToGrid w:val="0"/>
              <w:jc w:val="center"/>
              <w:rPr>
                <w:rFonts w:hint="eastAsia" w:ascii="黑体" w:hAnsi="黑体" w:eastAsia="黑体" w:cs="黑体"/>
                <w:sz w:val="20"/>
                <w:szCs w:val="20"/>
                <w:lang w:val="en-GB" w:eastAsia="zh-CN"/>
              </w:rPr>
            </w:pPr>
            <w:r>
              <w:rPr>
                <w:rFonts w:hint="eastAsia" w:ascii="黑体" w:hAnsi="黑体" w:eastAsia="黑体" w:cs="黑体"/>
                <w:sz w:val="20"/>
                <w:szCs w:val="20"/>
                <w:lang w:val="en-GB"/>
              </w:rPr>
              <w:t>节能认证证书编号</w:t>
            </w:r>
          </w:p>
        </w:tc>
        <w:tc>
          <w:tcPr>
            <w:tcW w:w="1004" w:type="pct"/>
            <w:gridSpan w:val="2"/>
            <w:shd w:val="clear" w:color="auto" w:fill="auto"/>
            <w:vAlign w:val="center"/>
          </w:tcPr>
          <w:p>
            <w:pPr>
              <w:pStyle w:val="327"/>
              <w:tabs>
                <w:tab w:val="left" w:pos="1260"/>
              </w:tabs>
              <w:adjustRightInd w:val="0"/>
              <w:snapToGrid w:val="0"/>
              <w:jc w:val="center"/>
              <w:rPr>
                <w:rFonts w:hint="eastAsia" w:ascii="黑体" w:hAnsi="黑体" w:eastAsia="黑体" w:cs="黑体"/>
                <w:sz w:val="20"/>
                <w:szCs w:val="20"/>
                <w:lang w:val="en-GB" w:eastAsia="zh-CN"/>
              </w:rPr>
            </w:pPr>
            <w:r>
              <w:rPr>
                <w:rFonts w:hint="eastAsia" w:ascii="黑体" w:hAnsi="黑体" w:eastAsia="黑体" w:cs="黑体"/>
                <w:bCs/>
                <w:sz w:val="20"/>
                <w:szCs w:val="20"/>
              </w:rPr>
              <w:t>认证机构名称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99" w:type="pct"/>
            <w:shd w:val="clear" w:color="auto" w:fill="auto"/>
            <w:vAlign w:val="center"/>
          </w:tcPr>
          <w:p>
            <w:pPr>
              <w:jc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第五章采购需求</w:t>
            </w:r>
          </w:p>
        </w:tc>
        <w:tc>
          <w:tcPr>
            <w:tcW w:w="998" w:type="pct"/>
            <w:gridSpan w:val="2"/>
            <w:shd w:val="clear" w:color="auto" w:fill="auto"/>
            <w:vAlign w:val="center"/>
          </w:tcPr>
          <w:p>
            <w:pPr>
              <w:jc w:val="center"/>
              <w:rPr>
                <w:rFonts w:hint="eastAsia" w:ascii="黑体" w:hAnsi="黑体" w:eastAsia="黑体" w:cs="黑体"/>
                <w:b/>
                <w:bCs w:val="0"/>
                <w:color w:val="FF0000"/>
                <w:sz w:val="20"/>
                <w:szCs w:val="20"/>
              </w:rPr>
            </w:pPr>
            <w:r>
              <w:rPr>
                <w:rFonts w:hint="eastAsia" w:ascii="黑体" w:hAnsi="黑体" w:eastAsia="黑体" w:cs="黑体"/>
                <w:color w:val="000000"/>
                <w:sz w:val="20"/>
                <w:szCs w:val="20"/>
                <w:lang w:eastAsia="zh-CN" w:bidi="ar"/>
              </w:rPr>
              <w:t>针式打印机</w:t>
            </w:r>
          </w:p>
        </w:tc>
        <w:tc>
          <w:tcPr>
            <w:tcW w:w="999" w:type="pct"/>
            <w:shd w:val="clear" w:color="auto" w:fill="auto"/>
            <w:vAlign w:val="center"/>
          </w:tcPr>
          <w:p>
            <w:pPr>
              <w:jc w:val="center"/>
              <w:rPr>
                <w:rFonts w:hint="eastAsia" w:ascii="黑体" w:hAnsi="黑体" w:eastAsia="黑体" w:cs="黑体"/>
                <w:color w:val="000000"/>
                <w:sz w:val="20"/>
                <w:szCs w:val="20"/>
                <w:lang w:val="en-GB" w:eastAsia="zh-CN" w:bidi="ar"/>
              </w:rPr>
            </w:pPr>
            <w:r>
              <w:rPr>
                <w:rFonts w:hint="eastAsia" w:ascii="黑体" w:hAnsi="黑体" w:eastAsia="黑体" w:cs="黑体"/>
                <w:color w:val="000000"/>
                <w:sz w:val="20"/>
                <w:szCs w:val="20"/>
                <w:lang w:val="en-US" w:eastAsia="zh-CN" w:bidi="ar"/>
              </w:rPr>
              <w:t>A0201060104  针式打印机</w:t>
            </w:r>
          </w:p>
        </w:tc>
        <w:tc>
          <w:tcPr>
            <w:tcW w:w="999" w:type="pct"/>
            <w:shd w:val="clear" w:color="auto" w:fill="auto"/>
            <w:vAlign w:val="center"/>
          </w:tcPr>
          <w:p>
            <w:pPr>
              <w:rPr>
                <w:rFonts w:hint="eastAsia" w:ascii="黑体" w:hAnsi="黑体" w:eastAsia="黑体" w:cs="黑体"/>
                <w:sz w:val="20"/>
                <w:szCs w:val="20"/>
                <w:lang w:val="en-GB" w:eastAsia="zh-CN"/>
              </w:rPr>
            </w:pPr>
          </w:p>
        </w:tc>
        <w:tc>
          <w:tcPr>
            <w:tcW w:w="1004" w:type="pct"/>
            <w:gridSpan w:val="2"/>
            <w:shd w:val="clear" w:color="auto" w:fill="auto"/>
            <w:vAlign w:val="center"/>
          </w:tcPr>
          <w:p>
            <w:pPr>
              <w:rPr>
                <w:rFonts w:hint="eastAsia" w:ascii="黑体" w:hAnsi="黑体" w:eastAsia="黑体" w:cs="黑体"/>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99" w:type="pct"/>
            <w:shd w:val="clear" w:color="auto" w:fill="auto"/>
            <w:vAlign w:val="center"/>
          </w:tcPr>
          <w:p>
            <w:pPr>
              <w:jc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第五章采购需求</w:t>
            </w:r>
          </w:p>
        </w:tc>
        <w:tc>
          <w:tcPr>
            <w:tcW w:w="998" w:type="pct"/>
            <w:gridSpan w:val="2"/>
            <w:shd w:val="clear" w:color="auto" w:fill="auto"/>
            <w:vAlign w:val="center"/>
          </w:tcPr>
          <w:p>
            <w:pPr>
              <w:jc w:val="center"/>
              <w:rPr>
                <w:rFonts w:hint="eastAsia" w:ascii="黑体" w:hAnsi="黑体" w:eastAsia="黑体" w:cs="黑体"/>
                <w:b/>
                <w:bCs w:val="0"/>
                <w:color w:val="FF0000"/>
                <w:sz w:val="20"/>
                <w:szCs w:val="20"/>
              </w:rPr>
            </w:pPr>
            <w:r>
              <w:rPr>
                <w:rFonts w:hint="eastAsia" w:ascii="黑体" w:hAnsi="黑体" w:eastAsia="黑体" w:cs="黑体"/>
                <w:color w:val="000000"/>
                <w:sz w:val="20"/>
                <w:szCs w:val="20"/>
                <w:lang w:eastAsia="zh-CN" w:bidi="ar"/>
              </w:rPr>
              <w:t>激光打印机</w:t>
            </w:r>
          </w:p>
        </w:tc>
        <w:tc>
          <w:tcPr>
            <w:tcW w:w="999" w:type="pct"/>
            <w:shd w:val="clear" w:color="auto" w:fill="auto"/>
            <w:vAlign w:val="center"/>
          </w:tcPr>
          <w:p>
            <w:pPr>
              <w:jc w:val="center"/>
              <w:rPr>
                <w:rFonts w:hint="eastAsia" w:ascii="黑体" w:hAnsi="黑体" w:eastAsia="黑体" w:cs="黑体"/>
                <w:color w:val="000000"/>
                <w:sz w:val="20"/>
                <w:szCs w:val="20"/>
                <w:lang w:val="en-GB" w:eastAsia="zh-CN" w:bidi="ar"/>
              </w:rPr>
            </w:pPr>
            <w:r>
              <w:rPr>
                <w:rFonts w:hint="eastAsia" w:ascii="黑体" w:hAnsi="黑体" w:eastAsia="黑体" w:cs="黑体"/>
                <w:color w:val="000000"/>
                <w:sz w:val="20"/>
                <w:szCs w:val="20"/>
                <w:lang w:val="en-US" w:eastAsia="zh-CN" w:bidi="ar"/>
              </w:rPr>
              <w:t>A0201060102  激光打印机</w:t>
            </w:r>
          </w:p>
        </w:tc>
        <w:tc>
          <w:tcPr>
            <w:tcW w:w="999" w:type="pct"/>
            <w:shd w:val="clear" w:color="auto" w:fill="auto"/>
            <w:vAlign w:val="center"/>
          </w:tcPr>
          <w:p>
            <w:pPr>
              <w:rPr>
                <w:rFonts w:hint="eastAsia" w:ascii="黑体" w:hAnsi="黑体" w:eastAsia="黑体" w:cs="黑体"/>
                <w:sz w:val="20"/>
                <w:szCs w:val="20"/>
                <w:lang w:val="en-GB" w:eastAsia="zh-CN"/>
              </w:rPr>
            </w:pPr>
          </w:p>
        </w:tc>
        <w:tc>
          <w:tcPr>
            <w:tcW w:w="1004" w:type="pct"/>
            <w:gridSpan w:val="2"/>
            <w:shd w:val="clear" w:color="auto" w:fill="auto"/>
            <w:vAlign w:val="center"/>
          </w:tcPr>
          <w:p>
            <w:pPr>
              <w:rPr>
                <w:rFonts w:hint="eastAsia" w:ascii="黑体" w:hAnsi="黑体" w:eastAsia="黑体" w:cs="黑体"/>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7"/>
            <w:shd w:val="clear" w:color="auto" w:fill="auto"/>
            <w:vAlign w:val="center"/>
          </w:tcPr>
          <w:p>
            <w:pPr>
              <w:jc w:val="center"/>
              <w:rPr>
                <w:rFonts w:hint="eastAsia" w:ascii="黑体" w:hAnsi="黑体" w:eastAsia="黑体" w:cs="黑体"/>
                <w:sz w:val="20"/>
                <w:szCs w:val="20"/>
                <w:lang w:val="en-GB" w:eastAsia="zh-CN"/>
              </w:rPr>
            </w:pPr>
            <w:r>
              <w:rPr>
                <w:rFonts w:hint="eastAsia" w:ascii="黑体" w:hAnsi="黑体" w:eastAsia="黑体" w:cs="黑体"/>
                <w:sz w:val="20"/>
                <w:szCs w:val="20"/>
              </w:rPr>
              <w:t>后附</w:t>
            </w:r>
            <w:r>
              <w:rPr>
                <w:rFonts w:hint="eastAsia" w:ascii="黑体" w:hAnsi="黑体" w:eastAsia="黑体" w:cs="黑体"/>
                <w:sz w:val="20"/>
                <w:szCs w:val="20"/>
                <w:lang w:val="en-GB"/>
              </w:rPr>
              <w:t>节能产品</w:t>
            </w:r>
            <w:r>
              <w:rPr>
                <w:rFonts w:hint="eastAsia" w:ascii="黑体" w:hAnsi="黑体" w:eastAsia="黑体" w:cs="黑体"/>
                <w:color w:val="000000"/>
                <w:sz w:val="20"/>
                <w:szCs w:val="20"/>
                <w:shd w:val="clear" w:color="auto" w:fill="FFFFFF"/>
              </w:rPr>
              <w:t>认证证书</w:t>
            </w:r>
            <w:r>
              <w:rPr>
                <w:rFonts w:hint="eastAsia" w:ascii="黑体" w:hAnsi="黑体" w:eastAsia="黑体" w:cs="黑体"/>
                <w:sz w:val="20"/>
                <w:szCs w:val="20"/>
              </w:rPr>
              <w:t>证明材料。</w:t>
            </w:r>
          </w:p>
        </w:tc>
      </w:tr>
    </w:tbl>
    <w:p>
      <w:pPr>
        <w:spacing w:line="460" w:lineRule="exact"/>
        <w:rPr>
          <w:rFonts w:ascii="宋体" w:hAnsi="宋体" w:cs="宋体"/>
          <w:szCs w:val="21"/>
        </w:rPr>
      </w:pPr>
    </w:p>
    <w:p>
      <w:pPr>
        <w:adjustRightInd w:val="0"/>
        <w:snapToGrid w:val="0"/>
        <w:spacing w:line="360" w:lineRule="auto"/>
        <w:rPr>
          <w:rFonts w:hint="eastAsia" w:ascii="宋体" w:hAnsi="宋体" w:eastAsia="宋体" w:cs="宋体"/>
          <w:b/>
          <w:bCs/>
          <w:color w:val="auto"/>
          <w:szCs w:val="21"/>
        </w:rPr>
      </w:pPr>
      <w:r>
        <w:rPr>
          <w:rFonts w:hint="eastAsia" w:ascii="宋体" w:hAnsi="宋体" w:eastAsia="宋体" w:cs="宋体"/>
          <w:b/>
          <w:bCs/>
          <w:color w:val="auto"/>
        </w:rPr>
        <w:t>投标人</w:t>
      </w:r>
      <w:r>
        <w:rPr>
          <w:rFonts w:hint="eastAsia" w:ascii="宋体" w:hAnsi="宋体" w:eastAsia="宋体" w:cs="宋体"/>
          <w:b/>
          <w:bCs/>
          <w:color w:val="auto"/>
          <w:szCs w:val="21"/>
        </w:rPr>
        <w:t>（盖单位章）：</w:t>
      </w:r>
    </w:p>
    <w:p>
      <w:pPr>
        <w:adjustRightInd w:val="0"/>
        <w:snapToGrid w:val="0"/>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法定代表人或其委托代理人签字：</w:t>
      </w:r>
      <w:r>
        <w:rPr>
          <w:rFonts w:hint="eastAsia" w:ascii="宋体" w:hAnsi="宋体" w:eastAsia="宋体" w:cs="宋体"/>
          <w:b/>
          <w:bCs/>
          <w:color w:val="auto"/>
          <w:szCs w:val="21"/>
          <w:u w:val="single"/>
        </w:rPr>
        <w:t xml:space="preserve">       </w:t>
      </w:r>
    </w:p>
    <w:p>
      <w:pPr>
        <w:spacing w:line="460" w:lineRule="exact"/>
        <w:rPr>
          <w:rFonts w:ascii="宋体" w:hAnsi="宋体" w:cs="宋体"/>
          <w:szCs w:val="21"/>
        </w:rPr>
      </w:pPr>
      <w:r>
        <w:rPr>
          <w:rFonts w:hint="eastAsia" w:ascii="宋体" w:hAnsi="宋体" w:eastAsia="宋体" w:cs="宋体"/>
          <w:b/>
          <w:bCs/>
          <w:color w:val="auto"/>
          <w:szCs w:val="21"/>
        </w:rPr>
        <w:t>日期：</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rPr>
        <w:t>年</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rPr>
        <w:t>月</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rPr>
        <w:t>日</w:t>
      </w:r>
      <w:r>
        <w:rPr>
          <w:rFonts w:hint="eastAsia" w:ascii="宋体" w:hAnsi="宋体" w:eastAsia="宋体" w:cs="宋体"/>
          <w:b/>
          <w:color w:val="auto"/>
          <w:sz w:val="24"/>
        </w:rPr>
        <w:t xml:space="preserve"> </w:t>
      </w:r>
      <w:r>
        <w:rPr>
          <w:rFonts w:hint="eastAsia" w:ascii="宋体" w:hAnsi="宋体" w:cs="宋体"/>
          <w:b/>
          <w:sz w:val="24"/>
        </w:rPr>
        <w:t xml:space="preserve"> </w:t>
      </w:r>
    </w:p>
    <w:p/>
    <w:sectPr>
      <w:headerReference r:id="rId25" w:type="default"/>
      <w:footerReference r:id="rId26"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43CFB4A-9FAA-41A0-92E4-7FCF45F6144E}"/>
  </w:font>
  <w:font w:name="黑体">
    <w:panose1 w:val="02010609060101010101"/>
    <w:charset w:val="86"/>
    <w:family w:val="auto"/>
    <w:pitch w:val="default"/>
    <w:sig w:usb0="800002BF" w:usb1="38CF7CFA" w:usb2="00000016" w:usb3="00000000" w:csb0="00040001" w:csb1="00000000"/>
    <w:embedRegular r:id="rId2" w:fontKey="{46753FBE-A30A-4517-AF3D-7C18AA2CB8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embedRegular r:id="rId3" w:fontKey="{45B5BF1B-72A8-4182-8D6B-49DAAA943590}"/>
  </w:font>
  <w:font w:name="仿宋_GB2312">
    <w:panose1 w:val="02010609030101010101"/>
    <w:charset w:val="86"/>
    <w:family w:val="modern"/>
    <w:pitch w:val="default"/>
    <w:sig w:usb0="00000001" w:usb1="080E0000" w:usb2="00000000" w:usb3="00000000" w:csb0="00040000" w:csb1="00000000"/>
    <w:embedRegular r:id="rId4" w:fontKey="{1AF7374C-D982-434B-AF8A-A2284B034202}"/>
  </w:font>
  <w:font w:name="楷体_GB2312">
    <w:panose1 w:val="02010609030101010101"/>
    <w:charset w:val="86"/>
    <w:family w:val="modern"/>
    <w:pitch w:val="default"/>
    <w:sig w:usb0="00000001" w:usb1="080E0000" w:usb2="00000000" w:usb3="00000000" w:csb0="00040000" w:csb1="00000000"/>
    <w:embedRegular r:id="rId5" w:fontKey="{0158CCE7-E01E-4ACE-89B8-20C6544D9681}"/>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长城仿宋">
    <w:altName w:val="黑体"/>
    <w:panose1 w:val="00000000000000000000"/>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宋体-18030">
    <w:altName w:val="宋体"/>
    <w:panose1 w:val="00000000000000000000"/>
    <w:charset w:val="86"/>
    <w:family w:val="modern"/>
    <w:pitch w:val="default"/>
    <w:sig w:usb0="00000000" w:usb1="00000000" w:usb2="000A005E" w:usb3="00000000" w:csb0="00040001" w:csb1="00000000"/>
  </w:font>
  <w:font w:name="Arail">
    <w:altName w:val="Times New Roman"/>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left="180" w:hanging="180" w:hangingChars="100"/>
      <w:jc w:val="center"/>
      <w:rPr>
        <w:rFonts w:eastAsia="楷体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0"/>
                            <w:ind w:left="180" w:hanging="180" w:hangingChars="100"/>
                            <w:jc w:val="center"/>
                          </w:pPr>
                          <w:r>
                            <w:rPr>
                              <w:rFonts w:eastAsia="楷体_GB2312"/>
                            </w:rPr>
                            <w:tab/>
                          </w:r>
                          <w:r>
                            <w:rPr>
                              <w:rFonts w:eastAsia="楷体_GB2312"/>
                            </w:rPr>
                            <w:t xml:space="preserve">- </w:t>
                          </w:r>
                          <w:r>
                            <w:rPr>
                              <w:rFonts w:eastAsia="楷体_GB2312"/>
                            </w:rPr>
                            <w:fldChar w:fldCharType="begin"/>
                          </w:r>
                          <w:r>
                            <w:rPr>
                              <w:rFonts w:eastAsia="楷体_GB2312"/>
                            </w:rPr>
                            <w:instrText xml:space="preserve"> PAGE </w:instrText>
                          </w:r>
                          <w:r>
                            <w:rPr>
                              <w:rFonts w:eastAsia="楷体_GB2312"/>
                            </w:rPr>
                            <w:fldChar w:fldCharType="separate"/>
                          </w:r>
                          <w:r>
                            <w:rPr>
                              <w:rFonts w:eastAsia="楷体_GB2312"/>
                            </w:rPr>
                            <w:t>21</w:t>
                          </w:r>
                          <w:r>
                            <w:rPr>
                              <w:rFonts w:eastAsia="楷体_GB2312"/>
                            </w:rPr>
                            <w:fldChar w:fldCharType="end"/>
                          </w:r>
                          <w:r>
                            <w:rPr>
                              <w:rFonts w:eastAsia="楷体_GB2312"/>
                            </w:rPr>
                            <w:t xml:space="preserve"> -</w:t>
                          </w:r>
                        </w:p>
                      </w:txbxContent>
                    </wps:txbx>
                    <wps:bodyPr wrap="none" lIns="0" tIns="0" rIns="0" bIns="0">
                      <a:spAutoFit/>
                    </wps:bodyPr>
                  </wps:wsp>
                </a:graphicData>
              </a:graphic>
            </wp:anchor>
          </w:drawing>
        </mc:Choice>
        <mc:Fallback>
          <w:pict>
            <v:shape id="文本框 51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GmCS9MAAAAFAQAADwAAAAAAAAABACAAAAAiAAAAZHJzL2Rv&#10;d25yZXYueG1sUEsBAhQAFAAAAAgAh07iQN1QEa/NAQAAmgMAAA4AAAAAAAAAAQAgAAAAIgEAAGRy&#10;cy9lMm9Eb2MueG1sUEsFBgAAAAAGAAYAWQEAAGEFAAAAAA==&#10;">
              <v:fill on="f" focussize="0,0"/>
              <v:stroke on="f" weight="1.25pt"/>
              <v:imagedata o:title=""/>
              <o:lock v:ext="edit" aspectratio="f"/>
              <v:textbox inset="0mm,0mm,0mm,0mm" style="mso-fit-shape-to-text:t;">
                <w:txbxContent>
                  <w:p>
                    <w:pPr>
                      <w:pStyle w:val="30"/>
                      <w:ind w:left="180" w:hanging="180" w:hangingChars="100"/>
                      <w:jc w:val="center"/>
                    </w:pPr>
                    <w:r>
                      <w:rPr>
                        <w:rFonts w:eastAsia="楷体_GB2312"/>
                      </w:rPr>
                      <w:tab/>
                    </w:r>
                    <w:r>
                      <w:rPr>
                        <w:rFonts w:eastAsia="楷体_GB2312"/>
                      </w:rPr>
                      <w:t xml:space="preserve">- </w:t>
                    </w:r>
                    <w:r>
                      <w:rPr>
                        <w:rFonts w:eastAsia="楷体_GB2312"/>
                      </w:rPr>
                      <w:fldChar w:fldCharType="begin"/>
                    </w:r>
                    <w:r>
                      <w:rPr>
                        <w:rFonts w:eastAsia="楷体_GB2312"/>
                      </w:rPr>
                      <w:instrText xml:space="preserve"> PAGE </w:instrText>
                    </w:r>
                    <w:r>
                      <w:rPr>
                        <w:rFonts w:eastAsia="楷体_GB2312"/>
                      </w:rPr>
                      <w:fldChar w:fldCharType="separate"/>
                    </w:r>
                    <w:r>
                      <w:rPr>
                        <w:rFonts w:eastAsia="楷体_GB2312"/>
                      </w:rPr>
                      <w:t>21</w:t>
                    </w:r>
                    <w:r>
                      <w:rPr>
                        <w:rFonts w:eastAsia="楷体_GB2312"/>
                      </w:rPr>
                      <w:fldChar w:fldCharType="end"/>
                    </w:r>
                    <w:r>
                      <w:rPr>
                        <w:rFonts w:eastAsia="楷体_GB2312"/>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left" w:pos="899"/>
        <w:tab w:val="clear" w:pos="4153"/>
        <w:tab w:val="clear" w:pos="8306"/>
      </w:tabs>
      <w:ind w:right="360"/>
      <w:rPr>
        <w:rFonts w:hint="eastAsia" w:ascii="仿宋_GB2312" w:eastAsia="仿宋_GB2312"/>
        <w:b/>
        <w:i/>
        <w:szCs w:val="18"/>
      </w:rPr>
    </w:pPr>
    <w:r>
      <w:rPr>
        <w:rFonts w:ascii="仿宋_GB2312" w:eastAsia="仿宋_GB2312"/>
        <w:b/>
        <w:i/>
        <w:szCs w:val="18"/>
      </w:rP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left" w:pos="899"/>
        <w:tab w:val="clear" w:pos="4153"/>
        <w:tab w:val="clear" w:pos="8306"/>
      </w:tabs>
      <w:ind w:right="360"/>
      <w:rPr>
        <w:rFonts w:hint="eastAsia" w:ascii="仿宋_GB2312" w:eastAsia="仿宋_GB2312"/>
        <w:b/>
        <w:i/>
        <w:szCs w:val="18"/>
      </w:rPr>
    </w:pPr>
    <w:r>
      <w:rPr>
        <w:rFonts w:ascii="仿宋_GB2312" w:eastAsia="仿宋_GB2312"/>
        <w:b/>
        <w:i/>
        <w:szCs w:val="18"/>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left" w:pos="899"/>
        <w:tab w:val="clear" w:pos="4153"/>
        <w:tab w:val="clear" w:pos="8306"/>
      </w:tabs>
      <w:ind w:right="360"/>
      <w:rPr>
        <w:rFonts w:hint="default" w:ascii="仿宋_GB2312" w:eastAsia="仿宋_GB2312"/>
        <w:b/>
        <w:i/>
        <w:szCs w:val="18"/>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307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Zg/F84QEAAMEDAAAOAAAA&#10;AAAAAAEAIAAAAB4BAABkcnMvZTJvRG9jLnhtbFBLBQYAAAAABgAGAFkBAABxBQAAAAA=&#10;">
              <v:fill on="f" focussize="0,0"/>
              <v:stroke on="f"/>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51</w:t>
                    </w:r>
                    <w:r>
                      <w:rPr>
                        <w:rFonts w:hint="eastAsia"/>
                        <w:lang w:eastAsia="zh-CN"/>
                      </w:rPr>
                      <w:fldChar w:fldCharType="end"/>
                    </w:r>
                  </w:p>
                </w:txbxContent>
              </v:textbox>
            </v:shape>
          </w:pict>
        </mc:Fallback>
      </mc:AlternateContent>
    </w:r>
    <w:r>
      <w:rPr>
        <w:rFonts w:ascii="仿宋_GB2312" w:eastAsia="仿宋_GB2312"/>
        <w:b/>
        <w:i/>
        <w:szCs w:val="18"/>
      </w:rPr>
      <w:tab/>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left" w:pos="899"/>
        <w:tab w:val="clear" w:pos="4153"/>
        <w:tab w:val="clear" w:pos="8306"/>
      </w:tabs>
      <w:ind w:right="360"/>
      <w:rPr>
        <w:rFonts w:ascii="仿宋_GB2312" w:eastAsia="仿宋_GB2312"/>
        <w:b/>
        <w:i/>
      </w:rPr>
    </w:pPr>
    <w:r>
      <w:rPr>
        <w:rFonts w:ascii="仿宋_GB2312" w:eastAsia="仿宋_GB2312"/>
        <w:b/>
        <w:i/>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5570" cy="278765"/>
              <wp:effectExtent l="0" t="0" r="0" b="0"/>
              <wp:wrapNone/>
              <wp:docPr id="2" name="文本框 5"/>
              <wp:cNvGraphicFramePr/>
              <a:graphic xmlns:a="http://schemas.openxmlformats.org/drawingml/2006/main">
                <a:graphicData uri="http://schemas.microsoft.com/office/word/2010/wordprocessingShape">
                  <wps:wsp>
                    <wps:cNvSpPr txBox="1"/>
                    <wps:spPr>
                      <a:xfrm>
                        <a:off x="0" y="0"/>
                        <a:ext cx="115570" cy="278765"/>
                      </a:xfrm>
                      <a:prstGeom prst="rect">
                        <a:avLst/>
                      </a:prstGeom>
                      <a:noFill/>
                      <a:ln>
                        <a:noFill/>
                      </a:ln>
                    </wps:spPr>
                    <wps:txbx>
                      <w:txbxContent>
                        <w:p>
                          <w:pPr>
                            <w:pStyle w:val="30"/>
                            <w:jc w:val="center"/>
                          </w:pPr>
                          <w:r>
                            <w:fldChar w:fldCharType="begin"/>
                          </w:r>
                          <w:r>
                            <w:instrText xml:space="preserve">PAGE   \* MERGEFORMAT</w:instrText>
                          </w:r>
                          <w:r>
                            <w:fldChar w:fldCharType="separate"/>
                          </w:r>
                          <w:r>
                            <w:rPr>
                              <w:lang w:val="zh-CN"/>
                            </w:rPr>
                            <w:t>26</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21.95pt;width:9.1pt;mso-position-horizontal:center;mso-position-horizontal-relative:margin;mso-wrap-style:none;z-index:251660288;mso-width-relative:page;mso-height-relative:page;" filled="f" stroked="f" coordsize="21600,21600" o:gfxdata="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qWAzfRAAAAAwEAAA8AAAAAAAAAAQAgAAAAIgAAAGRycy9kb3du&#10;cmV2LnhtbFBLAQIUABQAAAAIAIdO4kAEgAvezQEAAJcDAAAOAAAAAAAAAAEAIAAAACABAABkcnMv&#10;ZTJvRG9jLnhtbFBLBQYAAAAABgAGAFkBAABfBQAAAAA=&#10;">
              <v:fill on="f" focussize="0,0"/>
              <v:stroke on="f"/>
              <v:imagedata o:title=""/>
              <o:lock v:ext="edit" aspectratio="f"/>
              <v:textbox inset="0mm,0mm,0mm,0mm" style="mso-fit-shape-to-text:t;">
                <w:txbxContent>
                  <w:p>
                    <w:pPr>
                      <w:pStyle w:val="30"/>
                      <w:jc w:val="center"/>
                    </w:pPr>
                    <w:r>
                      <w:fldChar w:fldCharType="begin"/>
                    </w:r>
                    <w:r>
                      <w:instrText xml:space="preserve">PAGE   \* MERGEFORMAT</w:instrText>
                    </w:r>
                    <w:r>
                      <w:fldChar w:fldCharType="separate"/>
                    </w:r>
                    <w:r>
                      <w:rPr>
                        <w:lang w:val="zh-CN"/>
                      </w:rPr>
                      <w:t>26</w:t>
                    </w:r>
                    <w:r>
                      <w:fldChar w:fldCharType="end"/>
                    </w:r>
                  </w:p>
                </w:txbxContent>
              </v:textbox>
            </v:shape>
          </w:pict>
        </mc:Fallback>
      </mc:AlternateContent>
    </w:r>
  </w:p>
  <w:p>
    <w:pPr>
      <w:pStyle w:val="3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left" w:pos="899"/>
        <w:tab w:val="clear" w:pos="4153"/>
        <w:tab w:val="clear" w:pos="8306"/>
      </w:tabs>
      <w:ind w:right="360"/>
      <w:rPr>
        <w:rFonts w:ascii="仿宋_GB2312" w:eastAsia="仿宋_GB2312"/>
        <w:b/>
        <w:i/>
      </w:rPr>
    </w:pPr>
    <w:r>
      <w:rPr>
        <w:rFonts w:ascii="仿宋_GB2312" w:eastAsia="仿宋_GB2312"/>
        <w:b/>
        <w:i/>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clear" w:pos="4153"/>
      </w:tabs>
      <w:ind w:right="-6"/>
      <w:jc w:val="center"/>
      <w:rPr>
        <w:rFonts w:ascii="仿宋_GB2312" w:eastAsia="仿宋_GB2312"/>
        <w:b/>
        <w:i/>
      </w:rPr>
    </w:pPr>
    <w:r>
      <w:rPr>
        <w:rFonts w:hint="eastAsia" w:ascii="仿宋_GB2312" w:eastAsia="仿宋_GB2312"/>
        <w:b/>
        <w:i/>
      </w:rPr>
      <w:t>28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left" w:pos="899"/>
        <w:tab w:val="clear" w:pos="4153"/>
        <w:tab w:val="clear" w:pos="8306"/>
      </w:tabs>
      <w:ind w:right="360"/>
      <w:rPr>
        <w:rFonts w:ascii="仿宋_GB2312" w:eastAsia="仿宋_GB2312"/>
        <w:b/>
        <w:i/>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wrap="none" lIns="0" tIns="0" rIns="0" bIns="0">
                      <a:spAutoFit/>
                    </wps:bodyPr>
                  </wps:wsp>
                </a:graphicData>
              </a:graphic>
            </wp:anchor>
          </w:drawing>
        </mc:Choice>
        <mc:Fallback>
          <w:pict>
            <v:shape id="文本框 513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GmCS9MAAAAFAQAADwAAAAAAAAABACAAAAAiAAAAZHJzL2Rv&#10;d25yZXYueG1sUEsBAhQAFAAAAAgAh07iQAgeL+TNAQAAmgMAAA4AAAAAAAAAAQAgAAAAIgEAAGRy&#10;cy9lMm9Eb2MueG1sUEsFBgAAAAAGAAYAWQEAAGEFAAAAAA==&#10;">
              <v:fill on="f" focussize="0,0"/>
              <v:stroke on="f" weight="1.25pt"/>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r>
      <w:rPr>
        <w:rFonts w:ascii="仿宋_GB2312" w:eastAsia="仿宋_GB2312"/>
        <w:b/>
        <w:i/>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center" w:pos="4677"/>
        <w:tab w:val="clear" w:pos="4153"/>
      </w:tabs>
      <w:ind w:right="-6"/>
      <w:rPr>
        <w:rFonts w:ascii="仿宋_GB2312" w:eastAsia="仿宋_GB2312"/>
        <w:b/>
        <w:i/>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513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GmCS9MAAAAFAQAADwAAAAAAAAABACAAAAAiAAAAZHJzL2Rv&#10;d25yZXYueG1sUEsBAhQAFAAAAAgAh07iQDoekiPNAQAAmgMAAA4AAAAAAAAAAQAgAAAAIgEAAGRy&#10;cy9lMm9Eb2MueG1sUEsFBgAAAAAGAAYAWQEAAGEFAAAAAA==&#10;">
              <v:fill on="f" focussize="0,0"/>
              <v:stroke on="f" weight="1.25pt"/>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left" w:pos="899"/>
        <w:tab w:val="clear" w:pos="4153"/>
        <w:tab w:val="clear" w:pos="8306"/>
      </w:tabs>
      <w:ind w:right="360"/>
      <w:rPr>
        <w:rFonts w:ascii="仿宋_GB2312" w:eastAsia="仿宋_GB2312"/>
        <w:b/>
        <w:i/>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t>84</w:t>
                          </w:r>
                          <w:r>
                            <w:rPr>
                              <w:rFonts w:hint="eastAsia"/>
                            </w:rPr>
                            <w:fldChar w:fldCharType="end"/>
                          </w:r>
                        </w:p>
                      </w:txbxContent>
                    </wps:txbx>
                    <wps:bodyPr wrap="none" lIns="0" tIns="0" rIns="0" bIns="0">
                      <a:spAutoFit/>
                    </wps:bodyPr>
                  </wps:wsp>
                </a:graphicData>
              </a:graphic>
            </wp:anchor>
          </w:drawing>
        </mc:Choice>
        <mc:Fallback>
          <w:pict>
            <v:shape id="文本框 513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GmCS9MAAAAFAQAADwAAAAAAAAABACAAAAAiAAAAZHJzL2Rv&#10;d25yZXYueG1sUEsBAhQAFAAAAAgAh07iQABHh77NAQAAmgMAAA4AAAAAAAAAAQAgAAAAIgEAAGRy&#10;cy9lMm9Eb2MueG1sUEsFBgAAAAAGAAYAWQEAAGEFAAAAAA==&#10;">
              <v:fill on="f" focussize="0,0"/>
              <v:stroke on="f" weight="1.25pt"/>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84</w:t>
                    </w:r>
                    <w:r>
                      <w:rPr>
                        <w:rFonts w:hint="eastAsia"/>
                      </w:rPr>
                      <w:fldChar w:fldCharType="end"/>
                    </w:r>
                  </w:p>
                </w:txbxContent>
              </v:textbox>
            </v:shape>
          </w:pict>
        </mc:Fallback>
      </mc:AlternateContent>
    </w:r>
    <w:r>
      <w:rPr>
        <w:rFonts w:ascii="仿宋_GB2312" w:eastAsia="仿宋_GB2312"/>
        <w:b/>
        <w:i/>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ind w:right="-82" w:rightChars="-39"/>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jc w:val="both"/>
      <w:rPr>
        <w:rFonts w:hint="eastAsia"/>
        <w:szCs w:val="1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single" w:color="auto" w:sz="6"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both"/>
      <w:rPr>
        <w:rFonts w:ascii="仿宋_GB2312" w:eastAsia="仿宋_GB2312"/>
        <w:b/>
        <w:i/>
        <w:sz w:val="21"/>
        <w:szCs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single" w:color="auto" w:sz="6" w:space="0"/>
      </w:pBdr>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single" w:color="auto" w:sz="6" w:space="0"/>
      </w:pBdr>
      <w:jc w:val="both"/>
      <w:rPr>
        <w:rFonts w:hint="eastAsia"/>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single" w:color="auto" w:sz="6" w:space="0"/>
      </w:pBdr>
      <w:jc w:val="both"/>
      <w:rPr>
        <w:rFonts w:hint="eastAsia"/>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3C52C7"/>
    <w:multiLevelType w:val="singleLevel"/>
    <w:tmpl w:val="883C52C7"/>
    <w:lvl w:ilvl="0" w:tentative="0">
      <w:start w:val="5"/>
      <w:numFmt w:val="chineseCounting"/>
      <w:suff w:val="space"/>
      <w:lvlText w:val="第%1章"/>
      <w:lvlJc w:val="left"/>
      <w:rPr>
        <w:rFonts w:hint="eastAsia"/>
      </w:rPr>
    </w:lvl>
  </w:abstractNum>
  <w:abstractNum w:abstractNumId="1">
    <w:nsid w:val="E6ED2771"/>
    <w:multiLevelType w:val="singleLevel"/>
    <w:tmpl w:val="E6ED2771"/>
    <w:lvl w:ilvl="0" w:tentative="0">
      <w:start w:val="1"/>
      <w:numFmt w:val="decimal"/>
      <w:suff w:val="nothing"/>
      <w:lvlText w:val="%1、"/>
      <w:lvlJc w:val="left"/>
    </w:lvl>
  </w:abstractNum>
  <w:abstractNum w:abstractNumId="2">
    <w:nsid w:val="EA74B308"/>
    <w:multiLevelType w:val="singleLevel"/>
    <w:tmpl w:val="EA74B308"/>
    <w:lvl w:ilvl="0" w:tentative="0">
      <w:start w:val="4"/>
      <w:numFmt w:val="chineseCounting"/>
      <w:suff w:val="nothing"/>
      <w:lvlText w:val="%1、"/>
      <w:lvlJc w:val="left"/>
      <w:rPr>
        <w:rFonts w:hint="eastAsia"/>
      </w:rPr>
    </w:lvl>
  </w:abstractNum>
  <w:abstractNum w:abstractNumId="3">
    <w:nsid w:val="0C383502"/>
    <w:multiLevelType w:val="singleLevel"/>
    <w:tmpl w:val="0C383502"/>
    <w:lvl w:ilvl="0" w:tentative="0">
      <w:start w:val="13"/>
      <w:numFmt w:val="decimal"/>
      <w:suff w:val="nothing"/>
      <w:lvlText w:val="%1、"/>
      <w:lvlJc w:val="left"/>
    </w:lvl>
  </w:abstractNum>
  <w:abstractNum w:abstractNumId="4">
    <w:nsid w:val="11B77DC6"/>
    <w:multiLevelType w:val="singleLevel"/>
    <w:tmpl w:val="11B77DC6"/>
    <w:lvl w:ilvl="0" w:tentative="0">
      <w:start w:val="2"/>
      <w:numFmt w:val="decimal"/>
      <w:lvlText w:val="%1."/>
      <w:lvlJc w:val="left"/>
      <w:pPr>
        <w:tabs>
          <w:tab w:val="left" w:pos="312"/>
        </w:tabs>
      </w:pPr>
    </w:lvl>
  </w:abstractNum>
  <w:abstractNum w:abstractNumId="5">
    <w:nsid w:val="24E409BB"/>
    <w:multiLevelType w:val="multilevel"/>
    <w:tmpl w:val="24E409BB"/>
    <w:lvl w:ilvl="0" w:tentative="0">
      <w:start w:val="1"/>
      <w:numFmt w:val="decimal"/>
      <w:pStyle w:val="75"/>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294424DF"/>
    <w:multiLevelType w:val="multilevel"/>
    <w:tmpl w:val="294424DF"/>
    <w:lvl w:ilvl="0" w:tentative="0">
      <w:start w:val="1"/>
      <w:numFmt w:val="chineseCountingThousand"/>
      <w:lvlText w:val="%1、"/>
      <w:lvlJc w:val="left"/>
      <w:pPr>
        <w:tabs>
          <w:tab w:val="left" w:pos="893"/>
        </w:tabs>
        <w:ind w:left="893" w:hanging="413"/>
      </w:pPr>
      <w:rPr>
        <w:rFonts w:cs="Times New Roman"/>
      </w:rPr>
    </w:lvl>
    <w:lvl w:ilvl="1" w:tentative="0">
      <w:start w:val="1"/>
      <w:numFmt w:val="lowerLetter"/>
      <w:pStyle w:val="190"/>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7">
    <w:nsid w:val="46987AA2"/>
    <w:multiLevelType w:val="multilevel"/>
    <w:tmpl w:val="46987AA2"/>
    <w:lvl w:ilvl="0" w:tentative="0">
      <w:start w:val="1"/>
      <w:numFmt w:val="decimal"/>
      <w:pStyle w:val="151"/>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69552D7"/>
    <w:multiLevelType w:val="singleLevel"/>
    <w:tmpl w:val="569552D7"/>
    <w:lvl w:ilvl="0" w:tentative="0">
      <w:start w:val="1"/>
      <w:numFmt w:val="decimal"/>
      <w:suff w:val="nothing"/>
      <w:lvlText w:val="%1、"/>
      <w:lvlJc w:val="left"/>
    </w:lvl>
  </w:abstractNum>
  <w:num w:numId="1">
    <w:abstractNumId w:val="5"/>
  </w:num>
  <w:num w:numId="2">
    <w:abstractNumId w:val="7"/>
  </w:num>
  <w:num w:numId="3">
    <w:abstractNumId w:val="6"/>
  </w:num>
  <w:num w:numId="4">
    <w:abstractNumId w:val="1"/>
  </w:num>
  <w:num w:numId="5">
    <w:abstractNumId w:val="0"/>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4ZGE2ZTI0MDUyMDYzMmFmMmNlNDdlOTlmOGRhOTQifQ=="/>
  </w:docVars>
  <w:rsids>
    <w:rsidRoot w:val="00172A27"/>
    <w:rsid w:val="0000022B"/>
    <w:rsid w:val="000002CE"/>
    <w:rsid w:val="00000685"/>
    <w:rsid w:val="00000B93"/>
    <w:rsid w:val="000012F9"/>
    <w:rsid w:val="000017CA"/>
    <w:rsid w:val="00002158"/>
    <w:rsid w:val="00002173"/>
    <w:rsid w:val="00002E2E"/>
    <w:rsid w:val="00003195"/>
    <w:rsid w:val="000039F2"/>
    <w:rsid w:val="00004FCD"/>
    <w:rsid w:val="00005167"/>
    <w:rsid w:val="00005D6C"/>
    <w:rsid w:val="00005F2F"/>
    <w:rsid w:val="0000640D"/>
    <w:rsid w:val="0001006F"/>
    <w:rsid w:val="00010D3E"/>
    <w:rsid w:val="00010E2F"/>
    <w:rsid w:val="00010F49"/>
    <w:rsid w:val="00011478"/>
    <w:rsid w:val="0001151E"/>
    <w:rsid w:val="00011C89"/>
    <w:rsid w:val="0001229E"/>
    <w:rsid w:val="00012934"/>
    <w:rsid w:val="00012CDE"/>
    <w:rsid w:val="00013303"/>
    <w:rsid w:val="0001367A"/>
    <w:rsid w:val="00013EA1"/>
    <w:rsid w:val="0001412A"/>
    <w:rsid w:val="00014CDC"/>
    <w:rsid w:val="000153FB"/>
    <w:rsid w:val="00015587"/>
    <w:rsid w:val="000155BE"/>
    <w:rsid w:val="00015750"/>
    <w:rsid w:val="00015A5C"/>
    <w:rsid w:val="00015C1F"/>
    <w:rsid w:val="0001658F"/>
    <w:rsid w:val="000166B6"/>
    <w:rsid w:val="00016DC7"/>
    <w:rsid w:val="000170A0"/>
    <w:rsid w:val="0001749B"/>
    <w:rsid w:val="000174C5"/>
    <w:rsid w:val="0001790E"/>
    <w:rsid w:val="00020CF9"/>
    <w:rsid w:val="0002118E"/>
    <w:rsid w:val="000211C9"/>
    <w:rsid w:val="0002220D"/>
    <w:rsid w:val="000225BF"/>
    <w:rsid w:val="000226BF"/>
    <w:rsid w:val="00022987"/>
    <w:rsid w:val="00023705"/>
    <w:rsid w:val="00023865"/>
    <w:rsid w:val="0002390D"/>
    <w:rsid w:val="000247DC"/>
    <w:rsid w:val="000253CD"/>
    <w:rsid w:val="00025C73"/>
    <w:rsid w:val="00027050"/>
    <w:rsid w:val="0002731F"/>
    <w:rsid w:val="0002754D"/>
    <w:rsid w:val="000276D8"/>
    <w:rsid w:val="00027B0F"/>
    <w:rsid w:val="00027CA3"/>
    <w:rsid w:val="00027FCB"/>
    <w:rsid w:val="0003019E"/>
    <w:rsid w:val="0003119A"/>
    <w:rsid w:val="00031920"/>
    <w:rsid w:val="00032514"/>
    <w:rsid w:val="0003291E"/>
    <w:rsid w:val="00032A18"/>
    <w:rsid w:val="00032C96"/>
    <w:rsid w:val="000336BA"/>
    <w:rsid w:val="00034A7B"/>
    <w:rsid w:val="00034E41"/>
    <w:rsid w:val="00034FB2"/>
    <w:rsid w:val="00035749"/>
    <w:rsid w:val="00035875"/>
    <w:rsid w:val="00035972"/>
    <w:rsid w:val="000361C9"/>
    <w:rsid w:val="00036D22"/>
    <w:rsid w:val="00036DB0"/>
    <w:rsid w:val="00036DB5"/>
    <w:rsid w:val="00036E1D"/>
    <w:rsid w:val="0003754E"/>
    <w:rsid w:val="000377EF"/>
    <w:rsid w:val="00037B47"/>
    <w:rsid w:val="000403A5"/>
    <w:rsid w:val="000403EE"/>
    <w:rsid w:val="00040453"/>
    <w:rsid w:val="00040AF0"/>
    <w:rsid w:val="000411A9"/>
    <w:rsid w:val="000415A2"/>
    <w:rsid w:val="00042388"/>
    <w:rsid w:val="000425E3"/>
    <w:rsid w:val="000428F2"/>
    <w:rsid w:val="00042B9E"/>
    <w:rsid w:val="00042DC9"/>
    <w:rsid w:val="00043251"/>
    <w:rsid w:val="000436A7"/>
    <w:rsid w:val="00043B4A"/>
    <w:rsid w:val="00043BAB"/>
    <w:rsid w:val="00043C90"/>
    <w:rsid w:val="000443EB"/>
    <w:rsid w:val="00044E73"/>
    <w:rsid w:val="00044F59"/>
    <w:rsid w:val="0004548D"/>
    <w:rsid w:val="000454DD"/>
    <w:rsid w:val="0004564E"/>
    <w:rsid w:val="0004648F"/>
    <w:rsid w:val="00046779"/>
    <w:rsid w:val="00046DE6"/>
    <w:rsid w:val="00047940"/>
    <w:rsid w:val="00047956"/>
    <w:rsid w:val="00047B7A"/>
    <w:rsid w:val="00047E38"/>
    <w:rsid w:val="00051796"/>
    <w:rsid w:val="0005243C"/>
    <w:rsid w:val="000524B2"/>
    <w:rsid w:val="00052E15"/>
    <w:rsid w:val="0005314D"/>
    <w:rsid w:val="00053812"/>
    <w:rsid w:val="00053C33"/>
    <w:rsid w:val="00053F6A"/>
    <w:rsid w:val="000540A7"/>
    <w:rsid w:val="0005441F"/>
    <w:rsid w:val="00054D4B"/>
    <w:rsid w:val="00054EC4"/>
    <w:rsid w:val="00056248"/>
    <w:rsid w:val="00056AE3"/>
    <w:rsid w:val="00056C4B"/>
    <w:rsid w:val="00057CFA"/>
    <w:rsid w:val="00060536"/>
    <w:rsid w:val="000607E0"/>
    <w:rsid w:val="00060C52"/>
    <w:rsid w:val="00060F83"/>
    <w:rsid w:val="00061300"/>
    <w:rsid w:val="00062839"/>
    <w:rsid w:val="0006285B"/>
    <w:rsid w:val="000629B1"/>
    <w:rsid w:val="00062BB5"/>
    <w:rsid w:val="00062CC1"/>
    <w:rsid w:val="00062CF4"/>
    <w:rsid w:val="00063CBA"/>
    <w:rsid w:val="00063E10"/>
    <w:rsid w:val="000651BD"/>
    <w:rsid w:val="000651DE"/>
    <w:rsid w:val="0006565B"/>
    <w:rsid w:val="0006581A"/>
    <w:rsid w:val="000658A3"/>
    <w:rsid w:val="000664B1"/>
    <w:rsid w:val="00066B81"/>
    <w:rsid w:val="000675D1"/>
    <w:rsid w:val="00067742"/>
    <w:rsid w:val="00067928"/>
    <w:rsid w:val="000679D0"/>
    <w:rsid w:val="0007008A"/>
    <w:rsid w:val="00070B35"/>
    <w:rsid w:val="00070C3D"/>
    <w:rsid w:val="00070EA7"/>
    <w:rsid w:val="000711EB"/>
    <w:rsid w:val="000722C5"/>
    <w:rsid w:val="00072B11"/>
    <w:rsid w:val="000733F7"/>
    <w:rsid w:val="00073A9F"/>
    <w:rsid w:val="00074442"/>
    <w:rsid w:val="00074D0A"/>
    <w:rsid w:val="00075A16"/>
    <w:rsid w:val="00075B5C"/>
    <w:rsid w:val="00075C29"/>
    <w:rsid w:val="00075C90"/>
    <w:rsid w:val="00075DB6"/>
    <w:rsid w:val="00076D6D"/>
    <w:rsid w:val="00077040"/>
    <w:rsid w:val="00077C06"/>
    <w:rsid w:val="000805A3"/>
    <w:rsid w:val="00081568"/>
    <w:rsid w:val="000815C8"/>
    <w:rsid w:val="000816E5"/>
    <w:rsid w:val="00081E25"/>
    <w:rsid w:val="000835A8"/>
    <w:rsid w:val="000835D0"/>
    <w:rsid w:val="00083F94"/>
    <w:rsid w:val="00084490"/>
    <w:rsid w:val="00084EEF"/>
    <w:rsid w:val="0008548E"/>
    <w:rsid w:val="00085DD7"/>
    <w:rsid w:val="00085E2E"/>
    <w:rsid w:val="00085F2D"/>
    <w:rsid w:val="00086E68"/>
    <w:rsid w:val="00087941"/>
    <w:rsid w:val="00087EB3"/>
    <w:rsid w:val="0009031A"/>
    <w:rsid w:val="00090AD0"/>
    <w:rsid w:val="00091A7C"/>
    <w:rsid w:val="00091B1E"/>
    <w:rsid w:val="0009244B"/>
    <w:rsid w:val="00092623"/>
    <w:rsid w:val="00093228"/>
    <w:rsid w:val="00094DA6"/>
    <w:rsid w:val="0009521D"/>
    <w:rsid w:val="000958A3"/>
    <w:rsid w:val="00095A71"/>
    <w:rsid w:val="00095DAA"/>
    <w:rsid w:val="00096252"/>
    <w:rsid w:val="00096356"/>
    <w:rsid w:val="0009666B"/>
    <w:rsid w:val="00096941"/>
    <w:rsid w:val="00096998"/>
    <w:rsid w:val="00096B1F"/>
    <w:rsid w:val="0009714B"/>
    <w:rsid w:val="00097379"/>
    <w:rsid w:val="000975C3"/>
    <w:rsid w:val="000976AB"/>
    <w:rsid w:val="000A09F1"/>
    <w:rsid w:val="000A0A84"/>
    <w:rsid w:val="000A0B23"/>
    <w:rsid w:val="000A1134"/>
    <w:rsid w:val="000A11C6"/>
    <w:rsid w:val="000A25B6"/>
    <w:rsid w:val="000A2A55"/>
    <w:rsid w:val="000A3369"/>
    <w:rsid w:val="000A3457"/>
    <w:rsid w:val="000A4671"/>
    <w:rsid w:val="000A4CBC"/>
    <w:rsid w:val="000A553E"/>
    <w:rsid w:val="000A577D"/>
    <w:rsid w:val="000A6C5F"/>
    <w:rsid w:val="000A6DE1"/>
    <w:rsid w:val="000A721C"/>
    <w:rsid w:val="000A7435"/>
    <w:rsid w:val="000A7A59"/>
    <w:rsid w:val="000B0383"/>
    <w:rsid w:val="000B0454"/>
    <w:rsid w:val="000B107C"/>
    <w:rsid w:val="000B10DC"/>
    <w:rsid w:val="000B1B99"/>
    <w:rsid w:val="000B23A1"/>
    <w:rsid w:val="000B25A0"/>
    <w:rsid w:val="000B2990"/>
    <w:rsid w:val="000B2BBE"/>
    <w:rsid w:val="000B2D05"/>
    <w:rsid w:val="000B36A1"/>
    <w:rsid w:val="000B37AD"/>
    <w:rsid w:val="000B3EEF"/>
    <w:rsid w:val="000B426D"/>
    <w:rsid w:val="000B521E"/>
    <w:rsid w:val="000B5821"/>
    <w:rsid w:val="000B5A30"/>
    <w:rsid w:val="000B6078"/>
    <w:rsid w:val="000B6466"/>
    <w:rsid w:val="000B749E"/>
    <w:rsid w:val="000C02AE"/>
    <w:rsid w:val="000C08A5"/>
    <w:rsid w:val="000C0B7C"/>
    <w:rsid w:val="000C0C40"/>
    <w:rsid w:val="000C0D7B"/>
    <w:rsid w:val="000C1035"/>
    <w:rsid w:val="000C1C73"/>
    <w:rsid w:val="000C1CF2"/>
    <w:rsid w:val="000C1ECD"/>
    <w:rsid w:val="000C2374"/>
    <w:rsid w:val="000C23E5"/>
    <w:rsid w:val="000C26FE"/>
    <w:rsid w:val="000C2A35"/>
    <w:rsid w:val="000C3020"/>
    <w:rsid w:val="000C3961"/>
    <w:rsid w:val="000C3A92"/>
    <w:rsid w:val="000C44A1"/>
    <w:rsid w:val="000C526B"/>
    <w:rsid w:val="000C59B4"/>
    <w:rsid w:val="000C63F6"/>
    <w:rsid w:val="000C6A29"/>
    <w:rsid w:val="000C71A7"/>
    <w:rsid w:val="000C72D0"/>
    <w:rsid w:val="000C78B7"/>
    <w:rsid w:val="000C7EA8"/>
    <w:rsid w:val="000C7EB3"/>
    <w:rsid w:val="000D00B1"/>
    <w:rsid w:val="000D00BF"/>
    <w:rsid w:val="000D048E"/>
    <w:rsid w:val="000D080D"/>
    <w:rsid w:val="000D15C6"/>
    <w:rsid w:val="000D1AA9"/>
    <w:rsid w:val="000D20DD"/>
    <w:rsid w:val="000D21BA"/>
    <w:rsid w:val="000D2371"/>
    <w:rsid w:val="000D29E3"/>
    <w:rsid w:val="000D34C7"/>
    <w:rsid w:val="000D3BDE"/>
    <w:rsid w:val="000D3CDA"/>
    <w:rsid w:val="000D50BC"/>
    <w:rsid w:val="000D5122"/>
    <w:rsid w:val="000D5ADF"/>
    <w:rsid w:val="000D5EE9"/>
    <w:rsid w:val="000D5F2E"/>
    <w:rsid w:val="000D683C"/>
    <w:rsid w:val="000D6FFB"/>
    <w:rsid w:val="000D71C0"/>
    <w:rsid w:val="000D73E2"/>
    <w:rsid w:val="000D7B50"/>
    <w:rsid w:val="000D7DF3"/>
    <w:rsid w:val="000E0357"/>
    <w:rsid w:val="000E0E69"/>
    <w:rsid w:val="000E1AC6"/>
    <w:rsid w:val="000E1F64"/>
    <w:rsid w:val="000E1FF8"/>
    <w:rsid w:val="000E23F0"/>
    <w:rsid w:val="000E2C07"/>
    <w:rsid w:val="000E2E99"/>
    <w:rsid w:val="000E3313"/>
    <w:rsid w:val="000E3335"/>
    <w:rsid w:val="000E4B89"/>
    <w:rsid w:val="000E5A27"/>
    <w:rsid w:val="000E60C1"/>
    <w:rsid w:val="000E650B"/>
    <w:rsid w:val="000E6F9A"/>
    <w:rsid w:val="000F05ED"/>
    <w:rsid w:val="000F1AF8"/>
    <w:rsid w:val="000F1F95"/>
    <w:rsid w:val="000F21BB"/>
    <w:rsid w:val="000F2C4A"/>
    <w:rsid w:val="000F33E3"/>
    <w:rsid w:val="000F3414"/>
    <w:rsid w:val="000F3D41"/>
    <w:rsid w:val="000F3F69"/>
    <w:rsid w:val="000F495B"/>
    <w:rsid w:val="000F55E9"/>
    <w:rsid w:val="000F5812"/>
    <w:rsid w:val="000F5AC2"/>
    <w:rsid w:val="000F5FFC"/>
    <w:rsid w:val="000F6082"/>
    <w:rsid w:val="000F6975"/>
    <w:rsid w:val="000F6AA7"/>
    <w:rsid w:val="000F77ED"/>
    <w:rsid w:val="000F7853"/>
    <w:rsid w:val="000F7880"/>
    <w:rsid w:val="000F78BD"/>
    <w:rsid w:val="001000C9"/>
    <w:rsid w:val="001002E4"/>
    <w:rsid w:val="001007D3"/>
    <w:rsid w:val="001008A5"/>
    <w:rsid w:val="00100C3B"/>
    <w:rsid w:val="00101736"/>
    <w:rsid w:val="00101EE8"/>
    <w:rsid w:val="001020E5"/>
    <w:rsid w:val="00102679"/>
    <w:rsid w:val="00102A12"/>
    <w:rsid w:val="00102B86"/>
    <w:rsid w:val="00102C7A"/>
    <w:rsid w:val="00103AED"/>
    <w:rsid w:val="00103C82"/>
    <w:rsid w:val="0010407A"/>
    <w:rsid w:val="00104EF5"/>
    <w:rsid w:val="0010567F"/>
    <w:rsid w:val="00105760"/>
    <w:rsid w:val="00106632"/>
    <w:rsid w:val="00106BC4"/>
    <w:rsid w:val="00107D40"/>
    <w:rsid w:val="0011047F"/>
    <w:rsid w:val="001107DC"/>
    <w:rsid w:val="00110AC0"/>
    <w:rsid w:val="0011341D"/>
    <w:rsid w:val="001140D5"/>
    <w:rsid w:val="0011476A"/>
    <w:rsid w:val="001148C0"/>
    <w:rsid w:val="00114968"/>
    <w:rsid w:val="00114D67"/>
    <w:rsid w:val="001153CF"/>
    <w:rsid w:val="0011551C"/>
    <w:rsid w:val="00115695"/>
    <w:rsid w:val="00115BB1"/>
    <w:rsid w:val="00116794"/>
    <w:rsid w:val="0011728A"/>
    <w:rsid w:val="001177A7"/>
    <w:rsid w:val="00117F2A"/>
    <w:rsid w:val="00120980"/>
    <w:rsid w:val="00120E06"/>
    <w:rsid w:val="00121127"/>
    <w:rsid w:val="00121842"/>
    <w:rsid w:val="00121CCB"/>
    <w:rsid w:val="00121D08"/>
    <w:rsid w:val="00121E0D"/>
    <w:rsid w:val="00122028"/>
    <w:rsid w:val="0012255C"/>
    <w:rsid w:val="001229BB"/>
    <w:rsid w:val="00122D60"/>
    <w:rsid w:val="00122E86"/>
    <w:rsid w:val="00123508"/>
    <w:rsid w:val="001244D4"/>
    <w:rsid w:val="00124B2F"/>
    <w:rsid w:val="00124F64"/>
    <w:rsid w:val="001250E4"/>
    <w:rsid w:val="001255AD"/>
    <w:rsid w:val="00126166"/>
    <w:rsid w:val="0012655C"/>
    <w:rsid w:val="00126A18"/>
    <w:rsid w:val="00126BEE"/>
    <w:rsid w:val="00126E91"/>
    <w:rsid w:val="001274CF"/>
    <w:rsid w:val="00127DF7"/>
    <w:rsid w:val="001300F1"/>
    <w:rsid w:val="00130212"/>
    <w:rsid w:val="00130C2F"/>
    <w:rsid w:val="0013122D"/>
    <w:rsid w:val="001317A7"/>
    <w:rsid w:val="00131C2C"/>
    <w:rsid w:val="00131FEB"/>
    <w:rsid w:val="0013201C"/>
    <w:rsid w:val="001332E2"/>
    <w:rsid w:val="0013386C"/>
    <w:rsid w:val="00133E51"/>
    <w:rsid w:val="0013488C"/>
    <w:rsid w:val="001348F0"/>
    <w:rsid w:val="00135197"/>
    <w:rsid w:val="0013522C"/>
    <w:rsid w:val="001356BD"/>
    <w:rsid w:val="001357D2"/>
    <w:rsid w:val="001360F2"/>
    <w:rsid w:val="0013629A"/>
    <w:rsid w:val="00136572"/>
    <w:rsid w:val="001369CD"/>
    <w:rsid w:val="00136CC3"/>
    <w:rsid w:val="001371B7"/>
    <w:rsid w:val="00137BF7"/>
    <w:rsid w:val="00137D02"/>
    <w:rsid w:val="00140D3C"/>
    <w:rsid w:val="00141171"/>
    <w:rsid w:val="00141421"/>
    <w:rsid w:val="0014173A"/>
    <w:rsid w:val="00141F23"/>
    <w:rsid w:val="0014244B"/>
    <w:rsid w:val="0014270E"/>
    <w:rsid w:val="00142B17"/>
    <w:rsid w:val="00142E67"/>
    <w:rsid w:val="00143196"/>
    <w:rsid w:val="00143A7E"/>
    <w:rsid w:val="00143E3B"/>
    <w:rsid w:val="0014405D"/>
    <w:rsid w:val="00144316"/>
    <w:rsid w:val="001443BC"/>
    <w:rsid w:val="00144A8C"/>
    <w:rsid w:val="00144C8D"/>
    <w:rsid w:val="00144C8E"/>
    <w:rsid w:val="00145163"/>
    <w:rsid w:val="0014530A"/>
    <w:rsid w:val="00145EC3"/>
    <w:rsid w:val="00145F94"/>
    <w:rsid w:val="0014649A"/>
    <w:rsid w:val="0014680A"/>
    <w:rsid w:val="00146B20"/>
    <w:rsid w:val="00146E7D"/>
    <w:rsid w:val="00146E8D"/>
    <w:rsid w:val="00147365"/>
    <w:rsid w:val="00147AA5"/>
    <w:rsid w:val="00150F49"/>
    <w:rsid w:val="00150FE9"/>
    <w:rsid w:val="0015146F"/>
    <w:rsid w:val="001519E9"/>
    <w:rsid w:val="00151DFE"/>
    <w:rsid w:val="00152395"/>
    <w:rsid w:val="00152579"/>
    <w:rsid w:val="00153487"/>
    <w:rsid w:val="001535D0"/>
    <w:rsid w:val="0015384A"/>
    <w:rsid w:val="00153BBE"/>
    <w:rsid w:val="00153C19"/>
    <w:rsid w:val="00154132"/>
    <w:rsid w:val="001543DD"/>
    <w:rsid w:val="00154823"/>
    <w:rsid w:val="00154E78"/>
    <w:rsid w:val="00155431"/>
    <w:rsid w:val="00155AEC"/>
    <w:rsid w:val="0015652D"/>
    <w:rsid w:val="0015694A"/>
    <w:rsid w:val="00156AA3"/>
    <w:rsid w:val="0015703B"/>
    <w:rsid w:val="00157A88"/>
    <w:rsid w:val="0016042D"/>
    <w:rsid w:val="00160B76"/>
    <w:rsid w:val="0016118A"/>
    <w:rsid w:val="0016196B"/>
    <w:rsid w:val="00161AA2"/>
    <w:rsid w:val="0016279F"/>
    <w:rsid w:val="001630AC"/>
    <w:rsid w:val="00163233"/>
    <w:rsid w:val="00163B4D"/>
    <w:rsid w:val="00163D30"/>
    <w:rsid w:val="00163D62"/>
    <w:rsid w:val="001642D0"/>
    <w:rsid w:val="00164DBB"/>
    <w:rsid w:val="0016512D"/>
    <w:rsid w:val="001661D9"/>
    <w:rsid w:val="00166611"/>
    <w:rsid w:val="00166FCC"/>
    <w:rsid w:val="00167554"/>
    <w:rsid w:val="001703CD"/>
    <w:rsid w:val="00170B58"/>
    <w:rsid w:val="00170B92"/>
    <w:rsid w:val="00171B6F"/>
    <w:rsid w:val="00172054"/>
    <w:rsid w:val="0017238B"/>
    <w:rsid w:val="001728FE"/>
    <w:rsid w:val="00172949"/>
    <w:rsid w:val="00172A27"/>
    <w:rsid w:val="0017340A"/>
    <w:rsid w:val="00174599"/>
    <w:rsid w:val="00174C60"/>
    <w:rsid w:val="00175AD9"/>
    <w:rsid w:val="0017688B"/>
    <w:rsid w:val="00177836"/>
    <w:rsid w:val="00177BE6"/>
    <w:rsid w:val="00180CB3"/>
    <w:rsid w:val="00180D7B"/>
    <w:rsid w:val="00181798"/>
    <w:rsid w:val="00181E0A"/>
    <w:rsid w:val="00182F53"/>
    <w:rsid w:val="0018308D"/>
    <w:rsid w:val="00184111"/>
    <w:rsid w:val="0018421C"/>
    <w:rsid w:val="00184CA7"/>
    <w:rsid w:val="001857F7"/>
    <w:rsid w:val="00185E1E"/>
    <w:rsid w:val="00185F11"/>
    <w:rsid w:val="0018682B"/>
    <w:rsid w:val="00186A30"/>
    <w:rsid w:val="00186E80"/>
    <w:rsid w:val="00187E98"/>
    <w:rsid w:val="00190A41"/>
    <w:rsid w:val="00191BE5"/>
    <w:rsid w:val="001922FB"/>
    <w:rsid w:val="00192941"/>
    <w:rsid w:val="00192E0E"/>
    <w:rsid w:val="00192E45"/>
    <w:rsid w:val="001930CB"/>
    <w:rsid w:val="00193269"/>
    <w:rsid w:val="0019353A"/>
    <w:rsid w:val="00193B9C"/>
    <w:rsid w:val="00194524"/>
    <w:rsid w:val="00194E94"/>
    <w:rsid w:val="0019547D"/>
    <w:rsid w:val="00196246"/>
    <w:rsid w:val="00196471"/>
    <w:rsid w:val="0019664F"/>
    <w:rsid w:val="00196E02"/>
    <w:rsid w:val="00196ED5"/>
    <w:rsid w:val="00197CB5"/>
    <w:rsid w:val="001A1854"/>
    <w:rsid w:val="001A1B7A"/>
    <w:rsid w:val="001A1C57"/>
    <w:rsid w:val="001A1F5E"/>
    <w:rsid w:val="001A3493"/>
    <w:rsid w:val="001A3932"/>
    <w:rsid w:val="001A397A"/>
    <w:rsid w:val="001A3BFA"/>
    <w:rsid w:val="001A42A2"/>
    <w:rsid w:val="001A4494"/>
    <w:rsid w:val="001A4736"/>
    <w:rsid w:val="001A51C1"/>
    <w:rsid w:val="001A6062"/>
    <w:rsid w:val="001A64D9"/>
    <w:rsid w:val="001A688D"/>
    <w:rsid w:val="001A6E2A"/>
    <w:rsid w:val="001A73ED"/>
    <w:rsid w:val="001A7739"/>
    <w:rsid w:val="001A7E66"/>
    <w:rsid w:val="001B0481"/>
    <w:rsid w:val="001B0539"/>
    <w:rsid w:val="001B06D1"/>
    <w:rsid w:val="001B0DC9"/>
    <w:rsid w:val="001B0EE0"/>
    <w:rsid w:val="001B1CAB"/>
    <w:rsid w:val="001B2BB2"/>
    <w:rsid w:val="001B2BFF"/>
    <w:rsid w:val="001B347B"/>
    <w:rsid w:val="001B3B74"/>
    <w:rsid w:val="001B4EE5"/>
    <w:rsid w:val="001B5044"/>
    <w:rsid w:val="001B563F"/>
    <w:rsid w:val="001B5DA3"/>
    <w:rsid w:val="001B5F62"/>
    <w:rsid w:val="001B61D2"/>
    <w:rsid w:val="001B62CA"/>
    <w:rsid w:val="001B643A"/>
    <w:rsid w:val="001B6A09"/>
    <w:rsid w:val="001B6BDA"/>
    <w:rsid w:val="001B6C2D"/>
    <w:rsid w:val="001B6D58"/>
    <w:rsid w:val="001B70D5"/>
    <w:rsid w:val="001B760B"/>
    <w:rsid w:val="001B77C2"/>
    <w:rsid w:val="001C0603"/>
    <w:rsid w:val="001C09D4"/>
    <w:rsid w:val="001C1080"/>
    <w:rsid w:val="001C209E"/>
    <w:rsid w:val="001C21A9"/>
    <w:rsid w:val="001C2461"/>
    <w:rsid w:val="001C2465"/>
    <w:rsid w:val="001C2D80"/>
    <w:rsid w:val="001C3493"/>
    <w:rsid w:val="001C3C92"/>
    <w:rsid w:val="001C485B"/>
    <w:rsid w:val="001C4EEA"/>
    <w:rsid w:val="001C53CC"/>
    <w:rsid w:val="001C540C"/>
    <w:rsid w:val="001C5A8C"/>
    <w:rsid w:val="001C5E47"/>
    <w:rsid w:val="001C633D"/>
    <w:rsid w:val="001C65C3"/>
    <w:rsid w:val="001C74EA"/>
    <w:rsid w:val="001C79A4"/>
    <w:rsid w:val="001D003F"/>
    <w:rsid w:val="001D1846"/>
    <w:rsid w:val="001D1AC9"/>
    <w:rsid w:val="001D2450"/>
    <w:rsid w:val="001D2938"/>
    <w:rsid w:val="001D323E"/>
    <w:rsid w:val="001D333A"/>
    <w:rsid w:val="001D3E3A"/>
    <w:rsid w:val="001D3EEC"/>
    <w:rsid w:val="001D3EEE"/>
    <w:rsid w:val="001D4178"/>
    <w:rsid w:val="001D4235"/>
    <w:rsid w:val="001D430C"/>
    <w:rsid w:val="001D513E"/>
    <w:rsid w:val="001D52EA"/>
    <w:rsid w:val="001D57AA"/>
    <w:rsid w:val="001D5FEE"/>
    <w:rsid w:val="001D6246"/>
    <w:rsid w:val="001D628D"/>
    <w:rsid w:val="001D64D4"/>
    <w:rsid w:val="001D64ED"/>
    <w:rsid w:val="001D72F7"/>
    <w:rsid w:val="001D7934"/>
    <w:rsid w:val="001D79CF"/>
    <w:rsid w:val="001E05BB"/>
    <w:rsid w:val="001E0821"/>
    <w:rsid w:val="001E15D2"/>
    <w:rsid w:val="001E208C"/>
    <w:rsid w:val="001E2910"/>
    <w:rsid w:val="001E2C6A"/>
    <w:rsid w:val="001E2DE0"/>
    <w:rsid w:val="001E3506"/>
    <w:rsid w:val="001E3740"/>
    <w:rsid w:val="001E4290"/>
    <w:rsid w:val="001E4649"/>
    <w:rsid w:val="001E48DD"/>
    <w:rsid w:val="001E49DE"/>
    <w:rsid w:val="001E566B"/>
    <w:rsid w:val="001E5C47"/>
    <w:rsid w:val="001E5FED"/>
    <w:rsid w:val="001E723B"/>
    <w:rsid w:val="001E7460"/>
    <w:rsid w:val="001E79C1"/>
    <w:rsid w:val="001F0356"/>
    <w:rsid w:val="001F06A4"/>
    <w:rsid w:val="001F0835"/>
    <w:rsid w:val="001F0B0B"/>
    <w:rsid w:val="001F104F"/>
    <w:rsid w:val="001F1089"/>
    <w:rsid w:val="001F15B1"/>
    <w:rsid w:val="001F17A3"/>
    <w:rsid w:val="001F1BD3"/>
    <w:rsid w:val="001F2789"/>
    <w:rsid w:val="001F2840"/>
    <w:rsid w:val="001F2C63"/>
    <w:rsid w:val="001F305A"/>
    <w:rsid w:val="001F381B"/>
    <w:rsid w:val="001F3984"/>
    <w:rsid w:val="001F3CC2"/>
    <w:rsid w:val="001F449A"/>
    <w:rsid w:val="001F4F0B"/>
    <w:rsid w:val="001F5B3A"/>
    <w:rsid w:val="001F5DB6"/>
    <w:rsid w:val="001F63F4"/>
    <w:rsid w:val="001F6DC7"/>
    <w:rsid w:val="0020016C"/>
    <w:rsid w:val="00200360"/>
    <w:rsid w:val="0020095F"/>
    <w:rsid w:val="00200F78"/>
    <w:rsid w:val="00200F7E"/>
    <w:rsid w:val="00201226"/>
    <w:rsid w:val="00201547"/>
    <w:rsid w:val="00201951"/>
    <w:rsid w:val="0020286B"/>
    <w:rsid w:val="00202E45"/>
    <w:rsid w:val="002034C2"/>
    <w:rsid w:val="00203869"/>
    <w:rsid w:val="00203E28"/>
    <w:rsid w:val="00204B56"/>
    <w:rsid w:val="00205077"/>
    <w:rsid w:val="00205095"/>
    <w:rsid w:val="00205B75"/>
    <w:rsid w:val="00207439"/>
    <w:rsid w:val="0020767D"/>
    <w:rsid w:val="0020783A"/>
    <w:rsid w:val="002109E1"/>
    <w:rsid w:val="0021113D"/>
    <w:rsid w:val="00211955"/>
    <w:rsid w:val="0021216A"/>
    <w:rsid w:val="00212189"/>
    <w:rsid w:val="00214A67"/>
    <w:rsid w:val="00214ECD"/>
    <w:rsid w:val="00216173"/>
    <w:rsid w:val="0021657A"/>
    <w:rsid w:val="00216701"/>
    <w:rsid w:val="00216EB5"/>
    <w:rsid w:val="002171FC"/>
    <w:rsid w:val="00217845"/>
    <w:rsid w:val="00217AB7"/>
    <w:rsid w:val="00217ACB"/>
    <w:rsid w:val="00217F2F"/>
    <w:rsid w:val="00220046"/>
    <w:rsid w:val="00220738"/>
    <w:rsid w:val="002218ED"/>
    <w:rsid w:val="00221DD1"/>
    <w:rsid w:val="00222444"/>
    <w:rsid w:val="00223437"/>
    <w:rsid w:val="00223E3C"/>
    <w:rsid w:val="002251D5"/>
    <w:rsid w:val="002259C0"/>
    <w:rsid w:val="00225D86"/>
    <w:rsid w:val="00225DEE"/>
    <w:rsid w:val="00226A10"/>
    <w:rsid w:val="00226A74"/>
    <w:rsid w:val="00226F13"/>
    <w:rsid w:val="00227044"/>
    <w:rsid w:val="00227089"/>
    <w:rsid w:val="00227DEC"/>
    <w:rsid w:val="00230B66"/>
    <w:rsid w:val="00230CA3"/>
    <w:rsid w:val="00230F89"/>
    <w:rsid w:val="0023179B"/>
    <w:rsid w:val="00231D52"/>
    <w:rsid w:val="002321E0"/>
    <w:rsid w:val="00232261"/>
    <w:rsid w:val="0023273E"/>
    <w:rsid w:val="00232817"/>
    <w:rsid w:val="00233173"/>
    <w:rsid w:val="002339D6"/>
    <w:rsid w:val="00233CB3"/>
    <w:rsid w:val="00234404"/>
    <w:rsid w:val="0023466D"/>
    <w:rsid w:val="00234DB4"/>
    <w:rsid w:val="002356B2"/>
    <w:rsid w:val="0023621D"/>
    <w:rsid w:val="00236532"/>
    <w:rsid w:val="00236875"/>
    <w:rsid w:val="00236AC0"/>
    <w:rsid w:val="00236B90"/>
    <w:rsid w:val="00237058"/>
    <w:rsid w:val="002370F0"/>
    <w:rsid w:val="002375DA"/>
    <w:rsid w:val="002400FD"/>
    <w:rsid w:val="00240139"/>
    <w:rsid w:val="00240860"/>
    <w:rsid w:val="00240B56"/>
    <w:rsid w:val="00240E63"/>
    <w:rsid w:val="002419CE"/>
    <w:rsid w:val="00241B5F"/>
    <w:rsid w:val="00243037"/>
    <w:rsid w:val="00243077"/>
    <w:rsid w:val="00243E2E"/>
    <w:rsid w:val="002443C5"/>
    <w:rsid w:val="00244D22"/>
    <w:rsid w:val="00244E2F"/>
    <w:rsid w:val="00245C3F"/>
    <w:rsid w:val="00245D70"/>
    <w:rsid w:val="00245F43"/>
    <w:rsid w:val="0024649F"/>
    <w:rsid w:val="00246855"/>
    <w:rsid w:val="00246DB5"/>
    <w:rsid w:val="002473AA"/>
    <w:rsid w:val="00247ABC"/>
    <w:rsid w:val="00247BE5"/>
    <w:rsid w:val="00247C10"/>
    <w:rsid w:val="00247D73"/>
    <w:rsid w:val="00250134"/>
    <w:rsid w:val="002507CF"/>
    <w:rsid w:val="00250AF7"/>
    <w:rsid w:val="00250BB5"/>
    <w:rsid w:val="00251552"/>
    <w:rsid w:val="00251ADE"/>
    <w:rsid w:val="00251CCD"/>
    <w:rsid w:val="00252072"/>
    <w:rsid w:val="00252EBA"/>
    <w:rsid w:val="00253A75"/>
    <w:rsid w:val="0025467E"/>
    <w:rsid w:val="002546E2"/>
    <w:rsid w:val="00255587"/>
    <w:rsid w:val="00255916"/>
    <w:rsid w:val="00256B46"/>
    <w:rsid w:val="00256BD3"/>
    <w:rsid w:val="00257AEA"/>
    <w:rsid w:val="00257CF1"/>
    <w:rsid w:val="0026079B"/>
    <w:rsid w:val="00260B55"/>
    <w:rsid w:val="00261C3A"/>
    <w:rsid w:val="002621C9"/>
    <w:rsid w:val="00262719"/>
    <w:rsid w:val="00262D8B"/>
    <w:rsid w:val="00263081"/>
    <w:rsid w:val="0026336B"/>
    <w:rsid w:val="002633CC"/>
    <w:rsid w:val="002637CC"/>
    <w:rsid w:val="0026392A"/>
    <w:rsid w:val="00263949"/>
    <w:rsid w:val="00263982"/>
    <w:rsid w:val="0026425B"/>
    <w:rsid w:val="0026489D"/>
    <w:rsid w:val="00265646"/>
    <w:rsid w:val="00265B9F"/>
    <w:rsid w:val="00265D61"/>
    <w:rsid w:val="00265F20"/>
    <w:rsid w:val="00266117"/>
    <w:rsid w:val="00266F8D"/>
    <w:rsid w:val="00267502"/>
    <w:rsid w:val="00267699"/>
    <w:rsid w:val="00267C61"/>
    <w:rsid w:val="00267F21"/>
    <w:rsid w:val="0027059C"/>
    <w:rsid w:val="00270BE0"/>
    <w:rsid w:val="002716DA"/>
    <w:rsid w:val="002741D6"/>
    <w:rsid w:val="002750B5"/>
    <w:rsid w:val="0027568A"/>
    <w:rsid w:val="00275AD1"/>
    <w:rsid w:val="00276828"/>
    <w:rsid w:val="0027733D"/>
    <w:rsid w:val="002774FF"/>
    <w:rsid w:val="002777FE"/>
    <w:rsid w:val="002779DA"/>
    <w:rsid w:val="00277CEA"/>
    <w:rsid w:val="0028022B"/>
    <w:rsid w:val="002806FA"/>
    <w:rsid w:val="00281005"/>
    <w:rsid w:val="002815E7"/>
    <w:rsid w:val="002816B1"/>
    <w:rsid w:val="00281D3C"/>
    <w:rsid w:val="0028207E"/>
    <w:rsid w:val="00282DA4"/>
    <w:rsid w:val="002836EB"/>
    <w:rsid w:val="00283A8C"/>
    <w:rsid w:val="00284653"/>
    <w:rsid w:val="002846AE"/>
    <w:rsid w:val="00284820"/>
    <w:rsid w:val="00284D0C"/>
    <w:rsid w:val="00285284"/>
    <w:rsid w:val="002862F2"/>
    <w:rsid w:val="00286933"/>
    <w:rsid w:val="00286CAB"/>
    <w:rsid w:val="002907B5"/>
    <w:rsid w:val="00291923"/>
    <w:rsid w:val="00291D79"/>
    <w:rsid w:val="0029255D"/>
    <w:rsid w:val="00292A6D"/>
    <w:rsid w:val="00292B25"/>
    <w:rsid w:val="00292DDF"/>
    <w:rsid w:val="00292EE5"/>
    <w:rsid w:val="002934A2"/>
    <w:rsid w:val="002937CF"/>
    <w:rsid w:val="00293BAF"/>
    <w:rsid w:val="00294254"/>
    <w:rsid w:val="0029460C"/>
    <w:rsid w:val="00294A38"/>
    <w:rsid w:val="00295401"/>
    <w:rsid w:val="00295EA9"/>
    <w:rsid w:val="002961C8"/>
    <w:rsid w:val="00296797"/>
    <w:rsid w:val="00296D71"/>
    <w:rsid w:val="002975F8"/>
    <w:rsid w:val="002A00D3"/>
    <w:rsid w:val="002A0326"/>
    <w:rsid w:val="002A0ECC"/>
    <w:rsid w:val="002A18BE"/>
    <w:rsid w:val="002A1D89"/>
    <w:rsid w:val="002A1D91"/>
    <w:rsid w:val="002A2189"/>
    <w:rsid w:val="002A2FA1"/>
    <w:rsid w:val="002A34E1"/>
    <w:rsid w:val="002A3EE7"/>
    <w:rsid w:val="002A4409"/>
    <w:rsid w:val="002A4F71"/>
    <w:rsid w:val="002A53A7"/>
    <w:rsid w:val="002A5563"/>
    <w:rsid w:val="002A57A7"/>
    <w:rsid w:val="002A5A83"/>
    <w:rsid w:val="002A5C35"/>
    <w:rsid w:val="002A5DDE"/>
    <w:rsid w:val="002A5FCD"/>
    <w:rsid w:val="002A6815"/>
    <w:rsid w:val="002B00DA"/>
    <w:rsid w:val="002B177B"/>
    <w:rsid w:val="002B1CBE"/>
    <w:rsid w:val="002B1F7E"/>
    <w:rsid w:val="002B24FB"/>
    <w:rsid w:val="002B252B"/>
    <w:rsid w:val="002B2B7C"/>
    <w:rsid w:val="002B2D57"/>
    <w:rsid w:val="002B394B"/>
    <w:rsid w:val="002B3BB0"/>
    <w:rsid w:val="002B3CC8"/>
    <w:rsid w:val="002B4282"/>
    <w:rsid w:val="002B43D0"/>
    <w:rsid w:val="002B484D"/>
    <w:rsid w:val="002B488E"/>
    <w:rsid w:val="002B6308"/>
    <w:rsid w:val="002B642F"/>
    <w:rsid w:val="002B64EC"/>
    <w:rsid w:val="002B6500"/>
    <w:rsid w:val="002B65CB"/>
    <w:rsid w:val="002B6620"/>
    <w:rsid w:val="002B6785"/>
    <w:rsid w:val="002B6911"/>
    <w:rsid w:val="002B6CF7"/>
    <w:rsid w:val="002B77C1"/>
    <w:rsid w:val="002C01E9"/>
    <w:rsid w:val="002C03C1"/>
    <w:rsid w:val="002C03D8"/>
    <w:rsid w:val="002C0432"/>
    <w:rsid w:val="002C061A"/>
    <w:rsid w:val="002C2580"/>
    <w:rsid w:val="002C3464"/>
    <w:rsid w:val="002C380E"/>
    <w:rsid w:val="002C39F7"/>
    <w:rsid w:val="002C4E1D"/>
    <w:rsid w:val="002C50D1"/>
    <w:rsid w:val="002C568B"/>
    <w:rsid w:val="002C596A"/>
    <w:rsid w:val="002C64BB"/>
    <w:rsid w:val="002C6C1E"/>
    <w:rsid w:val="002C6F3C"/>
    <w:rsid w:val="002C7731"/>
    <w:rsid w:val="002C79C0"/>
    <w:rsid w:val="002C7F56"/>
    <w:rsid w:val="002D03A6"/>
    <w:rsid w:val="002D04D4"/>
    <w:rsid w:val="002D0759"/>
    <w:rsid w:val="002D0A50"/>
    <w:rsid w:val="002D0C21"/>
    <w:rsid w:val="002D0ED6"/>
    <w:rsid w:val="002D190F"/>
    <w:rsid w:val="002D204F"/>
    <w:rsid w:val="002D2071"/>
    <w:rsid w:val="002D26E9"/>
    <w:rsid w:val="002D2B02"/>
    <w:rsid w:val="002D2D55"/>
    <w:rsid w:val="002D30A9"/>
    <w:rsid w:val="002D3461"/>
    <w:rsid w:val="002D3922"/>
    <w:rsid w:val="002D3B16"/>
    <w:rsid w:val="002D3C33"/>
    <w:rsid w:val="002D42B8"/>
    <w:rsid w:val="002D42FA"/>
    <w:rsid w:val="002D4751"/>
    <w:rsid w:val="002D4B91"/>
    <w:rsid w:val="002D5D3B"/>
    <w:rsid w:val="002D60F3"/>
    <w:rsid w:val="002D62F3"/>
    <w:rsid w:val="002D6B1C"/>
    <w:rsid w:val="002D6F3E"/>
    <w:rsid w:val="002D73E8"/>
    <w:rsid w:val="002D78FD"/>
    <w:rsid w:val="002D7B43"/>
    <w:rsid w:val="002E0193"/>
    <w:rsid w:val="002E03D3"/>
    <w:rsid w:val="002E096B"/>
    <w:rsid w:val="002E196F"/>
    <w:rsid w:val="002E1A39"/>
    <w:rsid w:val="002E1BFF"/>
    <w:rsid w:val="002E1D0D"/>
    <w:rsid w:val="002E1E15"/>
    <w:rsid w:val="002E1E8E"/>
    <w:rsid w:val="002E24A2"/>
    <w:rsid w:val="002E2A66"/>
    <w:rsid w:val="002E308A"/>
    <w:rsid w:val="002E3160"/>
    <w:rsid w:val="002E3B61"/>
    <w:rsid w:val="002E409E"/>
    <w:rsid w:val="002E4549"/>
    <w:rsid w:val="002E4633"/>
    <w:rsid w:val="002E480C"/>
    <w:rsid w:val="002E4F1A"/>
    <w:rsid w:val="002E5A29"/>
    <w:rsid w:val="002E601E"/>
    <w:rsid w:val="002E636E"/>
    <w:rsid w:val="002E6557"/>
    <w:rsid w:val="002E690C"/>
    <w:rsid w:val="002E776F"/>
    <w:rsid w:val="002E77FE"/>
    <w:rsid w:val="002E7D7D"/>
    <w:rsid w:val="002E7E83"/>
    <w:rsid w:val="002F0249"/>
    <w:rsid w:val="002F03D8"/>
    <w:rsid w:val="002F0579"/>
    <w:rsid w:val="002F09E3"/>
    <w:rsid w:val="002F0D1B"/>
    <w:rsid w:val="002F1390"/>
    <w:rsid w:val="002F2272"/>
    <w:rsid w:val="002F2A6E"/>
    <w:rsid w:val="002F2ABC"/>
    <w:rsid w:val="002F3856"/>
    <w:rsid w:val="002F3F7C"/>
    <w:rsid w:val="002F41C9"/>
    <w:rsid w:val="002F42C6"/>
    <w:rsid w:val="002F52DB"/>
    <w:rsid w:val="002F54F7"/>
    <w:rsid w:val="002F5CDE"/>
    <w:rsid w:val="002F6031"/>
    <w:rsid w:val="002F604F"/>
    <w:rsid w:val="002F6FBE"/>
    <w:rsid w:val="00300062"/>
    <w:rsid w:val="00300465"/>
    <w:rsid w:val="00300A29"/>
    <w:rsid w:val="00300D47"/>
    <w:rsid w:val="003013FB"/>
    <w:rsid w:val="00301726"/>
    <w:rsid w:val="00302053"/>
    <w:rsid w:val="0030244D"/>
    <w:rsid w:val="00303758"/>
    <w:rsid w:val="003038C4"/>
    <w:rsid w:val="0030412F"/>
    <w:rsid w:val="00304C61"/>
    <w:rsid w:val="00305616"/>
    <w:rsid w:val="00305A10"/>
    <w:rsid w:val="00305D78"/>
    <w:rsid w:val="0030614D"/>
    <w:rsid w:val="003065D1"/>
    <w:rsid w:val="00306A67"/>
    <w:rsid w:val="00306C38"/>
    <w:rsid w:val="00306EDB"/>
    <w:rsid w:val="00307517"/>
    <w:rsid w:val="00307A86"/>
    <w:rsid w:val="003100BB"/>
    <w:rsid w:val="00310BC1"/>
    <w:rsid w:val="00310C82"/>
    <w:rsid w:val="00310F4B"/>
    <w:rsid w:val="003112C0"/>
    <w:rsid w:val="00311852"/>
    <w:rsid w:val="003118F7"/>
    <w:rsid w:val="00311920"/>
    <w:rsid w:val="00311FB0"/>
    <w:rsid w:val="00312C64"/>
    <w:rsid w:val="003134C6"/>
    <w:rsid w:val="003145DD"/>
    <w:rsid w:val="00315111"/>
    <w:rsid w:val="00315522"/>
    <w:rsid w:val="0031574B"/>
    <w:rsid w:val="00315FEB"/>
    <w:rsid w:val="00317157"/>
    <w:rsid w:val="00317AED"/>
    <w:rsid w:val="00317F92"/>
    <w:rsid w:val="003202B2"/>
    <w:rsid w:val="003202DD"/>
    <w:rsid w:val="003204BE"/>
    <w:rsid w:val="003205C6"/>
    <w:rsid w:val="00320CE8"/>
    <w:rsid w:val="0032172C"/>
    <w:rsid w:val="003218D0"/>
    <w:rsid w:val="00321A5A"/>
    <w:rsid w:val="00321CDA"/>
    <w:rsid w:val="00321E07"/>
    <w:rsid w:val="00321EBF"/>
    <w:rsid w:val="00322281"/>
    <w:rsid w:val="003227CA"/>
    <w:rsid w:val="00322822"/>
    <w:rsid w:val="00323211"/>
    <w:rsid w:val="00323471"/>
    <w:rsid w:val="00323633"/>
    <w:rsid w:val="00323BF9"/>
    <w:rsid w:val="00323D56"/>
    <w:rsid w:val="00324BE0"/>
    <w:rsid w:val="00325334"/>
    <w:rsid w:val="00325FBF"/>
    <w:rsid w:val="00326625"/>
    <w:rsid w:val="00326EE0"/>
    <w:rsid w:val="003301AE"/>
    <w:rsid w:val="00330270"/>
    <w:rsid w:val="003304C6"/>
    <w:rsid w:val="00330A2D"/>
    <w:rsid w:val="00330EC1"/>
    <w:rsid w:val="00331242"/>
    <w:rsid w:val="0033134A"/>
    <w:rsid w:val="0033307D"/>
    <w:rsid w:val="003332B3"/>
    <w:rsid w:val="00333754"/>
    <w:rsid w:val="003337B3"/>
    <w:rsid w:val="00333AFD"/>
    <w:rsid w:val="003344AA"/>
    <w:rsid w:val="00334E2F"/>
    <w:rsid w:val="00335A83"/>
    <w:rsid w:val="00335C5F"/>
    <w:rsid w:val="00336190"/>
    <w:rsid w:val="00336272"/>
    <w:rsid w:val="0033635A"/>
    <w:rsid w:val="00336509"/>
    <w:rsid w:val="00336B82"/>
    <w:rsid w:val="00336EFA"/>
    <w:rsid w:val="00337BE2"/>
    <w:rsid w:val="00337CA5"/>
    <w:rsid w:val="00337EB8"/>
    <w:rsid w:val="0034040C"/>
    <w:rsid w:val="003406E4"/>
    <w:rsid w:val="00340955"/>
    <w:rsid w:val="00340D28"/>
    <w:rsid w:val="00340F1E"/>
    <w:rsid w:val="0034155F"/>
    <w:rsid w:val="003418D8"/>
    <w:rsid w:val="00341F0B"/>
    <w:rsid w:val="003426F2"/>
    <w:rsid w:val="00342717"/>
    <w:rsid w:val="003429DE"/>
    <w:rsid w:val="00342F59"/>
    <w:rsid w:val="00343067"/>
    <w:rsid w:val="00343A70"/>
    <w:rsid w:val="00344169"/>
    <w:rsid w:val="00344740"/>
    <w:rsid w:val="0034499B"/>
    <w:rsid w:val="00344CD6"/>
    <w:rsid w:val="003453FA"/>
    <w:rsid w:val="003458AF"/>
    <w:rsid w:val="00345C2F"/>
    <w:rsid w:val="00345DCA"/>
    <w:rsid w:val="00346301"/>
    <w:rsid w:val="0034697C"/>
    <w:rsid w:val="00346BC8"/>
    <w:rsid w:val="00346F67"/>
    <w:rsid w:val="0034768B"/>
    <w:rsid w:val="00347CCF"/>
    <w:rsid w:val="003505AD"/>
    <w:rsid w:val="0035099F"/>
    <w:rsid w:val="00350CE4"/>
    <w:rsid w:val="003513C2"/>
    <w:rsid w:val="0035147D"/>
    <w:rsid w:val="003516EF"/>
    <w:rsid w:val="003519F4"/>
    <w:rsid w:val="00351A3D"/>
    <w:rsid w:val="00351FE4"/>
    <w:rsid w:val="00352A50"/>
    <w:rsid w:val="00352D1B"/>
    <w:rsid w:val="00352D7D"/>
    <w:rsid w:val="003538E5"/>
    <w:rsid w:val="00353A8F"/>
    <w:rsid w:val="003545BE"/>
    <w:rsid w:val="00354BCE"/>
    <w:rsid w:val="00354EB3"/>
    <w:rsid w:val="003553C1"/>
    <w:rsid w:val="00355B35"/>
    <w:rsid w:val="00355B9E"/>
    <w:rsid w:val="00356955"/>
    <w:rsid w:val="00356AA6"/>
    <w:rsid w:val="003570E5"/>
    <w:rsid w:val="00357FA6"/>
    <w:rsid w:val="003602EA"/>
    <w:rsid w:val="0036039A"/>
    <w:rsid w:val="00362812"/>
    <w:rsid w:val="0036291F"/>
    <w:rsid w:val="0036300E"/>
    <w:rsid w:val="00363297"/>
    <w:rsid w:val="00363341"/>
    <w:rsid w:val="00363667"/>
    <w:rsid w:val="00363ACA"/>
    <w:rsid w:val="00364764"/>
    <w:rsid w:val="00364786"/>
    <w:rsid w:val="00364A33"/>
    <w:rsid w:val="0036558B"/>
    <w:rsid w:val="00365DA0"/>
    <w:rsid w:val="003664F6"/>
    <w:rsid w:val="003667E2"/>
    <w:rsid w:val="00366F6A"/>
    <w:rsid w:val="00367237"/>
    <w:rsid w:val="0036769B"/>
    <w:rsid w:val="00367759"/>
    <w:rsid w:val="003707AC"/>
    <w:rsid w:val="0037115B"/>
    <w:rsid w:val="00371216"/>
    <w:rsid w:val="0037199E"/>
    <w:rsid w:val="00372102"/>
    <w:rsid w:val="003723B4"/>
    <w:rsid w:val="00372439"/>
    <w:rsid w:val="00372B4E"/>
    <w:rsid w:val="003737EE"/>
    <w:rsid w:val="00373AAB"/>
    <w:rsid w:val="00374430"/>
    <w:rsid w:val="00374470"/>
    <w:rsid w:val="0037490C"/>
    <w:rsid w:val="0037537E"/>
    <w:rsid w:val="003758FA"/>
    <w:rsid w:val="00375BF2"/>
    <w:rsid w:val="00375D5C"/>
    <w:rsid w:val="00375DB1"/>
    <w:rsid w:val="0037649F"/>
    <w:rsid w:val="00376A83"/>
    <w:rsid w:val="00376C48"/>
    <w:rsid w:val="00377051"/>
    <w:rsid w:val="0037742C"/>
    <w:rsid w:val="003777E6"/>
    <w:rsid w:val="00377859"/>
    <w:rsid w:val="00377C94"/>
    <w:rsid w:val="00380044"/>
    <w:rsid w:val="003807FD"/>
    <w:rsid w:val="003808C3"/>
    <w:rsid w:val="00380EEB"/>
    <w:rsid w:val="00381A2C"/>
    <w:rsid w:val="00381A75"/>
    <w:rsid w:val="00381F71"/>
    <w:rsid w:val="00382188"/>
    <w:rsid w:val="00382FBE"/>
    <w:rsid w:val="003837F6"/>
    <w:rsid w:val="00384070"/>
    <w:rsid w:val="0038472D"/>
    <w:rsid w:val="003849E7"/>
    <w:rsid w:val="00384D4D"/>
    <w:rsid w:val="003854FF"/>
    <w:rsid w:val="003865FC"/>
    <w:rsid w:val="003866D7"/>
    <w:rsid w:val="00386854"/>
    <w:rsid w:val="00386A14"/>
    <w:rsid w:val="00387540"/>
    <w:rsid w:val="003877C1"/>
    <w:rsid w:val="00390676"/>
    <w:rsid w:val="003917DF"/>
    <w:rsid w:val="00391E4F"/>
    <w:rsid w:val="00392022"/>
    <w:rsid w:val="00392755"/>
    <w:rsid w:val="003928E2"/>
    <w:rsid w:val="00393C23"/>
    <w:rsid w:val="00393F26"/>
    <w:rsid w:val="00393FA8"/>
    <w:rsid w:val="00394AA6"/>
    <w:rsid w:val="0039502E"/>
    <w:rsid w:val="003955E8"/>
    <w:rsid w:val="003956EF"/>
    <w:rsid w:val="0039596F"/>
    <w:rsid w:val="00396A46"/>
    <w:rsid w:val="00396EC8"/>
    <w:rsid w:val="00396FB6"/>
    <w:rsid w:val="00397D83"/>
    <w:rsid w:val="00397E4E"/>
    <w:rsid w:val="003A005A"/>
    <w:rsid w:val="003A15C2"/>
    <w:rsid w:val="003A18D0"/>
    <w:rsid w:val="003A212F"/>
    <w:rsid w:val="003A21D1"/>
    <w:rsid w:val="003A22C3"/>
    <w:rsid w:val="003A22D6"/>
    <w:rsid w:val="003A27A7"/>
    <w:rsid w:val="003A2D96"/>
    <w:rsid w:val="003A2DFB"/>
    <w:rsid w:val="003A3523"/>
    <w:rsid w:val="003A3BFC"/>
    <w:rsid w:val="003A3FDE"/>
    <w:rsid w:val="003A52B2"/>
    <w:rsid w:val="003A5C66"/>
    <w:rsid w:val="003A63D4"/>
    <w:rsid w:val="003A6403"/>
    <w:rsid w:val="003A6782"/>
    <w:rsid w:val="003A6FED"/>
    <w:rsid w:val="003A7ACB"/>
    <w:rsid w:val="003A7B62"/>
    <w:rsid w:val="003B02A2"/>
    <w:rsid w:val="003B0727"/>
    <w:rsid w:val="003B0773"/>
    <w:rsid w:val="003B07B5"/>
    <w:rsid w:val="003B1626"/>
    <w:rsid w:val="003B1E5B"/>
    <w:rsid w:val="003B2386"/>
    <w:rsid w:val="003B25AA"/>
    <w:rsid w:val="003B2A96"/>
    <w:rsid w:val="003B3257"/>
    <w:rsid w:val="003B3760"/>
    <w:rsid w:val="003B3D9C"/>
    <w:rsid w:val="003B4C62"/>
    <w:rsid w:val="003B4D13"/>
    <w:rsid w:val="003B4EFC"/>
    <w:rsid w:val="003B4F4F"/>
    <w:rsid w:val="003B511D"/>
    <w:rsid w:val="003B5648"/>
    <w:rsid w:val="003B57CE"/>
    <w:rsid w:val="003B59D4"/>
    <w:rsid w:val="003B5CB3"/>
    <w:rsid w:val="003B5D59"/>
    <w:rsid w:val="003B707E"/>
    <w:rsid w:val="003B7E63"/>
    <w:rsid w:val="003C0051"/>
    <w:rsid w:val="003C02DF"/>
    <w:rsid w:val="003C1326"/>
    <w:rsid w:val="003C17AF"/>
    <w:rsid w:val="003C2340"/>
    <w:rsid w:val="003C3141"/>
    <w:rsid w:val="003C3258"/>
    <w:rsid w:val="003C3D39"/>
    <w:rsid w:val="003C40A4"/>
    <w:rsid w:val="003C4759"/>
    <w:rsid w:val="003C4A64"/>
    <w:rsid w:val="003C54D8"/>
    <w:rsid w:val="003C5A27"/>
    <w:rsid w:val="003C6091"/>
    <w:rsid w:val="003C69AB"/>
    <w:rsid w:val="003C6B14"/>
    <w:rsid w:val="003C70D3"/>
    <w:rsid w:val="003D04D6"/>
    <w:rsid w:val="003D0718"/>
    <w:rsid w:val="003D0FE3"/>
    <w:rsid w:val="003D1312"/>
    <w:rsid w:val="003D1BAC"/>
    <w:rsid w:val="003D2ED1"/>
    <w:rsid w:val="003D4295"/>
    <w:rsid w:val="003D47CC"/>
    <w:rsid w:val="003D6225"/>
    <w:rsid w:val="003D6404"/>
    <w:rsid w:val="003D727C"/>
    <w:rsid w:val="003D74F3"/>
    <w:rsid w:val="003E013E"/>
    <w:rsid w:val="003E09D9"/>
    <w:rsid w:val="003E0B5B"/>
    <w:rsid w:val="003E0C2B"/>
    <w:rsid w:val="003E1186"/>
    <w:rsid w:val="003E1498"/>
    <w:rsid w:val="003E16D1"/>
    <w:rsid w:val="003E1933"/>
    <w:rsid w:val="003E19D0"/>
    <w:rsid w:val="003E2FC8"/>
    <w:rsid w:val="003E30F5"/>
    <w:rsid w:val="003E3EE3"/>
    <w:rsid w:val="003E4180"/>
    <w:rsid w:val="003E43BA"/>
    <w:rsid w:val="003E44FB"/>
    <w:rsid w:val="003E4653"/>
    <w:rsid w:val="003E4D3B"/>
    <w:rsid w:val="003E5218"/>
    <w:rsid w:val="003E5338"/>
    <w:rsid w:val="003E5362"/>
    <w:rsid w:val="003E53D0"/>
    <w:rsid w:val="003E6249"/>
    <w:rsid w:val="003F099B"/>
    <w:rsid w:val="003F0DFF"/>
    <w:rsid w:val="003F0F80"/>
    <w:rsid w:val="003F1093"/>
    <w:rsid w:val="003F1F0E"/>
    <w:rsid w:val="003F2270"/>
    <w:rsid w:val="003F287C"/>
    <w:rsid w:val="003F2B95"/>
    <w:rsid w:val="003F380A"/>
    <w:rsid w:val="003F3B47"/>
    <w:rsid w:val="003F3C73"/>
    <w:rsid w:val="003F3DBB"/>
    <w:rsid w:val="003F4654"/>
    <w:rsid w:val="003F48AE"/>
    <w:rsid w:val="003F523D"/>
    <w:rsid w:val="003F562D"/>
    <w:rsid w:val="003F61D1"/>
    <w:rsid w:val="003F6233"/>
    <w:rsid w:val="003F64CF"/>
    <w:rsid w:val="003F6761"/>
    <w:rsid w:val="003F726A"/>
    <w:rsid w:val="003F73D3"/>
    <w:rsid w:val="003F777E"/>
    <w:rsid w:val="00401649"/>
    <w:rsid w:val="0040269A"/>
    <w:rsid w:val="004026C3"/>
    <w:rsid w:val="0040291F"/>
    <w:rsid w:val="00403D4E"/>
    <w:rsid w:val="004046C5"/>
    <w:rsid w:val="0040586C"/>
    <w:rsid w:val="00405C87"/>
    <w:rsid w:val="00405F07"/>
    <w:rsid w:val="00406249"/>
    <w:rsid w:val="004062E4"/>
    <w:rsid w:val="004067BC"/>
    <w:rsid w:val="004067FE"/>
    <w:rsid w:val="00406EFD"/>
    <w:rsid w:val="00407567"/>
    <w:rsid w:val="004078A8"/>
    <w:rsid w:val="0040792C"/>
    <w:rsid w:val="00407AE5"/>
    <w:rsid w:val="00407CED"/>
    <w:rsid w:val="00407D53"/>
    <w:rsid w:val="0041076C"/>
    <w:rsid w:val="0041082C"/>
    <w:rsid w:val="004111AA"/>
    <w:rsid w:val="00411941"/>
    <w:rsid w:val="00411C1F"/>
    <w:rsid w:val="00412205"/>
    <w:rsid w:val="004126F5"/>
    <w:rsid w:val="004130FA"/>
    <w:rsid w:val="004135CF"/>
    <w:rsid w:val="004138BA"/>
    <w:rsid w:val="004144D9"/>
    <w:rsid w:val="00414C53"/>
    <w:rsid w:val="00414FD8"/>
    <w:rsid w:val="004150E9"/>
    <w:rsid w:val="00415CCC"/>
    <w:rsid w:val="00415FC2"/>
    <w:rsid w:val="00417087"/>
    <w:rsid w:val="00420EDD"/>
    <w:rsid w:val="004212D4"/>
    <w:rsid w:val="00421F56"/>
    <w:rsid w:val="00422A96"/>
    <w:rsid w:val="00422D45"/>
    <w:rsid w:val="00422E2D"/>
    <w:rsid w:val="004231F8"/>
    <w:rsid w:val="004240DB"/>
    <w:rsid w:val="004251C7"/>
    <w:rsid w:val="004266D2"/>
    <w:rsid w:val="00426A21"/>
    <w:rsid w:val="00427B59"/>
    <w:rsid w:val="004300AA"/>
    <w:rsid w:val="004302B2"/>
    <w:rsid w:val="00430820"/>
    <w:rsid w:val="00430A33"/>
    <w:rsid w:val="00430C9D"/>
    <w:rsid w:val="00431669"/>
    <w:rsid w:val="00431798"/>
    <w:rsid w:val="00431A42"/>
    <w:rsid w:val="00431BB0"/>
    <w:rsid w:val="00432106"/>
    <w:rsid w:val="0043271F"/>
    <w:rsid w:val="004333C3"/>
    <w:rsid w:val="0043343E"/>
    <w:rsid w:val="00433501"/>
    <w:rsid w:val="00433814"/>
    <w:rsid w:val="0043415C"/>
    <w:rsid w:val="0043437D"/>
    <w:rsid w:val="00434700"/>
    <w:rsid w:val="00434CC0"/>
    <w:rsid w:val="00434DF7"/>
    <w:rsid w:val="00434EB0"/>
    <w:rsid w:val="00434F16"/>
    <w:rsid w:val="00435104"/>
    <w:rsid w:val="00436836"/>
    <w:rsid w:val="00436C32"/>
    <w:rsid w:val="00437498"/>
    <w:rsid w:val="00437710"/>
    <w:rsid w:val="00437E54"/>
    <w:rsid w:val="00437E6B"/>
    <w:rsid w:val="00440B3A"/>
    <w:rsid w:val="00440DF2"/>
    <w:rsid w:val="0044135A"/>
    <w:rsid w:val="00441F65"/>
    <w:rsid w:val="004424DB"/>
    <w:rsid w:val="00442857"/>
    <w:rsid w:val="00442C48"/>
    <w:rsid w:val="00442D2A"/>
    <w:rsid w:val="00443792"/>
    <w:rsid w:val="00443C0E"/>
    <w:rsid w:val="00444038"/>
    <w:rsid w:val="00444162"/>
    <w:rsid w:val="00444607"/>
    <w:rsid w:val="0044465E"/>
    <w:rsid w:val="0044483C"/>
    <w:rsid w:val="004456F5"/>
    <w:rsid w:val="00445863"/>
    <w:rsid w:val="00446294"/>
    <w:rsid w:val="00446862"/>
    <w:rsid w:val="00447028"/>
    <w:rsid w:val="00447912"/>
    <w:rsid w:val="00450A4D"/>
    <w:rsid w:val="00451B77"/>
    <w:rsid w:val="00451CAF"/>
    <w:rsid w:val="00451EC0"/>
    <w:rsid w:val="00452792"/>
    <w:rsid w:val="004528F5"/>
    <w:rsid w:val="00452A30"/>
    <w:rsid w:val="00452B14"/>
    <w:rsid w:val="004532E7"/>
    <w:rsid w:val="00454013"/>
    <w:rsid w:val="0045449E"/>
    <w:rsid w:val="0045452E"/>
    <w:rsid w:val="0045495C"/>
    <w:rsid w:val="00454D3E"/>
    <w:rsid w:val="00455069"/>
    <w:rsid w:val="0045545A"/>
    <w:rsid w:val="00455692"/>
    <w:rsid w:val="00455908"/>
    <w:rsid w:val="0045596E"/>
    <w:rsid w:val="004564A5"/>
    <w:rsid w:val="004567BB"/>
    <w:rsid w:val="0045700D"/>
    <w:rsid w:val="004570FC"/>
    <w:rsid w:val="004605CC"/>
    <w:rsid w:val="004608B5"/>
    <w:rsid w:val="00460E06"/>
    <w:rsid w:val="00460F15"/>
    <w:rsid w:val="00461CF2"/>
    <w:rsid w:val="00461EF9"/>
    <w:rsid w:val="00462F67"/>
    <w:rsid w:val="004632DE"/>
    <w:rsid w:val="004636C7"/>
    <w:rsid w:val="004639A8"/>
    <w:rsid w:val="0046416A"/>
    <w:rsid w:val="00464392"/>
    <w:rsid w:val="0046479F"/>
    <w:rsid w:val="00465260"/>
    <w:rsid w:val="004652F9"/>
    <w:rsid w:val="00465314"/>
    <w:rsid w:val="0046535E"/>
    <w:rsid w:val="00465A92"/>
    <w:rsid w:val="0046643D"/>
    <w:rsid w:val="00466E57"/>
    <w:rsid w:val="00467079"/>
    <w:rsid w:val="00467844"/>
    <w:rsid w:val="00470201"/>
    <w:rsid w:val="00471D13"/>
    <w:rsid w:val="00471DED"/>
    <w:rsid w:val="00472900"/>
    <w:rsid w:val="00472E5B"/>
    <w:rsid w:val="00472EBF"/>
    <w:rsid w:val="00473175"/>
    <w:rsid w:val="00473DE8"/>
    <w:rsid w:val="00473F6E"/>
    <w:rsid w:val="004743B3"/>
    <w:rsid w:val="00474C27"/>
    <w:rsid w:val="00474F97"/>
    <w:rsid w:val="0047697F"/>
    <w:rsid w:val="00476C17"/>
    <w:rsid w:val="00476D0D"/>
    <w:rsid w:val="004771B2"/>
    <w:rsid w:val="00477243"/>
    <w:rsid w:val="00477522"/>
    <w:rsid w:val="004801DB"/>
    <w:rsid w:val="004807DE"/>
    <w:rsid w:val="00480953"/>
    <w:rsid w:val="00480984"/>
    <w:rsid w:val="004809D9"/>
    <w:rsid w:val="0048171B"/>
    <w:rsid w:val="00481990"/>
    <w:rsid w:val="004824CB"/>
    <w:rsid w:val="00482800"/>
    <w:rsid w:val="00482858"/>
    <w:rsid w:val="00483856"/>
    <w:rsid w:val="0048440B"/>
    <w:rsid w:val="004846A1"/>
    <w:rsid w:val="00484852"/>
    <w:rsid w:val="00485BB6"/>
    <w:rsid w:val="00486313"/>
    <w:rsid w:val="004876E9"/>
    <w:rsid w:val="004877E5"/>
    <w:rsid w:val="004903E7"/>
    <w:rsid w:val="00490428"/>
    <w:rsid w:val="004905DD"/>
    <w:rsid w:val="00490DC9"/>
    <w:rsid w:val="004911D8"/>
    <w:rsid w:val="00491295"/>
    <w:rsid w:val="0049156D"/>
    <w:rsid w:val="00491898"/>
    <w:rsid w:val="00491A1E"/>
    <w:rsid w:val="00491C00"/>
    <w:rsid w:val="00491D7B"/>
    <w:rsid w:val="00491D96"/>
    <w:rsid w:val="00491DD3"/>
    <w:rsid w:val="004929E2"/>
    <w:rsid w:val="00492FAE"/>
    <w:rsid w:val="0049306F"/>
    <w:rsid w:val="00493142"/>
    <w:rsid w:val="00493E79"/>
    <w:rsid w:val="00496C7A"/>
    <w:rsid w:val="00496CF4"/>
    <w:rsid w:val="00497811"/>
    <w:rsid w:val="004978AC"/>
    <w:rsid w:val="00497EED"/>
    <w:rsid w:val="004A003D"/>
    <w:rsid w:val="004A04AF"/>
    <w:rsid w:val="004A05C6"/>
    <w:rsid w:val="004A0941"/>
    <w:rsid w:val="004A0C09"/>
    <w:rsid w:val="004A2B16"/>
    <w:rsid w:val="004A2BAD"/>
    <w:rsid w:val="004A304A"/>
    <w:rsid w:val="004A3A22"/>
    <w:rsid w:val="004A3BCC"/>
    <w:rsid w:val="004A3BFF"/>
    <w:rsid w:val="004A59CB"/>
    <w:rsid w:val="004A5D86"/>
    <w:rsid w:val="004A5E2A"/>
    <w:rsid w:val="004A6752"/>
    <w:rsid w:val="004A761A"/>
    <w:rsid w:val="004A7AAD"/>
    <w:rsid w:val="004A7FBF"/>
    <w:rsid w:val="004B007C"/>
    <w:rsid w:val="004B04FF"/>
    <w:rsid w:val="004B0D35"/>
    <w:rsid w:val="004B1F8C"/>
    <w:rsid w:val="004B26BE"/>
    <w:rsid w:val="004B27D0"/>
    <w:rsid w:val="004B2A66"/>
    <w:rsid w:val="004B2AEF"/>
    <w:rsid w:val="004B3517"/>
    <w:rsid w:val="004B416F"/>
    <w:rsid w:val="004B4883"/>
    <w:rsid w:val="004B52F6"/>
    <w:rsid w:val="004B59FF"/>
    <w:rsid w:val="004B5CBB"/>
    <w:rsid w:val="004B5EE6"/>
    <w:rsid w:val="004B5FEB"/>
    <w:rsid w:val="004B61DC"/>
    <w:rsid w:val="004B66F4"/>
    <w:rsid w:val="004B7263"/>
    <w:rsid w:val="004B7750"/>
    <w:rsid w:val="004B7B41"/>
    <w:rsid w:val="004B7D56"/>
    <w:rsid w:val="004B7EA2"/>
    <w:rsid w:val="004C01D3"/>
    <w:rsid w:val="004C02CF"/>
    <w:rsid w:val="004C0357"/>
    <w:rsid w:val="004C09B7"/>
    <w:rsid w:val="004C0D54"/>
    <w:rsid w:val="004C1C68"/>
    <w:rsid w:val="004C22DF"/>
    <w:rsid w:val="004C2525"/>
    <w:rsid w:val="004C257F"/>
    <w:rsid w:val="004C2844"/>
    <w:rsid w:val="004C2E6C"/>
    <w:rsid w:val="004C32C1"/>
    <w:rsid w:val="004C342E"/>
    <w:rsid w:val="004C3B77"/>
    <w:rsid w:val="004C3FFF"/>
    <w:rsid w:val="004C424F"/>
    <w:rsid w:val="004C452A"/>
    <w:rsid w:val="004C4C01"/>
    <w:rsid w:val="004C57A6"/>
    <w:rsid w:val="004C59F3"/>
    <w:rsid w:val="004C5A0D"/>
    <w:rsid w:val="004C6320"/>
    <w:rsid w:val="004C6466"/>
    <w:rsid w:val="004C66E1"/>
    <w:rsid w:val="004C6784"/>
    <w:rsid w:val="004C68BB"/>
    <w:rsid w:val="004C7C74"/>
    <w:rsid w:val="004D0442"/>
    <w:rsid w:val="004D0F58"/>
    <w:rsid w:val="004D120E"/>
    <w:rsid w:val="004D14BC"/>
    <w:rsid w:val="004D16A7"/>
    <w:rsid w:val="004D170E"/>
    <w:rsid w:val="004D1EC8"/>
    <w:rsid w:val="004D227B"/>
    <w:rsid w:val="004D2296"/>
    <w:rsid w:val="004D2E13"/>
    <w:rsid w:val="004D3142"/>
    <w:rsid w:val="004D3231"/>
    <w:rsid w:val="004D385E"/>
    <w:rsid w:val="004D3AD6"/>
    <w:rsid w:val="004D3BBA"/>
    <w:rsid w:val="004D461C"/>
    <w:rsid w:val="004D4C1A"/>
    <w:rsid w:val="004D5637"/>
    <w:rsid w:val="004D61E3"/>
    <w:rsid w:val="004D630D"/>
    <w:rsid w:val="004D6970"/>
    <w:rsid w:val="004D69BE"/>
    <w:rsid w:val="004D6A81"/>
    <w:rsid w:val="004D798C"/>
    <w:rsid w:val="004D7E85"/>
    <w:rsid w:val="004D7F44"/>
    <w:rsid w:val="004E0253"/>
    <w:rsid w:val="004E0619"/>
    <w:rsid w:val="004E07D7"/>
    <w:rsid w:val="004E08F3"/>
    <w:rsid w:val="004E1052"/>
    <w:rsid w:val="004E19FC"/>
    <w:rsid w:val="004E1F5F"/>
    <w:rsid w:val="004E27DC"/>
    <w:rsid w:val="004E2B52"/>
    <w:rsid w:val="004E2B7B"/>
    <w:rsid w:val="004E3A28"/>
    <w:rsid w:val="004E3C88"/>
    <w:rsid w:val="004E45F6"/>
    <w:rsid w:val="004E4804"/>
    <w:rsid w:val="004E489A"/>
    <w:rsid w:val="004E4B31"/>
    <w:rsid w:val="004E4B88"/>
    <w:rsid w:val="004E5469"/>
    <w:rsid w:val="004E55B3"/>
    <w:rsid w:val="004E61BF"/>
    <w:rsid w:val="004E62B2"/>
    <w:rsid w:val="004E666D"/>
    <w:rsid w:val="004E6CA7"/>
    <w:rsid w:val="004E6D02"/>
    <w:rsid w:val="004E6DA8"/>
    <w:rsid w:val="004E6F0A"/>
    <w:rsid w:val="004F022E"/>
    <w:rsid w:val="004F05EA"/>
    <w:rsid w:val="004F0C89"/>
    <w:rsid w:val="004F22A3"/>
    <w:rsid w:val="004F2538"/>
    <w:rsid w:val="004F2F5D"/>
    <w:rsid w:val="004F3430"/>
    <w:rsid w:val="004F371F"/>
    <w:rsid w:val="004F372D"/>
    <w:rsid w:val="004F3CB8"/>
    <w:rsid w:val="004F409A"/>
    <w:rsid w:val="004F5684"/>
    <w:rsid w:val="004F574C"/>
    <w:rsid w:val="004F5AF5"/>
    <w:rsid w:val="004F5B01"/>
    <w:rsid w:val="004F5B7A"/>
    <w:rsid w:val="004F73AF"/>
    <w:rsid w:val="004F7618"/>
    <w:rsid w:val="004F7EEC"/>
    <w:rsid w:val="00500E06"/>
    <w:rsid w:val="00501915"/>
    <w:rsid w:val="005024D9"/>
    <w:rsid w:val="00502BDF"/>
    <w:rsid w:val="00502E6A"/>
    <w:rsid w:val="00503051"/>
    <w:rsid w:val="00503754"/>
    <w:rsid w:val="00503B04"/>
    <w:rsid w:val="00503F82"/>
    <w:rsid w:val="005040E8"/>
    <w:rsid w:val="00504245"/>
    <w:rsid w:val="00504BD4"/>
    <w:rsid w:val="00505203"/>
    <w:rsid w:val="00505981"/>
    <w:rsid w:val="00506635"/>
    <w:rsid w:val="00506877"/>
    <w:rsid w:val="00507018"/>
    <w:rsid w:val="005075F4"/>
    <w:rsid w:val="0050775A"/>
    <w:rsid w:val="00507B7C"/>
    <w:rsid w:val="0051051F"/>
    <w:rsid w:val="005111D9"/>
    <w:rsid w:val="005114F4"/>
    <w:rsid w:val="005116B9"/>
    <w:rsid w:val="00511949"/>
    <w:rsid w:val="00511AB3"/>
    <w:rsid w:val="00511BC9"/>
    <w:rsid w:val="0051242E"/>
    <w:rsid w:val="00512532"/>
    <w:rsid w:val="005125FE"/>
    <w:rsid w:val="00512912"/>
    <w:rsid w:val="00513079"/>
    <w:rsid w:val="005136C8"/>
    <w:rsid w:val="00513AD9"/>
    <w:rsid w:val="005148DA"/>
    <w:rsid w:val="0051490F"/>
    <w:rsid w:val="00514A51"/>
    <w:rsid w:val="00514D45"/>
    <w:rsid w:val="00514EE3"/>
    <w:rsid w:val="00514EFC"/>
    <w:rsid w:val="00515584"/>
    <w:rsid w:val="0051573D"/>
    <w:rsid w:val="00515D27"/>
    <w:rsid w:val="00515DF5"/>
    <w:rsid w:val="00515FF2"/>
    <w:rsid w:val="00516270"/>
    <w:rsid w:val="00516475"/>
    <w:rsid w:val="00516A8F"/>
    <w:rsid w:val="00516AAA"/>
    <w:rsid w:val="005173C9"/>
    <w:rsid w:val="005206D4"/>
    <w:rsid w:val="00520C9B"/>
    <w:rsid w:val="00522106"/>
    <w:rsid w:val="00522555"/>
    <w:rsid w:val="00522853"/>
    <w:rsid w:val="00522961"/>
    <w:rsid w:val="00522B3A"/>
    <w:rsid w:val="00523354"/>
    <w:rsid w:val="00523E5B"/>
    <w:rsid w:val="00523F2F"/>
    <w:rsid w:val="005255DC"/>
    <w:rsid w:val="00525FD5"/>
    <w:rsid w:val="00526D95"/>
    <w:rsid w:val="00526F4F"/>
    <w:rsid w:val="00527BD0"/>
    <w:rsid w:val="00530AA4"/>
    <w:rsid w:val="00530CBF"/>
    <w:rsid w:val="005317A9"/>
    <w:rsid w:val="00531DC3"/>
    <w:rsid w:val="00531E5F"/>
    <w:rsid w:val="005322F4"/>
    <w:rsid w:val="00533566"/>
    <w:rsid w:val="00533A41"/>
    <w:rsid w:val="00533AD6"/>
    <w:rsid w:val="00533CB5"/>
    <w:rsid w:val="00533CD5"/>
    <w:rsid w:val="00533FD1"/>
    <w:rsid w:val="0053416B"/>
    <w:rsid w:val="005352BD"/>
    <w:rsid w:val="00535354"/>
    <w:rsid w:val="0053567C"/>
    <w:rsid w:val="0053584E"/>
    <w:rsid w:val="00535C81"/>
    <w:rsid w:val="00535F21"/>
    <w:rsid w:val="00535F62"/>
    <w:rsid w:val="005364CD"/>
    <w:rsid w:val="00536BF4"/>
    <w:rsid w:val="00537552"/>
    <w:rsid w:val="005377F7"/>
    <w:rsid w:val="00540246"/>
    <w:rsid w:val="0054042D"/>
    <w:rsid w:val="00540525"/>
    <w:rsid w:val="00540876"/>
    <w:rsid w:val="00540920"/>
    <w:rsid w:val="00540BA7"/>
    <w:rsid w:val="00540CDC"/>
    <w:rsid w:val="00541088"/>
    <w:rsid w:val="0054145F"/>
    <w:rsid w:val="0054151F"/>
    <w:rsid w:val="005418BD"/>
    <w:rsid w:val="00541B21"/>
    <w:rsid w:val="00541C8A"/>
    <w:rsid w:val="00542936"/>
    <w:rsid w:val="0054317E"/>
    <w:rsid w:val="0054369D"/>
    <w:rsid w:val="0054418E"/>
    <w:rsid w:val="00544A2E"/>
    <w:rsid w:val="00544D48"/>
    <w:rsid w:val="00544E7D"/>
    <w:rsid w:val="00544E91"/>
    <w:rsid w:val="00545372"/>
    <w:rsid w:val="00545E25"/>
    <w:rsid w:val="00546068"/>
    <w:rsid w:val="00546271"/>
    <w:rsid w:val="00546448"/>
    <w:rsid w:val="00546B5D"/>
    <w:rsid w:val="0054763B"/>
    <w:rsid w:val="005478EF"/>
    <w:rsid w:val="00547B29"/>
    <w:rsid w:val="00547BD1"/>
    <w:rsid w:val="00550373"/>
    <w:rsid w:val="00550C08"/>
    <w:rsid w:val="005510A7"/>
    <w:rsid w:val="005519F2"/>
    <w:rsid w:val="00552062"/>
    <w:rsid w:val="0055255B"/>
    <w:rsid w:val="005534A3"/>
    <w:rsid w:val="005536E8"/>
    <w:rsid w:val="00553788"/>
    <w:rsid w:val="00553ED9"/>
    <w:rsid w:val="005546C5"/>
    <w:rsid w:val="00555062"/>
    <w:rsid w:val="00555273"/>
    <w:rsid w:val="00555EF6"/>
    <w:rsid w:val="0055637D"/>
    <w:rsid w:val="00557657"/>
    <w:rsid w:val="00557E03"/>
    <w:rsid w:val="00557ED6"/>
    <w:rsid w:val="00560245"/>
    <w:rsid w:val="0056040C"/>
    <w:rsid w:val="00560676"/>
    <w:rsid w:val="00560F3E"/>
    <w:rsid w:val="005612A6"/>
    <w:rsid w:val="00561354"/>
    <w:rsid w:val="0056176E"/>
    <w:rsid w:val="005627A3"/>
    <w:rsid w:val="00562802"/>
    <w:rsid w:val="00563A15"/>
    <w:rsid w:val="005641D6"/>
    <w:rsid w:val="005648D3"/>
    <w:rsid w:val="0056522E"/>
    <w:rsid w:val="005654A5"/>
    <w:rsid w:val="00565945"/>
    <w:rsid w:val="00565DA1"/>
    <w:rsid w:val="005667E5"/>
    <w:rsid w:val="00566986"/>
    <w:rsid w:val="00566999"/>
    <w:rsid w:val="00566EC4"/>
    <w:rsid w:val="00567FC1"/>
    <w:rsid w:val="005703A1"/>
    <w:rsid w:val="00570558"/>
    <w:rsid w:val="00570843"/>
    <w:rsid w:val="005710BF"/>
    <w:rsid w:val="0057110A"/>
    <w:rsid w:val="00572EB0"/>
    <w:rsid w:val="005730EE"/>
    <w:rsid w:val="005731B4"/>
    <w:rsid w:val="00573D63"/>
    <w:rsid w:val="00574C01"/>
    <w:rsid w:val="00574C52"/>
    <w:rsid w:val="00574F45"/>
    <w:rsid w:val="00574FD3"/>
    <w:rsid w:val="005751AD"/>
    <w:rsid w:val="0057523B"/>
    <w:rsid w:val="005758DE"/>
    <w:rsid w:val="0057598F"/>
    <w:rsid w:val="00575BA2"/>
    <w:rsid w:val="00575FBC"/>
    <w:rsid w:val="005766C8"/>
    <w:rsid w:val="005777DD"/>
    <w:rsid w:val="00580136"/>
    <w:rsid w:val="00580145"/>
    <w:rsid w:val="00580673"/>
    <w:rsid w:val="00580823"/>
    <w:rsid w:val="005814BE"/>
    <w:rsid w:val="00581667"/>
    <w:rsid w:val="00581F77"/>
    <w:rsid w:val="00581F9F"/>
    <w:rsid w:val="00582949"/>
    <w:rsid w:val="00582D2D"/>
    <w:rsid w:val="00583223"/>
    <w:rsid w:val="005835C3"/>
    <w:rsid w:val="00583606"/>
    <w:rsid w:val="00584333"/>
    <w:rsid w:val="00584347"/>
    <w:rsid w:val="005845C6"/>
    <w:rsid w:val="00584939"/>
    <w:rsid w:val="005851AD"/>
    <w:rsid w:val="0058537C"/>
    <w:rsid w:val="00585444"/>
    <w:rsid w:val="00585768"/>
    <w:rsid w:val="00585ECA"/>
    <w:rsid w:val="00586C71"/>
    <w:rsid w:val="00587365"/>
    <w:rsid w:val="00587481"/>
    <w:rsid w:val="00587E54"/>
    <w:rsid w:val="00590104"/>
    <w:rsid w:val="0059040D"/>
    <w:rsid w:val="00590967"/>
    <w:rsid w:val="00590DB2"/>
    <w:rsid w:val="00591111"/>
    <w:rsid w:val="00591E89"/>
    <w:rsid w:val="00591EB8"/>
    <w:rsid w:val="0059297F"/>
    <w:rsid w:val="00592C87"/>
    <w:rsid w:val="00594347"/>
    <w:rsid w:val="0059496C"/>
    <w:rsid w:val="005949BE"/>
    <w:rsid w:val="00594FD2"/>
    <w:rsid w:val="00595285"/>
    <w:rsid w:val="00595E67"/>
    <w:rsid w:val="005960E5"/>
    <w:rsid w:val="00596C92"/>
    <w:rsid w:val="00596DD1"/>
    <w:rsid w:val="005972FC"/>
    <w:rsid w:val="00597767"/>
    <w:rsid w:val="00597AEE"/>
    <w:rsid w:val="005A0589"/>
    <w:rsid w:val="005A11EE"/>
    <w:rsid w:val="005A1E5E"/>
    <w:rsid w:val="005A1F6F"/>
    <w:rsid w:val="005A25AB"/>
    <w:rsid w:val="005A299E"/>
    <w:rsid w:val="005A3325"/>
    <w:rsid w:val="005A3585"/>
    <w:rsid w:val="005A393A"/>
    <w:rsid w:val="005A40BF"/>
    <w:rsid w:val="005A441A"/>
    <w:rsid w:val="005A47D6"/>
    <w:rsid w:val="005A5C4A"/>
    <w:rsid w:val="005A629D"/>
    <w:rsid w:val="005A78BD"/>
    <w:rsid w:val="005A7B86"/>
    <w:rsid w:val="005A7D7C"/>
    <w:rsid w:val="005B00F0"/>
    <w:rsid w:val="005B08D3"/>
    <w:rsid w:val="005B0AA1"/>
    <w:rsid w:val="005B0FBD"/>
    <w:rsid w:val="005B1420"/>
    <w:rsid w:val="005B15A6"/>
    <w:rsid w:val="005B1E6D"/>
    <w:rsid w:val="005B2A16"/>
    <w:rsid w:val="005B2B3A"/>
    <w:rsid w:val="005B31F1"/>
    <w:rsid w:val="005B328C"/>
    <w:rsid w:val="005B361A"/>
    <w:rsid w:val="005B3730"/>
    <w:rsid w:val="005B3EDE"/>
    <w:rsid w:val="005B3F30"/>
    <w:rsid w:val="005B3F84"/>
    <w:rsid w:val="005B4101"/>
    <w:rsid w:val="005B46AD"/>
    <w:rsid w:val="005B4971"/>
    <w:rsid w:val="005B49B5"/>
    <w:rsid w:val="005B5084"/>
    <w:rsid w:val="005B5290"/>
    <w:rsid w:val="005B5D01"/>
    <w:rsid w:val="005B5E7F"/>
    <w:rsid w:val="005B5F33"/>
    <w:rsid w:val="005B61A0"/>
    <w:rsid w:val="005B63DA"/>
    <w:rsid w:val="005B6F23"/>
    <w:rsid w:val="005B7195"/>
    <w:rsid w:val="005B7209"/>
    <w:rsid w:val="005B742D"/>
    <w:rsid w:val="005B7522"/>
    <w:rsid w:val="005B796D"/>
    <w:rsid w:val="005B7C49"/>
    <w:rsid w:val="005B7F3A"/>
    <w:rsid w:val="005C037B"/>
    <w:rsid w:val="005C0477"/>
    <w:rsid w:val="005C060F"/>
    <w:rsid w:val="005C19BD"/>
    <w:rsid w:val="005C1B75"/>
    <w:rsid w:val="005C1DD3"/>
    <w:rsid w:val="005C1F5D"/>
    <w:rsid w:val="005C2A60"/>
    <w:rsid w:val="005C2BC7"/>
    <w:rsid w:val="005C3189"/>
    <w:rsid w:val="005C318E"/>
    <w:rsid w:val="005C3836"/>
    <w:rsid w:val="005C3B4B"/>
    <w:rsid w:val="005C418D"/>
    <w:rsid w:val="005C445F"/>
    <w:rsid w:val="005C4C37"/>
    <w:rsid w:val="005C5252"/>
    <w:rsid w:val="005C53AA"/>
    <w:rsid w:val="005C5614"/>
    <w:rsid w:val="005C5DB3"/>
    <w:rsid w:val="005C5EB9"/>
    <w:rsid w:val="005C789D"/>
    <w:rsid w:val="005D0B3D"/>
    <w:rsid w:val="005D0D40"/>
    <w:rsid w:val="005D11A2"/>
    <w:rsid w:val="005D11AB"/>
    <w:rsid w:val="005D145B"/>
    <w:rsid w:val="005D219D"/>
    <w:rsid w:val="005D2345"/>
    <w:rsid w:val="005D23FA"/>
    <w:rsid w:val="005D2511"/>
    <w:rsid w:val="005D2667"/>
    <w:rsid w:val="005D2882"/>
    <w:rsid w:val="005D342D"/>
    <w:rsid w:val="005D3845"/>
    <w:rsid w:val="005D3B9E"/>
    <w:rsid w:val="005D4AD2"/>
    <w:rsid w:val="005D4EC6"/>
    <w:rsid w:val="005D4F35"/>
    <w:rsid w:val="005D552F"/>
    <w:rsid w:val="005D614C"/>
    <w:rsid w:val="005D6541"/>
    <w:rsid w:val="005D7830"/>
    <w:rsid w:val="005E00E4"/>
    <w:rsid w:val="005E176A"/>
    <w:rsid w:val="005E2607"/>
    <w:rsid w:val="005E3CF8"/>
    <w:rsid w:val="005E46B0"/>
    <w:rsid w:val="005E47DB"/>
    <w:rsid w:val="005E508C"/>
    <w:rsid w:val="005E536C"/>
    <w:rsid w:val="005E57F6"/>
    <w:rsid w:val="005E5953"/>
    <w:rsid w:val="005E6C96"/>
    <w:rsid w:val="005E7376"/>
    <w:rsid w:val="005E7445"/>
    <w:rsid w:val="005E7870"/>
    <w:rsid w:val="005E7ADF"/>
    <w:rsid w:val="005F076D"/>
    <w:rsid w:val="005F0AB4"/>
    <w:rsid w:val="005F1360"/>
    <w:rsid w:val="005F1479"/>
    <w:rsid w:val="005F1481"/>
    <w:rsid w:val="005F1DF6"/>
    <w:rsid w:val="005F2343"/>
    <w:rsid w:val="005F2679"/>
    <w:rsid w:val="005F2946"/>
    <w:rsid w:val="005F342A"/>
    <w:rsid w:val="005F37AB"/>
    <w:rsid w:val="005F42B1"/>
    <w:rsid w:val="005F47A1"/>
    <w:rsid w:val="005F5017"/>
    <w:rsid w:val="005F5317"/>
    <w:rsid w:val="005F54B6"/>
    <w:rsid w:val="005F6675"/>
    <w:rsid w:val="005F697B"/>
    <w:rsid w:val="005F6BF7"/>
    <w:rsid w:val="005F6E0F"/>
    <w:rsid w:val="005F72B3"/>
    <w:rsid w:val="0060002E"/>
    <w:rsid w:val="0060086A"/>
    <w:rsid w:val="00602303"/>
    <w:rsid w:val="00603343"/>
    <w:rsid w:val="00603419"/>
    <w:rsid w:val="006038AE"/>
    <w:rsid w:val="00603DDC"/>
    <w:rsid w:val="00604077"/>
    <w:rsid w:val="006042E7"/>
    <w:rsid w:val="00604CAF"/>
    <w:rsid w:val="006050F2"/>
    <w:rsid w:val="006051E9"/>
    <w:rsid w:val="0060643C"/>
    <w:rsid w:val="00606581"/>
    <w:rsid w:val="00606D61"/>
    <w:rsid w:val="006079E8"/>
    <w:rsid w:val="00607B4B"/>
    <w:rsid w:val="00607D2D"/>
    <w:rsid w:val="00610064"/>
    <w:rsid w:val="0061010B"/>
    <w:rsid w:val="00610ED7"/>
    <w:rsid w:val="00611580"/>
    <w:rsid w:val="00611721"/>
    <w:rsid w:val="00611FA4"/>
    <w:rsid w:val="006124FC"/>
    <w:rsid w:val="00612921"/>
    <w:rsid w:val="0061300A"/>
    <w:rsid w:val="006130C4"/>
    <w:rsid w:val="00613298"/>
    <w:rsid w:val="006134CB"/>
    <w:rsid w:val="00613A4B"/>
    <w:rsid w:val="00613CC7"/>
    <w:rsid w:val="00614203"/>
    <w:rsid w:val="0061424A"/>
    <w:rsid w:val="006144AC"/>
    <w:rsid w:val="006148FF"/>
    <w:rsid w:val="00615376"/>
    <w:rsid w:val="006153A3"/>
    <w:rsid w:val="00615747"/>
    <w:rsid w:val="00616195"/>
    <w:rsid w:val="0061660F"/>
    <w:rsid w:val="0061673F"/>
    <w:rsid w:val="006171E1"/>
    <w:rsid w:val="00617399"/>
    <w:rsid w:val="00617ACB"/>
    <w:rsid w:val="00617B6C"/>
    <w:rsid w:val="00620422"/>
    <w:rsid w:val="00621D3D"/>
    <w:rsid w:val="006233B0"/>
    <w:rsid w:val="00623C67"/>
    <w:rsid w:val="00623CAB"/>
    <w:rsid w:val="006243B6"/>
    <w:rsid w:val="00624B74"/>
    <w:rsid w:val="00625873"/>
    <w:rsid w:val="0062688C"/>
    <w:rsid w:val="00627EC6"/>
    <w:rsid w:val="00627EF5"/>
    <w:rsid w:val="006300A9"/>
    <w:rsid w:val="00630333"/>
    <w:rsid w:val="006305F3"/>
    <w:rsid w:val="00630DD4"/>
    <w:rsid w:val="006310F1"/>
    <w:rsid w:val="0063133C"/>
    <w:rsid w:val="00631503"/>
    <w:rsid w:val="0063167C"/>
    <w:rsid w:val="00631F98"/>
    <w:rsid w:val="006343F4"/>
    <w:rsid w:val="006347F9"/>
    <w:rsid w:val="006348F2"/>
    <w:rsid w:val="00634A10"/>
    <w:rsid w:val="00635108"/>
    <w:rsid w:val="006355D0"/>
    <w:rsid w:val="00635E1C"/>
    <w:rsid w:val="006366D9"/>
    <w:rsid w:val="00636F56"/>
    <w:rsid w:val="00637311"/>
    <w:rsid w:val="0063767B"/>
    <w:rsid w:val="00637936"/>
    <w:rsid w:val="0064050C"/>
    <w:rsid w:val="0064071B"/>
    <w:rsid w:val="006414AE"/>
    <w:rsid w:val="006419D5"/>
    <w:rsid w:val="00641CD4"/>
    <w:rsid w:val="00642881"/>
    <w:rsid w:val="00642973"/>
    <w:rsid w:val="00643891"/>
    <w:rsid w:val="00644875"/>
    <w:rsid w:val="0064494A"/>
    <w:rsid w:val="0064583C"/>
    <w:rsid w:val="006458CE"/>
    <w:rsid w:val="00645B95"/>
    <w:rsid w:val="00646266"/>
    <w:rsid w:val="00646389"/>
    <w:rsid w:val="00646861"/>
    <w:rsid w:val="00646AEA"/>
    <w:rsid w:val="00646C15"/>
    <w:rsid w:val="00647183"/>
    <w:rsid w:val="0064724D"/>
    <w:rsid w:val="0064739F"/>
    <w:rsid w:val="00647BD2"/>
    <w:rsid w:val="00647DFE"/>
    <w:rsid w:val="006504D7"/>
    <w:rsid w:val="006508C3"/>
    <w:rsid w:val="00650B11"/>
    <w:rsid w:val="006515A9"/>
    <w:rsid w:val="00651841"/>
    <w:rsid w:val="00651C47"/>
    <w:rsid w:val="00651F2B"/>
    <w:rsid w:val="006525A0"/>
    <w:rsid w:val="00653B67"/>
    <w:rsid w:val="00653E0B"/>
    <w:rsid w:val="00654048"/>
    <w:rsid w:val="00654FD2"/>
    <w:rsid w:val="006550FE"/>
    <w:rsid w:val="00655C36"/>
    <w:rsid w:val="00656180"/>
    <w:rsid w:val="00656556"/>
    <w:rsid w:val="00657F0C"/>
    <w:rsid w:val="0066021F"/>
    <w:rsid w:val="006602BC"/>
    <w:rsid w:val="006605AA"/>
    <w:rsid w:val="0066083A"/>
    <w:rsid w:val="00660874"/>
    <w:rsid w:val="006608D0"/>
    <w:rsid w:val="00660A55"/>
    <w:rsid w:val="00660A6E"/>
    <w:rsid w:val="00661BDF"/>
    <w:rsid w:val="00663ADB"/>
    <w:rsid w:val="00663D22"/>
    <w:rsid w:val="00663E0C"/>
    <w:rsid w:val="00663EC5"/>
    <w:rsid w:val="00664175"/>
    <w:rsid w:val="006643DE"/>
    <w:rsid w:val="00664FA9"/>
    <w:rsid w:val="006650FF"/>
    <w:rsid w:val="00665153"/>
    <w:rsid w:val="006656FA"/>
    <w:rsid w:val="0066589A"/>
    <w:rsid w:val="00665A75"/>
    <w:rsid w:val="00665D50"/>
    <w:rsid w:val="00666370"/>
    <w:rsid w:val="00666471"/>
    <w:rsid w:val="00666BFE"/>
    <w:rsid w:val="00666F24"/>
    <w:rsid w:val="00667548"/>
    <w:rsid w:val="00667FCA"/>
    <w:rsid w:val="00670478"/>
    <w:rsid w:val="00670645"/>
    <w:rsid w:val="00670BC6"/>
    <w:rsid w:val="00671742"/>
    <w:rsid w:val="00671744"/>
    <w:rsid w:val="00671CD7"/>
    <w:rsid w:val="00671F82"/>
    <w:rsid w:val="0067264F"/>
    <w:rsid w:val="00672F69"/>
    <w:rsid w:val="0067304F"/>
    <w:rsid w:val="006739F7"/>
    <w:rsid w:val="00673B9C"/>
    <w:rsid w:val="00673CDE"/>
    <w:rsid w:val="00674416"/>
    <w:rsid w:val="00674AAA"/>
    <w:rsid w:val="00674BF4"/>
    <w:rsid w:val="00675563"/>
    <w:rsid w:val="006755AF"/>
    <w:rsid w:val="006760B8"/>
    <w:rsid w:val="0067610F"/>
    <w:rsid w:val="006764F0"/>
    <w:rsid w:val="006765E0"/>
    <w:rsid w:val="00676651"/>
    <w:rsid w:val="00676A66"/>
    <w:rsid w:val="00676BA4"/>
    <w:rsid w:val="0067749E"/>
    <w:rsid w:val="00677D13"/>
    <w:rsid w:val="00677D61"/>
    <w:rsid w:val="00680478"/>
    <w:rsid w:val="00680782"/>
    <w:rsid w:val="00681050"/>
    <w:rsid w:val="00681834"/>
    <w:rsid w:val="00681865"/>
    <w:rsid w:val="00681E82"/>
    <w:rsid w:val="00681F66"/>
    <w:rsid w:val="0068255B"/>
    <w:rsid w:val="00682F59"/>
    <w:rsid w:val="00683056"/>
    <w:rsid w:val="006833D3"/>
    <w:rsid w:val="0068390A"/>
    <w:rsid w:val="00683B78"/>
    <w:rsid w:val="0068403E"/>
    <w:rsid w:val="00684565"/>
    <w:rsid w:val="00684BDE"/>
    <w:rsid w:val="00685266"/>
    <w:rsid w:val="0068572D"/>
    <w:rsid w:val="00686055"/>
    <w:rsid w:val="00686259"/>
    <w:rsid w:val="00686708"/>
    <w:rsid w:val="0068687B"/>
    <w:rsid w:val="0068751B"/>
    <w:rsid w:val="00687C68"/>
    <w:rsid w:val="0069009F"/>
    <w:rsid w:val="00690293"/>
    <w:rsid w:val="00690806"/>
    <w:rsid w:val="00690F53"/>
    <w:rsid w:val="006928C8"/>
    <w:rsid w:val="00692A0A"/>
    <w:rsid w:val="00692B5F"/>
    <w:rsid w:val="006941BA"/>
    <w:rsid w:val="00694563"/>
    <w:rsid w:val="0069497C"/>
    <w:rsid w:val="0069612D"/>
    <w:rsid w:val="00697FCC"/>
    <w:rsid w:val="006A00FA"/>
    <w:rsid w:val="006A0374"/>
    <w:rsid w:val="006A062F"/>
    <w:rsid w:val="006A088E"/>
    <w:rsid w:val="006A0B56"/>
    <w:rsid w:val="006A1376"/>
    <w:rsid w:val="006A1CE7"/>
    <w:rsid w:val="006A3344"/>
    <w:rsid w:val="006A3F2B"/>
    <w:rsid w:val="006A4A61"/>
    <w:rsid w:val="006A6097"/>
    <w:rsid w:val="006A6EB3"/>
    <w:rsid w:val="006A6F18"/>
    <w:rsid w:val="006A72FC"/>
    <w:rsid w:val="006A731D"/>
    <w:rsid w:val="006A76B1"/>
    <w:rsid w:val="006B0A9D"/>
    <w:rsid w:val="006B0DEA"/>
    <w:rsid w:val="006B1C8D"/>
    <w:rsid w:val="006B337F"/>
    <w:rsid w:val="006B456F"/>
    <w:rsid w:val="006B4C9E"/>
    <w:rsid w:val="006B543D"/>
    <w:rsid w:val="006B55A9"/>
    <w:rsid w:val="006B55D2"/>
    <w:rsid w:val="006B67DB"/>
    <w:rsid w:val="006B72AA"/>
    <w:rsid w:val="006B76D3"/>
    <w:rsid w:val="006B7D69"/>
    <w:rsid w:val="006C02FC"/>
    <w:rsid w:val="006C18BB"/>
    <w:rsid w:val="006C1BFB"/>
    <w:rsid w:val="006C25C3"/>
    <w:rsid w:val="006C281C"/>
    <w:rsid w:val="006C28D0"/>
    <w:rsid w:val="006C5B17"/>
    <w:rsid w:val="006C6605"/>
    <w:rsid w:val="006C699B"/>
    <w:rsid w:val="006C724C"/>
    <w:rsid w:val="006C74FD"/>
    <w:rsid w:val="006C7505"/>
    <w:rsid w:val="006C7A4F"/>
    <w:rsid w:val="006C7A73"/>
    <w:rsid w:val="006C7B1E"/>
    <w:rsid w:val="006C7DA8"/>
    <w:rsid w:val="006D02A2"/>
    <w:rsid w:val="006D15C8"/>
    <w:rsid w:val="006D1F9E"/>
    <w:rsid w:val="006D2189"/>
    <w:rsid w:val="006D28A3"/>
    <w:rsid w:val="006D3469"/>
    <w:rsid w:val="006D3E85"/>
    <w:rsid w:val="006D40EF"/>
    <w:rsid w:val="006D4776"/>
    <w:rsid w:val="006D488C"/>
    <w:rsid w:val="006D4A55"/>
    <w:rsid w:val="006D584C"/>
    <w:rsid w:val="006D6054"/>
    <w:rsid w:val="006D6AB9"/>
    <w:rsid w:val="006D75AA"/>
    <w:rsid w:val="006D75FC"/>
    <w:rsid w:val="006D77AB"/>
    <w:rsid w:val="006D7FD9"/>
    <w:rsid w:val="006E0583"/>
    <w:rsid w:val="006E076D"/>
    <w:rsid w:val="006E08C4"/>
    <w:rsid w:val="006E08D6"/>
    <w:rsid w:val="006E0E38"/>
    <w:rsid w:val="006E1CC2"/>
    <w:rsid w:val="006E1D6D"/>
    <w:rsid w:val="006E1E58"/>
    <w:rsid w:val="006E1EE5"/>
    <w:rsid w:val="006E1F53"/>
    <w:rsid w:val="006E2095"/>
    <w:rsid w:val="006E2171"/>
    <w:rsid w:val="006E2588"/>
    <w:rsid w:val="006E2628"/>
    <w:rsid w:val="006E2642"/>
    <w:rsid w:val="006E3099"/>
    <w:rsid w:val="006E35AA"/>
    <w:rsid w:val="006E4C00"/>
    <w:rsid w:val="006E51FC"/>
    <w:rsid w:val="006E572B"/>
    <w:rsid w:val="006E5A86"/>
    <w:rsid w:val="006E5AD0"/>
    <w:rsid w:val="006E6376"/>
    <w:rsid w:val="006E6AB5"/>
    <w:rsid w:val="006E7155"/>
    <w:rsid w:val="006E77DF"/>
    <w:rsid w:val="006E7B9B"/>
    <w:rsid w:val="006E7C1A"/>
    <w:rsid w:val="006E7DE8"/>
    <w:rsid w:val="006F0179"/>
    <w:rsid w:val="006F0702"/>
    <w:rsid w:val="006F0EC2"/>
    <w:rsid w:val="006F0ED0"/>
    <w:rsid w:val="006F2C4D"/>
    <w:rsid w:val="006F2C95"/>
    <w:rsid w:val="006F3045"/>
    <w:rsid w:val="006F3217"/>
    <w:rsid w:val="006F348E"/>
    <w:rsid w:val="006F377A"/>
    <w:rsid w:val="006F3947"/>
    <w:rsid w:val="006F3CEA"/>
    <w:rsid w:val="006F426B"/>
    <w:rsid w:val="006F4A94"/>
    <w:rsid w:val="006F4BCE"/>
    <w:rsid w:val="006F4CF9"/>
    <w:rsid w:val="006F4FD3"/>
    <w:rsid w:val="006F5C69"/>
    <w:rsid w:val="006F5EDC"/>
    <w:rsid w:val="006F60F6"/>
    <w:rsid w:val="006F6396"/>
    <w:rsid w:val="006F696B"/>
    <w:rsid w:val="006F69E0"/>
    <w:rsid w:val="006F6B62"/>
    <w:rsid w:val="006F7595"/>
    <w:rsid w:val="00701745"/>
    <w:rsid w:val="00702A73"/>
    <w:rsid w:val="00702D4C"/>
    <w:rsid w:val="00703952"/>
    <w:rsid w:val="007044B1"/>
    <w:rsid w:val="00705A02"/>
    <w:rsid w:val="00706122"/>
    <w:rsid w:val="00706402"/>
    <w:rsid w:val="007064B3"/>
    <w:rsid w:val="00707D03"/>
    <w:rsid w:val="0071013E"/>
    <w:rsid w:val="00710150"/>
    <w:rsid w:val="00710AAA"/>
    <w:rsid w:val="00711ABD"/>
    <w:rsid w:val="00711DEA"/>
    <w:rsid w:val="007123AF"/>
    <w:rsid w:val="00712943"/>
    <w:rsid w:val="00712AE7"/>
    <w:rsid w:val="00713500"/>
    <w:rsid w:val="00713C95"/>
    <w:rsid w:val="00713E51"/>
    <w:rsid w:val="00714133"/>
    <w:rsid w:val="00714440"/>
    <w:rsid w:val="00714778"/>
    <w:rsid w:val="007147DA"/>
    <w:rsid w:val="00714DE2"/>
    <w:rsid w:val="007151BE"/>
    <w:rsid w:val="007154A5"/>
    <w:rsid w:val="0071576F"/>
    <w:rsid w:val="00716420"/>
    <w:rsid w:val="00716531"/>
    <w:rsid w:val="00716DB9"/>
    <w:rsid w:val="00716DEA"/>
    <w:rsid w:val="00716E37"/>
    <w:rsid w:val="0071729F"/>
    <w:rsid w:val="00717858"/>
    <w:rsid w:val="00717956"/>
    <w:rsid w:val="00717D3A"/>
    <w:rsid w:val="0072020F"/>
    <w:rsid w:val="00720EA4"/>
    <w:rsid w:val="00721CB5"/>
    <w:rsid w:val="00722134"/>
    <w:rsid w:val="00722B0F"/>
    <w:rsid w:val="007234E0"/>
    <w:rsid w:val="0072451E"/>
    <w:rsid w:val="00724699"/>
    <w:rsid w:val="00724740"/>
    <w:rsid w:val="00724DF6"/>
    <w:rsid w:val="007251F6"/>
    <w:rsid w:val="00725293"/>
    <w:rsid w:val="00725742"/>
    <w:rsid w:val="007262CD"/>
    <w:rsid w:val="007264CC"/>
    <w:rsid w:val="00726D2B"/>
    <w:rsid w:val="007279A5"/>
    <w:rsid w:val="00727DD1"/>
    <w:rsid w:val="007308ED"/>
    <w:rsid w:val="00731743"/>
    <w:rsid w:val="00731E9B"/>
    <w:rsid w:val="007326C4"/>
    <w:rsid w:val="0073289A"/>
    <w:rsid w:val="00732B92"/>
    <w:rsid w:val="0073305E"/>
    <w:rsid w:val="0073444B"/>
    <w:rsid w:val="007345B1"/>
    <w:rsid w:val="007352A9"/>
    <w:rsid w:val="0073535C"/>
    <w:rsid w:val="007355A4"/>
    <w:rsid w:val="007355D4"/>
    <w:rsid w:val="007360B0"/>
    <w:rsid w:val="007360EA"/>
    <w:rsid w:val="00736C01"/>
    <w:rsid w:val="00736E36"/>
    <w:rsid w:val="00737203"/>
    <w:rsid w:val="007408EC"/>
    <w:rsid w:val="00740FB5"/>
    <w:rsid w:val="007413C8"/>
    <w:rsid w:val="007418BE"/>
    <w:rsid w:val="00741A10"/>
    <w:rsid w:val="00741AEE"/>
    <w:rsid w:val="00741F5F"/>
    <w:rsid w:val="007439F3"/>
    <w:rsid w:val="00743C2E"/>
    <w:rsid w:val="0074450B"/>
    <w:rsid w:val="007445F8"/>
    <w:rsid w:val="00744ACF"/>
    <w:rsid w:val="00744F86"/>
    <w:rsid w:val="0074518A"/>
    <w:rsid w:val="00745395"/>
    <w:rsid w:val="00745C8F"/>
    <w:rsid w:val="007461AC"/>
    <w:rsid w:val="00746CC5"/>
    <w:rsid w:val="00747ACA"/>
    <w:rsid w:val="00747C99"/>
    <w:rsid w:val="00747EB5"/>
    <w:rsid w:val="007500E6"/>
    <w:rsid w:val="00751F8C"/>
    <w:rsid w:val="007522D4"/>
    <w:rsid w:val="007528B2"/>
    <w:rsid w:val="00752BDC"/>
    <w:rsid w:val="00753B88"/>
    <w:rsid w:val="007546EB"/>
    <w:rsid w:val="007554A7"/>
    <w:rsid w:val="00755661"/>
    <w:rsid w:val="00755D59"/>
    <w:rsid w:val="007562DC"/>
    <w:rsid w:val="00756E18"/>
    <w:rsid w:val="0075755C"/>
    <w:rsid w:val="00757678"/>
    <w:rsid w:val="00757BA4"/>
    <w:rsid w:val="00757FB8"/>
    <w:rsid w:val="007603E3"/>
    <w:rsid w:val="00760707"/>
    <w:rsid w:val="007608FD"/>
    <w:rsid w:val="00760AD7"/>
    <w:rsid w:val="00761680"/>
    <w:rsid w:val="00761744"/>
    <w:rsid w:val="00762135"/>
    <w:rsid w:val="00762378"/>
    <w:rsid w:val="007623A3"/>
    <w:rsid w:val="007633E1"/>
    <w:rsid w:val="0076359B"/>
    <w:rsid w:val="00763859"/>
    <w:rsid w:val="00763A92"/>
    <w:rsid w:val="00763CA0"/>
    <w:rsid w:val="00764135"/>
    <w:rsid w:val="00764317"/>
    <w:rsid w:val="00764731"/>
    <w:rsid w:val="007650F1"/>
    <w:rsid w:val="00765C04"/>
    <w:rsid w:val="00765C6B"/>
    <w:rsid w:val="0076649C"/>
    <w:rsid w:val="00766555"/>
    <w:rsid w:val="00766F30"/>
    <w:rsid w:val="007672DE"/>
    <w:rsid w:val="007673BD"/>
    <w:rsid w:val="00770332"/>
    <w:rsid w:val="00770450"/>
    <w:rsid w:val="00770F1F"/>
    <w:rsid w:val="0077111A"/>
    <w:rsid w:val="007711B8"/>
    <w:rsid w:val="00771597"/>
    <w:rsid w:val="00771CE8"/>
    <w:rsid w:val="00771CFA"/>
    <w:rsid w:val="00771E3B"/>
    <w:rsid w:val="00772937"/>
    <w:rsid w:val="007736E7"/>
    <w:rsid w:val="00773F36"/>
    <w:rsid w:val="00774294"/>
    <w:rsid w:val="007745EC"/>
    <w:rsid w:val="00774D0F"/>
    <w:rsid w:val="0077502C"/>
    <w:rsid w:val="0077547F"/>
    <w:rsid w:val="00775ACE"/>
    <w:rsid w:val="007765D6"/>
    <w:rsid w:val="00776BC7"/>
    <w:rsid w:val="00777AA1"/>
    <w:rsid w:val="00777B97"/>
    <w:rsid w:val="00780292"/>
    <w:rsid w:val="0078073E"/>
    <w:rsid w:val="00781511"/>
    <w:rsid w:val="0078178F"/>
    <w:rsid w:val="007819EC"/>
    <w:rsid w:val="0078201C"/>
    <w:rsid w:val="00782841"/>
    <w:rsid w:val="00782B48"/>
    <w:rsid w:val="0078332B"/>
    <w:rsid w:val="00783A68"/>
    <w:rsid w:val="00785242"/>
    <w:rsid w:val="00785889"/>
    <w:rsid w:val="00786C85"/>
    <w:rsid w:val="007877BE"/>
    <w:rsid w:val="007878A7"/>
    <w:rsid w:val="00787B24"/>
    <w:rsid w:val="00787CC3"/>
    <w:rsid w:val="0079038F"/>
    <w:rsid w:val="00790DF8"/>
    <w:rsid w:val="007910F3"/>
    <w:rsid w:val="0079117D"/>
    <w:rsid w:val="00791C3D"/>
    <w:rsid w:val="00792773"/>
    <w:rsid w:val="00793263"/>
    <w:rsid w:val="00793468"/>
    <w:rsid w:val="007934A2"/>
    <w:rsid w:val="007935AF"/>
    <w:rsid w:val="00793610"/>
    <w:rsid w:val="00793AB5"/>
    <w:rsid w:val="00794C94"/>
    <w:rsid w:val="00794CDD"/>
    <w:rsid w:val="00794D54"/>
    <w:rsid w:val="00794D83"/>
    <w:rsid w:val="00794E53"/>
    <w:rsid w:val="00795836"/>
    <w:rsid w:val="0079648C"/>
    <w:rsid w:val="00796A13"/>
    <w:rsid w:val="00797184"/>
    <w:rsid w:val="00797757"/>
    <w:rsid w:val="007977B7"/>
    <w:rsid w:val="007A0694"/>
    <w:rsid w:val="007A1704"/>
    <w:rsid w:val="007A186E"/>
    <w:rsid w:val="007A1A12"/>
    <w:rsid w:val="007A1BCF"/>
    <w:rsid w:val="007A2E3A"/>
    <w:rsid w:val="007A497C"/>
    <w:rsid w:val="007A4997"/>
    <w:rsid w:val="007A4CFF"/>
    <w:rsid w:val="007A61AE"/>
    <w:rsid w:val="007A6275"/>
    <w:rsid w:val="007A6496"/>
    <w:rsid w:val="007A6583"/>
    <w:rsid w:val="007A689D"/>
    <w:rsid w:val="007A6BE0"/>
    <w:rsid w:val="007A740D"/>
    <w:rsid w:val="007A76D4"/>
    <w:rsid w:val="007A7975"/>
    <w:rsid w:val="007B03A6"/>
    <w:rsid w:val="007B08DE"/>
    <w:rsid w:val="007B0AD4"/>
    <w:rsid w:val="007B0BB6"/>
    <w:rsid w:val="007B0DC4"/>
    <w:rsid w:val="007B1098"/>
    <w:rsid w:val="007B16BD"/>
    <w:rsid w:val="007B1A74"/>
    <w:rsid w:val="007B1C5C"/>
    <w:rsid w:val="007B2345"/>
    <w:rsid w:val="007B27A6"/>
    <w:rsid w:val="007B314E"/>
    <w:rsid w:val="007B35C6"/>
    <w:rsid w:val="007B375B"/>
    <w:rsid w:val="007B3B8C"/>
    <w:rsid w:val="007B3F9B"/>
    <w:rsid w:val="007B4188"/>
    <w:rsid w:val="007B455C"/>
    <w:rsid w:val="007B47B1"/>
    <w:rsid w:val="007B4912"/>
    <w:rsid w:val="007B4A70"/>
    <w:rsid w:val="007B51CE"/>
    <w:rsid w:val="007B556B"/>
    <w:rsid w:val="007B57AA"/>
    <w:rsid w:val="007B5C8E"/>
    <w:rsid w:val="007B624D"/>
    <w:rsid w:val="007B627C"/>
    <w:rsid w:val="007B6493"/>
    <w:rsid w:val="007B6A98"/>
    <w:rsid w:val="007B6A9F"/>
    <w:rsid w:val="007B6EA1"/>
    <w:rsid w:val="007B6EB5"/>
    <w:rsid w:val="007B7677"/>
    <w:rsid w:val="007B79AD"/>
    <w:rsid w:val="007B7BAC"/>
    <w:rsid w:val="007C0121"/>
    <w:rsid w:val="007C036E"/>
    <w:rsid w:val="007C03E9"/>
    <w:rsid w:val="007C062C"/>
    <w:rsid w:val="007C0725"/>
    <w:rsid w:val="007C0986"/>
    <w:rsid w:val="007C0AA9"/>
    <w:rsid w:val="007C0F4C"/>
    <w:rsid w:val="007C1461"/>
    <w:rsid w:val="007C1B36"/>
    <w:rsid w:val="007C228E"/>
    <w:rsid w:val="007C2420"/>
    <w:rsid w:val="007C2607"/>
    <w:rsid w:val="007C31E9"/>
    <w:rsid w:val="007C407A"/>
    <w:rsid w:val="007C4D10"/>
    <w:rsid w:val="007C5176"/>
    <w:rsid w:val="007C5209"/>
    <w:rsid w:val="007C5F7A"/>
    <w:rsid w:val="007C6885"/>
    <w:rsid w:val="007C6E5B"/>
    <w:rsid w:val="007C7D26"/>
    <w:rsid w:val="007C7DF6"/>
    <w:rsid w:val="007C7DF7"/>
    <w:rsid w:val="007D0960"/>
    <w:rsid w:val="007D1306"/>
    <w:rsid w:val="007D18F6"/>
    <w:rsid w:val="007D2B31"/>
    <w:rsid w:val="007D2D45"/>
    <w:rsid w:val="007D33A0"/>
    <w:rsid w:val="007D4304"/>
    <w:rsid w:val="007D4C14"/>
    <w:rsid w:val="007D66F1"/>
    <w:rsid w:val="007D6D73"/>
    <w:rsid w:val="007D7005"/>
    <w:rsid w:val="007D71E7"/>
    <w:rsid w:val="007D734E"/>
    <w:rsid w:val="007D73A8"/>
    <w:rsid w:val="007D7537"/>
    <w:rsid w:val="007D7E7A"/>
    <w:rsid w:val="007E004D"/>
    <w:rsid w:val="007E0D47"/>
    <w:rsid w:val="007E1166"/>
    <w:rsid w:val="007E1E1D"/>
    <w:rsid w:val="007E2217"/>
    <w:rsid w:val="007E2BF3"/>
    <w:rsid w:val="007E2C5A"/>
    <w:rsid w:val="007E2C5F"/>
    <w:rsid w:val="007E3219"/>
    <w:rsid w:val="007E3730"/>
    <w:rsid w:val="007E475E"/>
    <w:rsid w:val="007E57D8"/>
    <w:rsid w:val="007E57FF"/>
    <w:rsid w:val="007E7433"/>
    <w:rsid w:val="007E7929"/>
    <w:rsid w:val="007F09E3"/>
    <w:rsid w:val="007F0A2D"/>
    <w:rsid w:val="007F0DF2"/>
    <w:rsid w:val="007F12D6"/>
    <w:rsid w:val="007F1995"/>
    <w:rsid w:val="007F1A96"/>
    <w:rsid w:val="007F1E88"/>
    <w:rsid w:val="007F242D"/>
    <w:rsid w:val="007F2DD6"/>
    <w:rsid w:val="007F2EC8"/>
    <w:rsid w:val="007F31B3"/>
    <w:rsid w:val="007F3214"/>
    <w:rsid w:val="007F32FB"/>
    <w:rsid w:val="007F35FB"/>
    <w:rsid w:val="007F387B"/>
    <w:rsid w:val="007F428F"/>
    <w:rsid w:val="007F4A20"/>
    <w:rsid w:val="007F5142"/>
    <w:rsid w:val="007F524F"/>
    <w:rsid w:val="007F547C"/>
    <w:rsid w:val="007F54FC"/>
    <w:rsid w:val="007F6132"/>
    <w:rsid w:val="007F7D9F"/>
    <w:rsid w:val="007F7FF0"/>
    <w:rsid w:val="00800695"/>
    <w:rsid w:val="008006D1"/>
    <w:rsid w:val="00801B23"/>
    <w:rsid w:val="00801F7A"/>
    <w:rsid w:val="00802705"/>
    <w:rsid w:val="00802C34"/>
    <w:rsid w:val="00802CE0"/>
    <w:rsid w:val="00802D1E"/>
    <w:rsid w:val="008031A9"/>
    <w:rsid w:val="00803BA0"/>
    <w:rsid w:val="00803BF6"/>
    <w:rsid w:val="00803E02"/>
    <w:rsid w:val="00803F9F"/>
    <w:rsid w:val="00804467"/>
    <w:rsid w:val="00804942"/>
    <w:rsid w:val="00804C51"/>
    <w:rsid w:val="00805362"/>
    <w:rsid w:val="008055F6"/>
    <w:rsid w:val="00805657"/>
    <w:rsid w:val="00806FB0"/>
    <w:rsid w:val="00810250"/>
    <w:rsid w:val="00810415"/>
    <w:rsid w:val="00810748"/>
    <w:rsid w:val="00810A0B"/>
    <w:rsid w:val="00810B49"/>
    <w:rsid w:val="00811635"/>
    <w:rsid w:val="0081196F"/>
    <w:rsid w:val="00811C2D"/>
    <w:rsid w:val="00811C87"/>
    <w:rsid w:val="00811F41"/>
    <w:rsid w:val="00812A7C"/>
    <w:rsid w:val="00812BBA"/>
    <w:rsid w:val="00812C25"/>
    <w:rsid w:val="00812FA0"/>
    <w:rsid w:val="00813047"/>
    <w:rsid w:val="0081385A"/>
    <w:rsid w:val="0081389A"/>
    <w:rsid w:val="0081391A"/>
    <w:rsid w:val="008139FD"/>
    <w:rsid w:val="00813F60"/>
    <w:rsid w:val="00813FF6"/>
    <w:rsid w:val="00814195"/>
    <w:rsid w:val="0081466D"/>
    <w:rsid w:val="00815603"/>
    <w:rsid w:val="008158F4"/>
    <w:rsid w:val="00817155"/>
    <w:rsid w:val="0081717A"/>
    <w:rsid w:val="00817260"/>
    <w:rsid w:val="00820201"/>
    <w:rsid w:val="008203F0"/>
    <w:rsid w:val="00820C8F"/>
    <w:rsid w:val="0082279F"/>
    <w:rsid w:val="00822A35"/>
    <w:rsid w:val="00822F75"/>
    <w:rsid w:val="00823DF8"/>
    <w:rsid w:val="00823F04"/>
    <w:rsid w:val="008240C5"/>
    <w:rsid w:val="00824F8C"/>
    <w:rsid w:val="008259F3"/>
    <w:rsid w:val="00825D79"/>
    <w:rsid w:val="00825DE3"/>
    <w:rsid w:val="008261D2"/>
    <w:rsid w:val="0082629E"/>
    <w:rsid w:val="008266D8"/>
    <w:rsid w:val="008269AC"/>
    <w:rsid w:val="00830AC8"/>
    <w:rsid w:val="00831B3D"/>
    <w:rsid w:val="00831DF8"/>
    <w:rsid w:val="00832065"/>
    <w:rsid w:val="00832AA2"/>
    <w:rsid w:val="00832B4C"/>
    <w:rsid w:val="00832EEF"/>
    <w:rsid w:val="008335FF"/>
    <w:rsid w:val="00833BE3"/>
    <w:rsid w:val="00834659"/>
    <w:rsid w:val="008346BE"/>
    <w:rsid w:val="008349D6"/>
    <w:rsid w:val="00834F73"/>
    <w:rsid w:val="00835410"/>
    <w:rsid w:val="00836387"/>
    <w:rsid w:val="00836685"/>
    <w:rsid w:val="0083679F"/>
    <w:rsid w:val="00837169"/>
    <w:rsid w:val="0083736E"/>
    <w:rsid w:val="008373AF"/>
    <w:rsid w:val="0084009C"/>
    <w:rsid w:val="0084058C"/>
    <w:rsid w:val="00840A4E"/>
    <w:rsid w:val="00841C17"/>
    <w:rsid w:val="00841F77"/>
    <w:rsid w:val="00842FEB"/>
    <w:rsid w:val="00843669"/>
    <w:rsid w:val="00843FD0"/>
    <w:rsid w:val="00844D24"/>
    <w:rsid w:val="00845954"/>
    <w:rsid w:val="00845E22"/>
    <w:rsid w:val="008462D6"/>
    <w:rsid w:val="00846E99"/>
    <w:rsid w:val="0084717A"/>
    <w:rsid w:val="008474D3"/>
    <w:rsid w:val="00847D4C"/>
    <w:rsid w:val="00850180"/>
    <w:rsid w:val="008509D2"/>
    <w:rsid w:val="00850CAD"/>
    <w:rsid w:val="00851409"/>
    <w:rsid w:val="008514C2"/>
    <w:rsid w:val="00851703"/>
    <w:rsid w:val="00851D9F"/>
    <w:rsid w:val="0085245C"/>
    <w:rsid w:val="0085358B"/>
    <w:rsid w:val="0085382A"/>
    <w:rsid w:val="00854187"/>
    <w:rsid w:val="00854371"/>
    <w:rsid w:val="008545E3"/>
    <w:rsid w:val="0085490C"/>
    <w:rsid w:val="008554D7"/>
    <w:rsid w:val="008555FE"/>
    <w:rsid w:val="00855BBD"/>
    <w:rsid w:val="00855ED0"/>
    <w:rsid w:val="00856329"/>
    <w:rsid w:val="0085633E"/>
    <w:rsid w:val="008569CD"/>
    <w:rsid w:val="00856C2D"/>
    <w:rsid w:val="00856C9A"/>
    <w:rsid w:val="008574BF"/>
    <w:rsid w:val="00857AB5"/>
    <w:rsid w:val="00857D35"/>
    <w:rsid w:val="0086116E"/>
    <w:rsid w:val="00861BED"/>
    <w:rsid w:val="00861D28"/>
    <w:rsid w:val="00861DEF"/>
    <w:rsid w:val="00862519"/>
    <w:rsid w:val="0086258E"/>
    <w:rsid w:val="0086305C"/>
    <w:rsid w:val="008633D3"/>
    <w:rsid w:val="008637FC"/>
    <w:rsid w:val="0086410F"/>
    <w:rsid w:val="008642F0"/>
    <w:rsid w:val="0086451B"/>
    <w:rsid w:val="00865147"/>
    <w:rsid w:val="0086585F"/>
    <w:rsid w:val="00865C6E"/>
    <w:rsid w:val="00865D56"/>
    <w:rsid w:val="00865DE6"/>
    <w:rsid w:val="00866197"/>
    <w:rsid w:val="00866305"/>
    <w:rsid w:val="008667A8"/>
    <w:rsid w:val="00866D23"/>
    <w:rsid w:val="008675D6"/>
    <w:rsid w:val="00870577"/>
    <w:rsid w:val="00870BBE"/>
    <w:rsid w:val="00871299"/>
    <w:rsid w:val="00871405"/>
    <w:rsid w:val="00871518"/>
    <w:rsid w:val="00872844"/>
    <w:rsid w:val="00872A52"/>
    <w:rsid w:val="00872B4C"/>
    <w:rsid w:val="00872C7C"/>
    <w:rsid w:val="00872CE8"/>
    <w:rsid w:val="008743FB"/>
    <w:rsid w:val="008745C3"/>
    <w:rsid w:val="0087465F"/>
    <w:rsid w:val="00874E6C"/>
    <w:rsid w:val="00874EFF"/>
    <w:rsid w:val="0087528C"/>
    <w:rsid w:val="008756F2"/>
    <w:rsid w:val="00875AC1"/>
    <w:rsid w:val="00876097"/>
    <w:rsid w:val="00876181"/>
    <w:rsid w:val="008763D2"/>
    <w:rsid w:val="00877707"/>
    <w:rsid w:val="0087793D"/>
    <w:rsid w:val="008779A8"/>
    <w:rsid w:val="00877C9F"/>
    <w:rsid w:val="008806CA"/>
    <w:rsid w:val="00880BBA"/>
    <w:rsid w:val="00880D8D"/>
    <w:rsid w:val="00880DA4"/>
    <w:rsid w:val="00881057"/>
    <w:rsid w:val="00881126"/>
    <w:rsid w:val="00881354"/>
    <w:rsid w:val="00881A3A"/>
    <w:rsid w:val="00881BBF"/>
    <w:rsid w:val="00881C66"/>
    <w:rsid w:val="008821E8"/>
    <w:rsid w:val="00882575"/>
    <w:rsid w:val="0088284F"/>
    <w:rsid w:val="00882E4B"/>
    <w:rsid w:val="00883011"/>
    <w:rsid w:val="0088314D"/>
    <w:rsid w:val="00883A1D"/>
    <w:rsid w:val="00883A80"/>
    <w:rsid w:val="00883F49"/>
    <w:rsid w:val="008845D5"/>
    <w:rsid w:val="00885DAC"/>
    <w:rsid w:val="00886514"/>
    <w:rsid w:val="00886D43"/>
    <w:rsid w:val="0088742E"/>
    <w:rsid w:val="00887B7C"/>
    <w:rsid w:val="00887E62"/>
    <w:rsid w:val="00890E19"/>
    <w:rsid w:val="008910BE"/>
    <w:rsid w:val="00891A81"/>
    <w:rsid w:val="00891B61"/>
    <w:rsid w:val="0089202F"/>
    <w:rsid w:val="008922B0"/>
    <w:rsid w:val="008925C9"/>
    <w:rsid w:val="00892D32"/>
    <w:rsid w:val="008932CA"/>
    <w:rsid w:val="00894093"/>
    <w:rsid w:val="00894417"/>
    <w:rsid w:val="00894445"/>
    <w:rsid w:val="00894C83"/>
    <w:rsid w:val="00894CC7"/>
    <w:rsid w:val="00895420"/>
    <w:rsid w:val="0089552B"/>
    <w:rsid w:val="008962CA"/>
    <w:rsid w:val="00896789"/>
    <w:rsid w:val="00896A21"/>
    <w:rsid w:val="00897B89"/>
    <w:rsid w:val="008A00AA"/>
    <w:rsid w:val="008A00FC"/>
    <w:rsid w:val="008A02BC"/>
    <w:rsid w:val="008A0BA7"/>
    <w:rsid w:val="008A0C10"/>
    <w:rsid w:val="008A0D6F"/>
    <w:rsid w:val="008A1405"/>
    <w:rsid w:val="008A199B"/>
    <w:rsid w:val="008A25DE"/>
    <w:rsid w:val="008A28B7"/>
    <w:rsid w:val="008A2E04"/>
    <w:rsid w:val="008A3E32"/>
    <w:rsid w:val="008A3FD2"/>
    <w:rsid w:val="008A510B"/>
    <w:rsid w:val="008A562A"/>
    <w:rsid w:val="008A5C6E"/>
    <w:rsid w:val="008A5CD8"/>
    <w:rsid w:val="008A641F"/>
    <w:rsid w:val="008A647C"/>
    <w:rsid w:val="008A6E98"/>
    <w:rsid w:val="008B026C"/>
    <w:rsid w:val="008B0E5D"/>
    <w:rsid w:val="008B128B"/>
    <w:rsid w:val="008B162C"/>
    <w:rsid w:val="008B1A4E"/>
    <w:rsid w:val="008B1E93"/>
    <w:rsid w:val="008B2C75"/>
    <w:rsid w:val="008B2F6D"/>
    <w:rsid w:val="008B2F75"/>
    <w:rsid w:val="008B30B2"/>
    <w:rsid w:val="008B3240"/>
    <w:rsid w:val="008B449B"/>
    <w:rsid w:val="008B48AE"/>
    <w:rsid w:val="008B4911"/>
    <w:rsid w:val="008B52B4"/>
    <w:rsid w:val="008B54AA"/>
    <w:rsid w:val="008B5D73"/>
    <w:rsid w:val="008B6430"/>
    <w:rsid w:val="008B65F4"/>
    <w:rsid w:val="008B717D"/>
    <w:rsid w:val="008B7862"/>
    <w:rsid w:val="008C045A"/>
    <w:rsid w:val="008C0781"/>
    <w:rsid w:val="008C0796"/>
    <w:rsid w:val="008C0DDF"/>
    <w:rsid w:val="008C1530"/>
    <w:rsid w:val="008C161F"/>
    <w:rsid w:val="008C1797"/>
    <w:rsid w:val="008C1D3F"/>
    <w:rsid w:val="008C22C7"/>
    <w:rsid w:val="008C28D8"/>
    <w:rsid w:val="008C2B69"/>
    <w:rsid w:val="008C2F0C"/>
    <w:rsid w:val="008C375E"/>
    <w:rsid w:val="008C3CD7"/>
    <w:rsid w:val="008C4A61"/>
    <w:rsid w:val="008C4DF1"/>
    <w:rsid w:val="008C575A"/>
    <w:rsid w:val="008C5C3E"/>
    <w:rsid w:val="008C5FE4"/>
    <w:rsid w:val="008C6498"/>
    <w:rsid w:val="008C6C2B"/>
    <w:rsid w:val="008C719D"/>
    <w:rsid w:val="008C73C1"/>
    <w:rsid w:val="008D0684"/>
    <w:rsid w:val="008D09EA"/>
    <w:rsid w:val="008D107D"/>
    <w:rsid w:val="008D1412"/>
    <w:rsid w:val="008D1A48"/>
    <w:rsid w:val="008D218A"/>
    <w:rsid w:val="008D2369"/>
    <w:rsid w:val="008D23A4"/>
    <w:rsid w:val="008D2565"/>
    <w:rsid w:val="008D29F3"/>
    <w:rsid w:val="008D3403"/>
    <w:rsid w:val="008D3D6F"/>
    <w:rsid w:val="008D3F89"/>
    <w:rsid w:val="008D40F3"/>
    <w:rsid w:val="008D445C"/>
    <w:rsid w:val="008D4485"/>
    <w:rsid w:val="008D479B"/>
    <w:rsid w:val="008D50D2"/>
    <w:rsid w:val="008D653D"/>
    <w:rsid w:val="008D664A"/>
    <w:rsid w:val="008D6BC0"/>
    <w:rsid w:val="008D6EFF"/>
    <w:rsid w:val="008D7080"/>
    <w:rsid w:val="008D70AE"/>
    <w:rsid w:val="008D7261"/>
    <w:rsid w:val="008D7964"/>
    <w:rsid w:val="008D7C50"/>
    <w:rsid w:val="008E0521"/>
    <w:rsid w:val="008E0BEE"/>
    <w:rsid w:val="008E0E51"/>
    <w:rsid w:val="008E132B"/>
    <w:rsid w:val="008E1715"/>
    <w:rsid w:val="008E1B59"/>
    <w:rsid w:val="008E2271"/>
    <w:rsid w:val="008E259E"/>
    <w:rsid w:val="008E2731"/>
    <w:rsid w:val="008E2B35"/>
    <w:rsid w:val="008E2C63"/>
    <w:rsid w:val="008E2E31"/>
    <w:rsid w:val="008E2E7A"/>
    <w:rsid w:val="008E43D8"/>
    <w:rsid w:val="008E45E4"/>
    <w:rsid w:val="008E4606"/>
    <w:rsid w:val="008E518C"/>
    <w:rsid w:val="008E5F0C"/>
    <w:rsid w:val="008E5F25"/>
    <w:rsid w:val="008E6831"/>
    <w:rsid w:val="008E6869"/>
    <w:rsid w:val="008E7407"/>
    <w:rsid w:val="008E74CB"/>
    <w:rsid w:val="008E76FF"/>
    <w:rsid w:val="008E7B91"/>
    <w:rsid w:val="008F138A"/>
    <w:rsid w:val="008F15E2"/>
    <w:rsid w:val="008F1D6B"/>
    <w:rsid w:val="008F2108"/>
    <w:rsid w:val="008F25AC"/>
    <w:rsid w:val="008F2BA8"/>
    <w:rsid w:val="008F2FD4"/>
    <w:rsid w:val="008F30CE"/>
    <w:rsid w:val="008F3C2A"/>
    <w:rsid w:val="008F4426"/>
    <w:rsid w:val="008F57E3"/>
    <w:rsid w:val="008F5A89"/>
    <w:rsid w:val="008F616E"/>
    <w:rsid w:val="008F6606"/>
    <w:rsid w:val="008F6913"/>
    <w:rsid w:val="008F6C7A"/>
    <w:rsid w:val="008F6C7E"/>
    <w:rsid w:val="008F77B0"/>
    <w:rsid w:val="008F784A"/>
    <w:rsid w:val="008F79DA"/>
    <w:rsid w:val="008F7A5F"/>
    <w:rsid w:val="00900246"/>
    <w:rsid w:val="009009FC"/>
    <w:rsid w:val="00900C4F"/>
    <w:rsid w:val="009028CC"/>
    <w:rsid w:val="00902975"/>
    <w:rsid w:val="00902AF4"/>
    <w:rsid w:val="0090389D"/>
    <w:rsid w:val="00903DE6"/>
    <w:rsid w:val="00903FC6"/>
    <w:rsid w:val="009040EA"/>
    <w:rsid w:val="00904271"/>
    <w:rsid w:val="00904A3A"/>
    <w:rsid w:val="00904C28"/>
    <w:rsid w:val="00905612"/>
    <w:rsid w:val="0090572E"/>
    <w:rsid w:val="00905AA2"/>
    <w:rsid w:val="00905CE1"/>
    <w:rsid w:val="00906166"/>
    <w:rsid w:val="009061C8"/>
    <w:rsid w:val="00906619"/>
    <w:rsid w:val="00907292"/>
    <w:rsid w:val="0090771C"/>
    <w:rsid w:val="009107A5"/>
    <w:rsid w:val="009108E3"/>
    <w:rsid w:val="00910948"/>
    <w:rsid w:val="009113E0"/>
    <w:rsid w:val="00911ACC"/>
    <w:rsid w:val="00912119"/>
    <w:rsid w:val="00912814"/>
    <w:rsid w:val="00912FAC"/>
    <w:rsid w:val="00913DFB"/>
    <w:rsid w:val="00913FA4"/>
    <w:rsid w:val="00914235"/>
    <w:rsid w:val="009142AC"/>
    <w:rsid w:val="0091437D"/>
    <w:rsid w:val="009148A6"/>
    <w:rsid w:val="00914E41"/>
    <w:rsid w:val="00914EAA"/>
    <w:rsid w:val="00914FA5"/>
    <w:rsid w:val="009152B1"/>
    <w:rsid w:val="009152E2"/>
    <w:rsid w:val="009156BC"/>
    <w:rsid w:val="00915A76"/>
    <w:rsid w:val="0091607B"/>
    <w:rsid w:val="00916507"/>
    <w:rsid w:val="00916EF2"/>
    <w:rsid w:val="009171E7"/>
    <w:rsid w:val="0091745E"/>
    <w:rsid w:val="009175A4"/>
    <w:rsid w:val="00917DF2"/>
    <w:rsid w:val="00920A2B"/>
    <w:rsid w:val="00920ACA"/>
    <w:rsid w:val="00921634"/>
    <w:rsid w:val="00922382"/>
    <w:rsid w:val="00922CD4"/>
    <w:rsid w:val="0092358C"/>
    <w:rsid w:val="0092372B"/>
    <w:rsid w:val="00923A35"/>
    <w:rsid w:val="00923CF0"/>
    <w:rsid w:val="00923E78"/>
    <w:rsid w:val="0092411D"/>
    <w:rsid w:val="0092458E"/>
    <w:rsid w:val="00924A10"/>
    <w:rsid w:val="00924B79"/>
    <w:rsid w:val="00924E75"/>
    <w:rsid w:val="00925114"/>
    <w:rsid w:val="00925D74"/>
    <w:rsid w:val="00925FC6"/>
    <w:rsid w:val="00926925"/>
    <w:rsid w:val="00927160"/>
    <w:rsid w:val="00927293"/>
    <w:rsid w:val="00927C16"/>
    <w:rsid w:val="00927F88"/>
    <w:rsid w:val="009303BA"/>
    <w:rsid w:val="00930900"/>
    <w:rsid w:val="00930A86"/>
    <w:rsid w:val="009314D5"/>
    <w:rsid w:val="00931B20"/>
    <w:rsid w:val="00931DD4"/>
    <w:rsid w:val="00932A61"/>
    <w:rsid w:val="00932AAA"/>
    <w:rsid w:val="00932BC0"/>
    <w:rsid w:val="009338DB"/>
    <w:rsid w:val="00934CAC"/>
    <w:rsid w:val="00935790"/>
    <w:rsid w:val="0093588D"/>
    <w:rsid w:val="009358FA"/>
    <w:rsid w:val="009359E9"/>
    <w:rsid w:val="00935D45"/>
    <w:rsid w:val="00935E49"/>
    <w:rsid w:val="00936359"/>
    <w:rsid w:val="009366EE"/>
    <w:rsid w:val="00936E78"/>
    <w:rsid w:val="00937652"/>
    <w:rsid w:val="00937754"/>
    <w:rsid w:val="00937F10"/>
    <w:rsid w:val="0094034C"/>
    <w:rsid w:val="009404EC"/>
    <w:rsid w:val="00940699"/>
    <w:rsid w:val="009407DB"/>
    <w:rsid w:val="00940CF6"/>
    <w:rsid w:val="0094132D"/>
    <w:rsid w:val="00941574"/>
    <w:rsid w:val="009421F7"/>
    <w:rsid w:val="00942249"/>
    <w:rsid w:val="00942713"/>
    <w:rsid w:val="009432C9"/>
    <w:rsid w:val="0094432C"/>
    <w:rsid w:val="0094444A"/>
    <w:rsid w:val="00944466"/>
    <w:rsid w:val="009444CF"/>
    <w:rsid w:val="00945275"/>
    <w:rsid w:val="00946222"/>
    <w:rsid w:val="0094688E"/>
    <w:rsid w:val="0094690D"/>
    <w:rsid w:val="0094751E"/>
    <w:rsid w:val="0094775A"/>
    <w:rsid w:val="00947986"/>
    <w:rsid w:val="009505AF"/>
    <w:rsid w:val="0095083D"/>
    <w:rsid w:val="0095109B"/>
    <w:rsid w:val="00951109"/>
    <w:rsid w:val="0095124A"/>
    <w:rsid w:val="009513E4"/>
    <w:rsid w:val="00951666"/>
    <w:rsid w:val="009517A1"/>
    <w:rsid w:val="00951E25"/>
    <w:rsid w:val="00951E85"/>
    <w:rsid w:val="00952B18"/>
    <w:rsid w:val="00954EBD"/>
    <w:rsid w:val="00955605"/>
    <w:rsid w:val="00955958"/>
    <w:rsid w:val="009559AD"/>
    <w:rsid w:val="009560F5"/>
    <w:rsid w:val="0095649A"/>
    <w:rsid w:val="00956E66"/>
    <w:rsid w:val="009574DE"/>
    <w:rsid w:val="009576D6"/>
    <w:rsid w:val="00957C3B"/>
    <w:rsid w:val="00957FFC"/>
    <w:rsid w:val="00960557"/>
    <w:rsid w:val="00960955"/>
    <w:rsid w:val="0096099B"/>
    <w:rsid w:val="00960B72"/>
    <w:rsid w:val="00961B99"/>
    <w:rsid w:val="0096297A"/>
    <w:rsid w:val="009629F7"/>
    <w:rsid w:val="00963DBB"/>
    <w:rsid w:val="009644A0"/>
    <w:rsid w:val="00965A42"/>
    <w:rsid w:val="00965FEB"/>
    <w:rsid w:val="00966201"/>
    <w:rsid w:val="00966D53"/>
    <w:rsid w:val="00966EE3"/>
    <w:rsid w:val="009707FF"/>
    <w:rsid w:val="00970AB5"/>
    <w:rsid w:val="0097135D"/>
    <w:rsid w:val="00971384"/>
    <w:rsid w:val="00971912"/>
    <w:rsid w:val="00971B61"/>
    <w:rsid w:val="0097327E"/>
    <w:rsid w:val="009738F3"/>
    <w:rsid w:val="00973916"/>
    <w:rsid w:val="009739F6"/>
    <w:rsid w:val="009748C6"/>
    <w:rsid w:val="009754DC"/>
    <w:rsid w:val="00975858"/>
    <w:rsid w:val="00975A1C"/>
    <w:rsid w:val="00975B14"/>
    <w:rsid w:val="009761DA"/>
    <w:rsid w:val="00977A5C"/>
    <w:rsid w:val="009810BC"/>
    <w:rsid w:val="009818D5"/>
    <w:rsid w:val="00981FF3"/>
    <w:rsid w:val="00982DFB"/>
    <w:rsid w:val="00982F08"/>
    <w:rsid w:val="00983502"/>
    <w:rsid w:val="009835CA"/>
    <w:rsid w:val="009840CB"/>
    <w:rsid w:val="009857BA"/>
    <w:rsid w:val="00985B13"/>
    <w:rsid w:val="00985B40"/>
    <w:rsid w:val="00985FCC"/>
    <w:rsid w:val="00985FDB"/>
    <w:rsid w:val="009866FC"/>
    <w:rsid w:val="00987212"/>
    <w:rsid w:val="0098789C"/>
    <w:rsid w:val="00990085"/>
    <w:rsid w:val="00990431"/>
    <w:rsid w:val="00990543"/>
    <w:rsid w:val="0099070E"/>
    <w:rsid w:val="009907C5"/>
    <w:rsid w:val="00990C87"/>
    <w:rsid w:val="00990F10"/>
    <w:rsid w:val="00991695"/>
    <w:rsid w:val="00991A61"/>
    <w:rsid w:val="00991D99"/>
    <w:rsid w:val="00991DD4"/>
    <w:rsid w:val="0099269F"/>
    <w:rsid w:val="00992C2B"/>
    <w:rsid w:val="009932AF"/>
    <w:rsid w:val="00993A5F"/>
    <w:rsid w:val="00993B05"/>
    <w:rsid w:val="00993C96"/>
    <w:rsid w:val="00993EFA"/>
    <w:rsid w:val="0099448E"/>
    <w:rsid w:val="00994DAD"/>
    <w:rsid w:val="00995411"/>
    <w:rsid w:val="009959B3"/>
    <w:rsid w:val="00995A47"/>
    <w:rsid w:val="00995F5D"/>
    <w:rsid w:val="0099668E"/>
    <w:rsid w:val="009968C0"/>
    <w:rsid w:val="00996AB5"/>
    <w:rsid w:val="009970A8"/>
    <w:rsid w:val="009970DD"/>
    <w:rsid w:val="00997167"/>
    <w:rsid w:val="0099726D"/>
    <w:rsid w:val="00997A9C"/>
    <w:rsid w:val="00997C33"/>
    <w:rsid w:val="00997CE0"/>
    <w:rsid w:val="00997DED"/>
    <w:rsid w:val="009A0B61"/>
    <w:rsid w:val="009A0FD0"/>
    <w:rsid w:val="009A124B"/>
    <w:rsid w:val="009A14C7"/>
    <w:rsid w:val="009A2C54"/>
    <w:rsid w:val="009A307B"/>
    <w:rsid w:val="009A30FB"/>
    <w:rsid w:val="009A39D2"/>
    <w:rsid w:val="009A3E3D"/>
    <w:rsid w:val="009A45B4"/>
    <w:rsid w:val="009A46EA"/>
    <w:rsid w:val="009A4F4E"/>
    <w:rsid w:val="009A5429"/>
    <w:rsid w:val="009A5D9E"/>
    <w:rsid w:val="009A63D6"/>
    <w:rsid w:val="009A69C9"/>
    <w:rsid w:val="009A6D9C"/>
    <w:rsid w:val="009A7632"/>
    <w:rsid w:val="009A7AD1"/>
    <w:rsid w:val="009A7F9E"/>
    <w:rsid w:val="009B15BD"/>
    <w:rsid w:val="009B1B1E"/>
    <w:rsid w:val="009B1ED8"/>
    <w:rsid w:val="009B2042"/>
    <w:rsid w:val="009B28F0"/>
    <w:rsid w:val="009B32AA"/>
    <w:rsid w:val="009B3D33"/>
    <w:rsid w:val="009B3EE5"/>
    <w:rsid w:val="009B4FBB"/>
    <w:rsid w:val="009B5204"/>
    <w:rsid w:val="009B52C4"/>
    <w:rsid w:val="009B55B3"/>
    <w:rsid w:val="009B5C4E"/>
    <w:rsid w:val="009B645B"/>
    <w:rsid w:val="009B686B"/>
    <w:rsid w:val="009B6CE2"/>
    <w:rsid w:val="009B7386"/>
    <w:rsid w:val="009B771C"/>
    <w:rsid w:val="009C0077"/>
    <w:rsid w:val="009C05E7"/>
    <w:rsid w:val="009C0700"/>
    <w:rsid w:val="009C0754"/>
    <w:rsid w:val="009C0A6C"/>
    <w:rsid w:val="009C0D21"/>
    <w:rsid w:val="009C12CD"/>
    <w:rsid w:val="009C16AF"/>
    <w:rsid w:val="009C16FD"/>
    <w:rsid w:val="009C1A13"/>
    <w:rsid w:val="009C24D7"/>
    <w:rsid w:val="009C2B97"/>
    <w:rsid w:val="009C3182"/>
    <w:rsid w:val="009C3327"/>
    <w:rsid w:val="009C3A2A"/>
    <w:rsid w:val="009C444C"/>
    <w:rsid w:val="009C4DD1"/>
    <w:rsid w:val="009C575D"/>
    <w:rsid w:val="009C5774"/>
    <w:rsid w:val="009C5C55"/>
    <w:rsid w:val="009C5C66"/>
    <w:rsid w:val="009C5CCE"/>
    <w:rsid w:val="009C5D24"/>
    <w:rsid w:val="009C5FDF"/>
    <w:rsid w:val="009C611F"/>
    <w:rsid w:val="009C6CBC"/>
    <w:rsid w:val="009C7632"/>
    <w:rsid w:val="009C7637"/>
    <w:rsid w:val="009C79EB"/>
    <w:rsid w:val="009C7CDA"/>
    <w:rsid w:val="009D015D"/>
    <w:rsid w:val="009D0A97"/>
    <w:rsid w:val="009D1410"/>
    <w:rsid w:val="009D1578"/>
    <w:rsid w:val="009D18E6"/>
    <w:rsid w:val="009D2137"/>
    <w:rsid w:val="009D38E7"/>
    <w:rsid w:val="009D3BFF"/>
    <w:rsid w:val="009D3DDF"/>
    <w:rsid w:val="009D3E8F"/>
    <w:rsid w:val="009D4329"/>
    <w:rsid w:val="009D4C7D"/>
    <w:rsid w:val="009D4DA1"/>
    <w:rsid w:val="009D522D"/>
    <w:rsid w:val="009D5A0B"/>
    <w:rsid w:val="009D5A60"/>
    <w:rsid w:val="009D5C3D"/>
    <w:rsid w:val="009D5F44"/>
    <w:rsid w:val="009D6322"/>
    <w:rsid w:val="009D697F"/>
    <w:rsid w:val="009D69E3"/>
    <w:rsid w:val="009D6CDF"/>
    <w:rsid w:val="009D6FC8"/>
    <w:rsid w:val="009D7060"/>
    <w:rsid w:val="009D73D5"/>
    <w:rsid w:val="009D7E8F"/>
    <w:rsid w:val="009E0AD0"/>
    <w:rsid w:val="009E1275"/>
    <w:rsid w:val="009E1421"/>
    <w:rsid w:val="009E188D"/>
    <w:rsid w:val="009E1F6F"/>
    <w:rsid w:val="009E2245"/>
    <w:rsid w:val="009E2C79"/>
    <w:rsid w:val="009E2D29"/>
    <w:rsid w:val="009E2D85"/>
    <w:rsid w:val="009E3A2E"/>
    <w:rsid w:val="009E3E06"/>
    <w:rsid w:val="009E4975"/>
    <w:rsid w:val="009E646F"/>
    <w:rsid w:val="009E67F0"/>
    <w:rsid w:val="009E68D3"/>
    <w:rsid w:val="009E6BE3"/>
    <w:rsid w:val="009E6CD6"/>
    <w:rsid w:val="009E6EA9"/>
    <w:rsid w:val="009E734B"/>
    <w:rsid w:val="009E7807"/>
    <w:rsid w:val="009F08F4"/>
    <w:rsid w:val="009F0C56"/>
    <w:rsid w:val="009F1536"/>
    <w:rsid w:val="009F169F"/>
    <w:rsid w:val="009F1DD3"/>
    <w:rsid w:val="009F2AE7"/>
    <w:rsid w:val="009F30E9"/>
    <w:rsid w:val="009F321D"/>
    <w:rsid w:val="009F323A"/>
    <w:rsid w:val="009F381B"/>
    <w:rsid w:val="009F3964"/>
    <w:rsid w:val="009F41AC"/>
    <w:rsid w:val="009F4323"/>
    <w:rsid w:val="009F4F31"/>
    <w:rsid w:val="009F55BC"/>
    <w:rsid w:val="009F7829"/>
    <w:rsid w:val="009F7867"/>
    <w:rsid w:val="009F7E68"/>
    <w:rsid w:val="009F7F50"/>
    <w:rsid w:val="00A00002"/>
    <w:rsid w:val="00A00286"/>
    <w:rsid w:val="00A0066F"/>
    <w:rsid w:val="00A00C94"/>
    <w:rsid w:val="00A00F61"/>
    <w:rsid w:val="00A01D8C"/>
    <w:rsid w:val="00A01DFC"/>
    <w:rsid w:val="00A02341"/>
    <w:rsid w:val="00A02770"/>
    <w:rsid w:val="00A028E8"/>
    <w:rsid w:val="00A029B9"/>
    <w:rsid w:val="00A037AD"/>
    <w:rsid w:val="00A03F2B"/>
    <w:rsid w:val="00A047EF"/>
    <w:rsid w:val="00A05425"/>
    <w:rsid w:val="00A05496"/>
    <w:rsid w:val="00A0557E"/>
    <w:rsid w:val="00A06054"/>
    <w:rsid w:val="00A067B5"/>
    <w:rsid w:val="00A06924"/>
    <w:rsid w:val="00A06C39"/>
    <w:rsid w:val="00A06C5D"/>
    <w:rsid w:val="00A07AD5"/>
    <w:rsid w:val="00A10355"/>
    <w:rsid w:val="00A1070C"/>
    <w:rsid w:val="00A10A16"/>
    <w:rsid w:val="00A10B67"/>
    <w:rsid w:val="00A10B8F"/>
    <w:rsid w:val="00A113FB"/>
    <w:rsid w:val="00A11CCD"/>
    <w:rsid w:val="00A12ABA"/>
    <w:rsid w:val="00A12C3A"/>
    <w:rsid w:val="00A12E31"/>
    <w:rsid w:val="00A1340F"/>
    <w:rsid w:val="00A13AAC"/>
    <w:rsid w:val="00A13BDD"/>
    <w:rsid w:val="00A13FDD"/>
    <w:rsid w:val="00A142D6"/>
    <w:rsid w:val="00A143D3"/>
    <w:rsid w:val="00A14776"/>
    <w:rsid w:val="00A14FB5"/>
    <w:rsid w:val="00A15305"/>
    <w:rsid w:val="00A15D9A"/>
    <w:rsid w:val="00A16A9E"/>
    <w:rsid w:val="00A16E85"/>
    <w:rsid w:val="00A17839"/>
    <w:rsid w:val="00A20F6E"/>
    <w:rsid w:val="00A20FFF"/>
    <w:rsid w:val="00A210A4"/>
    <w:rsid w:val="00A213E6"/>
    <w:rsid w:val="00A22BC0"/>
    <w:rsid w:val="00A22EC7"/>
    <w:rsid w:val="00A23057"/>
    <w:rsid w:val="00A2324C"/>
    <w:rsid w:val="00A236C0"/>
    <w:rsid w:val="00A2383F"/>
    <w:rsid w:val="00A23EF9"/>
    <w:rsid w:val="00A24D9A"/>
    <w:rsid w:val="00A25411"/>
    <w:rsid w:val="00A25C2A"/>
    <w:rsid w:val="00A266E2"/>
    <w:rsid w:val="00A2671D"/>
    <w:rsid w:val="00A26CBB"/>
    <w:rsid w:val="00A26CD4"/>
    <w:rsid w:val="00A26D7F"/>
    <w:rsid w:val="00A26FAD"/>
    <w:rsid w:val="00A270C3"/>
    <w:rsid w:val="00A301D3"/>
    <w:rsid w:val="00A30241"/>
    <w:rsid w:val="00A30733"/>
    <w:rsid w:val="00A31050"/>
    <w:rsid w:val="00A31435"/>
    <w:rsid w:val="00A31B2E"/>
    <w:rsid w:val="00A32012"/>
    <w:rsid w:val="00A321DA"/>
    <w:rsid w:val="00A322A2"/>
    <w:rsid w:val="00A322EE"/>
    <w:rsid w:val="00A325E2"/>
    <w:rsid w:val="00A32B27"/>
    <w:rsid w:val="00A3342E"/>
    <w:rsid w:val="00A33AE7"/>
    <w:rsid w:val="00A34171"/>
    <w:rsid w:val="00A34D26"/>
    <w:rsid w:val="00A35194"/>
    <w:rsid w:val="00A35392"/>
    <w:rsid w:val="00A3563E"/>
    <w:rsid w:val="00A35ABA"/>
    <w:rsid w:val="00A35BFC"/>
    <w:rsid w:val="00A366AF"/>
    <w:rsid w:val="00A37BF5"/>
    <w:rsid w:val="00A37D96"/>
    <w:rsid w:val="00A37F84"/>
    <w:rsid w:val="00A40182"/>
    <w:rsid w:val="00A40253"/>
    <w:rsid w:val="00A40D12"/>
    <w:rsid w:val="00A41B32"/>
    <w:rsid w:val="00A4273C"/>
    <w:rsid w:val="00A42869"/>
    <w:rsid w:val="00A4366B"/>
    <w:rsid w:val="00A45408"/>
    <w:rsid w:val="00A45E00"/>
    <w:rsid w:val="00A46912"/>
    <w:rsid w:val="00A46BAD"/>
    <w:rsid w:val="00A470D4"/>
    <w:rsid w:val="00A47175"/>
    <w:rsid w:val="00A473CC"/>
    <w:rsid w:val="00A5075D"/>
    <w:rsid w:val="00A5077D"/>
    <w:rsid w:val="00A50819"/>
    <w:rsid w:val="00A510E9"/>
    <w:rsid w:val="00A51728"/>
    <w:rsid w:val="00A519DE"/>
    <w:rsid w:val="00A51DBE"/>
    <w:rsid w:val="00A52B55"/>
    <w:rsid w:val="00A5304F"/>
    <w:rsid w:val="00A5309A"/>
    <w:rsid w:val="00A535ED"/>
    <w:rsid w:val="00A54274"/>
    <w:rsid w:val="00A54ABE"/>
    <w:rsid w:val="00A54BBA"/>
    <w:rsid w:val="00A553E7"/>
    <w:rsid w:val="00A5578A"/>
    <w:rsid w:val="00A55946"/>
    <w:rsid w:val="00A56044"/>
    <w:rsid w:val="00A56435"/>
    <w:rsid w:val="00A5664C"/>
    <w:rsid w:val="00A5669F"/>
    <w:rsid w:val="00A56C7D"/>
    <w:rsid w:val="00A57715"/>
    <w:rsid w:val="00A57EC5"/>
    <w:rsid w:val="00A57F81"/>
    <w:rsid w:val="00A6104B"/>
    <w:rsid w:val="00A61832"/>
    <w:rsid w:val="00A61C89"/>
    <w:rsid w:val="00A620C9"/>
    <w:rsid w:val="00A62715"/>
    <w:rsid w:val="00A62E44"/>
    <w:rsid w:val="00A62F40"/>
    <w:rsid w:val="00A634F3"/>
    <w:rsid w:val="00A63AC1"/>
    <w:rsid w:val="00A64467"/>
    <w:rsid w:val="00A65900"/>
    <w:rsid w:val="00A6625B"/>
    <w:rsid w:val="00A66722"/>
    <w:rsid w:val="00A668DD"/>
    <w:rsid w:val="00A669CC"/>
    <w:rsid w:val="00A66AAD"/>
    <w:rsid w:val="00A66B24"/>
    <w:rsid w:val="00A66DEB"/>
    <w:rsid w:val="00A672C2"/>
    <w:rsid w:val="00A674E1"/>
    <w:rsid w:val="00A676FD"/>
    <w:rsid w:val="00A67FEF"/>
    <w:rsid w:val="00A709BB"/>
    <w:rsid w:val="00A70ACE"/>
    <w:rsid w:val="00A7294D"/>
    <w:rsid w:val="00A744CC"/>
    <w:rsid w:val="00A74B5A"/>
    <w:rsid w:val="00A7577D"/>
    <w:rsid w:val="00A75841"/>
    <w:rsid w:val="00A76042"/>
    <w:rsid w:val="00A760A0"/>
    <w:rsid w:val="00A761E0"/>
    <w:rsid w:val="00A76A06"/>
    <w:rsid w:val="00A7734B"/>
    <w:rsid w:val="00A801CB"/>
    <w:rsid w:val="00A80E67"/>
    <w:rsid w:val="00A80F6A"/>
    <w:rsid w:val="00A8165F"/>
    <w:rsid w:val="00A81C2D"/>
    <w:rsid w:val="00A81D52"/>
    <w:rsid w:val="00A83619"/>
    <w:rsid w:val="00A83673"/>
    <w:rsid w:val="00A836A3"/>
    <w:rsid w:val="00A83C89"/>
    <w:rsid w:val="00A84220"/>
    <w:rsid w:val="00A845AE"/>
    <w:rsid w:val="00A85040"/>
    <w:rsid w:val="00A851BC"/>
    <w:rsid w:val="00A85937"/>
    <w:rsid w:val="00A861FF"/>
    <w:rsid w:val="00A866B1"/>
    <w:rsid w:val="00A86725"/>
    <w:rsid w:val="00A86ABA"/>
    <w:rsid w:val="00A86CD4"/>
    <w:rsid w:val="00A87511"/>
    <w:rsid w:val="00A87743"/>
    <w:rsid w:val="00A87B3F"/>
    <w:rsid w:val="00A87D4D"/>
    <w:rsid w:val="00A90128"/>
    <w:rsid w:val="00A90470"/>
    <w:rsid w:val="00A90784"/>
    <w:rsid w:val="00A915BD"/>
    <w:rsid w:val="00A93D73"/>
    <w:rsid w:val="00A9460C"/>
    <w:rsid w:val="00A94AC8"/>
    <w:rsid w:val="00A9581B"/>
    <w:rsid w:val="00A95AC9"/>
    <w:rsid w:val="00A95BB2"/>
    <w:rsid w:val="00A96CF8"/>
    <w:rsid w:val="00A970E9"/>
    <w:rsid w:val="00A9721C"/>
    <w:rsid w:val="00A977A7"/>
    <w:rsid w:val="00AA0147"/>
    <w:rsid w:val="00AA0BB6"/>
    <w:rsid w:val="00AA0E70"/>
    <w:rsid w:val="00AA11F4"/>
    <w:rsid w:val="00AA1391"/>
    <w:rsid w:val="00AA16C1"/>
    <w:rsid w:val="00AA2A17"/>
    <w:rsid w:val="00AA3048"/>
    <w:rsid w:val="00AA342F"/>
    <w:rsid w:val="00AA3A97"/>
    <w:rsid w:val="00AA439B"/>
    <w:rsid w:val="00AA4960"/>
    <w:rsid w:val="00AA55E5"/>
    <w:rsid w:val="00AA57E1"/>
    <w:rsid w:val="00AA5A14"/>
    <w:rsid w:val="00AA5C4A"/>
    <w:rsid w:val="00AA627C"/>
    <w:rsid w:val="00AA65BE"/>
    <w:rsid w:val="00AA6879"/>
    <w:rsid w:val="00AA69C0"/>
    <w:rsid w:val="00AA6FA6"/>
    <w:rsid w:val="00AA7AA9"/>
    <w:rsid w:val="00AA7CF0"/>
    <w:rsid w:val="00AA7D47"/>
    <w:rsid w:val="00AB0CEB"/>
    <w:rsid w:val="00AB0D59"/>
    <w:rsid w:val="00AB1204"/>
    <w:rsid w:val="00AB195E"/>
    <w:rsid w:val="00AB2E27"/>
    <w:rsid w:val="00AB34ED"/>
    <w:rsid w:val="00AB42D4"/>
    <w:rsid w:val="00AB49B0"/>
    <w:rsid w:val="00AB4CFE"/>
    <w:rsid w:val="00AB55F5"/>
    <w:rsid w:val="00AB57D2"/>
    <w:rsid w:val="00AB57E6"/>
    <w:rsid w:val="00AB5870"/>
    <w:rsid w:val="00AB5A2F"/>
    <w:rsid w:val="00AB5AD7"/>
    <w:rsid w:val="00AB5B42"/>
    <w:rsid w:val="00AB5C14"/>
    <w:rsid w:val="00AB6333"/>
    <w:rsid w:val="00AB6F21"/>
    <w:rsid w:val="00AB7664"/>
    <w:rsid w:val="00AB7DE5"/>
    <w:rsid w:val="00AB7E01"/>
    <w:rsid w:val="00AC16C9"/>
    <w:rsid w:val="00AC1B2F"/>
    <w:rsid w:val="00AC23D8"/>
    <w:rsid w:val="00AC354D"/>
    <w:rsid w:val="00AC37B0"/>
    <w:rsid w:val="00AC3F34"/>
    <w:rsid w:val="00AC4341"/>
    <w:rsid w:val="00AC451E"/>
    <w:rsid w:val="00AC4785"/>
    <w:rsid w:val="00AC4ABE"/>
    <w:rsid w:val="00AC4C52"/>
    <w:rsid w:val="00AC4FCF"/>
    <w:rsid w:val="00AC4FE7"/>
    <w:rsid w:val="00AC5182"/>
    <w:rsid w:val="00AC5723"/>
    <w:rsid w:val="00AC6FF5"/>
    <w:rsid w:val="00AC7155"/>
    <w:rsid w:val="00AC77B7"/>
    <w:rsid w:val="00AC7C6D"/>
    <w:rsid w:val="00AC7FDA"/>
    <w:rsid w:val="00AD0FCF"/>
    <w:rsid w:val="00AD1026"/>
    <w:rsid w:val="00AD350B"/>
    <w:rsid w:val="00AD37D9"/>
    <w:rsid w:val="00AD3ABF"/>
    <w:rsid w:val="00AD4442"/>
    <w:rsid w:val="00AD4A0A"/>
    <w:rsid w:val="00AD4B29"/>
    <w:rsid w:val="00AD5008"/>
    <w:rsid w:val="00AD5FA3"/>
    <w:rsid w:val="00AD6C02"/>
    <w:rsid w:val="00AD6D7F"/>
    <w:rsid w:val="00AD6FC5"/>
    <w:rsid w:val="00AD7013"/>
    <w:rsid w:val="00AE03A5"/>
    <w:rsid w:val="00AE0B05"/>
    <w:rsid w:val="00AE101C"/>
    <w:rsid w:val="00AE121B"/>
    <w:rsid w:val="00AE1759"/>
    <w:rsid w:val="00AE205B"/>
    <w:rsid w:val="00AE22B7"/>
    <w:rsid w:val="00AE26AD"/>
    <w:rsid w:val="00AE278C"/>
    <w:rsid w:val="00AE27D0"/>
    <w:rsid w:val="00AE3506"/>
    <w:rsid w:val="00AE351D"/>
    <w:rsid w:val="00AE36A5"/>
    <w:rsid w:val="00AE3715"/>
    <w:rsid w:val="00AE3EFD"/>
    <w:rsid w:val="00AE4610"/>
    <w:rsid w:val="00AE4D72"/>
    <w:rsid w:val="00AE4EC1"/>
    <w:rsid w:val="00AE4F59"/>
    <w:rsid w:val="00AE4FEE"/>
    <w:rsid w:val="00AE544C"/>
    <w:rsid w:val="00AE5AD8"/>
    <w:rsid w:val="00AE5BDE"/>
    <w:rsid w:val="00AE5C3A"/>
    <w:rsid w:val="00AE64CF"/>
    <w:rsid w:val="00AE6626"/>
    <w:rsid w:val="00AE73E9"/>
    <w:rsid w:val="00AF0DBC"/>
    <w:rsid w:val="00AF2575"/>
    <w:rsid w:val="00AF2C4A"/>
    <w:rsid w:val="00AF2E6E"/>
    <w:rsid w:val="00AF3059"/>
    <w:rsid w:val="00AF3060"/>
    <w:rsid w:val="00AF3684"/>
    <w:rsid w:val="00AF381E"/>
    <w:rsid w:val="00AF40D0"/>
    <w:rsid w:val="00AF431E"/>
    <w:rsid w:val="00AF4B49"/>
    <w:rsid w:val="00AF4E42"/>
    <w:rsid w:val="00AF51C3"/>
    <w:rsid w:val="00AF543F"/>
    <w:rsid w:val="00AF58B8"/>
    <w:rsid w:val="00AF633F"/>
    <w:rsid w:val="00AF6B41"/>
    <w:rsid w:val="00AF6E8C"/>
    <w:rsid w:val="00AF6EC8"/>
    <w:rsid w:val="00AF6F23"/>
    <w:rsid w:val="00B0014B"/>
    <w:rsid w:val="00B00601"/>
    <w:rsid w:val="00B00E6F"/>
    <w:rsid w:val="00B010B7"/>
    <w:rsid w:val="00B01743"/>
    <w:rsid w:val="00B02EE5"/>
    <w:rsid w:val="00B030A4"/>
    <w:rsid w:val="00B04075"/>
    <w:rsid w:val="00B04A48"/>
    <w:rsid w:val="00B04C17"/>
    <w:rsid w:val="00B05027"/>
    <w:rsid w:val="00B05505"/>
    <w:rsid w:val="00B05BC8"/>
    <w:rsid w:val="00B05E50"/>
    <w:rsid w:val="00B05F1D"/>
    <w:rsid w:val="00B05F2E"/>
    <w:rsid w:val="00B060F2"/>
    <w:rsid w:val="00B06183"/>
    <w:rsid w:val="00B068A6"/>
    <w:rsid w:val="00B069BA"/>
    <w:rsid w:val="00B06D29"/>
    <w:rsid w:val="00B1015E"/>
    <w:rsid w:val="00B101D6"/>
    <w:rsid w:val="00B10E91"/>
    <w:rsid w:val="00B11485"/>
    <w:rsid w:val="00B1160E"/>
    <w:rsid w:val="00B12421"/>
    <w:rsid w:val="00B12513"/>
    <w:rsid w:val="00B1285C"/>
    <w:rsid w:val="00B12860"/>
    <w:rsid w:val="00B12885"/>
    <w:rsid w:val="00B129E0"/>
    <w:rsid w:val="00B137BB"/>
    <w:rsid w:val="00B13AF7"/>
    <w:rsid w:val="00B13C7A"/>
    <w:rsid w:val="00B140A1"/>
    <w:rsid w:val="00B1430A"/>
    <w:rsid w:val="00B145CC"/>
    <w:rsid w:val="00B1486C"/>
    <w:rsid w:val="00B148D0"/>
    <w:rsid w:val="00B15216"/>
    <w:rsid w:val="00B15B27"/>
    <w:rsid w:val="00B17039"/>
    <w:rsid w:val="00B174C6"/>
    <w:rsid w:val="00B17C9E"/>
    <w:rsid w:val="00B207C1"/>
    <w:rsid w:val="00B20EAE"/>
    <w:rsid w:val="00B2131C"/>
    <w:rsid w:val="00B213C6"/>
    <w:rsid w:val="00B21902"/>
    <w:rsid w:val="00B21E85"/>
    <w:rsid w:val="00B2205F"/>
    <w:rsid w:val="00B22A9D"/>
    <w:rsid w:val="00B23252"/>
    <w:rsid w:val="00B2328A"/>
    <w:rsid w:val="00B23324"/>
    <w:rsid w:val="00B234EB"/>
    <w:rsid w:val="00B242C6"/>
    <w:rsid w:val="00B2450E"/>
    <w:rsid w:val="00B24EAB"/>
    <w:rsid w:val="00B2567C"/>
    <w:rsid w:val="00B25894"/>
    <w:rsid w:val="00B25A5A"/>
    <w:rsid w:val="00B26123"/>
    <w:rsid w:val="00B261A7"/>
    <w:rsid w:val="00B26A22"/>
    <w:rsid w:val="00B26F98"/>
    <w:rsid w:val="00B27A6F"/>
    <w:rsid w:val="00B27B83"/>
    <w:rsid w:val="00B30475"/>
    <w:rsid w:val="00B304F4"/>
    <w:rsid w:val="00B30EEC"/>
    <w:rsid w:val="00B3165C"/>
    <w:rsid w:val="00B31A62"/>
    <w:rsid w:val="00B31AB7"/>
    <w:rsid w:val="00B31FFE"/>
    <w:rsid w:val="00B32113"/>
    <w:rsid w:val="00B33861"/>
    <w:rsid w:val="00B340D5"/>
    <w:rsid w:val="00B34689"/>
    <w:rsid w:val="00B34A84"/>
    <w:rsid w:val="00B3503F"/>
    <w:rsid w:val="00B352F1"/>
    <w:rsid w:val="00B35514"/>
    <w:rsid w:val="00B3642B"/>
    <w:rsid w:val="00B365CC"/>
    <w:rsid w:val="00B36BCB"/>
    <w:rsid w:val="00B36FDC"/>
    <w:rsid w:val="00B37097"/>
    <w:rsid w:val="00B37618"/>
    <w:rsid w:val="00B37AB3"/>
    <w:rsid w:val="00B40BAF"/>
    <w:rsid w:val="00B425F1"/>
    <w:rsid w:val="00B42AD4"/>
    <w:rsid w:val="00B42EC0"/>
    <w:rsid w:val="00B4432C"/>
    <w:rsid w:val="00B44958"/>
    <w:rsid w:val="00B451E6"/>
    <w:rsid w:val="00B45220"/>
    <w:rsid w:val="00B45330"/>
    <w:rsid w:val="00B45AE9"/>
    <w:rsid w:val="00B45EC7"/>
    <w:rsid w:val="00B46384"/>
    <w:rsid w:val="00B47149"/>
    <w:rsid w:val="00B47A7D"/>
    <w:rsid w:val="00B47D66"/>
    <w:rsid w:val="00B47EAA"/>
    <w:rsid w:val="00B5022C"/>
    <w:rsid w:val="00B50BD8"/>
    <w:rsid w:val="00B50EAF"/>
    <w:rsid w:val="00B51E04"/>
    <w:rsid w:val="00B52045"/>
    <w:rsid w:val="00B521AB"/>
    <w:rsid w:val="00B52D47"/>
    <w:rsid w:val="00B53762"/>
    <w:rsid w:val="00B53C9A"/>
    <w:rsid w:val="00B54D4E"/>
    <w:rsid w:val="00B54FC1"/>
    <w:rsid w:val="00B5500B"/>
    <w:rsid w:val="00B55199"/>
    <w:rsid w:val="00B5553B"/>
    <w:rsid w:val="00B558CE"/>
    <w:rsid w:val="00B55C59"/>
    <w:rsid w:val="00B56544"/>
    <w:rsid w:val="00B56A08"/>
    <w:rsid w:val="00B56A34"/>
    <w:rsid w:val="00B570D9"/>
    <w:rsid w:val="00B577D0"/>
    <w:rsid w:val="00B578E7"/>
    <w:rsid w:val="00B57952"/>
    <w:rsid w:val="00B6007F"/>
    <w:rsid w:val="00B60B2E"/>
    <w:rsid w:val="00B61127"/>
    <w:rsid w:val="00B614AE"/>
    <w:rsid w:val="00B61B6B"/>
    <w:rsid w:val="00B61CB0"/>
    <w:rsid w:val="00B61FB3"/>
    <w:rsid w:val="00B628B1"/>
    <w:rsid w:val="00B637C7"/>
    <w:rsid w:val="00B639D7"/>
    <w:rsid w:val="00B63A2C"/>
    <w:rsid w:val="00B63B9E"/>
    <w:rsid w:val="00B63CE9"/>
    <w:rsid w:val="00B64CB0"/>
    <w:rsid w:val="00B64FDF"/>
    <w:rsid w:val="00B652BB"/>
    <w:rsid w:val="00B65BF4"/>
    <w:rsid w:val="00B65EA4"/>
    <w:rsid w:val="00B663E3"/>
    <w:rsid w:val="00B66692"/>
    <w:rsid w:val="00B66F51"/>
    <w:rsid w:val="00B6739C"/>
    <w:rsid w:val="00B70815"/>
    <w:rsid w:val="00B70BE3"/>
    <w:rsid w:val="00B712CD"/>
    <w:rsid w:val="00B719A9"/>
    <w:rsid w:val="00B71A75"/>
    <w:rsid w:val="00B71D3A"/>
    <w:rsid w:val="00B71DFC"/>
    <w:rsid w:val="00B71F1F"/>
    <w:rsid w:val="00B720CF"/>
    <w:rsid w:val="00B72343"/>
    <w:rsid w:val="00B72684"/>
    <w:rsid w:val="00B73A3D"/>
    <w:rsid w:val="00B73E3F"/>
    <w:rsid w:val="00B742C5"/>
    <w:rsid w:val="00B769CE"/>
    <w:rsid w:val="00B769F5"/>
    <w:rsid w:val="00B76AF7"/>
    <w:rsid w:val="00B76E5C"/>
    <w:rsid w:val="00B76EF5"/>
    <w:rsid w:val="00B7702B"/>
    <w:rsid w:val="00B80470"/>
    <w:rsid w:val="00B808F9"/>
    <w:rsid w:val="00B80EA9"/>
    <w:rsid w:val="00B825DE"/>
    <w:rsid w:val="00B828AB"/>
    <w:rsid w:val="00B83692"/>
    <w:rsid w:val="00B83F50"/>
    <w:rsid w:val="00B84200"/>
    <w:rsid w:val="00B84865"/>
    <w:rsid w:val="00B84FB3"/>
    <w:rsid w:val="00B85882"/>
    <w:rsid w:val="00B86F38"/>
    <w:rsid w:val="00B87AF2"/>
    <w:rsid w:val="00B87D3E"/>
    <w:rsid w:val="00B90283"/>
    <w:rsid w:val="00B906A5"/>
    <w:rsid w:val="00B9138E"/>
    <w:rsid w:val="00B91BBC"/>
    <w:rsid w:val="00B920B1"/>
    <w:rsid w:val="00B926F4"/>
    <w:rsid w:val="00B935D1"/>
    <w:rsid w:val="00B93FDD"/>
    <w:rsid w:val="00B94575"/>
    <w:rsid w:val="00B94B9E"/>
    <w:rsid w:val="00B95CB5"/>
    <w:rsid w:val="00B95ED8"/>
    <w:rsid w:val="00B96754"/>
    <w:rsid w:val="00B9685E"/>
    <w:rsid w:val="00B96A99"/>
    <w:rsid w:val="00B96C81"/>
    <w:rsid w:val="00B96E3A"/>
    <w:rsid w:val="00B97079"/>
    <w:rsid w:val="00B97894"/>
    <w:rsid w:val="00B979C7"/>
    <w:rsid w:val="00B97B88"/>
    <w:rsid w:val="00B97D5A"/>
    <w:rsid w:val="00B97F2E"/>
    <w:rsid w:val="00BA02A3"/>
    <w:rsid w:val="00BA031A"/>
    <w:rsid w:val="00BA06F4"/>
    <w:rsid w:val="00BA0DA2"/>
    <w:rsid w:val="00BA1272"/>
    <w:rsid w:val="00BA1D73"/>
    <w:rsid w:val="00BA27C5"/>
    <w:rsid w:val="00BA3CA7"/>
    <w:rsid w:val="00BA4AF9"/>
    <w:rsid w:val="00BA4EDB"/>
    <w:rsid w:val="00BA512E"/>
    <w:rsid w:val="00BA52F1"/>
    <w:rsid w:val="00BA53A2"/>
    <w:rsid w:val="00BA5823"/>
    <w:rsid w:val="00BA58D9"/>
    <w:rsid w:val="00BA65EC"/>
    <w:rsid w:val="00BA69E0"/>
    <w:rsid w:val="00BA7CB2"/>
    <w:rsid w:val="00BA7DDF"/>
    <w:rsid w:val="00BA7EDD"/>
    <w:rsid w:val="00BA7FBA"/>
    <w:rsid w:val="00BB11CF"/>
    <w:rsid w:val="00BB1590"/>
    <w:rsid w:val="00BB1E2A"/>
    <w:rsid w:val="00BB21E1"/>
    <w:rsid w:val="00BB2FEC"/>
    <w:rsid w:val="00BB45F8"/>
    <w:rsid w:val="00BB5C0C"/>
    <w:rsid w:val="00BB5DD9"/>
    <w:rsid w:val="00BB6278"/>
    <w:rsid w:val="00BB6AB9"/>
    <w:rsid w:val="00BB6CC3"/>
    <w:rsid w:val="00BB6D97"/>
    <w:rsid w:val="00BB701E"/>
    <w:rsid w:val="00BB72A4"/>
    <w:rsid w:val="00BB7A98"/>
    <w:rsid w:val="00BB7AE4"/>
    <w:rsid w:val="00BB7E92"/>
    <w:rsid w:val="00BC0E1B"/>
    <w:rsid w:val="00BC0F72"/>
    <w:rsid w:val="00BC1758"/>
    <w:rsid w:val="00BC1854"/>
    <w:rsid w:val="00BC218F"/>
    <w:rsid w:val="00BC23A9"/>
    <w:rsid w:val="00BC2869"/>
    <w:rsid w:val="00BC2E2A"/>
    <w:rsid w:val="00BC30BD"/>
    <w:rsid w:val="00BC34E3"/>
    <w:rsid w:val="00BC38E0"/>
    <w:rsid w:val="00BC3EF2"/>
    <w:rsid w:val="00BC4073"/>
    <w:rsid w:val="00BC47C6"/>
    <w:rsid w:val="00BC4D86"/>
    <w:rsid w:val="00BC52F1"/>
    <w:rsid w:val="00BC5848"/>
    <w:rsid w:val="00BC58B1"/>
    <w:rsid w:val="00BC64F0"/>
    <w:rsid w:val="00BC6C35"/>
    <w:rsid w:val="00BC73F7"/>
    <w:rsid w:val="00BC7912"/>
    <w:rsid w:val="00BC7A20"/>
    <w:rsid w:val="00BD0095"/>
    <w:rsid w:val="00BD0271"/>
    <w:rsid w:val="00BD0B9D"/>
    <w:rsid w:val="00BD17DD"/>
    <w:rsid w:val="00BD1B2C"/>
    <w:rsid w:val="00BD1FB2"/>
    <w:rsid w:val="00BD211E"/>
    <w:rsid w:val="00BD22A7"/>
    <w:rsid w:val="00BD22EF"/>
    <w:rsid w:val="00BD253A"/>
    <w:rsid w:val="00BD2901"/>
    <w:rsid w:val="00BD3428"/>
    <w:rsid w:val="00BD3593"/>
    <w:rsid w:val="00BD5286"/>
    <w:rsid w:val="00BD52D7"/>
    <w:rsid w:val="00BD6FBB"/>
    <w:rsid w:val="00BE0B5F"/>
    <w:rsid w:val="00BE100D"/>
    <w:rsid w:val="00BE233C"/>
    <w:rsid w:val="00BE2DEA"/>
    <w:rsid w:val="00BE30E0"/>
    <w:rsid w:val="00BE31D7"/>
    <w:rsid w:val="00BE3452"/>
    <w:rsid w:val="00BE3F3D"/>
    <w:rsid w:val="00BE4068"/>
    <w:rsid w:val="00BE42E4"/>
    <w:rsid w:val="00BE444E"/>
    <w:rsid w:val="00BE47E6"/>
    <w:rsid w:val="00BE50C9"/>
    <w:rsid w:val="00BE51CC"/>
    <w:rsid w:val="00BE5431"/>
    <w:rsid w:val="00BE5793"/>
    <w:rsid w:val="00BE5B6B"/>
    <w:rsid w:val="00BE5EB0"/>
    <w:rsid w:val="00BE5F79"/>
    <w:rsid w:val="00BE65B8"/>
    <w:rsid w:val="00BE6B5D"/>
    <w:rsid w:val="00BE7054"/>
    <w:rsid w:val="00BE778A"/>
    <w:rsid w:val="00BE7994"/>
    <w:rsid w:val="00BE7BF5"/>
    <w:rsid w:val="00BE7ECF"/>
    <w:rsid w:val="00BF075E"/>
    <w:rsid w:val="00BF08A2"/>
    <w:rsid w:val="00BF0A0B"/>
    <w:rsid w:val="00BF0BF6"/>
    <w:rsid w:val="00BF0C80"/>
    <w:rsid w:val="00BF0C9D"/>
    <w:rsid w:val="00BF0D06"/>
    <w:rsid w:val="00BF13F4"/>
    <w:rsid w:val="00BF1721"/>
    <w:rsid w:val="00BF1930"/>
    <w:rsid w:val="00BF1B8D"/>
    <w:rsid w:val="00BF1D4E"/>
    <w:rsid w:val="00BF2268"/>
    <w:rsid w:val="00BF24B4"/>
    <w:rsid w:val="00BF2EF4"/>
    <w:rsid w:val="00BF3033"/>
    <w:rsid w:val="00BF31C8"/>
    <w:rsid w:val="00BF3521"/>
    <w:rsid w:val="00BF3955"/>
    <w:rsid w:val="00BF39EB"/>
    <w:rsid w:val="00BF3F94"/>
    <w:rsid w:val="00BF410F"/>
    <w:rsid w:val="00BF4312"/>
    <w:rsid w:val="00BF503C"/>
    <w:rsid w:val="00BF52FA"/>
    <w:rsid w:val="00BF5713"/>
    <w:rsid w:val="00BF5D6A"/>
    <w:rsid w:val="00BF5DF7"/>
    <w:rsid w:val="00BF77A3"/>
    <w:rsid w:val="00BF7922"/>
    <w:rsid w:val="00BF79AF"/>
    <w:rsid w:val="00BF79CA"/>
    <w:rsid w:val="00BF7CAF"/>
    <w:rsid w:val="00C00388"/>
    <w:rsid w:val="00C005A1"/>
    <w:rsid w:val="00C01363"/>
    <w:rsid w:val="00C0145B"/>
    <w:rsid w:val="00C018F9"/>
    <w:rsid w:val="00C01F56"/>
    <w:rsid w:val="00C02038"/>
    <w:rsid w:val="00C023DF"/>
    <w:rsid w:val="00C028F0"/>
    <w:rsid w:val="00C02EE9"/>
    <w:rsid w:val="00C03001"/>
    <w:rsid w:val="00C03306"/>
    <w:rsid w:val="00C035C5"/>
    <w:rsid w:val="00C037DE"/>
    <w:rsid w:val="00C03EA4"/>
    <w:rsid w:val="00C040EA"/>
    <w:rsid w:val="00C04887"/>
    <w:rsid w:val="00C0502B"/>
    <w:rsid w:val="00C05118"/>
    <w:rsid w:val="00C05159"/>
    <w:rsid w:val="00C077F0"/>
    <w:rsid w:val="00C1027A"/>
    <w:rsid w:val="00C11686"/>
    <w:rsid w:val="00C11CB6"/>
    <w:rsid w:val="00C11DFB"/>
    <w:rsid w:val="00C12160"/>
    <w:rsid w:val="00C1238A"/>
    <w:rsid w:val="00C1255C"/>
    <w:rsid w:val="00C12666"/>
    <w:rsid w:val="00C128FD"/>
    <w:rsid w:val="00C1312C"/>
    <w:rsid w:val="00C1385A"/>
    <w:rsid w:val="00C13931"/>
    <w:rsid w:val="00C140CF"/>
    <w:rsid w:val="00C14428"/>
    <w:rsid w:val="00C14FE7"/>
    <w:rsid w:val="00C15025"/>
    <w:rsid w:val="00C159BB"/>
    <w:rsid w:val="00C15CEA"/>
    <w:rsid w:val="00C15D47"/>
    <w:rsid w:val="00C15EFA"/>
    <w:rsid w:val="00C15F2E"/>
    <w:rsid w:val="00C163DB"/>
    <w:rsid w:val="00C17604"/>
    <w:rsid w:val="00C17A1F"/>
    <w:rsid w:val="00C20349"/>
    <w:rsid w:val="00C2096F"/>
    <w:rsid w:val="00C20B6F"/>
    <w:rsid w:val="00C20F95"/>
    <w:rsid w:val="00C2184E"/>
    <w:rsid w:val="00C2197D"/>
    <w:rsid w:val="00C222A2"/>
    <w:rsid w:val="00C2275A"/>
    <w:rsid w:val="00C22FF8"/>
    <w:rsid w:val="00C23001"/>
    <w:rsid w:val="00C23034"/>
    <w:rsid w:val="00C2309E"/>
    <w:rsid w:val="00C23516"/>
    <w:rsid w:val="00C23A76"/>
    <w:rsid w:val="00C23B84"/>
    <w:rsid w:val="00C2438D"/>
    <w:rsid w:val="00C246C3"/>
    <w:rsid w:val="00C24813"/>
    <w:rsid w:val="00C24878"/>
    <w:rsid w:val="00C25350"/>
    <w:rsid w:val="00C254A5"/>
    <w:rsid w:val="00C257F8"/>
    <w:rsid w:val="00C25B19"/>
    <w:rsid w:val="00C25D92"/>
    <w:rsid w:val="00C26821"/>
    <w:rsid w:val="00C2742E"/>
    <w:rsid w:val="00C2780C"/>
    <w:rsid w:val="00C27EDB"/>
    <w:rsid w:val="00C30241"/>
    <w:rsid w:val="00C3029C"/>
    <w:rsid w:val="00C30567"/>
    <w:rsid w:val="00C30AEE"/>
    <w:rsid w:val="00C30D51"/>
    <w:rsid w:val="00C31545"/>
    <w:rsid w:val="00C31C59"/>
    <w:rsid w:val="00C31CE9"/>
    <w:rsid w:val="00C31F4A"/>
    <w:rsid w:val="00C3205F"/>
    <w:rsid w:val="00C326A7"/>
    <w:rsid w:val="00C33D30"/>
    <w:rsid w:val="00C342B1"/>
    <w:rsid w:val="00C34554"/>
    <w:rsid w:val="00C34696"/>
    <w:rsid w:val="00C34B8E"/>
    <w:rsid w:val="00C35790"/>
    <w:rsid w:val="00C357E3"/>
    <w:rsid w:val="00C360F7"/>
    <w:rsid w:val="00C365EA"/>
    <w:rsid w:val="00C3668A"/>
    <w:rsid w:val="00C36E43"/>
    <w:rsid w:val="00C37560"/>
    <w:rsid w:val="00C37F1F"/>
    <w:rsid w:val="00C40210"/>
    <w:rsid w:val="00C403E8"/>
    <w:rsid w:val="00C40DF9"/>
    <w:rsid w:val="00C42229"/>
    <w:rsid w:val="00C4264A"/>
    <w:rsid w:val="00C4299D"/>
    <w:rsid w:val="00C429D2"/>
    <w:rsid w:val="00C4321D"/>
    <w:rsid w:val="00C44346"/>
    <w:rsid w:val="00C447EA"/>
    <w:rsid w:val="00C4497A"/>
    <w:rsid w:val="00C44CB0"/>
    <w:rsid w:val="00C45343"/>
    <w:rsid w:val="00C455FE"/>
    <w:rsid w:val="00C45652"/>
    <w:rsid w:val="00C45B12"/>
    <w:rsid w:val="00C462C7"/>
    <w:rsid w:val="00C470CD"/>
    <w:rsid w:val="00C50518"/>
    <w:rsid w:val="00C50A24"/>
    <w:rsid w:val="00C511C2"/>
    <w:rsid w:val="00C52589"/>
    <w:rsid w:val="00C52654"/>
    <w:rsid w:val="00C53005"/>
    <w:rsid w:val="00C54088"/>
    <w:rsid w:val="00C5496F"/>
    <w:rsid w:val="00C54CC0"/>
    <w:rsid w:val="00C54E36"/>
    <w:rsid w:val="00C55408"/>
    <w:rsid w:val="00C5593E"/>
    <w:rsid w:val="00C55F5E"/>
    <w:rsid w:val="00C55FAE"/>
    <w:rsid w:val="00C55FC1"/>
    <w:rsid w:val="00C5608B"/>
    <w:rsid w:val="00C56732"/>
    <w:rsid w:val="00C56DE9"/>
    <w:rsid w:val="00C57A35"/>
    <w:rsid w:val="00C600E0"/>
    <w:rsid w:val="00C603A8"/>
    <w:rsid w:val="00C607A4"/>
    <w:rsid w:val="00C60BE0"/>
    <w:rsid w:val="00C61757"/>
    <w:rsid w:val="00C626DC"/>
    <w:rsid w:val="00C62FD6"/>
    <w:rsid w:val="00C630AF"/>
    <w:rsid w:val="00C63183"/>
    <w:rsid w:val="00C63323"/>
    <w:rsid w:val="00C638D0"/>
    <w:rsid w:val="00C64A7A"/>
    <w:rsid w:val="00C658AB"/>
    <w:rsid w:val="00C66410"/>
    <w:rsid w:val="00C6688C"/>
    <w:rsid w:val="00C66CE4"/>
    <w:rsid w:val="00C671AB"/>
    <w:rsid w:val="00C67972"/>
    <w:rsid w:val="00C67DF1"/>
    <w:rsid w:val="00C67E3F"/>
    <w:rsid w:val="00C67EC2"/>
    <w:rsid w:val="00C7025C"/>
    <w:rsid w:val="00C71287"/>
    <w:rsid w:val="00C7157E"/>
    <w:rsid w:val="00C71A5F"/>
    <w:rsid w:val="00C71BE1"/>
    <w:rsid w:val="00C71D23"/>
    <w:rsid w:val="00C721B6"/>
    <w:rsid w:val="00C72429"/>
    <w:rsid w:val="00C726A7"/>
    <w:rsid w:val="00C73780"/>
    <w:rsid w:val="00C73985"/>
    <w:rsid w:val="00C7434B"/>
    <w:rsid w:val="00C74B91"/>
    <w:rsid w:val="00C74CD3"/>
    <w:rsid w:val="00C74EB8"/>
    <w:rsid w:val="00C75CF1"/>
    <w:rsid w:val="00C75D87"/>
    <w:rsid w:val="00C75ED5"/>
    <w:rsid w:val="00C760EB"/>
    <w:rsid w:val="00C7650B"/>
    <w:rsid w:val="00C76654"/>
    <w:rsid w:val="00C76914"/>
    <w:rsid w:val="00C769D1"/>
    <w:rsid w:val="00C76B48"/>
    <w:rsid w:val="00C803B5"/>
    <w:rsid w:val="00C806F4"/>
    <w:rsid w:val="00C8093F"/>
    <w:rsid w:val="00C80AAE"/>
    <w:rsid w:val="00C81998"/>
    <w:rsid w:val="00C81C85"/>
    <w:rsid w:val="00C81C9A"/>
    <w:rsid w:val="00C81DDD"/>
    <w:rsid w:val="00C82B00"/>
    <w:rsid w:val="00C82BFB"/>
    <w:rsid w:val="00C846B4"/>
    <w:rsid w:val="00C84990"/>
    <w:rsid w:val="00C8551F"/>
    <w:rsid w:val="00C85623"/>
    <w:rsid w:val="00C85807"/>
    <w:rsid w:val="00C861A3"/>
    <w:rsid w:val="00C86883"/>
    <w:rsid w:val="00C868E0"/>
    <w:rsid w:val="00C86B2F"/>
    <w:rsid w:val="00C86DE0"/>
    <w:rsid w:val="00C870AE"/>
    <w:rsid w:val="00C87954"/>
    <w:rsid w:val="00C87AA9"/>
    <w:rsid w:val="00C87E59"/>
    <w:rsid w:val="00C9004D"/>
    <w:rsid w:val="00C900CF"/>
    <w:rsid w:val="00C903D9"/>
    <w:rsid w:val="00C9063E"/>
    <w:rsid w:val="00C90A85"/>
    <w:rsid w:val="00C90B76"/>
    <w:rsid w:val="00C912E0"/>
    <w:rsid w:val="00C9140D"/>
    <w:rsid w:val="00C91431"/>
    <w:rsid w:val="00C9149A"/>
    <w:rsid w:val="00C920AC"/>
    <w:rsid w:val="00C9211D"/>
    <w:rsid w:val="00C921C4"/>
    <w:rsid w:val="00C9247A"/>
    <w:rsid w:val="00C92771"/>
    <w:rsid w:val="00C92773"/>
    <w:rsid w:val="00C92933"/>
    <w:rsid w:val="00C92B89"/>
    <w:rsid w:val="00C9310C"/>
    <w:rsid w:val="00C93202"/>
    <w:rsid w:val="00C93473"/>
    <w:rsid w:val="00C93541"/>
    <w:rsid w:val="00C93951"/>
    <w:rsid w:val="00C93E2C"/>
    <w:rsid w:val="00C93E4A"/>
    <w:rsid w:val="00C93FA0"/>
    <w:rsid w:val="00C94863"/>
    <w:rsid w:val="00C94A27"/>
    <w:rsid w:val="00C94C6D"/>
    <w:rsid w:val="00C94F07"/>
    <w:rsid w:val="00C95A48"/>
    <w:rsid w:val="00C95B23"/>
    <w:rsid w:val="00C95EFE"/>
    <w:rsid w:val="00C95F5E"/>
    <w:rsid w:val="00C96073"/>
    <w:rsid w:val="00C964BD"/>
    <w:rsid w:val="00C969C6"/>
    <w:rsid w:val="00C96F15"/>
    <w:rsid w:val="00C97D93"/>
    <w:rsid w:val="00CA05BE"/>
    <w:rsid w:val="00CA1816"/>
    <w:rsid w:val="00CA24B3"/>
    <w:rsid w:val="00CA2BE5"/>
    <w:rsid w:val="00CA2FC4"/>
    <w:rsid w:val="00CA3A85"/>
    <w:rsid w:val="00CA3E17"/>
    <w:rsid w:val="00CA44C8"/>
    <w:rsid w:val="00CA4BE1"/>
    <w:rsid w:val="00CA55AE"/>
    <w:rsid w:val="00CA572C"/>
    <w:rsid w:val="00CA5A10"/>
    <w:rsid w:val="00CA5AB1"/>
    <w:rsid w:val="00CA60AD"/>
    <w:rsid w:val="00CA63A1"/>
    <w:rsid w:val="00CB0895"/>
    <w:rsid w:val="00CB1101"/>
    <w:rsid w:val="00CB13D2"/>
    <w:rsid w:val="00CB22FB"/>
    <w:rsid w:val="00CB26F6"/>
    <w:rsid w:val="00CB2CE8"/>
    <w:rsid w:val="00CB398A"/>
    <w:rsid w:val="00CB49CD"/>
    <w:rsid w:val="00CB5239"/>
    <w:rsid w:val="00CB5DE2"/>
    <w:rsid w:val="00CB5FBC"/>
    <w:rsid w:val="00CB76F4"/>
    <w:rsid w:val="00CB7BF7"/>
    <w:rsid w:val="00CB7BF9"/>
    <w:rsid w:val="00CC026B"/>
    <w:rsid w:val="00CC09E8"/>
    <w:rsid w:val="00CC0AFF"/>
    <w:rsid w:val="00CC0C1E"/>
    <w:rsid w:val="00CC0E2F"/>
    <w:rsid w:val="00CC1B50"/>
    <w:rsid w:val="00CC1C89"/>
    <w:rsid w:val="00CC1DF1"/>
    <w:rsid w:val="00CC257D"/>
    <w:rsid w:val="00CC27D3"/>
    <w:rsid w:val="00CC3D96"/>
    <w:rsid w:val="00CC461F"/>
    <w:rsid w:val="00CC47C1"/>
    <w:rsid w:val="00CC4A33"/>
    <w:rsid w:val="00CC4B62"/>
    <w:rsid w:val="00CC58DE"/>
    <w:rsid w:val="00CC5CC2"/>
    <w:rsid w:val="00CC5E99"/>
    <w:rsid w:val="00CC6F66"/>
    <w:rsid w:val="00CC6FAB"/>
    <w:rsid w:val="00CC7103"/>
    <w:rsid w:val="00CC78C8"/>
    <w:rsid w:val="00CC7B82"/>
    <w:rsid w:val="00CC7C72"/>
    <w:rsid w:val="00CC7F7B"/>
    <w:rsid w:val="00CD0590"/>
    <w:rsid w:val="00CD05A7"/>
    <w:rsid w:val="00CD06CF"/>
    <w:rsid w:val="00CD0B90"/>
    <w:rsid w:val="00CD16AF"/>
    <w:rsid w:val="00CD1A2C"/>
    <w:rsid w:val="00CD1D80"/>
    <w:rsid w:val="00CD2650"/>
    <w:rsid w:val="00CD2FD5"/>
    <w:rsid w:val="00CD35A8"/>
    <w:rsid w:val="00CD3C50"/>
    <w:rsid w:val="00CD3E5D"/>
    <w:rsid w:val="00CD4489"/>
    <w:rsid w:val="00CD4762"/>
    <w:rsid w:val="00CD4B4E"/>
    <w:rsid w:val="00CD4FF2"/>
    <w:rsid w:val="00CD5231"/>
    <w:rsid w:val="00CD58C4"/>
    <w:rsid w:val="00CD5B3D"/>
    <w:rsid w:val="00CD5B55"/>
    <w:rsid w:val="00CD68DB"/>
    <w:rsid w:val="00CD7049"/>
    <w:rsid w:val="00CD7D4D"/>
    <w:rsid w:val="00CE088F"/>
    <w:rsid w:val="00CE0FF6"/>
    <w:rsid w:val="00CE15E8"/>
    <w:rsid w:val="00CE1CB7"/>
    <w:rsid w:val="00CE231A"/>
    <w:rsid w:val="00CE28E1"/>
    <w:rsid w:val="00CE2A5F"/>
    <w:rsid w:val="00CE2D9A"/>
    <w:rsid w:val="00CE2DDB"/>
    <w:rsid w:val="00CE3586"/>
    <w:rsid w:val="00CE36FB"/>
    <w:rsid w:val="00CE416C"/>
    <w:rsid w:val="00CE4514"/>
    <w:rsid w:val="00CE45A5"/>
    <w:rsid w:val="00CE5223"/>
    <w:rsid w:val="00CE542E"/>
    <w:rsid w:val="00CE59F3"/>
    <w:rsid w:val="00CE5EE5"/>
    <w:rsid w:val="00CE64A3"/>
    <w:rsid w:val="00CE6B2E"/>
    <w:rsid w:val="00CE7B9E"/>
    <w:rsid w:val="00CF00AB"/>
    <w:rsid w:val="00CF0408"/>
    <w:rsid w:val="00CF12CA"/>
    <w:rsid w:val="00CF2956"/>
    <w:rsid w:val="00CF3328"/>
    <w:rsid w:val="00CF33A1"/>
    <w:rsid w:val="00CF34DA"/>
    <w:rsid w:val="00CF3C26"/>
    <w:rsid w:val="00CF3F13"/>
    <w:rsid w:val="00CF40AC"/>
    <w:rsid w:val="00CF45A9"/>
    <w:rsid w:val="00CF4D79"/>
    <w:rsid w:val="00CF50AE"/>
    <w:rsid w:val="00CF5548"/>
    <w:rsid w:val="00CF61F4"/>
    <w:rsid w:val="00CF671E"/>
    <w:rsid w:val="00CF6817"/>
    <w:rsid w:val="00CF6853"/>
    <w:rsid w:val="00CF7A66"/>
    <w:rsid w:val="00CF7B88"/>
    <w:rsid w:val="00CF7C95"/>
    <w:rsid w:val="00CF7F9A"/>
    <w:rsid w:val="00D00F66"/>
    <w:rsid w:val="00D01537"/>
    <w:rsid w:val="00D01FCC"/>
    <w:rsid w:val="00D0200B"/>
    <w:rsid w:val="00D0208D"/>
    <w:rsid w:val="00D02261"/>
    <w:rsid w:val="00D02729"/>
    <w:rsid w:val="00D02F1D"/>
    <w:rsid w:val="00D03D20"/>
    <w:rsid w:val="00D04B0A"/>
    <w:rsid w:val="00D04E9D"/>
    <w:rsid w:val="00D05E45"/>
    <w:rsid w:val="00D05E9B"/>
    <w:rsid w:val="00D05F15"/>
    <w:rsid w:val="00D061E8"/>
    <w:rsid w:val="00D06F40"/>
    <w:rsid w:val="00D07D3C"/>
    <w:rsid w:val="00D07EB6"/>
    <w:rsid w:val="00D100BD"/>
    <w:rsid w:val="00D10A4C"/>
    <w:rsid w:val="00D10FBA"/>
    <w:rsid w:val="00D11B3E"/>
    <w:rsid w:val="00D128CA"/>
    <w:rsid w:val="00D12B37"/>
    <w:rsid w:val="00D12B7B"/>
    <w:rsid w:val="00D12E8A"/>
    <w:rsid w:val="00D134B0"/>
    <w:rsid w:val="00D1365C"/>
    <w:rsid w:val="00D139A2"/>
    <w:rsid w:val="00D13D45"/>
    <w:rsid w:val="00D13FA4"/>
    <w:rsid w:val="00D142ED"/>
    <w:rsid w:val="00D14771"/>
    <w:rsid w:val="00D14BF1"/>
    <w:rsid w:val="00D16606"/>
    <w:rsid w:val="00D16D54"/>
    <w:rsid w:val="00D17520"/>
    <w:rsid w:val="00D17A2D"/>
    <w:rsid w:val="00D17E50"/>
    <w:rsid w:val="00D205B3"/>
    <w:rsid w:val="00D205CE"/>
    <w:rsid w:val="00D209AB"/>
    <w:rsid w:val="00D20CC9"/>
    <w:rsid w:val="00D21E80"/>
    <w:rsid w:val="00D22152"/>
    <w:rsid w:val="00D22271"/>
    <w:rsid w:val="00D226DD"/>
    <w:rsid w:val="00D22E70"/>
    <w:rsid w:val="00D22EAB"/>
    <w:rsid w:val="00D23008"/>
    <w:rsid w:val="00D235C9"/>
    <w:rsid w:val="00D23F86"/>
    <w:rsid w:val="00D240BE"/>
    <w:rsid w:val="00D244BF"/>
    <w:rsid w:val="00D248A8"/>
    <w:rsid w:val="00D24A26"/>
    <w:rsid w:val="00D24FB7"/>
    <w:rsid w:val="00D25061"/>
    <w:rsid w:val="00D25950"/>
    <w:rsid w:val="00D26598"/>
    <w:rsid w:val="00D26A2A"/>
    <w:rsid w:val="00D26DFA"/>
    <w:rsid w:val="00D27260"/>
    <w:rsid w:val="00D2781D"/>
    <w:rsid w:val="00D3007B"/>
    <w:rsid w:val="00D3014D"/>
    <w:rsid w:val="00D31194"/>
    <w:rsid w:val="00D31225"/>
    <w:rsid w:val="00D3135E"/>
    <w:rsid w:val="00D32542"/>
    <w:rsid w:val="00D3327C"/>
    <w:rsid w:val="00D33303"/>
    <w:rsid w:val="00D3352F"/>
    <w:rsid w:val="00D33578"/>
    <w:rsid w:val="00D33773"/>
    <w:rsid w:val="00D3387D"/>
    <w:rsid w:val="00D3426F"/>
    <w:rsid w:val="00D3494C"/>
    <w:rsid w:val="00D35077"/>
    <w:rsid w:val="00D352BC"/>
    <w:rsid w:val="00D36778"/>
    <w:rsid w:val="00D36D4C"/>
    <w:rsid w:val="00D36D50"/>
    <w:rsid w:val="00D37674"/>
    <w:rsid w:val="00D37860"/>
    <w:rsid w:val="00D37989"/>
    <w:rsid w:val="00D37A15"/>
    <w:rsid w:val="00D37B8C"/>
    <w:rsid w:val="00D37D9D"/>
    <w:rsid w:val="00D37E97"/>
    <w:rsid w:val="00D40142"/>
    <w:rsid w:val="00D401B1"/>
    <w:rsid w:val="00D40D82"/>
    <w:rsid w:val="00D413B1"/>
    <w:rsid w:val="00D41C58"/>
    <w:rsid w:val="00D41CB2"/>
    <w:rsid w:val="00D430D4"/>
    <w:rsid w:val="00D43B7B"/>
    <w:rsid w:val="00D44463"/>
    <w:rsid w:val="00D448C9"/>
    <w:rsid w:val="00D44B62"/>
    <w:rsid w:val="00D44CAC"/>
    <w:rsid w:val="00D461B4"/>
    <w:rsid w:val="00D464FA"/>
    <w:rsid w:val="00D46799"/>
    <w:rsid w:val="00D468A4"/>
    <w:rsid w:val="00D46CB6"/>
    <w:rsid w:val="00D46CD0"/>
    <w:rsid w:val="00D46EF8"/>
    <w:rsid w:val="00D47095"/>
    <w:rsid w:val="00D470B2"/>
    <w:rsid w:val="00D47458"/>
    <w:rsid w:val="00D478FA"/>
    <w:rsid w:val="00D50648"/>
    <w:rsid w:val="00D51977"/>
    <w:rsid w:val="00D523F3"/>
    <w:rsid w:val="00D52F0D"/>
    <w:rsid w:val="00D5351B"/>
    <w:rsid w:val="00D53913"/>
    <w:rsid w:val="00D53CA2"/>
    <w:rsid w:val="00D5413A"/>
    <w:rsid w:val="00D5434E"/>
    <w:rsid w:val="00D54727"/>
    <w:rsid w:val="00D54D04"/>
    <w:rsid w:val="00D54D46"/>
    <w:rsid w:val="00D54D5E"/>
    <w:rsid w:val="00D54E7A"/>
    <w:rsid w:val="00D5516B"/>
    <w:rsid w:val="00D555B5"/>
    <w:rsid w:val="00D560B7"/>
    <w:rsid w:val="00D5646F"/>
    <w:rsid w:val="00D56657"/>
    <w:rsid w:val="00D5688F"/>
    <w:rsid w:val="00D56DA8"/>
    <w:rsid w:val="00D5706B"/>
    <w:rsid w:val="00D570BB"/>
    <w:rsid w:val="00D575C4"/>
    <w:rsid w:val="00D606C7"/>
    <w:rsid w:val="00D608C8"/>
    <w:rsid w:val="00D609E9"/>
    <w:rsid w:val="00D61C88"/>
    <w:rsid w:val="00D62220"/>
    <w:rsid w:val="00D62725"/>
    <w:rsid w:val="00D6287C"/>
    <w:rsid w:val="00D63FCB"/>
    <w:rsid w:val="00D64593"/>
    <w:rsid w:val="00D64A76"/>
    <w:rsid w:val="00D64BB3"/>
    <w:rsid w:val="00D64DB6"/>
    <w:rsid w:val="00D659EA"/>
    <w:rsid w:val="00D664A4"/>
    <w:rsid w:val="00D6719B"/>
    <w:rsid w:val="00D67D91"/>
    <w:rsid w:val="00D67E0E"/>
    <w:rsid w:val="00D7081F"/>
    <w:rsid w:val="00D72150"/>
    <w:rsid w:val="00D723AF"/>
    <w:rsid w:val="00D72CA4"/>
    <w:rsid w:val="00D7362C"/>
    <w:rsid w:val="00D74C06"/>
    <w:rsid w:val="00D74E22"/>
    <w:rsid w:val="00D75166"/>
    <w:rsid w:val="00D75381"/>
    <w:rsid w:val="00D75E2E"/>
    <w:rsid w:val="00D7639F"/>
    <w:rsid w:val="00D764C2"/>
    <w:rsid w:val="00D76542"/>
    <w:rsid w:val="00D76DD3"/>
    <w:rsid w:val="00D77776"/>
    <w:rsid w:val="00D77BAB"/>
    <w:rsid w:val="00D801B7"/>
    <w:rsid w:val="00D80AD9"/>
    <w:rsid w:val="00D81075"/>
    <w:rsid w:val="00D816BE"/>
    <w:rsid w:val="00D8188E"/>
    <w:rsid w:val="00D828EA"/>
    <w:rsid w:val="00D8314F"/>
    <w:rsid w:val="00D837EB"/>
    <w:rsid w:val="00D83889"/>
    <w:rsid w:val="00D83C79"/>
    <w:rsid w:val="00D83CDA"/>
    <w:rsid w:val="00D844A0"/>
    <w:rsid w:val="00D84A30"/>
    <w:rsid w:val="00D84E6D"/>
    <w:rsid w:val="00D84F35"/>
    <w:rsid w:val="00D8523B"/>
    <w:rsid w:val="00D854CE"/>
    <w:rsid w:val="00D85847"/>
    <w:rsid w:val="00D858FC"/>
    <w:rsid w:val="00D85E40"/>
    <w:rsid w:val="00D861A2"/>
    <w:rsid w:val="00D86559"/>
    <w:rsid w:val="00D86717"/>
    <w:rsid w:val="00D86DB3"/>
    <w:rsid w:val="00D86E9C"/>
    <w:rsid w:val="00D873BF"/>
    <w:rsid w:val="00D87C49"/>
    <w:rsid w:val="00D87DDA"/>
    <w:rsid w:val="00D906D4"/>
    <w:rsid w:val="00D906D5"/>
    <w:rsid w:val="00D90A8B"/>
    <w:rsid w:val="00D90AEF"/>
    <w:rsid w:val="00D90D0C"/>
    <w:rsid w:val="00D90DF1"/>
    <w:rsid w:val="00D90F24"/>
    <w:rsid w:val="00D910A5"/>
    <w:rsid w:val="00D910B7"/>
    <w:rsid w:val="00D9128B"/>
    <w:rsid w:val="00D91769"/>
    <w:rsid w:val="00D9220D"/>
    <w:rsid w:val="00D926CD"/>
    <w:rsid w:val="00D933B7"/>
    <w:rsid w:val="00D93615"/>
    <w:rsid w:val="00D9371A"/>
    <w:rsid w:val="00D93E1A"/>
    <w:rsid w:val="00D9413B"/>
    <w:rsid w:val="00D941A9"/>
    <w:rsid w:val="00D947EC"/>
    <w:rsid w:val="00D9485D"/>
    <w:rsid w:val="00D948DA"/>
    <w:rsid w:val="00D94B32"/>
    <w:rsid w:val="00D95442"/>
    <w:rsid w:val="00D95798"/>
    <w:rsid w:val="00D960C5"/>
    <w:rsid w:val="00D97221"/>
    <w:rsid w:val="00D97B7C"/>
    <w:rsid w:val="00D97C77"/>
    <w:rsid w:val="00D97DE5"/>
    <w:rsid w:val="00DA032C"/>
    <w:rsid w:val="00DA04F6"/>
    <w:rsid w:val="00DA09FF"/>
    <w:rsid w:val="00DA16A6"/>
    <w:rsid w:val="00DA1F94"/>
    <w:rsid w:val="00DA2656"/>
    <w:rsid w:val="00DA28CF"/>
    <w:rsid w:val="00DA2CB8"/>
    <w:rsid w:val="00DA2F11"/>
    <w:rsid w:val="00DA2F17"/>
    <w:rsid w:val="00DA2F9B"/>
    <w:rsid w:val="00DA3201"/>
    <w:rsid w:val="00DA39A9"/>
    <w:rsid w:val="00DA3C0B"/>
    <w:rsid w:val="00DA3F84"/>
    <w:rsid w:val="00DA41C9"/>
    <w:rsid w:val="00DA44FA"/>
    <w:rsid w:val="00DA4960"/>
    <w:rsid w:val="00DA4E15"/>
    <w:rsid w:val="00DA5018"/>
    <w:rsid w:val="00DA51F5"/>
    <w:rsid w:val="00DA5220"/>
    <w:rsid w:val="00DA55FE"/>
    <w:rsid w:val="00DA586A"/>
    <w:rsid w:val="00DA5CB0"/>
    <w:rsid w:val="00DA5E46"/>
    <w:rsid w:val="00DA63F6"/>
    <w:rsid w:val="00DA6DD0"/>
    <w:rsid w:val="00DA7958"/>
    <w:rsid w:val="00DA7B1D"/>
    <w:rsid w:val="00DA7DBC"/>
    <w:rsid w:val="00DA7FA4"/>
    <w:rsid w:val="00DB071F"/>
    <w:rsid w:val="00DB0761"/>
    <w:rsid w:val="00DB0821"/>
    <w:rsid w:val="00DB0921"/>
    <w:rsid w:val="00DB0F52"/>
    <w:rsid w:val="00DB1939"/>
    <w:rsid w:val="00DB19FF"/>
    <w:rsid w:val="00DB26B0"/>
    <w:rsid w:val="00DB2FE1"/>
    <w:rsid w:val="00DB34A9"/>
    <w:rsid w:val="00DB395F"/>
    <w:rsid w:val="00DB3C91"/>
    <w:rsid w:val="00DB4592"/>
    <w:rsid w:val="00DB52D1"/>
    <w:rsid w:val="00DB55F2"/>
    <w:rsid w:val="00DB68C6"/>
    <w:rsid w:val="00DB6BA1"/>
    <w:rsid w:val="00DB7977"/>
    <w:rsid w:val="00DB7A04"/>
    <w:rsid w:val="00DC10A1"/>
    <w:rsid w:val="00DC1A07"/>
    <w:rsid w:val="00DC1A81"/>
    <w:rsid w:val="00DC1ABC"/>
    <w:rsid w:val="00DC1D6E"/>
    <w:rsid w:val="00DC1F24"/>
    <w:rsid w:val="00DC28C7"/>
    <w:rsid w:val="00DC2A74"/>
    <w:rsid w:val="00DC2B5B"/>
    <w:rsid w:val="00DC3521"/>
    <w:rsid w:val="00DC358B"/>
    <w:rsid w:val="00DC36CF"/>
    <w:rsid w:val="00DC3708"/>
    <w:rsid w:val="00DC42B2"/>
    <w:rsid w:val="00DC4354"/>
    <w:rsid w:val="00DC4398"/>
    <w:rsid w:val="00DC4C13"/>
    <w:rsid w:val="00DC5A10"/>
    <w:rsid w:val="00DC6DB0"/>
    <w:rsid w:val="00DC77AC"/>
    <w:rsid w:val="00DC7DD7"/>
    <w:rsid w:val="00DD05E4"/>
    <w:rsid w:val="00DD0683"/>
    <w:rsid w:val="00DD0B3A"/>
    <w:rsid w:val="00DD0F2C"/>
    <w:rsid w:val="00DD0F3F"/>
    <w:rsid w:val="00DD0F91"/>
    <w:rsid w:val="00DD1B29"/>
    <w:rsid w:val="00DD2317"/>
    <w:rsid w:val="00DD4496"/>
    <w:rsid w:val="00DD49C9"/>
    <w:rsid w:val="00DD4CE1"/>
    <w:rsid w:val="00DD5015"/>
    <w:rsid w:val="00DD5538"/>
    <w:rsid w:val="00DD55D1"/>
    <w:rsid w:val="00DD6AF7"/>
    <w:rsid w:val="00DD6B82"/>
    <w:rsid w:val="00DD6C03"/>
    <w:rsid w:val="00DD71C3"/>
    <w:rsid w:val="00DD72FE"/>
    <w:rsid w:val="00DD735B"/>
    <w:rsid w:val="00DD7401"/>
    <w:rsid w:val="00DE014C"/>
    <w:rsid w:val="00DE0715"/>
    <w:rsid w:val="00DE078E"/>
    <w:rsid w:val="00DE09DF"/>
    <w:rsid w:val="00DE0E53"/>
    <w:rsid w:val="00DE13E6"/>
    <w:rsid w:val="00DE1995"/>
    <w:rsid w:val="00DE2193"/>
    <w:rsid w:val="00DE2784"/>
    <w:rsid w:val="00DE34D6"/>
    <w:rsid w:val="00DE3788"/>
    <w:rsid w:val="00DE3B14"/>
    <w:rsid w:val="00DE40CD"/>
    <w:rsid w:val="00DE443C"/>
    <w:rsid w:val="00DE450E"/>
    <w:rsid w:val="00DE45C3"/>
    <w:rsid w:val="00DE4A10"/>
    <w:rsid w:val="00DE4E3B"/>
    <w:rsid w:val="00DE4EF1"/>
    <w:rsid w:val="00DE66E6"/>
    <w:rsid w:val="00DE6AA9"/>
    <w:rsid w:val="00DE6BE6"/>
    <w:rsid w:val="00DF0488"/>
    <w:rsid w:val="00DF05FD"/>
    <w:rsid w:val="00DF121E"/>
    <w:rsid w:val="00DF1BF5"/>
    <w:rsid w:val="00DF1F93"/>
    <w:rsid w:val="00DF2785"/>
    <w:rsid w:val="00DF289A"/>
    <w:rsid w:val="00DF2A55"/>
    <w:rsid w:val="00DF2DDA"/>
    <w:rsid w:val="00DF342D"/>
    <w:rsid w:val="00DF3847"/>
    <w:rsid w:val="00DF39E5"/>
    <w:rsid w:val="00DF409B"/>
    <w:rsid w:val="00DF48A6"/>
    <w:rsid w:val="00DF4EF7"/>
    <w:rsid w:val="00DF5331"/>
    <w:rsid w:val="00DF59ED"/>
    <w:rsid w:val="00DF6DC7"/>
    <w:rsid w:val="00DF7447"/>
    <w:rsid w:val="00DF7548"/>
    <w:rsid w:val="00DF7977"/>
    <w:rsid w:val="00DF7AF3"/>
    <w:rsid w:val="00DF7C0C"/>
    <w:rsid w:val="00E00D93"/>
    <w:rsid w:val="00E00DF6"/>
    <w:rsid w:val="00E00EE1"/>
    <w:rsid w:val="00E01775"/>
    <w:rsid w:val="00E017FE"/>
    <w:rsid w:val="00E01941"/>
    <w:rsid w:val="00E01A71"/>
    <w:rsid w:val="00E01BCF"/>
    <w:rsid w:val="00E01E1A"/>
    <w:rsid w:val="00E01E72"/>
    <w:rsid w:val="00E02272"/>
    <w:rsid w:val="00E025F2"/>
    <w:rsid w:val="00E02F22"/>
    <w:rsid w:val="00E02FAB"/>
    <w:rsid w:val="00E038A7"/>
    <w:rsid w:val="00E03BA6"/>
    <w:rsid w:val="00E042B9"/>
    <w:rsid w:val="00E044C5"/>
    <w:rsid w:val="00E04F41"/>
    <w:rsid w:val="00E05E4B"/>
    <w:rsid w:val="00E05E7F"/>
    <w:rsid w:val="00E065C7"/>
    <w:rsid w:val="00E065EE"/>
    <w:rsid w:val="00E06D17"/>
    <w:rsid w:val="00E06E20"/>
    <w:rsid w:val="00E07D17"/>
    <w:rsid w:val="00E106F2"/>
    <w:rsid w:val="00E10746"/>
    <w:rsid w:val="00E1077B"/>
    <w:rsid w:val="00E1131F"/>
    <w:rsid w:val="00E11414"/>
    <w:rsid w:val="00E11572"/>
    <w:rsid w:val="00E11EE4"/>
    <w:rsid w:val="00E12C64"/>
    <w:rsid w:val="00E12F67"/>
    <w:rsid w:val="00E13614"/>
    <w:rsid w:val="00E136F6"/>
    <w:rsid w:val="00E144B1"/>
    <w:rsid w:val="00E14529"/>
    <w:rsid w:val="00E148BD"/>
    <w:rsid w:val="00E14DE7"/>
    <w:rsid w:val="00E14E4F"/>
    <w:rsid w:val="00E1543B"/>
    <w:rsid w:val="00E15AC2"/>
    <w:rsid w:val="00E15F44"/>
    <w:rsid w:val="00E15FF3"/>
    <w:rsid w:val="00E1610D"/>
    <w:rsid w:val="00E1629F"/>
    <w:rsid w:val="00E172F7"/>
    <w:rsid w:val="00E17A48"/>
    <w:rsid w:val="00E20533"/>
    <w:rsid w:val="00E20F1C"/>
    <w:rsid w:val="00E211AB"/>
    <w:rsid w:val="00E21832"/>
    <w:rsid w:val="00E22DB8"/>
    <w:rsid w:val="00E23259"/>
    <w:rsid w:val="00E23608"/>
    <w:rsid w:val="00E24FA7"/>
    <w:rsid w:val="00E2560C"/>
    <w:rsid w:val="00E256D6"/>
    <w:rsid w:val="00E25955"/>
    <w:rsid w:val="00E26274"/>
    <w:rsid w:val="00E2664F"/>
    <w:rsid w:val="00E269CC"/>
    <w:rsid w:val="00E279A7"/>
    <w:rsid w:val="00E303B0"/>
    <w:rsid w:val="00E303D0"/>
    <w:rsid w:val="00E3062C"/>
    <w:rsid w:val="00E30EBD"/>
    <w:rsid w:val="00E3153C"/>
    <w:rsid w:val="00E31627"/>
    <w:rsid w:val="00E31D1F"/>
    <w:rsid w:val="00E3273E"/>
    <w:rsid w:val="00E32D4D"/>
    <w:rsid w:val="00E332A4"/>
    <w:rsid w:val="00E3345E"/>
    <w:rsid w:val="00E34297"/>
    <w:rsid w:val="00E34976"/>
    <w:rsid w:val="00E35941"/>
    <w:rsid w:val="00E3664D"/>
    <w:rsid w:val="00E36AF5"/>
    <w:rsid w:val="00E3743A"/>
    <w:rsid w:val="00E37E38"/>
    <w:rsid w:val="00E409AA"/>
    <w:rsid w:val="00E40D2D"/>
    <w:rsid w:val="00E4103B"/>
    <w:rsid w:val="00E41382"/>
    <w:rsid w:val="00E4138B"/>
    <w:rsid w:val="00E42CA1"/>
    <w:rsid w:val="00E4393B"/>
    <w:rsid w:val="00E44036"/>
    <w:rsid w:val="00E44680"/>
    <w:rsid w:val="00E446D2"/>
    <w:rsid w:val="00E448FD"/>
    <w:rsid w:val="00E44A13"/>
    <w:rsid w:val="00E44BC6"/>
    <w:rsid w:val="00E44C0B"/>
    <w:rsid w:val="00E4543F"/>
    <w:rsid w:val="00E4583E"/>
    <w:rsid w:val="00E4666A"/>
    <w:rsid w:val="00E46A18"/>
    <w:rsid w:val="00E472A1"/>
    <w:rsid w:val="00E4735E"/>
    <w:rsid w:val="00E47CFA"/>
    <w:rsid w:val="00E47D9C"/>
    <w:rsid w:val="00E47E8D"/>
    <w:rsid w:val="00E50E48"/>
    <w:rsid w:val="00E514EC"/>
    <w:rsid w:val="00E51A7D"/>
    <w:rsid w:val="00E524B4"/>
    <w:rsid w:val="00E524DF"/>
    <w:rsid w:val="00E528D3"/>
    <w:rsid w:val="00E52E39"/>
    <w:rsid w:val="00E53070"/>
    <w:rsid w:val="00E5315B"/>
    <w:rsid w:val="00E531A6"/>
    <w:rsid w:val="00E53640"/>
    <w:rsid w:val="00E53C50"/>
    <w:rsid w:val="00E540C3"/>
    <w:rsid w:val="00E5466C"/>
    <w:rsid w:val="00E54678"/>
    <w:rsid w:val="00E55948"/>
    <w:rsid w:val="00E55A64"/>
    <w:rsid w:val="00E56792"/>
    <w:rsid w:val="00E56852"/>
    <w:rsid w:val="00E56D6C"/>
    <w:rsid w:val="00E570AF"/>
    <w:rsid w:val="00E577F3"/>
    <w:rsid w:val="00E607D6"/>
    <w:rsid w:val="00E609FC"/>
    <w:rsid w:val="00E60B79"/>
    <w:rsid w:val="00E61049"/>
    <w:rsid w:val="00E616B8"/>
    <w:rsid w:val="00E61A2C"/>
    <w:rsid w:val="00E61B1D"/>
    <w:rsid w:val="00E61D42"/>
    <w:rsid w:val="00E61E1B"/>
    <w:rsid w:val="00E6288E"/>
    <w:rsid w:val="00E628A7"/>
    <w:rsid w:val="00E62B99"/>
    <w:rsid w:val="00E63028"/>
    <w:rsid w:val="00E63792"/>
    <w:rsid w:val="00E6379C"/>
    <w:rsid w:val="00E638BD"/>
    <w:rsid w:val="00E638C0"/>
    <w:rsid w:val="00E66E9D"/>
    <w:rsid w:val="00E67914"/>
    <w:rsid w:val="00E7029C"/>
    <w:rsid w:val="00E704A6"/>
    <w:rsid w:val="00E705A2"/>
    <w:rsid w:val="00E70717"/>
    <w:rsid w:val="00E70951"/>
    <w:rsid w:val="00E71260"/>
    <w:rsid w:val="00E71774"/>
    <w:rsid w:val="00E71996"/>
    <w:rsid w:val="00E72D3A"/>
    <w:rsid w:val="00E72F61"/>
    <w:rsid w:val="00E73102"/>
    <w:rsid w:val="00E73126"/>
    <w:rsid w:val="00E7370A"/>
    <w:rsid w:val="00E739C8"/>
    <w:rsid w:val="00E73E36"/>
    <w:rsid w:val="00E73E3C"/>
    <w:rsid w:val="00E7483F"/>
    <w:rsid w:val="00E75802"/>
    <w:rsid w:val="00E75B2F"/>
    <w:rsid w:val="00E75EA4"/>
    <w:rsid w:val="00E75FF9"/>
    <w:rsid w:val="00E76403"/>
    <w:rsid w:val="00E7692E"/>
    <w:rsid w:val="00E76D61"/>
    <w:rsid w:val="00E772E3"/>
    <w:rsid w:val="00E779D2"/>
    <w:rsid w:val="00E77E74"/>
    <w:rsid w:val="00E77F2F"/>
    <w:rsid w:val="00E801DA"/>
    <w:rsid w:val="00E80369"/>
    <w:rsid w:val="00E8071E"/>
    <w:rsid w:val="00E81087"/>
    <w:rsid w:val="00E81B64"/>
    <w:rsid w:val="00E81C71"/>
    <w:rsid w:val="00E81CE3"/>
    <w:rsid w:val="00E81E91"/>
    <w:rsid w:val="00E8222E"/>
    <w:rsid w:val="00E82830"/>
    <w:rsid w:val="00E82EBE"/>
    <w:rsid w:val="00E837D5"/>
    <w:rsid w:val="00E846F1"/>
    <w:rsid w:val="00E84C41"/>
    <w:rsid w:val="00E851EC"/>
    <w:rsid w:val="00E8541B"/>
    <w:rsid w:val="00E8546A"/>
    <w:rsid w:val="00E855ED"/>
    <w:rsid w:val="00E8577D"/>
    <w:rsid w:val="00E85807"/>
    <w:rsid w:val="00E85D55"/>
    <w:rsid w:val="00E85E15"/>
    <w:rsid w:val="00E86014"/>
    <w:rsid w:val="00E860CC"/>
    <w:rsid w:val="00E869A1"/>
    <w:rsid w:val="00E86D71"/>
    <w:rsid w:val="00E86F30"/>
    <w:rsid w:val="00E86F35"/>
    <w:rsid w:val="00E87114"/>
    <w:rsid w:val="00E8798B"/>
    <w:rsid w:val="00E87C6B"/>
    <w:rsid w:val="00E87F46"/>
    <w:rsid w:val="00E90042"/>
    <w:rsid w:val="00E905DF"/>
    <w:rsid w:val="00E90C68"/>
    <w:rsid w:val="00E914BC"/>
    <w:rsid w:val="00E91568"/>
    <w:rsid w:val="00E916B8"/>
    <w:rsid w:val="00E917D5"/>
    <w:rsid w:val="00E92141"/>
    <w:rsid w:val="00E9219E"/>
    <w:rsid w:val="00E92675"/>
    <w:rsid w:val="00E93043"/>
    <w:rsid w:val="00E93C86"/>
    <w:rsid w:val="00E94117"/>
    <w:rsid w:val="00E941D8"/>
    <w:rsid w:val="00E9482D"/>
    <w:rsid w:val="00E949A1"/>
    <w:rsid w:val="00E951FE"/>
    <w:rsid w:val="00E953F3"/>
    <w:rsid w:val="00E954E3"/>
    <w:rsid w:val="00E95D4C"/>
    <w:rsid w:val="00E96051"/>
    <w:rsid w:val="00E96196"/>
    <w:rsid w:val="00E97083"/>
    <w:rsid w:val="00E97AA4"/>
    <w:rsid w:val="00EA03A9"/>
    <w:rsid w:val="00EA0D7F"/>
    <w:rsid w:val="00EA159C"/>
    <w:rsid w:val="00EA1B8F"/>
    <w:rsid w:val="00EA1D3E"/>
    <w:rsid w:val="00EA236E"/>
    <w:rsid w:val="00EA239D"/>
    <w:rsid w:val="00EA24A1"/>
    <w:rsid w:val="00EA2504"/>
    <w:rsid w:val="00EA2CE1"/>
    <w:rsid w:val="00EA3B0D"/>
    <w:rsid w:val="00EA3B11"/>
    <w:rsid w:val="00EA3C3E"/>
    <w:rsid w:val="00EA3E40"/>
    <w:rsid w:val="00EA3EAC"/>
    <w:rsid w:val="00EA46F0"/>
    <w:rsid w:val="00EA48A4"/>
    <w:rsid w:val="00EA49A0"/>
    <w:rsid w:val="00EA4AFF"/>
    <w:rsid w:val="00EA5589"/>
    <w:rsid w:val="00EA59C4"/>
    <w:rsid w:val="00EA5F48"/>
    <w:rsid w:val="00EA6155"/>
    <w:rsid w:val="00EA680C"/>
    <w:rsid w:val="00EA6B2C"/>
    <w:rsid w:val="00EA6DE9"/>
    <w:rsid w:val="00EA6EB0"/>
    <w:rsid w:val="00EA787E"/>
    <w:rsid w:val="00EA7FE3"/>
    <w:rsid w:val="00EB03DB"/>
    <w:rsid w:val="00EB0A83"/>
    <w:rsid w:val="00EB0D63"/>
    <w:rsid w:val="00EB1167"/>
    <w:rsid w:val="00EB154D"/>
    <w:rsid w:val="00EB181E"/>
    <w:rsid w:val="00EB1B33"/>
    <w:rsid w:val="00EB1D89"/>
    <w:rsid w:val="00EB1DB0"/>
    <w:rsid w:val="00EB2393"/>
    <w:rsid w:val="00EB2616"/>
    <w:rsid w:val="00EB26D9"/>
    <w:rsid w:val="00EB2900"/>
    <w:rsid w:val="00EB2D69"/>
    <w:rsid w:val="00EB2ED8"/>
    <w:rsid w:val="00EB375C"/>
    <w:rsid w:val="00EB4184"/>
    <w:rsid w:val="00EB4803"/>
    <w:rsid w:val="00EB4A0D"/>
    <w:rsid w:val="00EB612A"/>
    <w:rsid w:val="00EB673D"/>
    <w:rsid w:val="00EB6C51"/>
    <w:rsid w:val="00EB783A"/>
    <w:rsid w:val="00EC0D79"/>
    <w:rsid w:val="00EC12E2"/>
    <w:rsid w:val="00EC155E"/>
    <w:rsid w:val="00EC1AD8"/>
    <w:rsid w:val="00EC1D7B"/>
    <w:rsid w:val="00EC234D"/>
    <w:rsid w:val="00EC3364"/>
    <w:rsid w:val="00EC44D8"/>
    <w:rsid w:val="00EC44FA"/>
    <w:rsid w:val="00EC462F"/>
    <w:rsid w:val="00EC4BBE"/>
    <w:rsid w:val="00EC56DE"/>
    <w:rsid w:val="00EC5CB9"/>
    <w:rsid w:val="00EC6001"/>
    <w:rsid w:val="00EC68DB"/>
    <w:rsid w:val="00EC6BEF"/>
    <w:rsid w:val="00EC7383"/>
    <w:rsid w:val="00EC7AF9"/>
    <w:rsid w:val="00EC7F43"/>
    <w:rsid w:val="00ED075F"/>
    <w:rsid w:val="00ED08A1"/>
    <w:rsid w:val="00ED09EA"/>
    <w:rsid w:val="00ED0A66"/>
    <w:rsid w:val="00ED0F24"/>
    <w:rsid w:val="00ED1653"/>
    <w:rsid w:val="00ED16EB"/>
    <w:rsid w:val="00ED1880"/>
    <w:rsid w:val="00ED22FD"/>
    <w:rsid w:val="00ED25C4"/>
    <w:rsid w:val="00ED3504"/>
    <w:rsid w:val="00ED3825"/>
    <w:rsid w:val="00ED438D"/>
    <w:rsid w:val="00ED5139"/>
    <w:rsid w:val="00ED51CA"/>
    <w:rsid w:val="00ED610E"/>
    <w:rsid w:val="00ED6E86"/>
    <w:rsid w:val="00ED71D3"/>
    <w:rsid w:val="00ED7AFA"/>
    <w:rsid w:val="00ED7EEF"/>
    <w:rsid w:val="00EE0225"/>
    <w:rsid w:val="00EE0BCF"/>
    <w:rsid w:val="00EE0CB6"/>
    <w:rsid w:val="00EE0D91"/>
    <w:rsid w:val="00EE195C"/>
    <w:rsid w:val="00EE1A68"/>
    <w:rsid w:val="00EE1C17"/>
    <w:rsid w:val="00EE1DB5"/>
    <w:rsid w:val="00EE21A6"/>
    <w:rsid w:val="00EE21D5"/>
    <w:rsid w:val="00EE2365"/>
    <w:rsid w:val="00EE39C9"/>
    <w:rsid w:val="00EE3B09"/>
    <w:rsid w:val="00EE3EBF"/>
    <w:rsid w:val="00EE3FCC"/>
    <w:rsid w:val="00EE42FE"/>
    <w:rsid w:val="00EE46AD"/>
    <w:rsid w:val="00EE470B"/>
    <w:rsid w:val="00EE5573"/>
    <w:rsid w:val="00EE5F1E"/>
    <w:rsid w:val="00EE6594"/>
    <w:rsid w:val="00EE69A4"/>
    <w:rsid w:val="00EE6A16"/>
    <w:rsid w:val="00EE7732"/>
    <w:rsid w:val="00EF000C"/>
    <w:rsid w:val="00EF064E"/>
    <w:rsid w:val="00EF0677"/>
    <w:rsid w:val="00EF0B1A"/>
    <w:rsid w:val="00EF0B94"/>
    <w:rsid w:val="00EF0C2F"/>
    <w:rsid w:val="00EF2936"/>
    <w:rsid w:val="00EF310B"/>
    <w:rsid w:val="00EF318E"/>
    <w:rsid w:val="00EF37F3"/>
    <w:rsid w:val="00EF383E"/>
    <w:rsid w:val="00EF3852"/>
    <w:rsid w:val="00EF3AA3"/>
    <w:rsid w:val="00EF3EBC"/>
    <w:rsid w:val="00EF4172"/>
    <w:rsid w:val="00EF4465"/>
    <w:rsid w:val="00EF4B44"/>
    <w:rsid w:val="00EF526E"/>
    <w:rsid w:val="00EF5450"/>
    <w:rsid w:val="00EF5665"/>
    <w:rsid w:val="00EF5738"/>
    <w:rsid w:val="00EF66AD"/>
    <w:rsid w:val="00EF69F7"/>
    <w:rsid w:val="00EF6CFB"/>
    <w:rsid w:val="00EF6F6D"/>
    <w:rsid w:val="00EF7F82"/>
    <w:rsid w:val="00F00976"/>
    <w:rsid w:val="00F0101C"/>
    <w:rsid w:val="00F01FB1"/>
    <w:rsid w:val="00F029BA"/>
    <w:rsid w:val="00F029C6"/>
    <w:rsid w:val="00F02A1B"/>
    <w:rsid w:val="00F032A7"/>
    <w:rsid w:val="00F037B9"/>
    <w:rsid w:val="00F038B4"/>
    <w:rsid w:val="00F04260"/>
    <w:rsid w:val="00F045E6"/>
    <w:rsid w:val="00F04DA6"/>
    <w:rsid w:val="00F05024"/>
    <w:rsid w:val="00F05330"/>
    <w:rsid w:val="00F05525"/>
    <w:rsid w:val="00F063AA"/>
    <w:rsid w:val="00F0759F"/>
    <w:rsid w:val="00F07CF2"/>
    <w:rsid w:val="00F1023C"/>
    <w:rsid w:val="00F10AA7"/>
    <w:rsid w:val="00F12FCD"/>
    <w:rsid w:val="00F131E8"/>
    <w:rsid w:val="00F132C8"/>
    <w:rsid w:val="00F1393D"/>
    <w:rsid w:val="00F13F5B"/>
    <w:rsid w:val="00F14190"/>
    <w:rsid w:val="00F146EC"/>
    <w:rsid w:val="00F15B0D"/>
    <w:rsid w:val="00F15BDB"/>
    <w:rsid w:val="00F15C7A"/>
    <w:rsid w:val="00F15CEF"/>
    <w:rsid w:val="00F16A9D"/>
    <w:rsid w:val="00F16B39"/>
    <w:rsid w:val="00F16CDC"/>
    <w:rsid w:val="00F16D7C"/>
    <w:rsid w:val="00F16E36"/>
    <w:rsid w:val="00F16FD9"/>
    <w:rsid w:val="00F170C1"/>
    <w:rsid w:val="00F17EB4"/>
    <w:rsid w:val="00F2041E"/>
    <w:rsid w:val="00F20592"/>
    <w:rsid w:val="00F20DBF"/>
    <w:rsid w:val="00F21438"/>
    <w:rsid w:val="00F21484"/>
    <w:rsid w:val="00F2162E"/>
    <w:rsid w:val="00F221D8"/>
    <w:rsid w:val="00F226A3"/>
    <w:rsid w:val="00F22D48"/>
    <w:rsid w:val="00F243A5"/>
    <w:rsid w:val="00F244B8"/>
    <w:rsid w:val="00F248C8"/>
    <w:rsid w:val="00F252E1"/>
    <w:rsid w:val="00F253D4"/>
    <w:rsid w:val="00F25926"/>
    <w:rsid w:val="00F25B41"/>
    <w:rsid w:val="00F26053"/>
    <w:rsid w:val="00F26A77"/>
    <w:rsid w:val="00F2794F"/>
    <w:rsid w:val="00F300DA"/>
    <w:rsid w:val="00F3065A"/>
    <w:rsid w:val="00F30784"/>
    <w:rsid w:val="00F30A6C"/>
    <w:rsid w:val="00F312B1"/>
    <w:rsid w:val="00F312C4"/>
    <w:rsid w:val="00F318E6"/>
    <w:rsid w:val="00F31936"/>
    <w:rsid w:val="00F3226A"/>
    <w:rsid w:val="00F32801"/>
    <w:rsid w:val="00F331DA"/>
    <w:rsid w:val="00F33758"/>
    <w:rsid w:val="00F36A95"/>
    <w:rsid w:val="00F37080"/>
    <w:rsid w:val="00F37182"/>
    <w:rsid w:val="00F37598"/>
    <w:rsid w:val="00F4032C"/>
    <w:rsid w:val="00F404F4"/>
    <w:rsid w:val="00F409F0"/>
    <w:rsid w:val="00F40D1C"/>
    <w:rsid w:val="00F40F98"/>
    <w:rsid w:val="00F410F6"/>
    <w:rsid w:val="00F410F8"/>
    <w:rsid w:val="00F422C9"/>
    <w:rsid w:val="00F425A7"/>
    <w:rsid w:val="00F4273C"/>
    <w:rsid w:val="00F434BB"/>
    <w:rsid w:val="00F4390A"/>
    <w:rsid w:val="00F43BDA"/>
    <w:rsid w:val="00F44A6E"/>
    <w:rsid w:val="00F44BC9"/>
    <w:rsid w:val="00F45895"/>
    <w:rsid w:val="00F46040"/>
    <w:rsid w:val="00F4643E"/>
    <w:rsid w:val="00F46809"/>
    <w:rsid w:val="00F474C1"/>
    <w:rsid w:val="00F47BA6"/>
    <w:rsid w:val="00F47F70"/>
    <w:rsid w:val="00F5023E"/>
    <w:rsid w:val="00F50472"/>
    <w:rsid w:val="00F5204B"/>
    <w:rsid w:val="00F520EC"/>
    <w:rsid w:val="00F53AD9"/>
    <w:rsid w:val="00F54598"/>
    <w:rsid w:val="00F54A4C"/>
    <w:rsid w:val="00F5504D"/>
    <w:rsid w:val="00F5522D"/>
    <w:rsid w:val="00F55483"/>
    <w:rsid w:val="00F55490"/>
    <w:rsid w:val="00F556A9"/>
    <w:rsid w:val="00F56515"/>
    <w:rsid w:val="00F56588"/>
    <w:rsid w:val="00F573AE"/>
    <w:rsid w:val="00F57936"/>
    <w:rsid w:val="00F57E17"/>
    <w:rsid w:val="00F60279"/>
    <w:rsid w:val="00F606D8"/>
    <w:rsid w:val="00F60CD6"/>
    <w:rsid w:val="00F60FB8"/>
    <w:rsid w:val="00F613EA"/>
    <w:rsid w:val="00F61440"/>
    <w:rsid w:val="00F6160D"/>
    <w:rsid w:val="00F617CC"/>
    <w:rsid w:val="00F61839"/>
    <w:rsid w:val="00F61DB9"/>
    <w:rsid w:val="00F61E02"/>
    <w:rsid w:val="00F61EB1"/>
    <w:rsid w:val="00F6202C"/>
    <w:rsid w:val="00F6207F"/>
    <w:rsid w:val="00F62801"/>
    <w:rsid w:val="00F62DF2"/>
    <w:rsid w:val="00F62F84"/>
    <w:rsid w:val="00F63071"/>
    <w:rsid w:val="00F64571"/>
    <w:rsid w:val="00F6520F"/>
    <w:rsid w:val="00F6562C"/>
    <w:rsid w:val="00F65AFF"/>
    <w:rsid w:val="00F65C2A"/>
    <w:rsid w:val="00F65C75"/>
    <w:rsid w:val="00F668A9"/>
    <w:rsid w:val="00F668C7"/>
    <w:rsid w:val="00F66F17"/>
    <w:rsid w:val="00F67181"/>
    <w:rsid w:val="00F6723C"/>
    <w:rsid w:val="00F672AF"/>
    <w:rsid w:val="00F679C4"/>
    <w:rsid w:val="00F67EF3"/>
    <w:rsid w:val="00F70674"/>
    <w:rsid w:val="00F70A0C"/>
    <w:rsid w:val="00F70D1D"/>
    <w:rsid w:val="00F70F01"/>
    <w:rsid w:val="00F711AC"/>
    <w:rsid w:val="00F71B75"/>
    <w:rsid w:val="00F71D5D"/>
    <w:rsid w:val="00F71F62"/>
    <w:rsid w:val="00F720FA"/>
    <w:rsid w:val="00F72B0E"/>
    <w:rsid w:val="00F73660"/>
    <w:rsid w:val="00F73D9B"/>
    <w:rsid w:val="00F73F86"/>
    <w:rsid w:val="00F74B00"/>
    <w:rsid w:val="00F74F3E"/>
    <w:rsid w:val="00F763CB"/>
    <w:rsid w:val="00F76635"/>
    <w:rsid w:val="00F7727F"/>
    <w:rsid w:val="00F77CA7"/>
    <w:rsid w:val="00F77EBE"/>
    <w:rsid w:val="00F80605"/>
    <w:rsid w:val="00F80878"/>
    <w:rsid w:val="00F8118A"/>
    <w:rsid w:val="00F8148C"/>
    <w:rsid w:val="00F81673"/>
    <w:rsid w:val="00F818F2"/>
    <w:rsid w:val="00F820A1"/>
    <w:rsid w:val="00F823F0"/>
    <w:rsid w:val="00F827DA"/>
    <w:rsid w:val="00F82DE3"/>
    <w:rsid w:val="00F8318A"/>
    <w:rsid w:val="00F8371F"/>
    <w:rsid w:val="00F838C2"/>
    <w:rsid w:val="00F84315"/>
    <w:rsid w:val="00F8483E"/>
    <w:rsid w:val="00F84B8E"/>
    <w:rsid w:val="00F85288"/>
    <w:rsid w:val="00F85289"/>
    <w:rsid w:val="00F85A4F"/>
    <w:rsid w:val="00F85B5E"/>
    <w:rsid w:val="00F85BE7"/>
    <w:rsid w:val="00F86102"/>
    <w:rsid w:val="00F86E60"/>
    <w:rsid w:val="00F879B2"/>
    <w:rsid w:val="00F87F96"/>
    <w:rsid w:val="00F90E14"/>
    <w:rsid w:val="00F9106E"/>
    <w:rsid w:val="00F912FF"/>
    <w:rsid w:val="00F91396"/>
    <w:rsid w:val="00F91D2E"/>
    <w:rsid w:val="00F9233A"/>
    <w:rsid w:val="00F923D5"/>
    <w:rsid w:val="00F9297A"/>
    <w:rsid w:val="00F929AE"/>
    <w:rsid w:val="00F94130"/>
    <w:rsid w:val="00F9420F"/>
    <w:rsid w:val="00F946FE"/>
    <w:rsid w:val="00F94DDF"/>
    <w:rsid w:val="00F95992"/>
    <w:rsid w:val="00F95C83"/>
    <w:rsid w:val="00F96E68"/>
    <w:rsid w:val="00F979CF"/>
    <w:rsid w:val="00F97FED"/>
    <w:rsid w:val="00FA06FD"/>
    <w:rsid w:val="00FA0B2E"/>
    <w:rsid w:val="00FA0D98"/>
    <w:rsid w:val="00FA0FF1"/>
    <w:rsid w:val="00FA12E4"/>
    <w:rsid w:val="00FA156E"/>
    <w:rsid w:val="00FA1618"/>
    <w:rsid w:val="00FA167C"/>
    <w:rsid w:val="00FA1C24"/>
    <w:rsid w:val="00FA2231"/>
    <w:rsid w:val="00FA263D"/>
    <w:rsid w:val="00FA3A42"/>
    <w:rsid w:val="00FA4E14"/>
    <w:rsid w:val="00FA5AA6"/>
    <w:rsid w:val="00FA5C89"/>
    <w:rsid w:val="00FA5F8D"/>
    <w:rsid w:val="00FA79FB"/>
    <w:rsid w:val="00FA7A21"/>
    <w:rsid w:val="00FA7F64"/>
    <w:rsid w:val="00FA7FB4"/>
    <w:rsid w:val="00FB06D4"/>
    <w:rsid w:val="00FB0884"/>
    <w:rsid w:val="00FB0CCD"/>
    <w:rsid w:val="00FB1011"/>
    <w:rsid w:val="00FB1321"/>
    <w:rsid w:val="00FB193D"/>
    <w:rsid w:val="00FB1B18"/>
    <w:rsid w:val="00FB1C58"/>
    <w:rsid w:val="00FB25AF"/>
    <w:rsid w:val="00FB2D94"/>
    <w:rsid w:val="00FB38DA"/>
    <w:rsid w:val="00FB3D71"/>
    <w:rsid w:val="00FB4083"/>
    <w:rsid w:val="00FB4186"/>
    <w:rsid w:val="00FB41A5"/>
    <w:rsid w:val="00FB459E"/>
    <w:rsid w:val="00FB4BE7"/>
    <w:rsid w:val="00FB4DE4"/>
    <w:rsid w:val="00FB4ED8"/>
    <w:rsid w:val="00FB5328"/>
    <w:rsid w:val="00FB607E"/>
    <w:rsid w:val="00FB65A2"/>
    <w:rsid w:val="00FB68B3"/>
    <w:rsid w:val="00FB6AD0"/>
    <w:rsid w:val="00FB6DE1"/>
    <w:rsid w:val="00FB6E46"/>
    <w:rsid w:val="00FB6E67"/>
    <w:rsid w:val="00FB6E7B"/>
    <w:rsid w:val="00FB7176"/>
    <w:rsid w:val="00FB7492"/>
    <w:rsid w:val="00FC01F3"/>
    <w:rsid w:val="00FC1992"/>
    <w:rsid w:val="00FC1D9C"/>
    <w:rsid w:val="00FC2D12"/>
    <w:rsid w:val="00FC31B3"/>
    <w:rsid w:val="00FC324B"/>
    <w:rsid w:val="00FC37D1"/>
    <w:rsid w:val="00FC3A69"/>
    <w:rsid w:val="00FC48BA"/>
    <w:rsid w:val="00FC4D10"/>
    <w:rsid w:val="00FC4E0C"/>
    <w:rsid w:val="00FC4E22"/>
    <w:rsid w:val="00FC4EF5"/>
    <w:rsid w:val="00FC55BE"/>
    <w:rsid w:val="00FC5693"/>
    <w:rsid w:val="00FC69CA"/>
    <w:rsid w:val="00FC6B43"/>
    <w:rsid w:val="00FC6C68"/>
    <w:rsid w:val="00FC7224"/>
    <w:rsid w:val="00FC72C7"/>
    <w:rsid w:val="00FC7D7C"/>
    <w:rsid w:val="00FD0308"/>
    <w:rsid w:val="00FD093E"/>
    <w:rsid w:val="00FD0D3C"/>
    <w:rsid w:val="00FD1223"/>
    <w:rsid w:val="00FD125C"/>
    <w:rsid w:val="00FD185B"/>
    <w:rsid w:val="00FD1DD3"/>
    <w:rsid w:val="00FD2972"/>
    <w:rsid w:val="00FD2C33"/>
    <w:rsid w:val="00FD320A"/>
    <w:rsid w:val="00FD344A"/>
    <w:rsid w:val="00FD34B5"/>
    <w:rsid w:val="00FD37F2"/>
    <w:rsid w:val="00FD3CA9"/>
    <w:rsid w:val="00FD3CC3"/>
    <w:rsid w:val="00FD43D7"/>
    <w:rsid w:val="00FD5B2C"/>
    <w:rsid w:val="00FD5B7D"/>
    <w:rsid w:val="00FD6170"/>
    <w:rsid w:val="00FD6DA5"/>
    <w:rsid w:val="00FE0447"/>
    <w:rsid w:val="00FE08C3"/>
    <w:rsid w:val="00FE0938"/>
    <w:rsid w:val="00FE09CB"/>
    <w:rsid w:val="00FE09D4"/>
    <w:rsid w:val="00FE0EAE"/>
    <w:rsid w:val="00FE101A"/>
    <w:rsid w:val="00FE1113"/>
    <w:rsid w:val="00FE1469"/>
    <w:rsid w:val="00FE14A2"/>
    <w:rsid w:val="00FE1E19"/>
    <w:rsid w:val="00FE2859"/>
    <w:rsid w:val="00FE33D3"/>
    <w:rsid w:val="00FE3F2A"/>
    <w:rsid w:val="00FE424C"/>
    <w:rsid w:val="00FE4429"/>
    <w:rsid w:val="00FE4584"/>
    <w:rsid w:val="00FE4734"/>
    <w:rsid w:val="00FE51DF"/>
    <w:rsid w:val="00FE65C6"/>
    <w:rsid w:val="00FE6CCF"/>
    <w:rsid w:val="00FE792A"/>
    <w:rsid w:val="00FF0CB3"/>
    <w:rsid w:val="00FF0E57"/>
    <w:rsid w:val="00FF15D8"/>
    <w:rsid w:val="00FF1B59"/>
    <w:rsid w:val="00FF20FE"/>
    <w:rsid w:val="00FF2F18"/>
    <w:rsid w:val="00FF2F1B"/>
    <w:rsid w:val="00FF3227"/>
    <w:rsid w:val="00FF3BFB"/>
    <w:rsid w:val="00FF43DD"/>
    <w:rsid w:val="00FF559F"/>
    <w:rsid w:val="00FF59D1"/>
    <w:rsid w:val="00FF68ED"/>
    <w:rsid w:val="00FF7471"/>
    <w:rsid w:val="00FF78D4"/>
    <w:rsid w:val="010A06C2"/>
    <w:rsid w:val="011078C7"/>
    <w:rsid w:val="01374999"/>
    <w:rsid w:val="0156739D"/>
    <w:rsid w:val="01A7022B"/>
    <w:rsid w:val="01EB2055"/>
    <w:rsid w:val="01EE5E5A"/>
    <w:rsid w:val="0225344D"/>
    <w:rsid w:val="022B3402"/>
    <w:rsid w:val="026833DE"/>
    <w:rsid w:val="026C25ED"/>
    <w:rsid w:val="02B27B76"/>
    <w:rsid w:val="02B95056"/>
    <w:rsid w:val="02F02A6C"/>
    <w:rsid w:val="031A1660"/>
    <w:rsid w:val="031C7316"/>
    <w:rsid w:val="03492409"/>
    <w:rsid w:val="034C7D17"/>
    <w:rsid w:val="034F0AEC"/>
    <w:rsid w:val="035B12CD"/>
    <w:rsid w:val="03724869"/>
    <w:rsid w:val="037A64E2"/>
    <w:rsid w:val="039362CF"/>
    <w:rsid w:val="03A44FE3"/>
    <w:rsid w:val="03AC0D82"/>
    <w:rsid w:val="03B218ED"/>
    <w:rsid w:val="03CC366A"/>
    <w:rsid w:val="03CC3F79"/>
    <w:rsid w:val="03E93513"/>
    <w:rsid w:val="03F82FC0"/>
    <w:rsid w:val="03F920AC"/>
    <w:rsid w:val="0404740B"/>
    <w:rsid w:val="040D28FD"/>
    <w:rsid w:val="043851AC"/>
    <w:rsid w:val="043869A1"/>
    <w:rsid w:val="043E78BF"/>
    <w:rsid w:val="0454284E"/>
    <w:rsid w:val="045D0679"/>
    <w:rsid w:val="04674227"/>
    <w:rsid w:val="04706FFA"/>
    <w:rsid w:val="047102F1"/>
    <w:rsid w:val="047C10E8"/>
    <w:rsid w:val="048512CB"/>
    <w:rsid w:val="04AC5B58"/>
    <w:rsid w:val="04DC4690"/>
    <w:rsid w:val="04E424E1"/>
    <w:rsid w:val="04F32E5C"/>
    <w:rsid w:val="04FF2D6E"/>
    <w:rsid w:val="0514407E"/>
    <w:rsid w:val="0579124F"/>
    <w:rsid w:val="059D3E1F"/>
    <w:rsid w:val="05B15E0C"/>
    <w:rsid w:val="05C2270C"/>
    <w:rsid w:val="060E4295"/>
    <w:rsid w:val="060F45F1"/>
    <w:rsid w:val="06383B48"/>
    <w:rsid w:val="063D2F0C"/>
    <w:rsid w:val="065A06BB"/>
    <w:rsid w:val="066606B5"/>
    <w:rsid w:val="067D77AC"/>
    <w:rsid w:val="068F0E79"/>
    <w:rsid w:val="069D1A8E"/>
    <w:rsid w:val="069E6B28"/>
    <w:rsid w:val="06AA5A15"/>
    <w:rsid w:val="06AC0092"/>
    <w:rsid w:val="06B47275"/>
    <w:rsid w:val="06BD5DFB"/>
    <w:rsid w:val="06C76C7A"/>
    <w:rsid w:val="06D1503C"/>
    <w:rsid w:val="07051CE9"/>
    <w:rsid w:val="07136BF8"/>
    <w:rsid w:val="071F6359"/>
    <w:rsid w:val="0745760B"/>
    <w:rsid w:val="076E14AC"/>
    <w:rsid w:val="07866291"/>
    <w:rsid w:val="079C2813"/>
    <w:rsid w:val="07A83B64"/>
    <w:rsid w:val="07BF6290"/>
    <w:rsid w:val="07CA07CF"/>
    <w:rsid w:val="080121A1"/>
    <w:rsid w:val="08341DE6"/>
    <w:rsid w:val="085E6148"/>
    <w:rsid w:val="08943887"/>
    <w:rsid w:val="08B56EC4"/>
    <w:rsid w:val="08CB2A51"/>
    <w:rsid w:val="08FF26FB"/>
    <w:rsid w:val="090226A5"/>
    <w:rsid w:val="093D2DCA"/>
    <w:rsid w:val="09770B79"/>
    <w:rsid w:val="098D613B"/>
    <w:rsid w:val="098D722C"/>
    <w:rsid w:val="09A11861"/>
    <w:rsid w:val="09A20317"/>
    <w:rsid w:val="09A66DDF"/>
    <w:rsid w:val="09A84F4C"/>
    <w:rsid w:val="09B54319"/>
    <w:rsid w:val="09F21854"/>
    <w:rsid w:val="0A1806FB"/>
    <w:rsid w:val="0A31473A"/>
    <w:rsid w:val="0A3B5C46"/>
    <w:rsid w:val="0A40121D"/>
    <w:rsid w:val="0A615BA7"/>
    <w:rsid w:val="0A690774"/>
    <w:rsid w:val="0A6D20F4"/>
    <w:rsid w:val="0A7333A0"/>
    <w:rsid w:val="0AD41965"/>
    <w:rsid w:val="0AD54E8D"/>
    <w:rsid w:val="0ADC1249"/>
    <w:rsid w:val="0AE10175"/>
    <w:rsid w:val="0AEA69B2"/>
    <w:rsid w:val="0AFF78B9"/>
    <w:rsid w:val="0B116753"/>
    <w:rsid w:val="0B1306DF"/>
    <w:rsid w:val="0B3444FE"/>
    <w:rsid w:val="0B4565BF"/>
    <w:rsid w:val="0B474D69"/>
    <w:rsid w:val="0B5952AE"/>
    <w:rsid w:val="0B602A5E"/>
    <w:rsid w:val="0B6131F9"/>
    <w:rsid w:val="0B6647F5"/>
    <w:rsid w:val="0B6D0673"/>
    <w:rsid w:val="0B811AED"/>
    <w:rsid w:val="0B8D64CA"/>
    <w:rsid w:val="0B972349"/>
    <w:rsid w:val="0B996E37"/>
    <w:rsid w:val="0BD22024"/>
    <w:rsid w:val="0BD46710"/>
    <w:rsid w:val="0BD55101"/>
    <w:rsid w:val="0BEB7903"/>
    <w:rsid w:val="0C231F55"/>
    <w:rsid w:val="0C28640C"/>
    <w:rsid w:val="0C3433EF"/>
    <w:rsid w:val="0C3C5271"/>
    <w:rsid w:val="0C4560CD"/>
    <w:rsid w:val="0C493EDF"/>
    <w:rsid w:val="0C5E1E2E"/>
    <w:rsid w:val="0C790A16"/>
    <w:rsid w:val="0C850278"/>
    <w:rsid w:val="0C87019E"/>
    <w:rsid w:val="0CA1283B"/>
    <w:rsid w:val="0CA148D6"/>
    <w:rsid w:val="0CAA6E21"/>
    <w:rsid w:val="0CB3217A"/>
    <w:rsid w:val="0CB67F0A"/>
    <w:rsid w:val="0CDB2AD7"/>
    <w:rsid w:val="0D0129A0"/>
    <w:rsid w:val="0D0E6815"/>
    <w:rsid w:val="0D107BB4"/>
    <w:rsid w:val="0D1268DA"/>
    <w:rsid w:val="0D1E479F"/>
    <w:rsid w:val="0D2F61FF"/>
    <w:rsid w:val="0D3D0944"/>
    <w:rsid w:val="0D554754"/>
    <w:rsid w:val="0D69521C"/>
    <w:rsid w:val="0D7B28D2"/>
    <w:rsid w:val="0DA1438C"/>
    <w:rsid w:val="0DEB3353"/>
    <w:rsid w:val="0E067D91"/>
    <w:rsid w:val="0E184FF9"/>
    <w:rsid w:val="0E2563B0"/>
    <w:rsid w:val="0E673CAF"/>
    <w:rsid w:val="0E6E4E48"/>
    <w:rsid w:val="0E9B4C0B"/>
    <w:rsid w:val="0EA155CB"/>
    <w:rsid w:val="0EC00B7E"/>
    <w:rsid w:val="0EC75F9B"/>
    <w:rsid w:val="0EE338A7"/>
    <w:rsid w:val="0EE91E83"/>
    <w:rsid w:val="0F212678"/>
    <w:rsid w:val="0F270BDB"/>
    <w:rsid w:val="0F2D7E66"/>
    <w:rsid w:val="0F576789"/>
    <w:rsid w:val="0F731D7F"/>
    <w:rsid w:val="0F791782"/>
    <w:rsid w:val="0F811194"/>
    <w:rsid w:val="0FA34AF5"/>
    <w:rsid w:val="0FAB795C"/>
    <w:rsid w:val="0FD2577F"/>
    <w:rsid w:val="0FDE18AD"/>
    <w:rsid w:val="0FDE5D62"/>
    <w:rsid w:val="0FED109F"/>
    <w:rsid w:val="100B407B"/>
    <w:rsid w:val="101F48B2"/>
    <w:rsid w:val="103233B6"/>
    <w:rsid w:val="10440C5D"/>
    <w:rsid w:val="1045133B"/>
    <w:rsid w:val="104706AA"/>
    <w:rsid w:val="10593979"/>
    <w:rsid w:val="10633BB0"/>
    <w:rsid w:val="106A486C"/>
    <w:rsid w:val="1071549B"/>
    <w:rsid w:val="10A02B30"/>
    <w:rsid w:val="10BA0625"/>
    <w:rsid w:val="10BF304F"/>
    <w:rsid w:val="10C20BDE"/>
    <w:rsid w:val="10E8616A"/>
    <w:rsid w:val="11186A50"/>
    <w:rsid w:val="113136FB"/>
    <w:rsid w:val="1131673B"/>
    <w:rsid w:val="114E499C"/>
    <w:rsid w:val="11910393"/>
    <w:rsid w:val="1197535B"/>
    <w:rsid w:val="11977440"/>
    <w:rsid w:val="11A35DB3"/>
    <w:rsid w:val="11A643DC"/>
    <w:rsid w:val="11B33C8B"/>
    <w:rsid w:val="11D05DBD"/>
    <w:rsid w:val="11D94D1F"/>
    <w:rsid w:val="11E36682"/>
    <w:rsid w:val="11E51D82"/>
    <w:rsid w:val="1201388A"/>
    <w:rsid w:val="12371157"/>
    <w:rsid w:val="12767E9C"/>
    <w:rsid w:val="12981248"/>
    <w:rsid w:val="12B72298"/>
    <w:rsid w:val="12C55F16"/>
    <w:rsid w:val="12CB4527"/>
    <w:rsid w:val="12E34E3B"/>
    <w:rsid w:val="1304359F"/>
    <w:rsid w:val="13106C3E"/>
    <w:rsid w:val="133B6A25"/>
    <w:rsid w:val="135468A6"/>
    <w:rsid w:val="135D4BEE"/>
    <w:rsid w:val="136B6282"/>
    <w:rsid w:val="137E0AD5"/>
    <w:rsid w:val="13C77038"/>
    <w:rsid w:val="13DF4D92"/>
    <w:rsid w:val="13E17B66"/>
    <w:rsid w:val="13E64D83"/>
    <w:rsid w:val="13EC5F71"/>
    <w:rsid w:val="13ED41C3"/>
    <w:rsid w:val="13F07B51"/>
    <w:rsid w:val="13FC6C2B"/>
    <w:rsid w:val="1400737E"/>
    <w:rsid w:val="14045069"/>
    <w:rsid w:val="140C03C2"/>
    <w:rsid w:val="142231E2"/>
    <w:rsid w:val="14244048"/>
    <w:rsid w:val="1426378D"/>
    <w:rsid w:val="142B6A9A"/>
    <w:rsid w:val="143C2AFF"/>
    <w:rsid w:val="144D2DA8"/>
    <w:rsid w:val="145C72EC"/>
    <w:rsid w:val="147132CB"/>
    <w:rsid w:val="14B20F69"/>
    <w:rsid w:val="14C307F1"/>
    <w:rsid w:val="14C66CB8"/>
    <w:rsid w:val="14C97064"/>
    <w:rsid w:val="14CB6FC4"/>
    <w:rsid w:val="151013FA"/>
    <w:rsid w:val="15186C7F"/>
    <w:rsid w:val="153A5F2D"/>
    <w:rsid w:val="1588061B"/>
    <w:rsid w:val="158846B5"/>
    <w:rsid w:val="1598292C"/>
    <w:rsid w:val="15B151A5"/>
    <w:rsid w:val="15B679C4"/>
    <w:rsid w:val="15C34826"/>
    <w:rsid w:val="15D01DD3"/>
    <w:rsid w:val="15F84ADF"/>
    <w:rsid w:val="16060668"/>
    <w:rsid w:val="16135593"/>
    <w:rsid w:val="161E60BA"/>
    <w:rsid w:val="162B0FD3"/>
    <w:rsid w:val="163043AC"/>
    <w:rsid w:val="16391F0E"/>
    <w:rsid w:val="165140F1"/>
    <w:rsid w:val="165805A8"/>
    <w:rsid w:val="16646293"/>
    <w:rsid w:val="16A24CA6"/>
    <w:rsid w:val="1763208E"/>
    <w:rsid w:val="17B317DF"/>
    <w:rsid w:val="17B649CE"/>
    <w:rsid w:val="17DA24F2"/>
    <w:rsid w:val="17F6303F"/>
    <w:rsid w:val="180A4C18"/>
    <w:rsid w:val="1824593D"/>
    <w:rsid w:val="18480562"/>
    <w:rsid w:val="184A2F3D"/>
    <w:rsid w:val="18552E0A"/>
    <w:rsid w:val="18657D9B"/>
    <w:rsid w:val="18697D44"/>
    <w:rsid w:val="18804B27"/>
    <w:rsid w:val="18AC1764"/>
    <w:rsid w:val="18B758A9"/>
    <w:rsid w:val="18C64FE3"/>
    <w:rsid w:val="18DD40DB"/>
    <w:rsid w:val="18DE6F13"/>
    <w:rsid w:val="18DF52AB"/>
    <w:rsid w:val="18FB6712"/>
    <w:rsid w:val="1909322E"/>
    <w:rsid w:val="190F7EF7"/>
    <w:rsid w:val="19124B9E"/>
    <w:rsid w:val="192A6574"/>
    <w:rsid w:val="195D6EAA"/>
    <w:rsid w:val="197A146C"/>
    <w:rsid w:val="198E123C"/>
    <w:rsid w:val="19A22C78"/>
    <w:rsid w:val="19E938F2"/>
    <w:rsid w:val="19F87038"/>
    <w:rsid w:val="1A0221B6"/>
    <w:rsid w:val="1A1731E9"/>
    <w:rsid w:val="1A2244FD"/>
    <w:rsid w:val="1A43621A"/>
    <w:rsid w:val="1A4563DB"/>
    <w:rsid w:val="1A46462D"/>
    <w:rsid w:val="1A4B1C44"/>
    <w:rsid w:val="1A5328A6"/>
    <w:rsid w:val="1AA51E34"/>
    <w:rsid w:val="1AD86BFF"/>
    <w:rsid w:val="1ADE4866"/>
    <w:rsid w:val="1B18764C"/>
    <w:rsid w:val="1B300E3A"/>
    <w:rsid w:val="1B866CAC"/>
    <w:rsid w:val="1B8C380D"/>
    <w:rsid w:val="1BF91AF2"/>
    <w:rsid w:val="1BFB31F6"/>
    <w:rsid w:val="1C097901"/>
    <w:rsid w:val="1C12601D"/>
    <w:rsid w:val="1C173894"/>
    <w:rsid w:val="1C1D7ED3"/>
    <w:rsid w:val="1C273B5F"/>
    <w:rsid w:val="1C4E5A1B"/>
    <w:rsid w:val="1C4F4F2E"/>
    <w:rsid w:val="1CAA1904"/>
    <w:rsid w:val="1CED6FE2"/>
    <w:rsid w:val="1CEF36DB"/>
    <w:rsid w:val="1D074838"/>
    <w:rsid w:val="1D087CBD"/>
    <w:rsid w:val="1D256AFA"/>
    <w:rsid w:val="1D2C2A37"/>
    <w:rsid w:val="1D2E2452"/>
    <w:rsid w:val="1D3615E0"/>
    <w:rsid w:val="1D37256C"/>
    <w:rsid w:val="1D3764AF"/>
    <w:rsid w:val="1D497F91"/>
    <w:rsid w:val="1DBF33B9"/>
    <w:rsid w:val="1DD7646B"/>
    <w:rsid w:val="1E116D00"/>
    <w:rsid w:val="1E183F7D"/>
    <w:rsid w:val="1E256945"/>
    <w:rsid w:val="1E265F76"/>
    <w:rsid w:val="1E401394"/>
    <w:rsid w:val="1E5C7C81"/>
    <w:rsid w:val="1E672BF1"/>
    <w:rsid w:val="1E6E4079"/>
    <w:rsid w:val="1E7603AC"/>
    <w:rsid w:val="1EC71AC1"/>
    <w:rsid w:val="1EF30AC9"/>
    <w:rsid w:val="1F44009F"/>
    <w:rsid w:val="1F5C0F91"/>
    <w:rsid w:val="1F6B6074"/>
    <w:rsid w:val="1F737547"/>
    <w:rsid w:val="1F763715"/>
    <w:rsid w:val="1FB65DB1"/>
    <w:rsid w:val="1FE81CE3"/>
    <w:rsid w:val="1FFF520E"/>
    <w:rsid w:val="203E38F2"/>
    <w:rsid w:val="206A26F8"/>
    <w:rsid w:val="207C5644"/>
    <w:rsid w:val="209C715C"/>
    <w:rsid w:val="209D0D1F"/>
    <w:rsid w:val="20B120D5"/>
    <w:rsid w:val="20B229CF"/>
    <w:rsid w:val="20C056C0"/>
    <w:rsid w:val="20CF4C51"/>
    <w:rsid w:val="20ED22B8"/>
    <w:rsid w:val="20F52909"/>
    <w:rsid w:val="20F621DE"/>
    <w:rsid w:val="21107C5B"/>
    <w:rsid w:val="21287782"/>
    <w:rsid w:val="21446D4E"/>
    <w:rsid w:val="21627873"/>
    <w:rsid w:val="21663B4F"/>
    <w:rsid w:val="21792A9A"/>
    <w:rsid w:val="218079B4"/>
    <w:rsid w:val="21837197"/>
    <w:rsid w:val="218E0668"/>
    <w:rsid w:val="21986F38"/>
    <w:rsid w:val="219A2D05"/>
    <w:rsid w:val="21AC7197"/>
    <w:rsid w:val="21DC4975"/>
    <w:rsid w:val="21F17A7A"/>
    <w:rsid w:val="21F17FDE"/>
    <w:rsid w:val="21F915FF"/>
    <w:rsid w:val="21FF3314"/>
    <w:rsid w:val="222873D6"/>
    <w:rsid w:val="225B679C"/>
    <w:rsid w:val="229C312B"/>
    <w:rsid w:val="22AD0A51"/>
    <w:rsid w:val="22BD1BBE"/>
    <w:rsid w:val="22F369D5"/>
    <w:rsid w:val="230B23E3"/>
    <w:rsid w:val="233F657B"/>
    <w:rsid w:val="2359506F"/>
    <w:rsid w:val="236A6209"/>
    <w:rsid w:val="2370574A"/>
    <w:rsid w:val="23731667"/>
    <w:rsid w:val="23A4414A"/>
    <w:rsid w:val="23AF41E6"/>
    <w:rsid w:val="23B56FA3"/>
    <w:rsid w:val="23B7221E"/>
    <w:rsid w:val="23D835E2"/>
    <w:rsid w:val="23DA134A"/>
    <w:rsid w:val="23FB54AD"/>
    <w:rsid w:val="23FE5D0F"/>
    <w:rsid w:val="240D1129"/>
    <w:rsid w:val="24170DE9"/>
    <w:rsid w:val="24266775"/>
    <w:rsid w:val="24456239"/>
    <w:rsid w:val="24620E1F"/>
    <w:rsid w:val="247359EA"/>
    <w:rsid w:val="249C5BA8"/>
    <w:rsid w:val="24A36A67"/>
    <w:rsid w:val="24C0322E"/>
    <w:rsid w:val="24D61270"/>
    <w:rsid w:val="24D765B0"/>
    <w:rsid w:val="24DD17A0"/>
    <w:rsid w:val="24E56460"/>
    <w:rsid w:val="24EF58C2"/>
    <w:rsid w:val="24F24CF5"/>
    <w:rsid w:val="250739E9"/>
    <w:rsid w:val="250C24BD"/>
    <w:rsid w:val="252C0D36"/>
    <w:rsid w:val="25352B21"/>
    <w:rsid w:val="25493C7D"/>
    <w:rsid w:val="25650EC7"/>
    <w:rsid w:val="256D4C5A"/>
    <w:rsid w:val="25794E00"/>
    <w:rsid w:val="257D2ECD"/>
    <w:rsid w:val="25974CB3"/>
    <w:rsid w:val="259F7409"/>
    <w:rsid w:val="25A71CF8"/>
    <w:rsid w:val="25AC6046"/>
    <w:rsid w:val="25C70F0A"/>
    <w:rsid w:val="25CE6C15"/>
    <w:rsid w:val="25D65F01"/>
    <w:rsid w:val="260610A5"/>
    <w:rsid w:val="26133EE0"/>
    <w:rsid w:val="261A1F06"/>
    <w:rsid w:val="26203A8A"/>
    <w:rsid w:val="263537A8"/>
    <w:rsid w:val="265D7770"/>
    <w:rsid w:val="268607B1"/>
    <w:rsid w:val="26D162D0"/>
    <w:rsid w:val="26D835C6"/>
    <w:rsid w:val="26DE073C"/>
    <w:rsid w:val="26E56F7C"/>
    <w:rsid w:val="26EA689B"/>
    <w:rsid w:val="26ED063E"/>
    <w:rsid w:val="26EE4083"/>
    <w:rsid w:val="26FA478D"/>
    <w:rsid w:val="27092480"/>
    <w:rsid w:val="27280F23"/>
    <w:rsid w:val="273419E0"/>
    <w:rsid w:val="275F557D"/>
    <w:rsid w:val="27701D9E"/>
    <w:rsid w:val="279F0337"/>
    <w:rsid w:val="27CE5AD6"/>
    <w:rsid w:val="27E06EEF"/>
    <w:rsid w:val="27FA0805"/>
    <w:rsid w:val="28085B7D"/>
    <w:rsid w:val="2890758D"/>
    <w:rsid w:val="28982F99"/>
    <w:rsid w:val="28A131A7"/>
    <w:rsid w:val="28B26037"/>
    <w:rsid w:val="28C05E75"/>
    <w:rsid w:val="28C50E13"/>
    <w:rsid w:val="28C54C0D"/>
    <w:rsid w:val="28D54AB4"/>
    <w:rsid w:val="28ED2D2E"/>
    <w:rsid w:val="28FE2E2A"/>
    <w:rsid w:val="29412E70"/>
    <w:rsid w:val="2944442E"/>
    <w:rsid w:val="29496228"/>
    <w:rsid w:val="295D61C1"/>
    <w:rsid w:val="297A561D"/>
    <w:rsid w:val="297B3BC8"/>
    <w:rsid w:val="298C2462"/>
    <w:rsid w:val="29994C34"/>
    <w:rsid w:val="29A21154"/>
    <w:rsid w:val="29AD2097"/>
    <w:rsid w:val="29AF0D67"/>
    <w:rsid w:val="29C53340"/>
    <w:rsid w:val="29C9356B"/>
    <w:rsid w:val="29DF2197"/>
    <w:rsid w:val="29EA30DE"/>
    <w:rsid w:val="29FB2613"/>
    <w:rsid w:val="2A1101F3"/>
    <w:rsid w:val="2A1251F8"/>
    <w:rsid w:val="2A587767"/>
    <w:rsid w:val="2A5F7045"/>
    <w:rsid w:val="2A686D4B"/>
    <w:rsid w:val="2A820D14"/>
    <w:rsid w:val="2A826EED"/>
    <w:rsid w:val="2A845BDC"/>
    <w:rsid w:val="2A917F56"/>
    <w:rsid w:val="2AB96107"/>
    <w:rsid w:val="2AC11AAE"/>
    <w:rsid w:val="2ACF1CDE"/>
    <w:rsid w:val="2B135780"/>
    <w:rsid w:val="2B296DC8"/>
    <w:rsid w:val="2B3037A3"/>
    <w:rsid w:val="2B5A2C7C"/>
    <w:rsid w:val="2B7C72ED"/>
    <w:rsid w:val="2B894FDF"/>
    <w:rsid w:val="2BA91F09"/>
    <w:rsid w:val="2BB138D1"/>
    <w:rsid w:val="2BCF4DE2"/>
    <w:rsid w:val="2BDE7133"/>
    <w:rsid w:val="2BE53186"/>
    <w:rsid w:val="2BF4095A"/>
    <w:rsid w:val="2C2E04A8"/>
    <w:rsid w:val="2C3105E3"/>
    <w:rsid w:val="2C38077F"/>
    <w:rsid w:val="2C5A4A93"/>
    <w:rsid w:val="2C6650F6"/>
    <w:rsid w:val="2C7E26DD"/>
    <w:rsid w:val="2C871290"/>
    <w:rsid w:val="2C9666B5"/>
    <w:rsid w:val="2CA7123F"/>
    <w:rsid w:val="2CB047AC"/>
    <w:rsid w:val="2CB53C8E"/>
    <w:rsid w:val="2CB75A97"/>
    <w:rsid w:val="2CDB5D69"/>
    <w:rsid w:val="2D045273"/>
    <w:rsid w:val="2D4D13D7"/>
    <w:rsid w:val="2D66545A"/>
    <w:rsid w:val="2D7B0E76"/>
    <w:rsid w:val="2D8D2E08"/>
    <w:rsid w:val="2DD117A1"/>
    <w:rsid w:val="2DDE3FEB"/>
    <w:rsid w:val="2DF6381D"/>
    <w:rsid w:val="2E002782"/>
    <w:rsid w:val="2E0C76F0"/>
    <w:rsid w:val="2E1D524D"/>
    <w:rsid w:val="2E513149"/>
    <w:rsid w:val="2E624259"/>
    <w:rsid w:val="2E8E49B8"/>
    <w:rsid w:val="2E8F0E6F"/>
    <w:rsid w:val="2E9A689E"/>
    <w:rsid w:val="2EA014A9"/>
    <w:rsid w:val="2EA414CB"/>
    <w:rsid w:val="2EB15F6F"/>
    <w:rsid w:val="2ED65046"/>
    <w:rsid w:val="2EE10F5B"/>
    <w:rsid w:val="2F101F2F"/>
    <w:rsid w:val="2F10269B"/>
    <w:rsid w:val="2F2E07A5"/>
    <w:rsid w:val="2F355B4F"/>
    <w:rsid w:val="2F497843"/>
    <w:rsid w:val="2F5E40B2"/>
    <w:rsid w:val="2F643BAC"/>
    <w:rsid w:val="2F6D5E81"/>
    <w:rsid w:val="2F6F0265"/>
    <w:rsid w:val="2F940650"/>
    <w:rsid w:val="2F9F25B4"/>
    <w:rsid w:val="2FAF35CD"/>
    <w:rsid w:val="2FDE346C"/>
    <w:rsid w:val="2FE57299"/>
    <w:rsid w:val="2FEA1A4D"/>
    <w:rsid w:val="2FF37D41"/>
    <w:rsid w:val="300761B5"/>
    <w:rsid w:val="30145257"/>
    <w:rsid w:val="304C79CF"/>
    <w:rsid w:val="305722BA"/>
    <w:rsid w:val="30711DCA"/>
    <w:rsid w:val="30714F60"/>
    <w:rsid w:val="3081071C"/>
    <w:rsid w:val="308D1DAF"/>
    <w:rsid w:val="309C27EF"/>
    <w:rsid w:val="30C1666C"/>
    <w:rsid w:val="30C45D4E"/>
    <w:rsid w:val="30C7479B"/>
    <w:rsid w:val="30DC375D"/>
    <w:rsid w:val="30DC45D9"/>
    <w:rsid w:val="30E13887"/>
    <w:rsid w:val="310A0DB1"/>
    <w:rsid w:val="312B4C65"/>
    <w:rsid w:val="312D6459"/>
    <w:rsid w:val="313308E4"/>
    <w:rsid w:val="3138453F"/>
    <w:rsid w:val="3145042C"/>
    <w:rsid w:val="3150593A"/>
    <w:rsid w:val="31833605"/>
    <w:rsid w:val="31872810"/>
    <w:rsid w:val="319F1533"/>
    <w:rsid w:val="31A825E0"/>
    <w:rsid w:val="31DD3C99"/>
    <w:rsid w:val="32002EBC"/>
    <w:rsid w:val="32162868"/>
    <w:rsid w:val="321C2A95"/>
    <w:rsid w:val="32255EF9"/>
    <w:rsid w:val="32274DD3"/>
    <w:rsid w:val="32354BE5"/>
    <w:rsid w:val="326C0E83"/>
    <w:rsid w:val="326D1A82"/>
    <w:rsid w:val="32923788"/>
    <w:rsid w:val="329A0A14"/>
    <w:rsid w:val="32B52611"/>
    <w:rsid w:val="32CF5E49"/>
    <w:rsid w:val="32CF5F60"/>
    <w:rsid w:val="32DA6624"/>
    <w:rsid w:val="32E0071A"/>
    <w:rsid w:val="32E12FEA"/>
    <w:rsid w:val="33156E95"/>
    <w:rsid w:val="33341186"/>
    <w:rsid w:val="33345F02"/>
    <w:rsid w:val="33354DE7"/>
    <w:rsid w:val="33416B88"/>
    <w:rsid w:val="334D2794"/>
    <w:rsid w:val="33530283"/>
    <w:rsid w:val="335F150D"/>
    <w:rsid w:val="335F15DC"/>
    <w:rsid w:val="336A1D5B"/>
    <w:rsid w:val="33B455B4"/>
    <w:rsid w:val="33D57F7A"/>
    <w:rsid w:val="33EA5BD2"/>
    <w:rsid w:val="340F388A"/>
    <w:rsid w:val="341964B7"/>
    <w:rsid w:val="342422C0"/>
    <w:rsid w:val="34296A63"/>
    <w:rsid w:val="34344FAE"/>
    <w:rsid w:val="34384482"/>
    <w:rsid w:val="343926B5"/>
    <w:rsid w:val="344C2E2B"/>
    <w:rsid w:val="347F68D3"/>
    <w:rsid w:val="34F01505"/>
    <w:rsid w:val="34F933AE"/>
    <w:rsid w:val="34FF56AD"/>
    <w:rsid w:val="35002ABB"/>
    <w:rsid w:val="35066A3B"/>
    <w:rsid w:val="351146C3"/>
    <w:rsid w:val="35163C4E"/>
    <w:rsid w:val="35172F96"/>
    <w:rsid w:val="351F0875"/>
    <w:rsid w:val="351F7903"/>
    <w:rsid w:val="35254470"/>
    <w:rsid w:val="35527EC4"/>
    <w:rsid w:val="35531910"/>
    <w:rsid w:val="35577DD4"/>
    <w:rsid w:val="355A28E3"/>
    <w:rsid w:val="355F2018"/>
    <w:rsid w:val="356D67DA"/>
    <w:rsid w:val="358B2FCE"/>
    <w:rsid w:val="358B5193"/>
    <w:rsid w:val="358E07DF"/>
    <w:rsid w:val="359B2592"/>
    <w:rsid w:val="35A609B2"/>
    <w:rsid w:val="35AD693D"/>
    <w:rsid w:val="35B00755"/>
    <w:rsid w:val="35C773D6"/>
    <w:rsid w:val="35E4260B"/>
    <w:rsid w:val="36094897"/>
    <w:rsid w:val="362D624A"/>
    <w:rsid w:val="36407CAD"/>
    <w:rsid w:val="36575075"/>
    <w:rsid w:val="36626153"/>
    <w:rsid w:val="36646BB9"/>
    <w:rsid w:val="36672BAD"/>
    <w:rsid w:val="36785717"/>
    <w:rsid w:val="3699368D"/>
    <w:rsid w:val="36996472"/>
    <w:rsid w:val="36A81661"/>
    <w:rsid w:val="36B275B6"/>
    <w:rsid w:val="36E3525A"/>
    <w:rsid w:val="36E96EE2"/>
    <w:rsid w:val="36F92459"/>
    <w:rsid w:val="36FB33D8"/>
    <w:rsid w:val="36FC517F"/>
    <w:rsid w:val="37001569"/>
    <w:rsid w:val="370129A0"/>
    <w:rsid w:val="37052D23"/>
    <w:rsid w:val="3717270E"/>
    <w:rsid w:val="37255C51"/>
    <w:rsid w:val="374C1A9B"/>
    <w:rsid w:val="37566593"/>
    <w:rsid w:val="3768214D"/>
    <w:rsid w:val="376B2052"/>
    <w:rsid w:val="37732382"/>
    <w:rsid w:val="37824373"/>
    <w:rsid w:val="37931A55"/>
    <w:rsid w:val="37A61E10"/>
    <w:rsid w:val="37BA1D5F"/>
    <w:rsid w:val="37CC31C3"/>
    <w:rsid w:val="37E82428"/>
    <w:rsid w:val="37EB29D8"/>
    <w:rsid w:val="37F87429"/>
    <w:rsid w:val="381F2104"/>
    <w:rsid w:val="382864CB"/>
    <w:rsid w:val="382D0783"/>
    <w:rsid w:val="383672B3"/>
    <w:rsid w:val="386817BB"/>
    <w:rsid w:val="387362B6"/>
    <w:rsid w:val="389F03C0"/>
    <w:rsid w:val="38AA38FF"/>
    <w:rsid w:val="38C721F5"/>
    <w:rsid w:val="38C74734"/>
    <w:rsid w:val="38C9005C"/>
    <w:rsid w:val="393548CC"/>
    <w:rsid w:val="394E3ED6"/>
    <w:rsid w:val="39684483"/>
    <w:rsid w:val="39684EB4"/>
    <w:rsid w:val="397B3C6B"/>
    <w:rsid w:val="399F745E"/>
    <w:rsid w:val="39A95BE7"/>
    <w:rsid w:val="39BA6B13"/>
    <w:rsid w:val="39BD2EB0"/>
    <w:rsid w:val="39E10297"/>
    <w:rsid w:val="39E3441A"/>
    <w:rsid w:val="3A122D27"/>
    <w:rsid w:val="3A6D5E23"/>
    <w:rsid w:val="3A7206CF"/>
    <w:rsid w:val="3AA40553"/>
    <w:rsid w:val="3AA80595"/>
    <w:rsid w:val="3AB03232"/>
    <w:rsid w:val="3AB24F6F"/>
    <w:rsid w:val="3ACE31C4"/>
    <w:rsid w:val="3AD26B6E"/>
    <w:rsid w:val="3AE448A5"/>
    <w:rsid w:val="3AEB37DF"/>
    <w:rsid w:val="3AF845D9"/>
    <w:rsid w:val="3B090D0F"/>
    <w:rsid w:val="3B2C087E"/>
    <w:rsid w:val="3B2C74EE"/>
    <w:rsid w:val="3B3F4A55"/>
    <w:rsid w:val="3B433C53"/>
    <w:rsid w:val="3B4723E0"/>
    <w:rsid w:val="3B5D1DC7"/>
    <w:rsid w:val="3B6D7A69"/>
    <w:rsid w:val="3B710EF3"/>
    <w:rsid w:val="3B7A06F2"/>
    <w:rsid w:val="3B8E376C"/>
    <w:rsid w:val="3BA37C08"/>
    <w:rsid w:val="3BA527DC"/>
    <w:rsid w:val="3BA70186"/>
    <w:rsid w:val="3BAD6B2E"/>
    <w:rsid w:val="3BC60A9D"/>
    <w:rsid w:val="3BE16AF9"/>
    <w:rsid w:val="3C215398"/>
    <w:rsid w:val="3C461E13"/>
    <w:rsid w:val="3C574A7F"/>
    <w:rsid w:val="3C70780D"/>
    <w:rsid w:val="3C77021F"/>
    <w:rsid w:val="3CBC6EBE"/>
    <w:rsid w:val="3CD075B6"/>
    <w:rsid w:val="3CE47625"/>
    <w:rsid w:val="3CF31E2B"/>
    <w:rsid w:val="3D0A74C7"/>
    <w:rsid w:val="3D2F63EE"/>
    <w:rsid w:val="3D3B0062"/>
    <w:rsid w:val="3D3D3216"/>
    <w:rsid w:val="3D5A765E"/>
    <w:rsid w:val="3D612BD3"/>
    <w:rsid w:val="3D69430A"/>
    <w:rsid w:val="3D72628E"/>
    <w:rsid w:val="3D8448FD"/>
    <w:rsid w:val="3D915310"/>
    <w:rsid w:val="3DA32778"/>
    <w:rsid w:val="3DB868D1"/>
    <w:rsid w:val="3DB86D41"/>
    <w:rsid w:val="3DC172E3"/>
    <w:rsid w:val="3DD0707B"/>
    <w:rsid w:val="3DF00289"/>
    <w:rsid w:val="3DF77869"/>
    <w:rsid w:val="3DF8153F"/>
    <w:rsid w:val="3DFC46DA"/>
    <w:rsid w:val="3E0128FA"/>
    <w:rsid w:val="3E1718BC"/>
    <w:rsid w:val="3E1E02D5"/>
    <w:rsid w:val="3E2D5039"/>
    <w:rsid w:val="3E330BCB"/>
    <w:rsid w:val="3E4420C8"/>
    <w:rsid w:val="3E4619B8"/>
    <w:rsid w:val="3E481DA6"/>
    <w:rsid w:val="3E504536"/>
    <w:rsid w:val="3E595488"/>
    <w:rsid w:val="3E6309B5"/>
    <w:rsid w:val="3E6640F9"/>
    <w:rsid w:val="3E6D02C8"/>
    <w:rsid w:val="3E8C2EE2"/>
    <w:rsid w:val="3E9D6613"/>
    <w:rsid w:val="3E9E51A8"/>
    <w:rsid w:val="3ECD4772"/>
    <w:rsid w:val="3EED6609"/>
    <w:rsid w:val="3F0B4F6F"/>
    <w:rsid w:val="3F454604"/>
    <w:rsid w:val="3F5057D1"/>
    <w:rsid w:val="3F6C5CC3"/>
    <w:rsid w:val="3F6E1604"/>
    <w:rsid w:val="3F75355D"/>
    <w:rsid w:val="3F832EE3"/>
    <w:rsid w:val="3F8669AB"/>
    <w:rsid w:val="3F88629F"/>
    <w:rsid w:val="3FBA566B"/>
    <w:rsid w:val="3FD53316"/>
    <w:rsid w:val="40093CF1"/>
    <w:rsid w:val="401470C0"/>
    <w:rsid w:val="401A27A9"/>
    <w:rsid w:val="402126D8"/>
    <w:rsid w:val="403378F8"/>
    <w:rsid w:val="406406DC"/>
    <w:rsid w:val="406F5BA7"/>
    <w:rsid w:val="408342FD"/>
    <w:rsid w:val="40AD2461"/>
    <w:rsid w:val="40B454EF"/>
    <w:rsid w:val="40BC700F"/>
    <w:rsid w:val="40DE3CAA"/>
    <w:rsid w:val="40F938F8"/>
    <w:rsid w:val="40FC7159"/>
    <w:rsid w:val="40FE4846"/>
    <w:rsid w:val="4112377D"/>
    <w:rsid w:val="41322BD5"/>
    <w:rsid w:val="417E482D"/>
    <w:rsid w:val="41867134"/>
    <w:rsid w:val="41947EA6"/>
    <w:rsid w:val="41B13116"/>
    <w:rsid w:val="41BB18BC"/>
    <w:rsid w:val="41C90E09"/>
    <w:rsid w:val="41C932CA"/>
    <w:rsid w:val="4205007B"/>
    <w:rsid w:val="425B4FD2"/>
    <w:rsid w:val="42613503"/>
    <w:rsid w:val="42634845"/>
    <w:rsid w:val="4279315E"/>
    <w:rsid w:val="42852F4A"/>
    <w:rsid w:val="42A92B57"/>
    <w:rsid w:val="42AA56F1"/>
    <w:rsid w:val="42B5384F"/>
    <w:rsid w:val="42CE06C9"/>
    <w:rsid w:val="42E3189D"/>
    <w:rsid w:val="42F8746F"/>
    <w:rsid w:val="43062D47"/>
    <w:rsid w:val="43325B44"/>
    <w:rsid w:val="433B01F8"/>
    <w:rsid w:val="43486B61"/>
    <w:rsid w:val="43813731"/>
    <w:rsid w:val="438356FB"/>
    <w:rsid w:val="43BB18DF"/>
    <w:rsid w:val="43BB4A6B"/>
    <w:rsid w:val="43BB7995"/>
    <w:rsid w:val="43CF0940"/>
    <w:rsid w:val="43D63446"/>
    <w:rsid w:val="43D67F21"/>
    <w:rsid w:val="43F333CB"/>
    <w:rsid w:val="44091ACF"/>
    <w:rsid w:val="441853A0"/>
    <w:rsid w:val="441D71ED"/>
    <w:rsid w:val="442D6535"/>
    <w:rsid w:val="44381BDD"/>
    <w:rsid w:val="44421CCE"/>
    <w:rsid w:val="444255B6"/>
    <w:rsid w:val="44543C4E"/>
    <w:rsid w:val="447074F5"/>
    <w:rsid w:val="44974D8D"/>
    <w:rsid w:val="449E6E4E"/>
    <w:rsid w:val="44BA339E"/>
    <w:rsid w:val="44D04970"/>
    <w:rsid w:val="44DD5FCC"/>
    <w:rsid w:val="450736A6"/>
    <w:rsid w:val="451543E4"/>
    <w:rsid w:val="45173EB4"/>
    <w:rsid w:val="451A5BEB"/>
    <w:rsid w:val="453A7E6D"/>
    <w:rsid w:val="45424DB6"/>
    <w:rsid w:val="45530036"/>
    <w:rsid w:val="455343B1"/>
    <w:rsid w:val="459E4B6D"/>
    <w:rsid w:val="459F2FDB"/>
    <w:rsid w:val="45DD4E52"/>
    <w:rsid w:val="461924A5"/>
    <w:rsid w:val="46286C71"/>
    <w:rsid w:val="462A0FE0"/>
    <w:rsid w:val="46492E6C"/>
    <w:rsid w:val="46585B30"/>
    <w:rsid w:val="46647A66"/>
    <w:rsid w:val="46BE0184"/>
    <w:rsid w:val="46CC1167"/>
    <w:rsid w:val="4718229D"/>
    <w:rsid w:val="47203892"/>
    <w:rsid w:val="47283033"/>
    <w:rsid w:val="473D397B"/>
    <w:rsid w:val="47443E74"/>
    <w:rsid w:val="474F3C06"/>
    <w:rsid w:val="4775369C"/>
    <w:rsid w:val="477810B1"/>
    <w:rsid w:val="478A44DF"/>
    <w:rsid w:val="47975C19"/>
    <w:rsid w:val="479B3685"/>
    <w:rsid w:val="47AB3E15"/>
    <w:rsid w:val="47AC0CF7"/>
    <w:rsid w:val="47D86555"/>
    <w:rsid w:val="47F24B53"/>
    <w:rsid w:val="47F866B8"/>
    <w:rsid w:val="48492D26"/>
    <w:rsid w:val="48541414"/>
    <w:rsid w:val="485B27A2"/>
    <w:rsid w:val="48786A80"/>
    <w:rsid w:val="48853CC3"/>
    <w:rsid w:val="4886454F"/>
    <w:rsid w:val="488F1B48"/>
    <w:rsid w:val="48C72D96"/>
    <w:rsid w:val="48C742DC"/>
    <w:rsid w:val="48CD5F8B"/>
    <w:rsid w:val="48D8234C"/>
    <w:rsid w:val="48EF4234"/>
    <w:rsid w:val="491D2237"/>
    <w:rsid w:val="49212350"/>
    <w:rsid w:val="49456604"/>
    <w:rsid w:val="49754B83"/>
    <w:rsid w:val="49973CAE"/>
    <w:rsid w:val="49C820BA"/>
    <w:rsid w:val="49C85417"/>
    <w:rsid w:val="4A0D21F0"/>
    <w:rsid w:val="4A126AF2"/>
    <w:rsid w:val="4A1452FF"/>
    <w:rsid w:val="4A207DAF"/>
    <w:rsid w:val="4A301E2A"/>
    <w:rsid w:val="4A37426C"/>
    <w:rsid w:val="4A4515E8"/>
    <w:rsid w:val="4A590F64"/>
    <w:rsid w:val="4A797DE0"/>
    <w:rsid w:val="4A7C3271"/>
    <w:rsid w:val="4A837AA7"/>
    <w:rsid w:val="4A87463D"/>
    <w:rsid w:val="4A897A9B"/>
    <w:rsid w:val="4A921BB5"/>
    <w:rsid w:val="4AAF15F0"/>
    <w:rsid w:val="4ABD5996"/>
    <w:rsid w:val="4AE00116"/>
    <w:rsid w:val="4AF0272B"/>
    <w:rsid w:val="4B0C5FD6"/>
    <w:rsid w:val="4B1E053C"/>
    <w:rsid w:val="4B3B68BB"/>
    <w:rsid w:val="4B4022CA"/>
    <w:rsid w:val="4B6A06D7"/>
    <w:rsid w:val="4B83273C"/>
    <w:rsid w:val="4BAF0CF3"/>
    <w:rsid w:val="4BBD36A5"/>
    <w:rsid w:val="4BD36E74"/>
    <w:rsid w:val="4BD56B0D"/>
    <w:rsid w:val="4BD86BCF"/>
    <w:rsid w:val="4BD94AE8"/>
    <w:rsid w:val="4BE807F1"/>
    <w:rsid w:val="4BFC24EE"/>
    <w:rsid w:val="4C06511B"/>
    <w:rsid w:val="4C204A5F"/>
    <w:rsid w:val="4C2B6270"/>
    <w:rsid w:val="4C395EA2"/>
    <w:rsid w:val="4C4F7238"/>
    <w:rsid w:val="4C5228AF"/>
    <w:rsid w:val="4C6C748E"/>
    <w:rsid w:val="4C862F35"/>
    <w:rsid w:val="4C87625C"/>
    <w:rsid w:val="4CC44709"/>
    <w:rsid w:val="4CF94F2A"/>
    <w:rsid w:val="4D0D2293"/>
    <w:rsid w:val="4D302836"/>
    <w:rsid w:val="4D453EA9"/>
    <w:rsid w:val="4D5A1753"/>
    <w:rsid w:val="4D5C572C"/>
    <w:rsid w:val="4D64620A"/>
    <w:rsid w:val="4D67326A"/>
    <w:rsid w:val="4D762DFA"/>
    <w:rsid w:val="4D913434"/>
    <w:rsid w:val="4DB73025"/>
    <w:rsid w:val="4DC61011"/>
    <w:rsid w:val="4DCD449A"/>
    <w:rsid w:val="4DCD5EF0"/>
    <w:rsid w:val="4DD91E2A"/>
    <w:rsid w:val="4DDA516B"/>
    <w:rsid w:val="4DE47EEE"/>
    <w:rsid w:val="4DEF40B9"/>
    <w:rsid w:val="4DFD1420"/>
    <w:rsid w:val="4E191136"/>
    <w:rsid w:val="4E371081"/>
    <w:rsid w:val="4E415F53"/>
    <w:rsid w:val="4E437F61"/>
    <w:rsid w:val="4E7B3B9E"/>
    <w:rsid w:val="4E8E65C1"/>
    <w:rsid w:val="4E9C2745"/>
    <w:rsid w:val="4EAC1FAA"/>
    <w:rsid w:val="4EB57F69"/>
    <w:rsid w:val="4ED33D31"/>
    <w:rsid w:val="4ED80FF1"/>
    <w:rsid w:val="4EE1479C"/>
    <w:rsid w:val="4F243492"/>
    <w:rsid w:val="4F332395"/>
    <w:rsid w:val="4F375E64"/>
    <w:rsid w:val="4F647C31"/>
    <w:rsid w:val="4F900303"/>
    <w:rsid w:val="4F9B7A88"/>
    <w:rsid w:val="4FE7781D"/>
    <w:rsid w:val="50012D7C"/>
    <w:rsid w:val="500E369B"/>
    <w:rsid w:val="501B6D91"/>
    <w:rsid w:val="502B07C5"/>
    <w:rsid w:val="5035615B"/>
    <w:rsid w:val="50372296"/>
    <w:rsid w:val="504C7444"/>
    <w:rsid w:val="505A4E4D"/>
    <w:rsid w:val="50847B34"/>
    <w:rsid w:val="50EA0150"/>
    <w:rsid w:val="51095EC8"/>
    <w:rsid w:val="5110276B"/>
    <w:rsid w:val="512572D9"/>
    <w:rsid w:val="51446493"/>
    <w:rsid w:val="514A7ED2"/>
    <w:rsid w:val="51705511"/>
    <w:rsid w:val="51A74466"/>
    <w:rsid w:val="51FC581B"/>
    <w:rsid w:val="520F10EE"/>
    <w:rsid w:val="5227604E"/>
    <w:rsid w:val="52384225"/>
    <w:rsid w:val="523A1F04"/>
    <w:rsid w:val="523C53F3"/>
    <w:rsid w:val="524B75A8"/>
    <w:rsid w:val="525433AE"/>
    <w:rsid w:val="52783FF0"/>
    <w:rsid w:val="527C215F"/>
    <w:rsid w:val="527E5EED"/>
    <w:rsid w:val="52882463"/>
    <w:rsid w:val="528A2602"/>
    <w:rsid w:val="52B508CE"/>
    <w:rsid w:val="52BB11DC"/>
    <w:rsid w:val="52CB6EA0"/>
    <w:rsid w:val="52E37F64"/>
    <w:rsid w:val="52E678FD"/>
    <w:rsid w:val="52FF4591"/>
    <w:rsid w:val="5302663C"/>
    <w:rsid w:val="531473B0"/>
    <w:rsid w:val="531B3A9C"/>
    <w:rsid w:val="5321243D"/>
    <w:rsid w:val="532D6E3F"/>
    <w:rsid w:val="533407C0"/>
    <w:rsid w:val="53431A96"/>
    <w:rsid w:val="53543569"/>
    <w:rsid w:val="53751745"/>
    <w:rsid w:val="53773018"/>
    <w:rsid w:val="537B18F4"/>
    <w:rsid w:val="53876BCA"/>
    <w:rsid w:val="53955ABA"/>
    <w:rsid w:val="53980D4F"/>
    <w:rsid w:val="53A67D82"/>
    <w:rsid w:val="53DE6642"/>
    <w:rsid w:val="53EF0739"/>
    <w:rsid w:val="540918A0"/>
    <w:rsid w:val="543A1E06"/>
    <w:rsid w:val="54522ADC"/>
    <w:rsid w:val="54755AA4"/>
    <w:rsid w:val="547938FD"/>
    <w:rsid w:val="54976648"/>
    <w:rsid w:val="54A011AE"/>
    <w:rsid w:val="54A10126"/>
    <w:rsid w:val="54A565DB"/>
    <w:rsid w:val="54B575F1"/>
    <w:rsid w:val="54B94986"/>
    <w:rsid w:val="54E57FC4"/>
    <w:rsid w:val="54E7647B"/>
    <w:rsid w:val="54EF2699"/>
    <w:rsid w:val="55002B2F"/>
    <w:rsid w:val="55133BF8"/>
    <w:rsid w:val="552E5704"/>
    <w:rsid w:val="555D3430"/>
    <w:rsid w:val="555E3ADC"/>
    <w:rsid w:val="557F1C1A"/>
    <w:rsid w:val="55A5299F"/>
    <w:rsid w:val="55AB5EB5"/>
    <w:rsid w:val="55CE3B25"/>
    <w:rsid w:val="55D20EC3"/>
    <w:rsid w:val="55ED243A"/>
    <w:rsid w:val="55F43387"/>
    <w:rsid w:val="560257B6"/>
    <w:rsid w:val="56025C0C"/>
    <w:rsid w:val="56032A93"/>
    <w:rsid w:val="560E7C25"/>
    <w:rsid w:val="5620313B"/>
    <w:rsid w:val="56443F1D"/>
    <w:rsid w:val="56496330"/>
    <w:rsid w:val="564D5B7B"/>
    <w:rsid w:val="565B7ED3"/>
    <w:rsid w:val="56970EE5"/>
    <w:rsid w:val="56B25162"/>
    <w:rsid w:val="56B464CF"/>
    <w:rsid w:val="56B636B6"/>
    <w:rsid w:val="56E11A79"/>
    <w:rsid w:val="56F664B8"/>
    <w:rsid w:val="56F918AE"/>
    <w:rsid w:val="56F9392F"/>
    <w:rsid w:val="57014E5D"/>
    <w:rsid w:val="57034731"/>
    <w:rsid w:val="570B4455"/>
    <w:rsid w:val="571522E0"/>
    <w:rsid w:val="573F7673"/>
    <w:rsid w:val="576F6428"/>
    <w:rsid w:val="57947A7F"/>
    <w:rsid w:val="579B67A6"/>
    <w:rsid w:val="57A443F1"/>
    <w:rsid w:val="57AE3907"/>
    <w:rsid w:val="57E7367A"/>
    <w:rsid w:val="57F0169B"/>
    <w:rsid w:val="57F867D4"/>
    <w:rsid w:val="57FF0736"/>
    <w:rsid w:val="58094510"/>
    <w:rsid w:val="581B65E4"/>
    <w:rsid w:val="582D21C9"/>
    <w:rsid w:val="58342AEA"/>
    <w:rsid w:val="58355A1D"/>
    <w:rsid w:val="583640C7"/>
    <w:rsid w:val="584C6F04"/>
    <w:rsid w:val="58513B89"/>
    <w:rsid w:val="585D30A3"/>
    <w:rsid w:val="58603A1D"/>
    <w:rsid w:val="586E4313"/>
    <w:rsid w:val="58816114"/>
    <w:rsid w:val="58C37202"/>
    <w:rsid w:val="58E754F6"/>
    <w:rsid w:val="591E6566"/>
    <w:rsid w:val="595266CF"/>
    <w:rsid w:val="59835FFD"/>
    <w:rsid w:val="59A36822"/>
    <w:rsid w:val="59D64BE3"/>
    <w:rsid w:val="59E34EE1"/>
    <w:rsid w:val="59EB1149"/>
    <w:rsid w:val="5A0C5FF2"/>
    <w:rsid w:val="5A2A55E3"/>
    <w:rsid w:val="5A4965A7"/>
    <w:rsid w:val="5A582FE6"/>
    <w:rsid w:val="5A5F6122"/>
    <w:rsid w:val="5A8754E4"/>
    <w:rsid w:val="5A935D25"/>
    <w:rsid w:val="5A9802B8"/>
    <w:rsid w:val="5AB1147E"/>
    <w:rsid w:val="5ABF7DCF"/>
    <w:rsid w:val="5AC47A09"/>
    <w:rsid w:val="5AE23BA6"/>
    <w:rsid w:val="5AE6129F"/>
    <w:rsid w:val="5AE63D9C"/>
    <w:rsid w:val="5B2C1016"/>
    <w:rsid w:val="5B5E287E"/>
    <w:rsid w:val="5B6717C3"/>
    <w:rsid w:val="5B6F4A8B"/>
    <w:rsid w:val="5BC46468"/>
    <w:rsid w:val="5BDC46AC"/>
    <w:rsid w:val="5BFB013E"/>
    <w:rsid w:val="5C0E4B21"/>
    <w:rsid w:val="5C295EBD"/>
    <w:rsid w:val="5C3B325D"/>
    <w:rsid w:val="5C657C3C"/>
    <w:rsid w:val="5C686014"/>
    <w:rsid w:val="5C8A31FF"/>
    <w:rsid w:val="5CAF2F3F"/>
    <w:rsid w:val="5CC21EBE"/>
    <w:rsid w:val="5CC626AD"/>
    <w:rsid w:val="5D412426"/>
    <w:rsid w:val="5D6D4FFA"/>
    <w:rsid w:val="5D7325A7"/>
    <w:rsid w:val="5DC37E86"/>
    <w:rsid w:val="5E1A63C8"/>
    <w:rsid w:val="5E4808E0"/>
    <w:rsid w:val="5E581D9A"/>
    <w:rsid w:val="5E852352"/>
    <w:rsid w:val="5E8A70A4"/>
    <w:rsid w:val="5E984253"/>
    <w:rsid w:val="5EAA5DDA"/>
    <w:rsid w:val="5EB503FB"/>
    <w:rsid w:val="5EEC557A"/>
    <w:rsid w:val="5EF56103"/>
    <w:rsid w:val="5F15191F"/>
    <w:rsid w:val="5F213553"/>
    <w:rsid w:val="5F217EAB"/>
    <w:rsid w:val="5F2820D8"/>
    <w:rsid w:val="5F5F2403"/>
    <w:rsid w:val="5F6D12E1"/>
    <w:rsid w:val="5F6D31CF"/>
    <w:rsid w:val="5F81422C"/>
    <w:rsid w:val="5F8B33B2"/>
    <w:rsid w:val="5FA27873"/>
    <w:rsid w:val="5FB760DA"/>
    <w:rsid w:val="5FD83283"/>
    <w:rsid w:val="5FF61144"/>
    <w:rsid w:val="60142561"/>
    <w:rsid w:val="60146A0A"/>
    <w:rsid w:val="60194C8D"/>
    <w:rsid w:val="603A5FDA"/>
    <w:rsid w:val="60475E6F"/>
    <w:rsid w:val="604C0FCC"/>
    <w:rsid w:val="604D34AE"/>
    <w:rsid w:val="60530BE2"/>
    <w:rsid w:val="606A3A73"/>
    <w:rsid w:val="60757551"/>
    <w:rsid w:val="60811859"/>
    <w:rsid w:val="60866B31"/>
    <w:rsid w:val="6097059A"/>
    <w:rsid w:val="609954A7"/>
    <w:rsid w:val="60A40029"/>
    <w:rsid w:val="610139B4"/>
    <w:rsid w:val="61044D9D"/>
    <w:rsid w:val="61076583"/>
    <w:rsid w:val="6117451E"/>
    <w:rsid w:val="61293E18"/>
    <w:rsid w:val="61307A04"/>
    <w:rsid w:val="61332F3B"/>
    <w:rsid w:val="61354081"/>
    <w:rsid w:val="613C2058"/>
    <w:rsid w:val="61444126"/>
    <w:rsid w:val="614632BC"/>
    <w:rsid w:val="614D6C2D"/>
    <w:rsid w:val="614D6D74"/>
    <w:rsid w:val="615E6755"/>
    <w:rsid w:val="615F64AA"/>
    <w:rsid w:val="61722A56"/>
    <w:rsid w:val="61897B1C"/>
    <w:rsid w:val="619F4950"/>
    <w:rsid w:val="62090287"/>
    <w:rsid w:val="62353C0D"/>
    <w:rsid w:val="624F41B6"/>
    <w:rsid w:val="626A7D5A"/>
    <w:rsid w:val="62C531E2"/>
    <w:rsid w:val="62DE2DF3"/>
    <w:rsid w:val="62F15D85"/>
    <w:rsid w:val="62F612A3"/>
    <w:rsid w:val="62F95B8C"/>
    <w:rsid w:val="63100986"/>
    <w:rsid w:val="63911317"/>
    <w:rsid w:val="63975A8A"/>
    <w:rsid w:val="63A46B8A"/>
    <w:rsid w:val="63AB687C"/>
    <w:rsid w:val="63B9109C"/>
    <w:rsid w:val="63C94F54"/>
    <w:rsid w:val="63D8215D"/>
    <w:rsid w:val="63DF2C7F"/>
    <w:rsid w:val="63E043BE"/>
    <w:rsid w:val="63FA4747"/>
    <w:rsid w:val="641B2C86"/>
    <w:rsid w:val="641C4869"/>
    <w:rsid w:val="64354398"/>
    <w:rsid w:val="64416D79"/>
    <w:rsid w:val="64535899"/>
    <w:rsid w:val="64872E45"/>
    <w:rsid w:val="64956FE9"/>
    <w:rsid w:val="64A84B6A"/>
    <w:rsid w:val="64BB2625"/>
    <w:rsid w:val="64D277E0"/>
    <w:rsid w:val="64D37E39"/>
    <w:rsid w:val="64EA5182"/>
    <w:rsid w:val="65122EE6"/>
    <w:rsid w:val="652371EE"/>
    <w:rsid w:val="654D0E1B"/>
    <w:rsid w:val="655443A7"/>
    <w:rsid w:val="6558144A"/>
    <w:rsid w:val="656E7B61"/>
    <w:rsid w:val="657E7978"/>
    <w:rsid w:val="65B3079D"/>
    <w:rsid w:val="65B31A18"/>
    <w:rsid w:val="65E7603D"/>
    <w:rsid w:val="66141426"/>
    <w:rsid w:val="662F0B5B"/>
    <w:rsid w:val="663D77BB"/>
    <w:rsid w:val="66410DD2"/>
    <w:rsid w:val="66417024"/>
    <w:rsid w:val="667444A2"/>
    <w:rsid w:val="66863968"/>
    <w:rsid w:val="668F31AA"/>
    <w:rsid w:val="66952D51"/>
    <w:rsid w:val="669E6F11"/>
    <w:rsid w:val="66AA1CAB"/>
    <w:rsid w:val="66CD6B09"/>
    <w:rsid w:val="67151FB4"/>
    <w:rsid w:val="67256944"/>
    <w:rsid w:val="673A09E8"/>
    <w:rsid w:val="67601DF0"/>
    <w:rsid w:val="67623696"/>
    <w:rsid w:val="67756F44"/>
    <w:rsid w:val="677F4B46"/>
    <w:rsid w:val="67BC715D"/>
    <w:rsid w:val="67C47F0C"/>
    <w:rsid w:val="67D07731"/>
    <w:rsid w:val="67D30D98"/>
    <w:rsid w:val="67D905AF"/>
    <w:rsid w:val="67DC2A62"/>
    <w:rsid w:val="67E765D9"/>
    <w:rsid w:val="6807561B"/>
    <w:rsid w:val="681A7B2C"/>
    <w:rsid w:val="683A0295"/>
    <w:rsid w:val="683A57FD"/>
    <w:rsid w:val="68630BDC"/>
    <w:rsid w:val="686A3FBE"/>
    <w:rsid w:val="68B24209"/>
    <w:rsid w:val="68CA3301"/>
    <w:rsid w:val="68D41CEC"/>
    <w:rsid w:val="68D5023B"/>
    <w:rsid w:val="68D66149"/>
    <w:rsid w:val="68EE4149"/>
    <w:rsid w:val="68F27E6D"/>
    <w:rsid w:val="68F9670E"/>
    <w:rsid w:val="69140A20"/>
    <w:rsid w:val="693F3519"/>
    <w:rsid w:val="69461C0C"/>
    <w:rsid w:val="69692CE5"/>
    <w:rsid w:val="69767ACB"/>
    <w:rsid w:val="69772A38"/>
    <w:rsid w:val="69834D81"/>
    <w:rsid w:val="69BC2922"/>
    <w:rsid w:val="69C20527"/>
    <w:rsid w:val="69CA1E3D"/>
    <w:rsid w:val="69DA3A17"/>
    <w:rsid w:val="69F01770"/>
    <w:rsid w:val="6A0E1913"/>
    <w:rsid w:val="6A2771FC"/>
    <w:rsid w:val="6A4E7A76"/>
    <w:rsid w:val="6A512508"/>
    <w:rsid w:val="6A8123F9"/>
    <w:rsid w:val="6A86611B"/>
    <w:rsid w:val="6A9A5AB8"/>
    <w:rsid w:val="6AA65AD0"/>
    <w:rsid w:val="6AC15313"/>
    <w:rsid w:val="6ADB59ED"/>
    <w:rsid w:val="6AE52674"/>
    <w:rsid w:val="6AF43AD4"/>
    <w:rsid w:val="6B002E1D"/>
    <w:rsid w:val="6B032473"/>
    <w:rsid w:val="6B0E11C2"/>
    <w:rsid w:val="6B1947DD"/>
    <w:rsid w:val="6B9F68DE"/>
    <w:rsid w:val="6BD60B25"/>
    <w:rsid w:val="6BE7241B"/>
    <w:rsid w:val="6BF012D0"/>
    <w:rsid w:val="6C2246B3"/>
    <w:rsid w:val="6C6275A3"/>
    <w:rsid w:val="6C691899"/>
    <w:rsid w:val="6C6E4322"/>
    <w:rsid w:val="6C6F382E"/>
    <w:rsid w:val="6C804D16"/>
    <w:rsid w:val="6C861AE2"/>
    <w:rsid w:val="6CB06CB1"/>
    <w:rsid w:val="6CED7757"/>
    <w:rsid w:val="6CFE7A1D"/>
    <w:rsid w:val="6D365409"/>
    <w:rsid w:val="6D5D4E82"/>
    <w:rsid w:val="6D605355"/>
    <w:rsid w:val="6D70022B"/>
    <w:rsid w:val="6DC629D0"/>
    <w:rsid w:val="6DC81DD9"/>
    <w:rsid w:val="6DC9002B"/>
    <w:rsid w:val="6DCF524F"/>
    <w:rsid w:val="6DCF7418"/>
    <w:rsid w:val="6DD85C34"/>
    <w:rsid w:val="6DF1132F"/>
    <w:rsid w:val="6DFB5D0A"/>
    <w:rsid w:val="6E026768"/>
    <w:rsid w:val="6E4F595C"/>
    <w:rsid w:val="6E60660F"/>
    <w:rsid w:val="6E690475"/>
    <w:rsid w:val="6E891812"/>
    <w:rsid w:val="6E8A49EB"/>
    <w:rsid w:val="6E8C6D02"/>
    <w:rsid w:val="6EA116F1"/>
    <w:rsid w:val="6EB31AE7"/>
    <w:rsid w:val="6EC627E3"/>
    <w:rsid w:val="6EE24E2D"/>
    <w:rsid w:val="6F1218C9"/>
    <w:rsid w:val="6F410095"/>
    <w:rsid w:val="6F4505D9"/>
    <w:rsid w:val="6F4932D2"/>
    <w:rsid w:val="6F6F56FA"/>
    <w:rsid w:val="6F7366D6"/>
    <w:rsid w:val="6F781500"/>
    <w:rsid w:val="6F7B2B66"/>
    <w:rsid w:val="6F9838A8"/>
    <w:rsid w:val="6FF03205"/>
    <w:rsid w:val="6FF06591"/>
    <w:rsid w:val="6FF27B0C"/>
    <w:rsid w:val="700B4959"/>
    <w:rsid w:val="70192C40"/>
    <w:rsid w:val="70230CE9"/>
    <w:rsid w:val="704B508B"/>
    <w:rsid w:val="705B0CE2"/>
    <w:rsid w:val="70666050"/>
    <w:rsid w:val="707A385E"/>
    <w:rsid w:val="707A6B92"/>
    <w:rsid w:val="707E3779"/>
    <w:rsid w:val="70DC1B60"/>
    <w:rsid w:val="70F15A31"/>
    <w:rsid w:val="711B26AA"/>
    <w:rsid w:val="712E0333"/>
    <w:rsid w:val="712E42B7"/>
    <w:rsid w:val="715D5DDF"/>
    <w:rsid w:val="7191688A"/>
    <w:rsid w:val="71A66CC4"/>
    <w:rsid w:val="71AF5789"/>
    <w:rsid w:val="71C214A8"/>
    <w:rsid w:val="71E641B3"/>
    <w:rsid w:val="71F77ACE"/>
    <w:rsid w:val="71FD5C6E"/>
    <w:rsid w:val="720106F5"/>
    <w:rsid w:val="722B1E56"/>
    <w:rsid w:val="7235714F"/>
    <w:rsid w:val="723B7870"/>
    <w:rsid w:val="72787485"/>
    <w:rsid w:val="727E42BF"/>
    <w:rsid w:val="728E24C1"/>
    <w:rsid w:val="72AA5080"/>
    <w:rsid w:val="72DC25AE"/>
    <w:rsid w:val="72E93CC5"/>
    <w:rsid w:val="72F56066"/>
    <w:rsid w:val="72FA6ACB"/>
    <w:rsid w:val="7313322C"/>
    <w:rsid w:val="73197BB8"/>
    <w:rsid w:val="73335381"/>
    <w:rsid w:val="734103B0"/>
    <w:rsid w:val="734343DB"/>
    <w:rsid w:val="73487C44"/>
    <w:rsid w:val="735302BC"/>
    <w:rsid w:val="737C487D"/>
    <w:rsid w:val="738E5E7B"/>
    <w:rsid w:val="738F5872"/>
    <w:rsid w:val="73A37FFF"/>
    <w:rsid w:val="73B726D3"/>
    <w:rsid w:val="73BC418E"/>
    <w:rsid w:val="73BF0A26"/>
    <w:rsid w:val="73C64D7F"/>
    <w:rsid w:val="73C7191B"/>
    <w:rsid w:val="74074C5D"/>
    <w:rsid w:val="74143CF0"/>
    <w:rsid w:val="741702D0"/>
    <w:rsid w:val="74381A66"/>
    <w:rsid w:val="74477EFB"/>
    <w:rsid w:val="74617ED7"/>
    <w:rsid w:val="74832968"/>
    <w:rsid w:val="748849D8"/>
    <w:rsid w:val="749A745D"/>
    <w:rsid w:val="74D151BA"/>
    <w:rsid w:val="75344B8A"/>
    <w:rsid w:val="75516BF7"/>
    <w:rsid w:val="755F74C6"/>
    <w:rsid w:val="75606F89"/>
    <w:rsid w:val="758C2041"/>
    <w:rsid w:val="75B22ED4"/>
    <w:rsid w:val="75CE4949"/>
    <w:rsid w:val="75DB7C59"/>
    <w:rsid w:val="75DC0684"/>
    <w:rsid w:val="75DC65A5"/>
    <w:rsid w:val="75F22372"/>
    <w:rsid w:val="75F5786E"/>
    <w:rsid w:val="762659E2"/>
    <w:rsid w:val="7633523D"/>
    <w:rsid w:val="76396493"/>
    <w:rsid w:val="763B3A90"/>
    <w:rsid w:val="764F753B"/>
    <w:rsid w:val="76547D85"/>
    <w:rsid w:val="765E152C"/>
    <w:rsid w:val="76A72ED3"/>
    <w:rsid w:val="76A8487B"/>
    <w:rsid w:val="76A86B70"/>
    <w:rsid w:val="76CD1AD4"/>
    <w:rsid w:val="76FD3DD1"/>
    <w:rsid w:val="77464813"/>
    <w:rsid w:val="77471E69"/>
    <w:rsid w:val="77646FFC"/>
    <w:rsid w:val="776B430B"/>
    <w:rsid w:val="77907B18"/>
    <w:rsid w:val="779C230C"/>
    <w:rsid w:val="77A34766"/>
    <w:rsid w:val="77C60E71"/>
    <w:rsid w:val="780305EB"/>
    <w:rsid w:val="78061E7B"/>
    <w:rsid w:val="78164A54"/>
    <w:rsid w:val="78276334"/>
    <w:rsid w:val="784E64C7"/>
    <w:rsid w:val="78561CE5"/>
    <w:rsid w:val="78793AAA"/>
    <w:rsid w:val="787D33CB"/>
    <w:rsid w:val="78801C2E"/>
    <w:rsid w:val="7883590F"/>
    <w:rsid w:val="78A45043"/>
    <w:rsid w:val="78C240B9"/>
    <w:rsid w:val="78CC73B0"/>
    <w:rsid w:val="78E319A6"/>
    <w:rsid w:val="78E70FDC"/>
    <w:rsid w:val="78EA3C7B"/>
    <w:rsid w:val="78F85C68"/>
    <w:rsid w:val="79152AB8"/>
    <w:rsid w:val="791A766E"/>
    <w:rsid w:val="79487611"/>
    <w:rsid w:val="79592BCF"/>
    <w:rsid w:val="7982482F"/>
    <w:rsid w:val="79A23A3E"/>
    <w:rsid w:val="79B017A9"/>
    <w:rsid w:val="79B04E72"/>
    <w:rsid w:val="79D53D71"/>
    <w:rsid w:val="79E93803"/>
    <w:rsid w:val="7A2B4D43"/>
    <w:rsid w:val="7A4E3A4A"/>
    <w:rsid w:val="7A5E5F9F"/>
    <w:rsid w:val="7A701FA7"/>
    <w:rsid w:val="7A81536F"/>
    <w:rsid w:val="7A871C04"/>
    <w:rsid w:val="7A8D418E"/>
    <w:rsid w:val="7ABD1DB1"/>
    <w:rsid w:val="7AE92D09"/>
    <w:rsid w:val="7AEA7832"/>
    <w:rsid w:val="7AFF101C"/>
    <w:rsid w:val="7AFF72EC"/>
    <w:rsid w:val="7B312D12"/>
    <w:rsid w:val="7B4C1D99"/>
    <w:rsid w:val="7B5103E9"/>
    <w:rsid w:val="7B5B5EAE"/>
    <w:rsid w:val="7B653879"/>
    <w:rsid w:val="7BAA48CF"/>
    <w:rsid w:val="7BF64461"/>
    <w:rsid w:val="7C1D1542"/>
    <w:rsid w:val="7C2B3C5E"/>
    <w:rsid w:val="7C3969BF"/>
    <w:rsid w:val="7C52568F"/>
    <w:rsid w:val="7C6F002E"/>
    <w:rsid w:val="7C7C7257"/>
    <w:rsid w:val="7C903534"/>
    <w:rsid w:val="7CA82DF0"/>
    <w:rsid w:val="7CB2404E"/>
    <w:rsid w:val="7CB24FDD"/>
    <w:rsid w:val="7CC77E2B"/>
    <w:rsid w:val="7CD35395"/>
    <w:rsid w:val="7CE26FAD"/>
    <w:rsid w:val="7D055DA1"/>
    <w:rsid w:val="7D197F5B"/>
    <w:rsid w:val="7D2E4FD0"/>
    <w:rsid w:val="7D592A4D"/>
    <w:rsid w:val="7D5E1A02"/>
    <w:rsid w:val="7D7A7B34"/>
    <w:rsid w:val="7D9F1046"/>
    <w:rsid w:val="7DD351FC"/>
    <w:rsid w:val="7DE4613C"/>
    <w:rsid w:val="7DF36388"/>
    <w:rsid w:val="7E090DBD"/>
    <w:rsid w:val="7E096C95"/>
    <w:rsid w:val="7E0B69E0"/>
    <w:rsid w:val="7E1F41D9"/>
    <w:rsid w:val="7E203B01"/>
    <w:rsid w:val="7E2D505E"/>
    <w:rsid w:val="7E542A80"/>
    <w:rsid w:val="7E596F70"/>
    <w:rsid w:val="7E5F603E"/>
    <w:rsid w:val="7E6C7907"/>
    <w:rsid w:val="7E73248E"/>
    <w:rsid w:val="7E8B00C3"/>
    <w:rsid w:val="7E932A35"/>
    <w:rsid w:val="7E9C09D1"/>
    <w:rsid w:val="7EAA09EA"/>
    <w:rsid w:val="7EAD69D8"/>
    <w:rsid w:val="7ECB0595"/>
    <w:rsid w:val="7ED46C5A"/>
    <w:rsid w:val="7EFA07D4"/>
    <w:rsid w:val="7F033373"/>
    <w:rsid w:val="7F0709B3"/>
    <w:rsid w:val="7F346AE5"/>
    <w:rsid w:val="7F354B02"/>
    <w:rsid w:val="7F467E6A"/>
    <w:rsid w:val="7F537AC8"/>
    <w:rsid w:val="7F7829B4"/>
    <w:rsid w:val="7F973987"/>
    <w:rsid w:val="7FA405C1"/>
    <w:rsid w:val="7FA5499A"/>
    <w:rsid w:val="7FB46CB9"/>
    <w:rsid w:val="7FBC1438"/>
    <w:rsid w:val="7FCC6DCE"/>
    <w:rsid w:val="7FF33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5"/>
    <w:qFormat/>
    <w:uiPriority w:val="0"/>
    <w:pPr>
      <w:keepNext/>
      <w:jc w:val="center"/>
      <w:outlineLvl w:val="0"/>
    </w:pPr>
    <w:rPr>
      <w:rFonts w:ascii="Calibri" w:hAnsi="Calibri"/>
      <w:b/>
      <w:bCs/>
      <w:sz w:val="24"/>
      <w:szCs w:val="20"/>
    </w:rPr>
  </w:style>
  <w:style w:type="paragraph" w:styleId="4">
    <w:name w:val="heading 2"/>
    <w:basedOn w:val="1"/>
    <w:next w:val="1"/>
    <w:link w:val="304"/>
    <w:qFormat/>
    <w:uiPriority w:val="0"/>
    <w:pPr>
      <w:keepNext/>
      <w:keepLines/>
      <w:spacing w:line="360" w:lineRule="auto"/>
      <w:outlineLvl w:val="1"/>
    </w:pPr>
    <w:rPr>
      <w:rFonts w:ascii="Arial" w:hAnsi="Arial"/>
      <w:b/>
      <w:bCs/>
      <w:sz w:val="24"/>
      <w:szCs w:val="32"/>
    </w:rPr>
  </w:style>
  <w:style w:type="paragraph" w:styleId="2">
    <w:name w:val="heading 3"/>
    <w:basedOn w:val="1"/>
    <w:next w:val="1"/>
    <w:link w:val="275"/>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link w:val="28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12"/>
    <w:qFormat/>
    <w:uiPriority w:val="0"/>
    <w:pPr>
      <w:keepNext/>
      <w:keepLines/>
      <w:adjustRightInd w:val="0"/>
      <w:spacing w:before="280" w:after="290" w:line="376" w:lineRule="atLeast"/>
      <w:jc w:val="left"/>
      <w:textAlignment w:val="baseline"/>
      <w:outlineLvl w:val="4"/>
    </w:pPr>
    <w:rPr>
      <w:rFonts w:ascii="Calibri" w:hAnsi="Calibri"/>
      <w:b/>
      <w:bCs/>
      <w:kern w:val="0"/>
      <w:sz w:val="28"/>
      <w:szCs w:val="28"/>
    </w:rPr>
  </w:style>
  <w:style w:type="paragraph" w:styleId="7">
    <w:name w:val="heading 6"/>
    <w:basedOn w:val="1"/>
    <w:next w:val="1"/>
    <w:link w:val="292"/>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214"/>
    <w:qFormat/>
    <w:uiPriority w:val="0"/>
    <w:pPr>
      <w:keepNext/>
      <w:keepLines/>
      <w:adjustRightInd w:val="0"/>
      <w:spacing w:before="240" w:after="64" w:line="320" w:lineRule="atLeast"/>
      <w:jc w:val="left"/>
      <w:textAlignment w:val="baseline"/>
      <w:outlineLvl w:val="6"/>
    </w:pPr>
    <w:rPr>
      <w:rFonts w:ascii="Calibri" w:hAnsi="Calibri"/>
      <w:b/>
      <w:bCs/>
      <w:kern w:val="0"/>
      <w:sz w:val="24"/>
    </w:rPr>
  </w:style>
  <w:style w:type="paragraph" w:styleId="9">
    <w:name w:val="heading 8"/>
    <w:basedOn w:val="1"/>
    <w:next w:val="1"/>
    <w:link w:val="286"/>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308"/>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table of authorities"/>
    <w:basedOn w:val="1"/>
    <w:next w:val="1"/>
    <w:qFormat/>
    <w:uiPriority w:val="99"/>
    <w:pPr>
      <w:widowControl/>
      <w:adjustRightInd w:val="0"/>
      <w:snapToGrid w:val="0"/>
      <w:spacing w:after="200"/>
      <w:ind w:left="420" w:leftChars="200"/>
      <w:jc w:val="left"/>
    </w:pPr>
    <w:rPr>
      <w:rFonts w:ascii="Tahoma" w:hAnsi="Tahoma" w:eastAsia="微软雅黑"/>
      <w:kern w:val="0"/>
      <w:sz w:val="22"/>
      <w:szCs w:val="22"/>
    </w:rPr>
  </w:style>
  <w:style w:type="paragraph" w:styleId="13">
    <w:name w:val="Normal Indent"/>
    <w:basedOn w:val="1"/>
    <w:qFormat/>
    <w:uiPriority w:val="0"/>
    <w:pPr>
      <w:widowControl/>
      <w:ind w:firstLine="420"/>
      <w:jc w:val="left"/>
    </w:pPr>
    <w:rPr>
      <w:kern w:val="0"/>
      <w:sz w:val="20"/>
      <w:szCs w:val="20"/>
    </w:rPr>
  </w:style>
  <w:style w:type="paragraph" w:styleId="14">
    <w:name w:val="Document Map"/>
    <w:basedOn w:val="1"/>
    <w:semiHidden/>
    <w:qFormat/>
    <w:uiPriority w:val="0"/>
    <w:pPr>
      <w:shd w:val="clear" w:color="auto" w:fill="000080"/>
    </w:pPr>
  </w:style>
  <w:style w:type="paragraph" w:styleId="15">
    <w:name w:val="annotation text"/>
    <w:basedOn w:val="1"/>
    <w:link w:val="255"/>
    <w:semiHidden/>
    <w:qFormat/>
    <w:uiPriority w:val="0"/>
    <w:pPr>
      <w:jc w:val="left"/>
    </w:pPr>
    <w:rPr>
      <w:rFonts w:ascii="Calibri" w:hAnsi="Calibri"/>
    </w:rPr>
  </w:style>
  <w:style w:type="paragraph" w:styleId="16">
    <w:name w:val="Salutation"/>
    <w:basedOn w:val="1"/>
    <w:next w:val="1"/>
    <w:qFormat/>
    <w:uiPriority w:val="0"/>
    <w:rPr>
      <w:rFonts w:ascii="仿宋_GB2312" w:eastAsia="仿宋_GB2312"/>
      <w:sz w:val="24"/>
    </w:rPr>
  </w:style>
  <w:style w:type="paragraph" w:styleId="17">
    <w:name w:val="Body Text 3"/>
    <w:basedOn w:val="1"/>
    <w:qFormat/>
    <w:uiPriority w:val="0"/>
    <w:pPr>
      <w:autoSpaceDE w:val="0"/>
      <w:autoSpaceDN w:val="0"/>
      <w:adjustRightInd w:val="0"/>
      <w:spacing w:line="410" w:lineRule="atLeast"/>
      <w:jc w:val="left"/>
    </w:pPr>
    <w:rPr>
      <w:rFonts w:ascii="宋体"/>
      <w:color w:val="000000"/>
      <w:kern w:val="0"/>
      <w:sz w:val="24"/>
      <w:szCs w:val="20"/>
    </w:rPr>
  </w:style>
  <w:style w:type="paragraph" w:styleId="18">
    <w:name w:val="Body Text"/>
    <w:basedOn w:val="1"/>
    <w:next w:val="19"/>
    <w:qFormat/>
    <w:uiPriority w:val="0"/>
    <w:pPr>
      <w:spacing w:after="120"/>
    </w:pPr>
  </w:style>
  <w:style w:type="paragraph" w:styleId="19">
    <w:name w:val="toc 2"/>
    <w:basedOn w:val="1"/>
    <w:next w:val="1"/>
    <w:qFormat/>
    <w:uiPriority w:val="0"/>
    <w:pPr>
      <w:ind w:left="210"/>
      <w:jc w:val="left"/>
    </w:pPr>
    <w:rPr>
      <w:smallCaps/>
      <w:sz w:val="20"/>
      <w:szCs w:val="20"/>
    </w:rPr>
  </w:style>
  <w:style w:type="paragraph" w:styleId="20">
    <w:name w:val="Body Text Indent"/>
    <w:basedOn w:val="1"/>
    <w:next w:val="21"/>
    <w:link w:val="268"/>
    <w:qFormat/>
    <w:uiPriority w:val="0"/>
    <w:pPr>
      <w:spacing w:after="120"/>
      <w:ind w:left="420" w:leftChars="200"/>
    </w:pPr>
    <w:rPr>
      <w:rFonts w:ascii="Calibri" w:hAnsi="Calibri"/>
    </w:rPr>
  </w:style>
  <w:style w:type="paragraph" w:styleId="21">
    <w:name w:val="envelope return"/>
    <w:basedOn w:val="1"/>
    <w:qFormat/>
    <w:uiPriority w:val="99"/>
    <w:pPr>
      <w:snapToGrid w:val="0"/>
    </w:pPr>
    <w:rPr>
      <w:rFonts w:ascii="Arial" w:hAnsi="Arial" w:cs="Arial"/>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299"/>
    <w:qFormat/>
    <w:uiPriority w:val="0"/>
    <w:rPr>
      <w:rFonts w:ascii="Calibri" w:hAnsi="Calibri"/>
      <w:sz w:val="24"/>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link w:val="251"/>
    <w:qFormat/>
    <w:uiPriority w:val="0"/>
    <w:rPr>
      <w:rFonts w:ascii="Calibri" w:hAnsi="Calibri"/>
      <w:sz w:val="18"/>
      <w:szCs w:val="18"/>
    </w:rPr>
  </w:style>
  <w:style w:type="paragraph" w:styleId="30">
    <w:name w:val="footer"/>
    <w:basedOn w:val="1"/>
    <w:link w:val="264"/>
    <w:qFormat/>
    <w:uiPriority w:val="0"/>
    <w:pPr>
      <w:tabs>
        <w:tab w:val="center" w:pos="4153"/>
        <w:tab w:val="right" w:pos="8306"/>
      </w:tabs>
      <w:snapToGrid w:val="0"/>
      <w:jc w:val="left"/>
    </w:pPr>
    <w:rPr>
      <w:rFonts w:ascii="Calibri" w:hAnsi="Calibri"/>
      <w:sz w:val="18"/>
      <w:szCs w:val="18"/>
    </w:rPr>
  </w:style>
  <w:style w:type="paragraph" w:styleId="31">
    <w:name w:val="header"/>
    <w:basedOn w:val="1"/>
    <w:link w:val="25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32">
    <w:name w:val="toc 1"/>
    <w:basedOn w:val="1"/>
    <w:next w:val="1"/>
    <w:semiHidden/>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List"/>
    <w:basedOn w:val="1"/>
    <w:qFormat/>
    <w:uiPriority w:val="0"/>
    <w:pPr>
      <w:ind w:left="200" w:hanging="200" w:hangingChars="200"/>
    </w:pPr>
    <w:rPr>
      <w:sz w:val="28"/>
    </w:rPr>
  </w:style>
  <w:style w:type="paragraph" w:styleId="35">
    <w:name w:val="footnote text"/>
    <w:basedOn w:val="1"/>
    <w:qFormat/>
    <w:uiPriority w:val="99"/>
  </w:style>
  <w:style w:type="paragraph" w:styleId="36">
    <w:name w:val="toc 6"/>
    <w:basedOn w:val="1"/>
    <w:next w:val="1"/>
    <w:qFormat/>
    <w:uiPriority w:val="0"/>
    <w:pPr>
      <w:ind w:left="1050"/>
      <w:jc w:val="left"/>
    </w:pPr>
    <w:rPr>
      <w:sz w:val="18"/>
      <w:szCs w:val="18"/>
    </w:rPr>
  </w:style>
  <w:style w:type="paragraph" w:styleId="37">
    <w:name w:val="Body Text Indent 3"/>
    <w:basedOn w:val="1"/>
    <w:link w:val="301"/>
    <w:qFormat/>
    <w:uiPriority w:val="0"/>
    <w:pPr>
      <w:spacing w:after="120"/>
      <w:ind w:left="420" w:leftChars="200"/>
    </w:pPr>
    <w:rPr>
      <w:rFonts w:ascii="Calibri" w:hAnsi="Calibri"/>
      <w:sz w:val="16"/>
      <w:szCs w:val="16"/>
    </w:rPr>
  </w:style>
  <w:style w:type="paragraph" w:styleId="38">
    <w:name w:val="toc 9"/>
    <w:basedOn w:val="1"/>
    <w:next w:val="1"/>
    <w:qFormat/>
    <w:uiPriority w:val="0"/>
    <w:pPr>
      <w:ind w:left="1680"/>
      <w:jc w:val="left"/>
    </w:pPr>
    <w:rPr>
      <w:sz w:val="18"/>
      <w:szCs w:val="18"/>
    </w:rPr>
  </w:style>
  <w:style w:type="paragraph" w:styleId="39">
    <w:name w:val="Body Text 2"/>
    <w:basedOn w:val="1"/>
    <w:qFormat/>
    <w:uiPriority w:val="0"/>
    <w:pPr>
      <w:spacing w:after="120" w:line="480" w:lineRule="auto"/>
    </w:pPr>
  </w:style>
  <w:style w:type="paragraph" w:styleId="40">
    <w:name w:val="HTML Preformatted"/>
    <w:basedOn w:val="1"/>
    <w:link w:val="27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256"/>
    <w:qFormat/>
    <w:uiPriority w:val="0"/>
    <w:pPr>
      <w:spacing w:before="240" w:after="60"/>
      <w:jc w:val="center"/>
      <w:outlineLvl w:val="0"/>
    </w:pPr>
    <w:rPr>
      <w:rFonts w:ascii="Cambria" w:hAnsi="Cambria"/>
      <w:b/>
      <w:sz w:val="32"/>
    </w:rPr>
  </w:style>
  <w:style w:type="paragraph" w:styleId="44">
    <w:name w:val="annotation subject"/>
    <w:basedOn w:val="15"/>
    <w:next w:val="15"/>
    <w:link w:val="316"/>
    <w:qFormat/>
    <w:uiPriority w:val="0"/>
    <w:rPr>
      <w:b/>
      <w:bCs/>
    </w:rPr>
  </w:style>
  <w:style w:type="paragraph" w:styleId="45">
    <w:name w:val="Body Text First Indent"/>
    <w:basedOn w:val="18"/>
    <w:next w:val="1"/>
    <w:unhideWhenUsed/>
    <w:qFormat/>
    <w:uiPriority w:val="99"/>
    <w:pPr>
      <w:ind w:firstLine="420" w:firstLineChars="100"/>
    </w:pPr>
  </w:style>
  <w:style w:type="paragraph" w:styleId="46">
    <w:name w:val="Body Text First Indent 2"/>
    <w:basedOn w:val="20"/>
    <w:unhideWhenUsed/>
    <w:qFormat/>
    <w:uiPriority w:val="99"/>
    <w:pPr>
      <w:ind w:firstLine="420" w:firstLineChars="2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0"/>
    <w:rPr>
      <w:rFonts w:ascii="Times New Roman" w:hAnsi="Times New Roman" w:eastAsia="宋体" w:cs="Times New Roman"/>
      <w:b/>
      <w:bCs/>
    </w:rPr>
  </w:style>
  <w:style w:type="character" w:styleId="51">
    <w:name w:val="page number"/>
    <w:basedOn w:val="49"/>
    <w:qFormat/>
    <w:uiPriority w:val="0"/>
    <w:rPr>
      <w:rFonts w:ascii="宋体" w:hAnsi="宋体" w:eastAsia="宋体" w:cs="宋体"/>
      <w:sz w:val="24"/>
    </w:rPr>
  </w:style>
  <w:style w:type="character" w:styleId="52">
    <w:name w:val="FollowedHyperlink"/>
    <w:qFormat/>
    <w:uiPriority w:val="0"/>
    <w:rPr>
      <w:rFonts w:ascii="Times New Roman" w:hAnsi="Times New Roman" w:eastAsia="宋体" w:cs="Times New Roman"/>
      <w:color w:val="800080"/>
      <w:u w:val="single"/>
    </w:rPr>
  </w:style>
  <w:style w:type="character" w:styleId="53">
    <w:name w:val="Emphasis"/>
    <w:qFormat/>
    <w:uiPriority w:val="0"/>
    <w:rPr>
      <w:rFonts w:ascii="Times New Roman" w:hAnsi="Times New Roman" w:eastAsia="宋体" w:cs="Times New Roman"/>
    </w:rPr>
  </w:style>
  <w:style w:type="character" w:styleId="54">
    <w:name w:val="HTML Definition"/>
    <w:qFormat/>
    <w:uiPriority w:val="0"/>
    <w:rPr>
      <w:rFonts w:ascii="Times New Roman" w:hAnsi="Times New Roman" w:eastAsia="宋体" w:cs="Times New Roman"/>
    </w:rPr>
  </w:style>
  <w:style w:type="character" w:styleId="55">
    <w:name w:val="HTML Variable"/>
    <w:qFormat/>
    <w:uiPriority w:val="0"/>
    <w:rPr>
      <w:rFonts w:ascii="Times New Roman" w:hAnsi="Times New Roman" w:eastAsia="宋体" w:cs="Times New Roman"/>
    </w:rPr>
  </w:style>
  <w:style w:type="character" w:styleId="56">
    <w:name w:val="Hyperlink"/>
    <w:basedOn w:val="49"/>
    <w:qFormat/>
    <w:uiPriority w:val="99"/>
    <w:rPr>
      <w:rFonts w:ascii="Times New Roman" w:hAnsi="Times New Roman" w:eastAsia="宋体" w:cs="Times New Roman"/>
      <w:color w:val="136EC2"/>
      <w:u w:val="single"/>
    </w:rPr>
  </w:style>
  <w:style w:type="character" w:styleId="57">
    <w:name w:val="HTML Code"/>
    <w:qFormat/>
    <w:uiPriority w:val="0"/>
    <w:rPr>
      <w:rFonts w:ascii="Courier New" w:hAnsi="Courier New" w:eastAsia="Courier New" w:cs="Courier New"/>
      <w:sz w:val="20"/>
    </w:rPr>
  </w:style>
  <w:style w:type="character" w:styleId="58">
    <w:name w:val="annotation reference"/>
    <w:qFormat/>
    <w:uiPriority w:val="0"/>
    <w:rPr>
      <w:rFonts w:ascii="Times New Roman" w:hAnsi="Times New Roman" w:eastAsia="宋体" w:cs="Times New Roman"/>
      <w:sz w:val="21"/>
      <w:szCs w:val="21"/>
    </w:rPr>
  </w:style>
  <w:style w:type="character" w:styleId="59">
    <w:name w:val="HTML Cite"/>
    <w:qFormat/>
    <w:uiPriority w:val="0"/>
    <w:rPr>
      <w:rFonts w:ascii="Times New Roman" w:hAnsi="Times New Roman" w:eastAsia="宋体" w:cs="Times New Roman"/>
    </w:rPr>
  </w:style>
  <w:style w:type="character" w:styleId="60">
    <w:name w:val="HTML Keyboard"/>
    <w:qFormat/>
    <w:uiPriority w:val="0"/>
    <w:rPr>
      <w:rFonts w:ascii="Courier New" w:hAnsi="Courier New" w:eastAsia="Courier New" w:cs="Courier New"/>
      <w:sz w:val="20"/>
    </w:rPr>
  </w:style>
  <w:style w:type="character" w:styleId="61">
    <w:name w:val="HTML Sample"/>
    <w:qFormat/>
    <w:uiPriority w:val="0"/>
    <w:rPr>
      <w:rFonts w:ascii="Courier New" w:hAnsi="Courier New" w:eastAsia="Courier New" w:cs="Courier New"/>
    </w:rPr>
  </w:style>
  <w:style w:type="paragraph" w:customStyle="1" w:styleId="62">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63">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64">
    <w:name w:val="Style8"/>
    <w:basedOn w:val="1"/>
    <w:unhideWhenUsed/>
    <w:qFormat/>
    <w:uiPriority w:val="0"/>
    <w:pPr>
      <w:spacing w:line="566" w:lineRule="exact"/>
      <w:jc w:val="center"/>
    </w:pPr>
  </w:style>
  <w:style w:type="paragraph" w:customStyle="1" w:styleId="65">
    <w:name w:val="xl9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color w:val="FF0000"/>
      <w:kern w:val="0"/>
      <w:sz w:val="14"/>
      <w:szCs w:val="14"/>
    </w:rPr>
  </w:style>
  <w:style w:type="paragraph" w:customStyle="1" w:styleId="66">
    <w:name w:val="Style74"/>
    <w:basedOn w:val="1"/>
    <w:unhideWhenUsed/>
    <w:qFormat/>
    <w:uiPriority w:val="0"/>
    <w:pPr>
      <w:spacing w:line="437" w:lineRule="exact"/>
    </w:pPr>
  </w:style>
  <w:style w:type="paragraph" w:customStyle="1" w:styleId="67">
    <w:name w:val="Style52"/>
    <w:basedOn w:val="1"/>
    <w:unhideWhenUsed/>
    <w:qFormat/>
    <w:uiPriority w:val="0"/>
    <w:pPr>
      <w:spacing w:line="682" w:lineRule="exact"/>
      <w:ind w:firstLine="557"/>
    </w:pPr>
  </w:style>
  <w:style w:type="paragraph" w:customStyle="1" w:styleId="68">
    <w:name w:val="_Style 39"/>
    <w:basedOn w:val="69"/>
    <w:qFormat/>
    <w:uiPriority w:val="0"/>
  </w:style>
  <w:style w:type="paragraph" w:customStyle="1" w:styleId="6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标题2"/>
    <w:basedOn w:val="43"/>
    <w:qFormat/>
    <w:uiPriority w:val="0"/>
    <w:pPr>
      <w:spacing w:after="240"/>
      <w:jc w:val="left"/>
    </w:pPr>
    <w:rPr>
      <w:sz w:val="30"/>
    </w:rPr>
  </w:style>
  <w:style w:type="paragraph" w:customStyle="1" w:styleId="71">
    <w:name w:val="Style44"/>
    <w:basedOn w:val="1"/>
    <w:unhideWhenUsed/>
    <w:qFormat/>
    <w:uiPriority w:val="0"/>
  </w:style>
  <w:style w:type="paragraph" w:customStyle="1" w:styleId="72">
    <w:name w:val="Style56"/>
    <w:basedOn w:val="1"/>
    <w:unhideWhenUsed/>
    <w:qFormat/>
    <w:uiPriority w:val="0"/>
  </w:style>
  <w:style w:type="paragraph" w:customStyle="1" w:styleId="73">
    <w:name w:val="Char1 Char Char Char"/>
    <w:basedOn w:val="1"/>
    <w:qFormat/>
    <w:uiPriority w:val="0"/>
    <w:pPr>
      <w:widowControl/>
      <w:spacing w:after="160" w:line="240" w:lineRule="exact"/>
      <w:jc w:val="left"/>
    </w:pPr>
    <w:rPr>
      <w:kern w:val="0"/>
      <w:sz w:val="24"/>
      <w:szCs w:val="20"/>
    </w:rPr>
  </w:style>
  <w:style w:type="paragraph" w:customStyle="1" w:styleId="74">
    <w:name w:val="默认段落字体 Para Char Char Char Char Char Char Char"/>
    <w:basedOn w:val="1"/>
    <w:qFormat/>
    <w:uiPriority w:val="0"/>
    <w:pPr>
      <w:adjustRightInd w:val="0"/>
      <w:spacing w:line="360" w:lineRule="atLeast"/>
      <w:jc w:val="left"/>
      <w:textAlignment w:val="baseline"/>
    </w:pPr>
    <w:rPr>
      <w:kern w:val="0"/>
      <w:sz w:val="24"/>
      <w:szCs w:val="20"/>
    </w:rPr>
  </w:style>
  <w:style w:type="paragraph" w:customStyle="1" w:styleId="75">
    <w:name w:val="表名称"/>
    <w:basedOn w:val="13"/>
    <w:qFormat/>
    <w:uiPriority w:val="0"/>
    <w:pPr>
      <w:numPr>
        <w:ilvl w:val="0"/>
        <w:numId w:val="1"/>
      </w:numPr>
      <w:ind w:firstLine="0"/>
      <w:jc w:val="center"/>
    </w:pPr>
  </w:style>
  <w:style w:type="paragraph" w:customStyle="1" w:styleId="76">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77">
    <w:name w:val="Char1 Char Char Char 字元 Char Char 字元 Char 字元 Char1 Char Char Char"/>
    <w:basedOn w:val="1"/>
    <w:qFormat/>
    <w:uiPriority w:val="0"/>
    <w:rPr>
      <w:szCs w:val="20"/>
    </w:rPr>
  </w:style>
  <w:style w:type="paragraph" w:customStyle="1" w:styleId="78">
    <w:name w:val="Style13"/>
    <w:basedOn w:val="1"/>
    <w:unhideWhenUsed/>
    <w:qFormat/>
    <w:uiPriority w:val="0"/>
  </w:style>
  <w:style w:type="paragraph" w:customStyle="1" w:styleId="79">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b/>
      <w:bCs/>
      <w:kern w:val="0"/>
      <w:sz w:val="14"/>
      <w:szCs w:val="14"/>
    </w:rPr>
  </w:style>
  <w:style w:type="paragraph" w:customStyle="1" w:styleId="80">
    <w:name w:val="Style69"/>
    <w:basedOn w:val="1"/>
    <w:unhideWhenUsed/>
    <w:qFormat/>
    <w:uiPriority w:val="0"/>
    <w:pPr>
      <w:spacing w:line="557" w:lineRule="exact"/>
      <w:ind w:firstLine="1666"/>
    </w:pPr>
  </w:style>
  <w:style w:type="paragraph" w:customStyle="1" w:styleId="81">
    <w:name w:val="Style10"/>
    <w:basedOn w:val="1"/>
    <w:unhideWhenUsed/>
    <w:qFormat/>
    <w:uiPriority w:val="0"/>
    <w:pPr>
      <w:spacing w:line="538" w:lineRule="exact"/>
    </w:pPr>
  </w:style>
  <w:style w:type="paragraph" w:customStyle="1" w:styleId="82">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83">
    <w:name w:val="xl7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kern w:val="0"/>
      <w:sz w:val="14"/>
      <w:szCs w:val="14"/>
    </w:rPr>
  </w:style>
  <w:style w:type="paragraph" w:customStyle="1" w:styleId="84">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 w:hAnsi="仿宋" w:eastAsia="仿宋" w:cs="宋体"/>
      <w:kern w:val="0"/>
      <w:sz w:val="14"/>
      <w:szCs w:val="14"/>
    </w:rPr>
  </w:style>
  <w:style w:type="paragraph" w:customStyle="1" w:styleId="85">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6">
    <w:name w:val="1 Char Char Char Char"/>
    <w:basedOn w:val="1"/>
    <w:qFormat/>
    <w:uiPriority w:val="0"/>
  </w:style>
  <w:style w:type="paragraph" w:customStyle="1" w:styleId="87">
    <w:name w:val="默认段落字体 Para Char Char Char Char Char Char Char Char Char Char Char Char Char Char Char Char Char Char Char"/>
    <w:basedOn w:val="1"/>
    <w:qFormat/>
    <w:uiPriority w:val="0"/>
  </w:style>
  <w:style w:type="paragraph" w:customStyle="1" w:styleId="88">
    <w:name w:val="Style64"/>
    <w:basedOn w:val="1"/>
    <w:unhideWhenUsed/>
    <w:qFormat/>
    <w:uiPriority w:val="0"/>
  </w:style>
  <w:style w:type="paragraph" w:customStyle="1" w:styleId="89">
    <w:name w:val="附录标识"/>
    <w:basedOn w:val="62"/>
    <w:qFormat/>
    <w:uiPriority w:val="0"/>
    <w:pPr>
      <w:tabs>
        <w:tab w:val="left" w:pos="6405"/>
      </w:tabs>
      <w:spacing w:after="200"/>
    </w:pPr>
    <w:rPr>
      <w:sz w:val="21"/>
    </w:rPr>
  </w:style>
  <w:style w:type="paragraph" w:customStyle="1" w:styleId="90">
    <w:name w:val="Style60"/>
    <w:basedOn w:val="1"/>
    <w:unhideWhenUsed/>
    <w:qFormat/>
    <w:uiPriority w:val="0"/>
    <w:pPr>
      <w:spacing w:line="566" w:lineRule="exact"/>
    </w:pPr>
  </w:style>
  <w:style w:type="paragraph" w:customStyle="1" w:styleId="91">
    <w:name w:val="Style67"/>
    <w:basedOn w:val="1"/>
    <w:unhideWhenUsed/>
    <w:qFormat/>
    <w:uiPriority w:val="0"/>
    <w:pPr>
      <w:spacing w:line="566" w:lineRule="exact"/>
      <w:ind w:firstLine="552"/>
    </w:pPr>
  </w:style>
  <w:style w:type="paragraph" w:customStyle="1" w:styleId="92">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3">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94">
    <w:name w:val="xl7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黑体" w:hAnsi="黑体" w:eastAsia="黑体" w:cs="宋体"/>
      <w:kern w:val="0"/>
      <w:sz w:val="18"/>
      <w:szCs w:val="18"/>
    </w:rPr>
  </w:style>
  <w:style w:type="paragraph" w:customStyle="1" w:styleId="95">
    <w:name w:val="正文_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Char Char1 Char Char Char"/>
    <w:basedOn w:val="1"/>
    <w:qFormat/>
    <w:uiPriority w:val="0"/>
    <w:rPr>
      <w:kern w:val="0"/>
      <w:sz w:val="20"/>
      <w:szCs w:val="20"/>
    </w:rPr>
  </w:style>
  <w:style w:type="paragraph" w:customStyle="1" w:styleId="97">
    <w:name w:val="4号正文"/>
    <w:basedOn w:val="1"/>
    <w:qFormat/>
    <w:uiPriority w:val="0"/>
    <w:pPr>
      <w:spacing w:after="120"/>
      <w:ind w:firstLine="555" w:firstLineChars="196"/>
    </w:pPr>
    <w:rPr>
      <w:rFonts w:ascii="仿宋_GB2312" w:hAnsi="华文细黑" w:eastAsia="仿宋_GB2312"/>
      <w:spacing w:val="10"/>
      <w:sz w:val="28"/>
      <w:szCs w:val="20"/>
    </w:rPr>
  </w:style>
  <w:style w:type="paragraph" w:customStyle="1" w:styleId="98">
    <w:name w:val="索引 11"/>
    <w:basedOn w:val="1"/>
    <w:next w:val="1"/>
    <w:qFormat/>
    <w:uiPriority w:val="0"/>
    <w:pPr>
      <w:spacing w:line="360" w:lineRule="auto"/>
    </w:pPr>
    <w:rPr>
      <w:rFonts w:ascii="仿宋_GB2312" w:eastAsia="仿宋_GB2312"/>
      <w:sz w:val="24"/>
      <w:szCs w:val="20"/>
    </w:rPr>
  </w:style>
  <w:style w:type="paragraph" w:customStyle="1" w:styleId="99">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kern w:val="0"/>
      <w:sz w:val="14"/>
      <w:szCs w:val="14"/>
    </w:rPr>
  </w:style>
  <w:style w:type="paragraph" w:customStyle="1" w:styleId="100">
    <w:name w:val="xl9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黑体" w:hAnsi="黑体" w:eastAsia="黑体" w:cs="宋体"/>
      <w:b/>
      <w:bCs/>
      <w:kern w:val="0"/>
      <w:sz w:val="18"/>
      <w:szCs w:val="18"/>
    </w:rPr>
  </w:style>
  <w:style w:type="paragraph" w:customStyle="1" w:styleId="101">
    <w:name w:val="表格内容"/>
    <w:basedOn w:val="18"/>
    <w:qFormat/>
    <w:uiPriority w:val="0"/>
    <w:pPr>
      <w:suppressLineNumbers/>
      <w:suppressAutoHyphens/>
      <w:jc w:val="left"/>
    </w:pPr>
    <w:rPr>
      <w:rFonts w:cs="Tahoma"/>
      <w:kern w:val="0"/>
      <w:sz w:val="24"/>
    </w:rPr>
  </w:style>
  <w:style w:type="paragraph" w:customStyle="1" w:styleId="102">
    <w:name w:val="Style54"/>
    <w:basedOn w:val="1"/>
    <w:unhideWhenUsed/>
    <w:qFormat/>
    <w:uiPriority w:val="0"/>
  </w:style>
  <w:style w:type="paragraph" w:customStyle="1" w:styleId="103">
    <w:name w:val="Blockquote"/>
    <w:basedOn w:val="1"/>
    <w:qFormat/>
    <w:uiPriority w:val="0"/>
    <w:pPr>
      <w:autoSpaceDE w:val="0"/>
      <w:autoSpaceDN w:val="0"/>
      <w:adjustRightInd w:val="0"/>
      <w:spacing w:before="100" w:after="100"/>
      <w:ind w:left="360" w:right="360"/>
      <w:jc w:val="left"/>
    </w:pPr>
    <w:rPr>
      <w:kern w:val="0"/>
      <w:sz w:val="24"/>
      <w:szCs w:val="20"/>
    </w:rPr>
  </w:style>
  <w:style w:type="paragraph" w:styleId="104">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5">
    <w:name w:val="Style11"/>
    <w:basedOn w:val="1"/>
    <w:unhideWhenUsed/>
    <w:qFormat/>
    <w:uiPriority w:val="0"/>
    <w:pPr>
      <w:spacing w:line="559" w:lineRule="exact"/>
      <w:ind w:firstLine="590"/>
    </w:pPr>
  </w:style>
  <w:style w:type="paragraph" w:customStyle="1" w:styleId="106">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107">
    <w:name w:val="xl9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 w:hAnsi="仿宋" w:eastAsia="仿宋" w:cs="宋体"/>
      <w:kern w:val="0"/>
      <w:sz w:val="14"/>
      <w:szCs w:val="14"/>
    </w:rPr>
  </w:style>
  <w:style w:type="paragraph" w:customStyle="1" w:styleId="108">
    <w:name w:val="Style48"/>
    <w:basedOn w:val="1"/>
    <w:unhideWhenUsed/>
    <w:qFormat/>
    <w:uiPriority w:val="0"/>
    <w:pPr>
      <w:spacing w:line="542" w:lineRule="exact"/>
      <w:jc w:val="right"/>
    </w:pPr>
  </w:style>
  <w:style w:type="paragraph" w:customStyle="1" w:styleId="109">
    <w:name w:val="xl9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b/>
      <w:bCs/>
      <w:kern w:val="0"/>
      <w:sz w:val="18"/>
      <w:szCs w:val="18"/>
    </w:rPr>
  </w:style>
  <w:style w:type="paragraph" w:customStyle="1" w:styleId="110">
    <w:name w:val="Char Char1 Char Char Char Char Char1 Char Char Char Char"/>
    <w:basedOn w:val="14"/>
    <w:qFormat/>
    <w:uiPriority w:val="0"/>
    <w:rPr>
      <w:rFonts w:ascii="Tahoma" w:hAnsi="Tahoma"/>
    </w:rPr>
  </w:style>
  <w:style w:type="paragraph" w:customStyle="1" w:styleId="111">
    <w:name w:val="Style80"/>
    <w:basedOn w:val="1"/>
    <w:unhideWhenUsed/>
    <w:qFormat/>
    <w:uiPriority w:val="0"/>
  </w:style>
  <w:style w:type="paragraph" w:customStyle="1" w:styleId="112">
    <w:name w:val="Style71"/>
    <w:basedOn w:val="1"/>
    <w:unhideWhenUsed/>
    <w:qFormat/>
    <w:uiPriority w:val="0"/>
    <w:pPr>
      <w:spacing w:line="538" w:lineRule="exact"/>
      <w:ind w:firstLine="101"/>
    </w:pPr>
  </w:style>
  <w:style w:type="paragraph" w:customStyle="1" w:styleId="113">
    <w:name w:val="默认段落字体 Para Char Char Char Char Char Char Char Char Char1 Char Char Char Char"/>
    <w:basedOn w:val="1"/>
    <w:qFormat/>
    <w:uiPriority w:val="0"/>
    <w:rPr>
      <w:rFonts w:ascii="Tahoma" w:hAnsi="Tahoma"/>
      <w:sz w:val="24"/>
      <w:szCs w:val="20"/>
    </w:rPr>
  </w:style>
  <w:style w:type="paragraph" w:customStyle="1" w:styleId="114">
    <w:name w:val="Style34"/>
    <w:basedOn w:val="1"/>
    <w:unhideWhenUsed/>
    <w:qFormat/>
    <w:uiPriority w:val="0"/>
    <w:pPr>
      <w:spacing w:line="375" w:lineRule="exact"/>
    </w:pPr>
  </w:style>
  <w:style w:type="paragraph" w:customStyle="1" w:styleId="115">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Style5"/>
    <w:basedOn w:val="1"/>
    <w:unhideWhenUsed/>
    <w:qFormat/>
    <w:uiPriority w:val="0"/>
  </w:style>
  <w:style w:type="paragraph" w:customStyle="1" w:styleId="11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8">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 w:hAnsi="仿宋" w:eastAsia="仿宋" w:cs="宋体"/>
      <w:kern w:val="0"/>
      <w:sz w:val="14"/>
      <w:szCs w:val="14"/>
    </w:rPr>
  </w:style>
  <w:style w:type="paragraph" w:customStyle="1" w:styleId="119">
    <w:name w:val="xl8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黑体" w:hAnsi="黑体" w:eastAsia="黑体" w:cs="宋体"/>
      <w:color w:val="FF0000"/>
      <w:kern w:val="0"/>
      <w:sz w:val="18"/>
      <w:szCs w:val="18"/>
    </w:rPr>
  </w:style>
  <w:style w:type="paragraph" w:customStyle="1" w:styleId="120">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1">
    <w:name w:val="xl7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b/>
      <w:bCs/>
      <w:kern w:val="0"/>
      <w:sz w:val="18"/>
      <w:szCs w:val="18"/>
    </w:rPr>
  </w:style>
  <w:style w:type="paragraph" w:customStyle="1" w:styleId="122">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3">
    <w:name w:val="xl8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黑体" w:hAnsi="黑体" w:eastAsia="黑体" w:cs="宋体"/>
      <w:b/>
      <w:bCs/>
      <w:kern w:val="0"/>
      <w:sz w:val="18"/>
      <w:szCs w:val="18"/>
    </w:rPr>
  </w:style>
  <w:style w:type="paragraph" w:customStyle="1" w:styleId="124">
    <w:name w:val="Style4"/>
    <w:basedOn w:val="1"/>
    <w:unhideWhenUsed/>
    <w:qFormat/>
    <w:uiPriority w:val="0"/>
  </w:style>
  <w:style w:type="paragraph" w:customStyle="1" w:styleId="125">
    <w:name w:val="xl9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 w:hAnsi="仿宋" w:eastAsia="仿宋" w:cs="宋体"/>
      <w:kern w:val="0"/>
      <w:sz w:val="14"/>
      <w:szCs w:val="14"/>
    </w:rPr>
  </w:style>
  <w:style w:type="paragraph" w:customStyle="1" w:styleId="126">
    <w:name w:val="NO3"/>
    <w:basedOn w:val="1"/>
    <w:qFormat/>
    <w:uiPriority w:val="0"/>
    <w:pPr>
      <w:tabs>
        <w:tab w:val="left" w:pos="907"/>
      </w:tabs>
      <w:spacing w:line="360" w:lineRule="auto"/>
    </w:pPr>
    <w:rPr>
      <w:rFonts w:ascii="宋体" w:hAnsi="宋体"/>
      <w:sz w:val="24"/>
    </w:rPr>
  </w:style>
  <w:style w:type="paragraph" w:customStyle="1" w:styleId="127">
    <w:name w:val="列出段落1"/>
    <w:basedOn w:val="1"/>
    <w:qFormat/>
    <w:uiPriority w:val="99"/>
    <w:pPr>
      <w:widowControl/>
      <w:adjustRightInd w:val="0"/>
      <w:snapToGrid w:val="0"/>
      <w:spacing w:after="200"/>
      <w:ind w:firstLine="420" w:firstLineChars="200"/>
      <w:jc w:val="left"/>
    </w:pPr>
    <w:rPr>
      <w:rFonts w:ascii="Tahoma" w:hAnsi="Tahoma" w:eastAsia="微软雅黑" w:cs="Tahoma"/>
      <w:kern w:val="0"/>
      <w:sz w:val="22"/>
      <w:szCs w:val="22"/>
    </w:rPr>
  </w:style>
  <w:style w:type="paragraph" w:customStyle="1" w:styleId="128">
    <w:name w:val="xl7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kern w:val="0"/>
      <w:sz w:val="18"/>
      <w:szCs w:val="18"/>
    </w:rPr>
  </w:style>
  <w:style w:type="paragraph" w:customStyle="1" w:styleId="129">
    <w:name w:val="Style41"/>
    <w:basedOn w:val="1"/>
    <w:unhideWhenUsed/>
    <w:qFormat/>
    <w:uiPriority w:val="0"/>
    <w:pPr>
      <w:spacing w:line="542" w:lineRule="exact"/>
      <w:ind w:firstLine="125"/>
    </w:pPr>
  </w:style>
  <w:style w:type="paragraph" w:customStyle="1" w:styleId="130">
    <w:name w:val="1"/>
    <w:basedOn w:val="1"/>
    <w:qFormat/>
    <w:uiPriority w:val="0"/>
    <w:pPr>
      <w:spacing w:after="156" w:afterLines="50" w:line="360" w:lineRule="auto"/>
    </w:pPr>
    <w:rPr>
      <w:rFonts w:ascii="宋体" w:hAnsi="宋体"/>
      <w:b/>
      <w:sz w:val="30"/>
      <w:szCs w:val="21"/>
    </w:rPr>
  </w:style>
  <w:style w:type="paragraph" w:customStyle="1" w:styleId="131">
    <w:name w:val="Style53"/>
    <w:basedOn w:val="1"/>
    <w:unhideWhenUsed/>
    <w:qFormat/>
    <w:uiPriority w:val="0"/>
    <w:pPr>
      <w:spacing w:line="533" w:lineRule="exact"/>
      <w:ind w:firstLine="581"/>
    </w:pPr>
  </w:style>
  <w:style w:type="paragraph" w:customStyle="1" w:styleId="132">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133">
    <w:name w:val="Char1 Char Char Char Char Char Char Char Char Char"/>
    <w:basedOn w:val="1"/>
    <w:qFormat/>
    <w:uiPriority w:val="0"/>
    <w:rPr>
      <w:szCs w:val="20"/>
    </w:rPr>
  </w:style>
  <w:style w:type="paragraph" w:customStyle="1" w:styleId="134">
    <w:name w:val="xl8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 w:hAnsi="仿宋" w:eastAsia="仿宋" w:cs="宋体"/>
      <w:color w:val="FF0000"/>
      <w:kern w:val="0"/>
      <w:sz w:val="14"/>
      <w:szCs w:val="14"/>
    </w:rPr>
  </w:style>
  <w:style w:type="paragraph" w:customStyle="1" w:styleId="135">
    <w:name w:val="Style46"/>
    <w:basedOn w:val="1"/>
    <w:unhideWhenUsed/>
    <w:qFormat/>
    <w:uiPriority w:val="0"/>
    <w:pPr>
      <w:spacing w:line="672" w:lineRule="exact"/>
    </w:pPr>
  </w:style>
  <w:style w:type="paragraph" w:customStyle="1" w:styleId="136">
    <w:name w:val="我的正文"/>
    <w:basedOn w:val="1"/>
    <w:link w:val="243"/>
    <w:qFormat/>
    <w:uiPriority w:val="0"/>
    <w:pPr>
      <w:spacing w:line="480" w:lineRule="exact"/>
      <w:ind w:firstLine="200" w:firstLineChars="200"/>
    </w:pPr>
    <w:rPr>
      <w:rFonts w:ascii="Arial" w:hAnsi="Arial" w:eastAsia="微软雅黑"/>
      <w:kern w:val="0"/>
      <w:sz w:val="24"/>
    </w:rPr>
  </w:style>
  <w:style w:type="paragraph" w:customStyle="1" w:styleId="137">
    <w:name w:val="纯文本1"/>
    <w:basedOn w:val="1"/>
    <w:link w:val="323"/>
    <w:qFormat/>
    <w:uiPriority w:val="0"/>
    <w:rPr>
      <w:rFonts w:ascii="宋体" w:hAnsi="Courier New" w:eastAsia="微软雅黑"/>
      <w:kern w:val="0"/>
      <w:sz w:val="20"/>
      <w:szCs w:val="20"/>
    </w:rPr>
  </w:style>
  <w:style w:type="paragraph" w:customStyle="1" w:styleId="138">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
    <w:name w:val="Char Char Char1 Char Char Char Char Char Char Char"/>
    <w:basedOn w:val="1"/>
    <w:qFormat/>
    <w:uiPriority w:val="0"/>
    <w:pPr>
      <w:spacing w:line="360" w:lineRule="auto"/>
    </w:pPr>
    <w:rPr>
      <w:rFonts w:ascii="宋体" w:hAnsi="宋体" w:cs="宋体"/>
      <w:sz w:val="24"/>
    </w:rPr>
  </w:style>
  <w:style w:type="paragraph" w:customStyle="1" w:styleId="140">
    <w:name w:val="p18_1_2"/>
    <w:basedOn w:val="1"/>
    <w:qFormat/>
    <w:uiPriority w:val="0"/>
    <w:pPr>
      <w:widowControl/>
    </w:pPr>
    <w:rPr>
      <w:kern w:val="0"/>
      <w:szCs w:val="21"/>
    </w:rPr>
  </w:style>
  <w:style w:type="paragraph" w:customStyle="1" w:styleId="14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42">
    <w:name w:val="Style81"/>
    <w:basedOn w:val="1"/>
    <w:unhideWhenUsed/>
    <w:qFormat/>
    <w:uiPriority w:val="0"/>
    <w:pPr>
      <w:spacing w:line="547" w:lineRule="exact"/>
    </w:pPr>
  </w:style>
  <w:style w:type="paragraph" w:customStyle="1" w:styleId="143">
    <w:name w:val="xl9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kern w:val="0"/>
      <w:sz w:val="14"/>
      <w:szCs w:val="14"/>
    </w:rPr>
  </w:style>
  <w:style w:type="paragraph" w:customStyle="1" w:styleId="14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5">
    <w:name w:val="p16"/>
    <w:basedOn w:val="1"/>
    <w:qFormat/>
    <w:uiPriority w:val="0"/>
    <w:pPr>
      <w:widowControl/>
      <w:jc w:val="left"/>
    </w:pPr>
    <w:rPr>
      <w:kern w:val="0"/>
      <w:szCs w:val="21"/>
    </w:rPr>
  </w:style>
  <w:style w:type="paragraph" w:customStyle="1" w:styleId="146">
    <w:name w:val="标题 1 +"/>
    <w:basedOn w:val="3"/>
    <w:next w:val="1"/>
    <w:qFormat/>
    <w:uiPriority w:val="0"/>
    <w:pPr>
      <w:keepLines/>
      <w:spacing w:line="600" w:lineRule="auto"/>
    </w:pPr>
    <w:rPr>
      <w:rFonts w:eastAsia="黑体"/>
      <w:kern w:val="0"/>
      <w:sz w:val="32"/>
      <w:szCs w:val="32"/>
    </w:rPr>
  </w:style>
  <w:style w:type="paragraph" w:customStyle="1" w:styleId="147">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48">
    <w:name w:val="Style45"/>
    <w:basedOn w:val="1"/>
    <w:unhideWhenUsed/>
    <w:qFormat/>
    <w:uiPriority w:val="0"/>
  </w:style>
  <w:style w:type="paragraph" w:customStyle="1" w:styleId="149">
    <w:name w:val="Style77"/>
    <w:basedOn w:val="1"/>
    <w:unhideWhenUsed/>
    <w:qFormat/>
    <w:uiPriority w:val="0"/>
  </w:style>
  <w:style w:type="paragraph" w:customStyle="1" w:styleId="15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51">
    <w:name w:val="正文1"/>
    <w:basedOn w:val="1"/>
    <w:qFormat/>
    <w:uiPriority w:val="0"/>
    <w:pPr>
      <w:numPr>
        <w:ilvl w:val="0"/>
        <w:numId w:val="2"/>
      </w:numPr>
      <w:tabs>
        <w:tab w:val="left" w:pos="2220"/>
      </w:tabs>
      <w:spacing w:line="360" w:lineRule="auto"/>
    </w:pPr>
    <w:rPr>
      <w:rFonts w:ascii="宋体" w:hAnsi="宋体"/>
    </w:rPr>
  </w:style>
  <w:style w:type="paragraph" w:customStyle="1" w:styleId="152">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153">
    <w:name w:val="Style26"/>
    <w:basedOn w:val="1"/>
    <w:unhideWhenUsed/>
    <w:qFormat/>
    <w:uiPriority w:val="0"/>
  </w:style>
  <w:style w:type="paragraph" w:customStyle="1" w:styleId="154">
    <w:name w:val="xl8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黑体" w:hAnsi="黑体" w:eastAsia="黑体" w:cs="宋体"/>
      <w:kern w:val="0"/>
      <w:sz w:val="18"/>
      <w:szCs w:val="18"/>
    </w:rPr>
  </w:style>
  <w:style w:type="paragraph" w:customStyle="1" w:styleId="155">
    <w:name w:val="Style63"/>
    <w:basedOn w:val="1"/>
    <w:unhideWhenUsed/>
    <w:qFormat/>
    <w:uiPriority w:val="0"/>
    <w:pPr>
      <w:spacing w:line="564" w:lineRule="exact"/>
      <w:ind w:firstLine="682"/>
    </w:pPr>
  </w:style>
  <w:style w:type="paragraph" w:customStyle="1" w:styleId="156">
    <w:name w:val="Style27"/>
    <w:basedOn w:val="1"/>
    <w:unhideWhenUsed/>
    <w:qFormat/>
    <w:uiPriority w:val="0"/>
  </w:style>
  <w:style w:type="paragraph" w:customStyle="1" w:styleId="157">
    <w:name w:val="Char"/>
    <w:basedOn w:val="1"/>
    <w:qFormat/>
    <w:uiPriority w:val="0"/>
    <w:pPr>
      <w:tabs>
        <w:tab w:val="left" w:pos="360"/>
      </w:tabs>
      <w:ind w:left="360" w:hanging="360" w:hangingChars="200"/>
    </w:pPr>
    <w:rPr>
      <w:sz w:val="24"/>
    </w:rPr>
  </w:style>
  <w:style w:type="paragraph" w:customStyle="1" w:styleId="158">
    <w:name w:val="Style29"/>
    <w:basedOn w:val="1"/>
    <w:unhideWhenUsed/>
    <w:qFormat/>
    <w:uiPriority w:val="0"/>
    <w:pPr>
      <w:spacing w:line="547" w:lineRule="exact"/>
      <w:ind w:firstLine="547"/>
    </w:pPr>
  </w:style>
  <w:style w:type="paragraph" w:customStyle="1" w:styleId="159">
    <w:name w:val="_Style 185"/>
    <w:qFormat/>
    <w:uiPriority w:val="0"/>
    <w:rPr>
      <w:rFonts w:ascii="Times New Roman" w:hAnsi="Times New Roman" w:eastAsia="宋体" w:cs="Times New Roman"/>
      <w:kern w:val="2"/>
      <w:sz w:val="21"/>
      <w:szCs w:val="24"/>
      <w:lang w:val="en-US" w:eastAsia="zh-CN" w:bidi="ar-SA"/>
    </w:rPr>
  </w:style>
  <w:style w:type="paragraph" w:customStyle="1" w:styleId="160">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61">
    <w:name w:val="Style21"/>
    <w:basedOn w:val="1"/>
    <w:unhideWhenUsed/>
    <w:qFormat/>
    <w:uiPriority w:val="0"/>
    <w:pPr>
      <w:spacing w:line="566" w:lineRule="exact"/>
      <w:ind w:firstLine="682"/>
    </w:pPr>
  </w:style>
  <w:style w:type="paragraph" w:customStyle="1" w:styleId="162">
    <w:name w:val="Style12"/>
    <w:basedOn w:val="1"/>
    <w:unhideWhenUsed/>
    <w:qFormat/>
    <w:uiPriority w:val="0"/>
    <w:pPr>
      <w:spacing w:line="564" w:lineRule="exact"/>
      <w:ind w:hanging="115"/>
    </w:pPr>
  </w:style>
  <w:style w:type="paragraph" w:customStyle="1" w:styleId="163">
    <w:name w:val="List Paragraph1"/>
    <w:basedOn w:val="1"/>
    <w:link w:val="226"/>
    <w:qFormat/>
    <w:uiPriority w:val="0"/>
    <w:pPr>
      <w:ind w:firstLine="420" w:firstLineChars="200"/>
    </w:pPr>
    <w:rPr>
      <w:rFonts w:ascii="Calibri" w:hAnsi="Calibri" w:cs="Calibri"/>
      <w:szCs w:val="21"/>
    </w:rPr>
  </w:style>
  <w:style w:type="paragraph" w:customStyle="1" w:styleId="164">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 w:hAnsi="仿宋" w:eastAsia="仿宋" w:cs="宋体"/>
      <w:kern w:val="0"/>
      <w:sz w:val="14"/>
      <w:szCs w:val="14"/>
    </w:rPr>
  </w:style>
  <w:style w:type="paragraph" w:customStyle="1" w:styleId="165">
    <w:name w:val="xl7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b/>
      <w:bCs/>
      <w:color w:val="FF0000"/>
      <w:kern w:val="0"/>
      <w:sz w:val="18"/>
      <w:szCs w:val="18"/>
    </w:rPr>
  </w:style>
  <w:style w:type="paragraph" w:customStyle="1" w:styleId="166">
    <w:name w:val="Style72"/>
    <w:basedOn w:val="1"/>
    <w:unhideWhenUsed/>
    <w:qFormat/>
    <w:uiPriority w:val="0"/>
  </w:style>
  <w:style w:type="paragraph" w:customStyle="1" w:styleId="167">
    <w:name w:val="Style68"/>
    <w:basedOn w:val="1"/>
    <w:unhideWhenUsed/>
    <w:qFormat/>
    <w:uiPriority w:val="0"/>
    <w:pPr>
      <w:spacing w:line="547" w:lineRule="exact"/>
    </w:pPr>
  </w:style>
  <w:style w:type="paragraph" w:customStyle="1" w:styleId="168">
    <w:name w:val="p0"/>
    <w:basedOn w:val="1"/>
    <w:link w:val="210"/>
    <w:qFormat/>
    <w:uiPriority w:val="0"/>
    <w:pPr>
      <w:widowControl/>
    </w:pPr>
    <w:rPr>
      <w:rFonts w:ascii="Calibri" w:hAnsi="Calibri"/>
      <w:kern w:val="0"/>
      <w:szCs w:val="21"/>
    </w:rPr>
  </w:style>
  <w:style w:type="paragraph" w:customStyle="1" w:styleId="169">
    <w:name w:val="Style16"/>
    <w:basedOn w:val="1"/>
    <w:unhideWhenUsed/>
    <w:qFormat/>
    <w:uiPriority w:val="0"/>
    <w:pPr>
      <w:jc w:val="right"/>
    </w:pPr>
  </w:style>
  <w:style w:type="paragraph" w:customStyle="1" w:styleId="170">
    <w:name w:val="Style28"/>
    <w:basedOn w:val="1"/>
    <w:unhideWhenUsed/>
    <w:qFormat/>
    <w:uiPriority w:val="0"/>
    <w:pPr>
      <w:spacing w:line="552" w:lineRule="exact"/>
      <w:ind w:firstLine="547"/>
    </w:pPr>
  </w:style>
  <w:style w:type="paragraph" w:customStyle="1" w:styleId="171">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172">
    <w:name w:val="Style15"/>
    <w:basedOn w:val="1"/>
    <w:unhideWhenUsed/>
    <w:qFormat/>
    <w:uiPriority w:val="0"/>
    <w:pPr>
      <w:spacing w:line="557" w:lineRule="exact"/>
      <w:ind w:firstLine="672"/>
    </w:pPr>
  </w:style>
  <w:style w:type="paragraph" w:customStyle="1" w:styleId="173">
    <w:name w:val="Table Paragraph"/>
    <w:basedOn w:val="1"/>
    <w:qFormat/>
    <w:uiPriority w:val="99"/>
    <w:rPr>
      <w:rFonts w:ascii="宋体" w:hAnsi="宋体" w:cs="宋体"/>
      <w:lang w:val="zh-CN"/>
    </w:rPr>
  </w:style>
  <w:style w:type="paragraph" w:customStyle="1" w:styleId="174">
    <w:name w:val="xl7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b/>
      <w:bCs/>
      <w:kern w:val="0"/>
      <w:sz w:val="18"/>
      <w:szCs w:val="18"/>
    </w:rPr>
  </w:style>
  <w:style w:type="paragraph" w:customStyle="1" w:styleId="175">
    <w:name w:val="Style47"/>
    <w:basedOn w:val="1"/>
    <w:unhideWhenUsed/>
    <w:qFormat/>
    <w:uiPriority w:val="0"/>
  </w:style>
  <w:style w:type="paragraph" w:customStyle="1" w:styleId="176">
    <w:name w:val="Style78"/>
    <w:basedOn w:val="1"/>
    <w:unhideWhenUsed/>
    <w:qFormat/>
    <w:uiPriority w:val="0"/>
  </w:style>
  <w:style w:type="paragraph" w:customStyle="1" w:styleId="177">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78">
    <w:name w:val="Style9"/>
    <w:basedOn w:val="1"/>
    <w:unhideWhenUsed/>
    <w:qFormat/>
    <w:uiPriority w:val="0"/>
  </w:style>
  <w:style w:type="paragraph" w:customStyle="1" w:styleId="179">
    <w:name w:val="Style23"/>
    <w:basedOn w:val="1"/>
    <w:unhideWhenUsed/>
    <w:qFormat/>
    <w:uiPriority w:val="0"/>
  </w:style>
  <w:style w:type="paragraph" w:customStyle="1" w:styleId="180">
    <w:name w:val="Style59"/>
    <w:basedOn w:val="1"/>
    <w:unhideWhenUsed/>
    <w:qFormat/>
    <w:uiPriority w:val="0"/>
  </w:style>
  <w:style w:type="paragraph" w:customStyle="1" w:styleId="181">
    <w:name w:val="Char Char Char"/>
    <w:basedOn w:val="1"/>
    <w:qFormat/>
    <w:uiPriority w:val="0"/>
    <w:rPr>
      <w:rFonts w:ascii="宋体" w:hAnsi="宋体"/>
      <w:b/>
      <w:sz w:val="28"/>
      <w:szCs w:val="28"/>
    </w:rPr>
  </w:style>
  <w:style w:type="paragraph" w:customStyle="1" w:styleId="182">
    <w:name w:val="正文新"/>
    <w:basedOn w:val="1"/>
    <w:link w:val="283"/>
    <w:qFormat/>
    <w:uiPriority w:val="0"/>
    <w:pPr>
      <w:spacing w:line="336" w:lineRule="auto"/>
      <w:ind w:firstLine="200" w:firstLineChars="200"/>
    </w:pPr>
    <w:rPr>
      <w:rFonts w:ascii="Calibri" w:hAnsi="Calibri"/>
      <w:sz w:val="18"/>
      <w:szCs w:val="21"/>
    </w:rPr>
  </w:style>
  <w:style w:type="paragraph" w:customStyle="1" w:styleId="183">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黑体" w:hAnsi="黑体" w:eastAsia="黑体" w:cs="宋体"/>
      <w:color w:val="000000"/>
      <w:kern w:val="0"/>
      <w:sz w:val="18"/>
      <w:szCs w:val="18"/>
    </w:rPr>
  </w:style>
  <w:style w:type="paragraph" w:customStyle="1" w:styleId="184">
    <w:name w:val="Style76"/>
    <w:basedOn w:val="1"/>
    <w:unhideWhenUsed/>
    <w:qFormat/>
    <w:uiPriority w:val="0"/>
  </w:style>
  <w:style w:type="paragraph" w:customStyle="1" w:styleId="185">
    <w:name w:val="xl7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 w:hAnsi="仿宋" w:eastAsia="仿宋" w:cs="宋体"/>
      <w:kern w:val="0"/>
      <w:sz w:val="14"/>
      <w:szCs w:val="14"/>
    </w:rPr>
  </w:style>
  <w:style w:type="paragraph" w:customStyle="1" w:styleId="186">
    <w:name w:val="Style62"/>
    <w:basedOn w:val="1"/>
    <w:unhideWhenUsed/>
    <w:qFormat/>
    <w:uiPriority w:val="0"/>
  </w:style>
  <w:style w:type="paragraph" w:customStyle="1" w:styleId="187">
    <w:name w:val="Style36"/>
    <w:basedOn w:val="1"/>
    <w:unhideWhenUsed/>
    <w:qFormat/>
    <w:uiPriority w:val="0"/>
  </w:style>
  <w:style w:type="paragraph" w:customStyle="1" w:styleId="188">
    <w:name w:val="Char Char1 Char Char Char Char Char Char Char"/>
    <w:basedOn w:val="1"/>
    <w:qFormat/>
    <w:uiPriority w:val="0"/>
    <w:pPr>
      <w:widowControl/>
      <w:spacing w:after="160" w:line="240" w:lineRule="exact"/>
      <w:jc w:val="left"/>
    </w:pPr>
  </w:style>
  <w:style w:type="paragraph" w:customStyle="1" w:styleId="189">
    <w:name w:val="xl7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b/>
      <w:bCs/>
      <w:kern w:val="0"/>
      <w:sz w:val="18"/>
      <w:szCs w:val="18"/>
    </w:rPr>
  </w:style>
  <w:style w:type="paragraph" w:customStyle="1" w:styleId="190">
    <w:name w:val="2 级标题"/>
    <w:basedOn w:val="4"/>
    <w:link w:val="257"/>
    <w:qFormat/>
    <w:uiPriority w:val="0"/>
    <w:pPr>
      <w:numPr>
        <w:ilvl w:val="1"/>
        <w:numId w:val="3"/>
      </w:numPr>
      <w:spacing w:before="120" w:after="120"/>
      <w:ind w:right="27" w:rightChars="13"/>
      <w:jc w:val="left"/>
    </w:pPr>
    <w:rPr>
      <w:rFonts w:ascii="Cambria" w:hAnsi="Cambria"/>
      <w:kern w:val="0"/>
      <w:sz w:val="32"/>
    </w:rPr>
  </w:style>
  <w:style w:type="paragraph" w:customStyle="1" w:styleId="191">
    <w:name w:val="标题3"/>
    <w:basedOn w:val="3"/>
    <w:qFormat/>
    <w:uiPriority w:val="0"/>
    <w:pPr>
      <w:spacing w:before="156" w:beforeLines="50" w:after="156" w:afterLines="50" w:line="400" w:lineRule="exact"/>
      <w:jc w:val="both"/>
    </w:pPr>
    <w:rPr>
      <w:rFonts w:ascii="宋体" w:hAnsi="宋体"/>
      <w:kern w:val="32"/>
      <w:szCs w:val="32"/>
    </w:rPr>
  </w:style>
  <w:style w:type="paragraph" w:customStyle="1" w:styleId="192">
    <w:name w:val="Style42"/>
    <w:basedOn w:val="1"/>
    <w:unhideWhenUsed/>
    <w:qFormat/>
    <w:uiPriority w:val="0"/>
    <w:pPr>
      <w:spacing w:line="542" w:lineRule="exact"/>
      <w:ind w:firstLine="547"/>
    </w:pPr>
  </w:style>
  <w:style w:type="paragraph" w:customStyle="1" w:styleId="193">
    <w:name w:val="正文缩进1"/>
    <w:basedOn w:val="1"/>
    <w:link w:val="314"/>
    <w:qFormat/>
    <w:uiPriority w:val="0"/>
    <w:pPr>
      <w:autoSpaceDE w:val="0"/>
      <w:autoSpaceDN w:val="0"/>
      <w:adjustRightInd w:val="0"/>
      <w:ind w:firstLine="420"/>
      <w:jc w:val="left"/>
    </w:pPr>
    <w:rPr>
      <w:rFonts w:ascii="宋体" w:hAnsi="Calibri" w:eastAsia="微软雅黑"/>
      <w:kern w:val="0"/>
      <w:sz w:val="24"/>
      <w:szCs w:val="20"/>
    </w:rPr>
  </w:style>
  <w:style w:type="paragraph" w:styleId="194">
    <w:name w:val="List Paragraph"/>
    <w:basedOn w:val="1"/>
    <w:qFormat/>
    <w:uiPriority w:val="99"/>
    <w:pPr>
      <w:ind w:firstLine="420" w:firstLineChars="200"/>
    </w:pPr>
    <w:rPr>
      <w:rFonts w:ascii="Calibri" w:hAnsi="Calibri"/>
      <w:szCs w:val="22"/>
    </w:rPr>
  </w:style>
  <w:style w:type="paragraph" w:customStyle="1" w:styleId="195">
    <w:name w:val="Style24"/>
    <w:basedOn w:val="1"/>
    <w:unhideWhenUsed/>
    <w:qFormat/>
    <w:uiPriority w:val="0"/>
  </w:style>
  <w:style w:type="paragraph" w:customStyle="1" w:styleId="196">
    <w:name w:val="Style61"/>
    <w:basedOn w:val="1"/>
    <w:unhideWhenUsed/>
    <w:qFormat/>
    <w:uiPriority w:val="0"/>
  </w:style>
  <w:style w:type="paragraph" w:customStyle="1" w:styleId="197">
    <w:name w:val="Style73"/>
    <w:basedOn w:val="1"/>
    <w:unhideWhenUsed/>
    <w:qFormat/>
    <w:uiPriority w:val="0"/>
    <w:pPr>
      <w:spacing w:line="538" w:lineRule="exact"/>
      <w:ind w:firstLine="533"/>
    </w:pPr>
  </w:style>
  <w:style w:type="paragraph" w:customStyle="1" w:styleId="198">
    <w:name w:val="xl8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kern w:val="0"/>
      <w:sz w:val="18"/>
      <w:szCs w:val="18"/>
    </w:rPr>
  </w:style>
  <w:style w:type="paragraph" w:customStyle="1" w:styleId="19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0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1">
    <w:name w:val="Style50"/>
    <w:basedOn w:val="1"/>
    <w:unhideWhenUsed/>
    <w:qFormat/>
    <w:uiPriority w:val="0"/>
  </w:style>
  <w:style w:type="paragraph" w:customStyle="1" w:styleId="202">
    <w:name w:val="Style58"/>
    <w:basedOn w:val="1"/>
    <w:unhideWhenUsed/>
    <w:qFormat/>
    <w:uiPriority w:val="0"/>
    <w:pPr>
      <w:spacing w:line="413" w:lineRule="exact"/>
    </w:pPr>
  </w:style>
  <w:style w:type="paragraph" w:customStyle="1" w:styleId="203">
    <w:name w:val="Char11"/>
    <w:basedOn w:val="1"/>
    <w:semiHidden/>
    <w:qFormat/>
    <w:uiPriority w:val="0"/>
    <w:rPr>
      <w:rFonts w:ascii="Tahoma" w:hAnsi="Tahoma" w:cs="仿宋_GB2312"/>
      <w:sz w:val="24"/>
      <w:szCs w:val="28"/>
    </w:rPr>
  </w:style>
  <w:style w:type="paragraph" w:customStyle="1" w:styleId="204">
    <w:name w:val="Style65"/>
    <w:basedOn w:val="1"/>
    <w:unhideWhenUsed/>
    <w:qFormat/>
    <w:uiPriority w:val="0"/>
  </w:style>
  <w:style w:type="paragraph" w:customStyle="1" w:styleId="20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06">
    <w:name w:val="Style70"/>
    <w:basedOn w:val="1"/>
    <w:unhideWhenUsed/>
    <w:qFormat/>
    <w:uiPriority w:val="0"/>
    <w:pPr>
      <w:spacing w:line="549" w:lineRule="exact"/>
      <w:ind w:firstLine="686"/>
    </w:pPr>
  </w:style>
  <w:style w:type="character" w:customStyle="1" w:styleId="207">
    <w:name w:val="apple-converted-space"/>
    <w:qFormat/>
    <w:uiPriority w:val="99"/>
    <w:rPr>
      <w:rFonts w:ascii="Tahoma" w:hAnsi="Tahoma" w:eastAsia="宋体" w:cs="仿宋_GB2312"/>
      <w:sz w:val="24"/>
      <w:szCs w:val="28"/>
    </w:rPr>
  </w:style>
  <w:style w:type="character" w:customStyle="1" w:styleId="208">
    <w:name w:val="font31"/>
    <w:qFormat/>
    <w:uiPriority w:val="0"/>
    <w:rPr>
      <w:rFonts w:hint="default" w:ascii="Arial" w:hAnsi="Arial" w:eastAsia="宋体" w:cs="Arial"/>
      <w:color w:val="000000"/>
      <w:sz w:val="22"/>
      <w:szCs w:val="22"/>
      <w:u w:val="none"/>
    </w:rPr>
  </w:style>
  <w:style w:type="character" w:customStyle="1" w:styleId="209">
    <w:name w:val="font11"/>
    <w:basedOn w:val="49"/>
    <w:qFormat/>
    <w:uiPriority w:val="0"/>
    <w:rPr>
      <w:rFonts w:hint="default" w:ascii="Times New Roman" w:hAnsi="Times New Roman" w:eastAsia="宋体" w:cs="Times New Roman"/>
      <w:b/>
      <w:color w:val="000000"/>
      <w:sz w:val="21"/>
      <w:szCs w:val="21"/>
      <w:u w:val="none"/>
    </w:rPr>
  </w:style>
  <w:style w:type="character" w:customStyle="1" w:styleId="210">
    <w:name w:val="p0 Char"/>
    <w:link w:val="168"/>
    <w:qFormat/>
    <w:uiPriority w:val="0"/>
    <w:rPr>
      <w:rFonts w:ascii="Times New Roman" w:hAnsi="Times New Roman" w:eastAsia="宋体" w:cs="Times New Roman"/>
      <w:sz w:val="21"/>
      <w:szCs w:val="21"/>
      <w:lang w:val="en-US" w:eastAsia="zh-CN" w:bidi="ar-SA"/>
    </w:rPr>
  </w:style>
  <w:style w:type="character" w:customStyle="1" w:styleId="211">
    <w:name w:val="Char Char16"/>
    <w:qFormat/>
    <w:uiPriority w:val="0"/>
    <w:rPr>
      <w:rFonts w:ascii="宋体" w:hAnsi="Times New Roman" w:eastAsia="宋体" w:cs="Times New Roman"/>
      <w:b/>
      <w:sz w:val="24"/>
      <w:lang w:val="en-US" w:eastAsia="zh-CN" w:bidi="ar-SA"/>
    </w:rPr>
  </w:style>
  <w:style w:type="character" w:customStyle="1" w:styleId="212">
    <w:name w:val="font61"/>
    <w:qFormat/>
    <w:uiPriority w:val="0"/>
    <w:rPr>
      <w:rFonts w:hint="eastAsia" w:ascii="宋体" w:hAnsi="宋体" w:eastAsia="宋体" w:cs="宋体"/>
      <w:color w:val="333333"/>
      <w:sz w:val="18"/>
      <w:szCs w:val="18"/>
      <w:u w:val="none"/>
    </w:rPr>
  </w:style>
  <w:style w:type="character" w:customStyle="1" w:styleId="213">
    <w:name w:val="日期 Char"/>
    <w:qFormat/>
    <w:uiPriority w:val="0"/>
    <w:rPr>
      <w:rFonts w:ascii="Times New Roman" w:hAnsi="Times New Roman" w:eastAsia="宋体" w:cs="Times New Roman"/>
      <w:kern w:val="2"/>
      <w:sz w:val="21"/>
      <w:szCs w:val="24"/>
    </w:rPr>
  </w:style>
  <w:style w:type="character" w:customStyle="1" w:styleId="214">
    <w:name w:val="标题 7 字符"/>
    <w:link w:val="8"/>
    <w:qFormat/>
    <w:uiPriority w:val="0"/>
    <w:rPr>
      <w:rFonts w:ascii="Times New Roman" w:hAnsi="Times New Roman" w:eastAsia="宋体" w:cs="Times New Roman"/>
      <w:b/>
      <w:bCs/>
      <w:sz w:val="24"/>
      <w:szCs w:val="24"/>
      <w:lang w:val="en-US" w:eastAsia="zh-CN" w:bidi="ar-SA"/>
    </w:rPr>
  </w:style>
  <w:style w:type="character" w:customStyle="1" w:styleId="215">
    <w:name w:val="apple-style-span"/>
    <w:qFormat/>
    <w:uiPriority w:val="0"/>
    <w:rPr>
      <w:rFonts w:ascii="Tahoma" w:hAnsi="Tahoma" w:eastAsia="宋体" w:cs="仿宋_GB2312"/>
      <w:sz w:val="24"/>
      <w:szCs w:val="28"/>
    </w:rPr>
  </w:style>
  <w:style w:type="character" w:customStyle="1" w:styleId="216">
    <w:name w:val="标题 4 Char Char"/>
    <w:qFormat/>
    <w:uiPriority w:val="0"/>
    <w:rPr>
      <w:rFonts w:ascii="Arial" w:hAnsi="Arial" w:eastAsia="宋体" w:cs="Times New Roman"/>
      <w:b/>
      <w:bCs/>
      <w:kern w:val="2"/>
      <w:sz w:val="21"/>
      <w:szCs w:val="28"/>
      <w:lang w:val="en-US" w:eastAsia="zh-CN" w:bidi="ar-SA"/>
    </w:rPr>
  </w:style>
  <w:style w:type="character" w:customStyle="1" w:styleId="217">
    <w:name w:val="param-name"/>
    <w:qFormat/>
    <w:uiPriority w:val="0"/>
    <w:rPr>
      <w:rFonts w:ascii="Times New Roman" w:hAnsi="Times New Roman" w:eastAsia="宋体" w:cs="Times New Roman"/>
    </w:rPr>
  </w:style>
  <w:style w:type="character" w:customStyle="1" w:styleId="218">
    <w:name w:val="bds_nopic1"/>
    <w:qFormat/>
    <w:uiPriority w:val="0"/>
    <w:rPr>
      <w:rFonts w:ascii="Times New Roman" w:hAnsi="Times New Roman" w:eastAsia="宋体" w:cs="Times New Roman"/>
    </w:rPr>
  </w:style>
  <w:style w:type="character" w:customStyle="1" w:styleId="219">
    <w:name w:val="font71"/>
    <w:qFormat/>
    <w:uiPriority w:val="0"/>
    <w:rPr>
      <w:rFonts w:hint="default" w:ascii="Arial" w:hAnsi="Arial" w:eastAsia="宋体" w:cs="Arial"/>
      <w:color w:val="000000"/>
      <w:sz w:val="22"/>
      <w:szCs w:val="22"/>
      <w:u w:val="none"/>
    </w:rPr>
  </w:style>
  <w:style w:type="character" w:customStyle="1" w:styleId="220">
    <w:name w:val="批注框文本 Char"/>
    <w:qFormat/>
    <w:uiPriority w:val="0"/>
    <w:rPr>
      <w:rFonts w:ascii="Times New Roman" w:hAnsi="Times New Roman" w:eastAsia="宋体" w:cs="Times New Roman"/>
      <w:kern w:val="2"/>
      <w:sz w:val="18"/>
      <w:szCs w:val="18"/>
    </w:rPr>
  </w:style>
  <w:style w:type="character" w:customStyle="1" w:styleId="221">
    <w:name w:val="plus"/>
    <w:qFormat/>
    <w:uiPriority w:val="0"/>
    <w:rPr>
      <w:rFonts w:ascii="Times New Roman" w:hAnsi="Times New Roman" w:eastAsia="宋体" w:cs="Times New Roman"/>
      <w:b/>
      <w:vanish/>
      <w:color w:val="1F8DEF"/>
      <w:sz w:val="24"/>
      <w:szCs w:val="24"/>
    </w:rPr>
  </w:style>
  <w:style w:type="character" w:customStyle="1" w:styleId="222">
    <w:name w:val="Font Style131"/>
    <w:unhideWhenUsed/>
    <w:qFormat/>
    <w:uiPriority w:val="0"/>
    <w:rPr>
      <w:rFonts w:hint="eastAsia" w:ascii="Times New Roman" w:hAnsi="Times New Roman" w:eastAsia="Times New Roman" w:cs="Times New Roman"/>
      <w:sz w:val="18"/>
    </w:rPr>
  </w:style>
  <w:style w:type="character" w:customStyle="1" w:styleId="223">
    <w:name w:val="标题 6 Char"/>
    <w:qFormat/>
    <w:uiPriority w:val="0"/>
    <w:rPr>
      <w:rFonts w:ascii="Arial" w:hAnsi="Arial" w:eastAsia="黑体" w:cs="Times New Roman"/>
      <w:b/>
      <w:bCs/>
      <w:sz w:val="24"/>
      <w:szCs w:val="24"/>
    </w:rPr>
  </w:style>
  <w:style w:type="character" w:customStyle="1" w:styleId="224">
    <w:name w:val="标题 Char1"/>
    <w:qFormat/>
    <w:uiPriority w:val="0"/>
    <w:rPr>
      <w:rFonts w:ascii="Cambria" w:hAnsi="Cambria" w:eastAsia="宋体" w:cs="Times New Roman"/>
      <w:b/>
      <w:bCs/>
      <w:sz w:val="32"/>
      <w:szCs w:val="32"/>
    </w:rPr>
  </w:style>
  <w:style w:type="character" w:customStyle="1" w:styleId="225">
    <w:name w:val="Font Style117"/>
    <w:unhideWhenUsed/>
    <w:qFormat/>
    <w:uiPriority w:val="0"/>
    <w:rPr>
      <w:rFonts w:hint="eastAsia" w:ascii="宋体" w:hAnsi="宋体" w:eastAsia="宋体" w:cs="Times New Roman"/>
      <w:spacing w:val="20"/>
      <w:sz w:val="24"/>
    </w:rPr>
  </w:style>
  <w:style w:type="character" w:customStyle="1" w:styleId="226">
    <w:name w:val="List Paragraph Char"/>
    <w:link w:val="163"/>
    <w:qFormat/>
    <w:uiPriority w:val="0"/>
    <w:rPr>
      <w:rFonts w:ascii="Calibri" w:hAnsi="Calibri" w:eastAsia="宋体" w:cs="Calibri"/>
      <w:kern w:val="2"/>
      <w:sz w:val="21"/>
      <w:szCs w:val="21"/>
      <w:lang w:val="en-US" w:eastAsia="zh-CN" w:bidi="ar-SA"/>
    </w:rPr>
  </w:style>
  <w:style w:type="character" w:customStyle="1" w:styleId="227">
    <w:name w:val="正文文本缩进 3 Char"/>
    <w:qFormat/>
    <w:uiPriority w:val="0"/>
    <w:rPr>
      <w:rFonts w:ascii="宋体" w:hAnsi="MS Sans Serif" w:eastAsia="宋体" w:cs="Times New Roman"/>
      <w:color w:val="000000"/>
      <w:sz w:val="24"/>
    </w:rPr>
  </w:style>
  <w:style w:type="character" w:customStyle="1" w:styleId="228">
    <w:name w:val="ca-21"/>
    <w:qFormat/>
    <w:uiPriority w:val="0"/>
    <w:rPr>
      <w:rFonts w:hint="eastAsia" w:ascii="宋体-18030" w:hAnsi="宋体-18030" w:eastAsia="宋体-18030" w:cs="宋体-18030"/>
      <w:sz w:val="24"/>
      <w:szCs w:val="24"/>
    </w:rPr>
  </w:style>
  <w:style w:type="character" w:customStyle="1" w:styleId="229">
    <w:name w:val="标题 7 Char"/>
    <w:qFormat/>
    <w:uiPriority w:val="0"/>
    <w:rPr>
      <w:rFonts w:ascii="Times New Roman" w:hAnsi="Times New Roman" w:eastAsia="宋体" w:cs="Times New Roman"/>
      <w:b/>
      <w:bCs/>
      <w:sz w:val="24"/>
      <w:szCs w:val="24"/>
    </w:rPr>
  </w:style>
  <w:style w:type="character" w:customStyle="1" w:styleId="230">
    <w:name w:val="批注文字 Char Char"/>
    <w:qFormat/>
    <w:uiPriority w:val="0"/>
    <w:rPr>
      <w:rFonts w:ascii="Times New Roman" w:hAnsi="Times New Roman" w:eastAsia="宋体" w:cs="Times New Roman"/>
      <w:kern w:val="2"/>
      <w:sz w:val="21"/>
      <w:szCs w:val="24"/>
      <w:lang w:bidi="ar-SA"/>
    </w:rPr>
  </w:style>
  <w:style w:type="character" w:customStyle="1" w:styleId="231">
    <w:name w:val="Font Style104"/>
    <w:unhideWhenUsed/>
    <w:qFormat/>
    <w:uiPriority w:val="0"/>
    <w:rPr>
      <w:rFonts w:hint="eastAsia" w:ascii="宋体" w:hAnsi="宋体" w:eastAsia="宋体" w:cs="Times New Roman"/>
      <w:spacing w:val="30"/>
      <w:sz w:val="18"/>
    </w:rPr>
  </w:style>
  <w:style w:type="character" w:customStyle="1" w:styleId="232">
    <w:name w:val="标题 2 Char"/>
    <w:qFormat/>
    <w:uiPriority w:val="0"/>
    <w:rPr>
      <w:rFonts w:ascii="Cambria" w:hAnsi="Cambria" w:eastAsia="宋体" w:cs="Times New Roman"/>
      <w:b/>
      <w:bCs/>
      <w:kern w:val="2"/>
      <w:sz w:val="32"/>
      <w:szCs w:val="32"/>
    </w:rPr>
  </w:style>
  <w:style w:type="character" w:customStyle="1" w:styleId="233">
    <w:name w:val="morelink-item"/>
    <w:qFormat/>
    <w:uiPriority w:val="0"/>
    <w:rPr>
      <w:rFonts w:ascii="Times New Roman" w:hAnsi="Times New Roman" w:eastAsia="宋体" w:cs="Times New Roman"/>
    </w:rPr>
  </w:style>
  <w:style w:type="character" w:customStyle="1" w:styleId="234">
    <w:name w:val="普通文字 Char"/>
    <w:semiHidden/>
    <w:qFormat/>
    <w:uiPriority w:val="0"/>
    <w:rPr>
      <w:rFonts w:ascii="宋体" w:hAnsi="Courier New" w:eastAsia="宋体" w:cs="Courier New"/>
      <w:kern w:val="2"/>
      <w:sz w:val="21"/>
      <w:szCs w:val="21"/>
      <w:lang w:val="en-US" w:eastAsia="zh-CN" w:bidi="ar-SA"/>
    </w:rPr>
  </w:style>
  <w:style w:type="character" w:customStyle="1" w:styleId="235">
    <w:name w:val="sidecatalog-index1"/>
    <w:qFormat/>
    <w:uiPriority w:val="0"/>
    <w:rPr>
      <w:rFonts w:ascii="Arial" w:hAnsi="Arial" w:eastAsia="宋体" w:cs="Arial"/>
      <w:b/>
      <w:color w:val="999999"/>
      <w:sz w:val="21"/>
      <w:szCs w:val="21"/>
    </w:rPr>
  </w:style>
  <w:style w:type="character" w:customStyle="1" w:styleId="236">
    <w:name w:val="style81"/>
    <w:qFormat/>
    <w:uiPriority w:val="0"/>
    <w:rPr>
      <w:rFonts w:ascii="Times New Roman" w:hAnsi="Times New Roman" w:eastAsia="宋体" w:cs="Times New Roman"/>
      <w:sz w:val="21"/>
      <w:szCs w:val="21"/>
    </w:rPr>
  </w:style>
  <w:style w:type="character" w:customStyle="1" w:styleId="237">
    <w:name w:val="lemmatitleh12"/>
    <w:qFormat/>
    <w:uiPriority w:val="0"/>
    <w:rPr>
      <w:rFonts w:ascii="Times New Roman" w:hAnsi="Times New Roman" w:eastAsia="宋体" w:cs="Times New Roman"/>
    </w:rPr>
  </w:style>
  <w:style w:type="character" w:customStyle="1" w:styleId="238">
    <w:name w:val="sidecatalog-dot1"/>
    <w:qFormat/>
    <w:uiPriority w:val="0"/>
    <w:rPr>
      <w:rFonts w:ascii="Times New Roman" w:hAnsi="Times New Roman" w:eastAsia="宋体" w:cs="Times New Roman"/>
    </w:rPr>
  </w:style>
  <w:style w:type="character" w:customStyle="1" w:styleId="239">
    <w:name w:val="标题 5 Char"/>
    <w:qFormat/>
    <w:uiPriority w:val="0"/>
    <w:rPr>
      <w:rFonts w:ascii="Times New Roman" w:hAnsi="Times New Roman" w:eastAsia="宋体" w:cs="Times New Roman"/>
      <w:b/>
      <w:bCs/>
      <w:kern w:val="2"/>
      <w:sz w:val="28"/>
      <w:szCs w:val="28"/>
    </w:rPr>
  </w:style>
  <w:style w:type="character" w:customStyle="1" w:styleId="240">
    <w:name w:val="sidecatalog-dot"/>
    <w:qFormat/>
    <w:uiPriority w:val="0"/>
    <w:rPr>
      <w:rFonts w:ascii="Times New Roman" w:hAnsi="Times New Roman" w:eastAsia="宋体" w:cs="Times New Roman"/>
    </w:rPr>
  </w:style>
  <w:style w:type="character" w:customStyle="1" w:styleId="241">
    <w:name w:val="Font Style128"/>
    <w:unhideWhenUsed/>
    <w:qFormat/>
    <w:uiPriority w:val="0"/>
    <w:rPr>
      <w:rFonts w:hint="eastAsia" w:ascii="Times New Roman" w:hAnsi="Times New Roman" w:eastAsia="Times New Roman" w:cs="Times New Roman"/>
      <w:sz w:val="16"/>
    </w:rPr>
  </w:style>
  <w:style w:type="character" w:customStyle="1" w:styleId="242">
    <w:name w:val="Char Char6"/>
    <w:qFormat/>
    <w:uiPriority w:val="0"/>
    <w:rPr>
      <w:rFonts w:ascii="Arial" w:hAnsi="Arial" w:eastAsia="黑体" w:cs="Times New Roman"/>
      <w:sz w:val="24"/>
      <w:szCs w:val="24"/>
      <w:lang w:val="en-US" w:eastAsia="zh-CN" w:bidi="ar-SA"/>
    </w:rPr>
  </w:style>
  <w:style w:type="character" w:customStyle="1" w:styleId="243">
    <w:name w:val="我的正文[858D7CFB-ED40-4347-BF05-701D383B685F]"/>
    <w:link w:val="136"/>
    <w:qFormat/>
    <w:uiPriority w:val="0"/>
    <w:rPr>
      <w:rFonts w:ascii="Arial" w:hAnsi="Arial" w:eastAsia="宋体" w:cs="Times New Roman"/>
      <w:sz w:val="24"/>
      <w:szCs w:val="24"/>
    </w:rPr>
  </w:style>
  <w:style w:type="character" w:customStyle="1" w:styleId="244">
    <w:name w:val="纯文本 Char Char Char1"/>
    <w:qFormat/>
    <w:uiPriority w:val="0"/>
    <w:rPr>
      <w:rFonts w:ascii="Times New Roman" w:hAnsi="Times New Roman" w:eastAsia="宋体" w:cs="Times New Roman"/>
      <w:kern w:val="2"/>
      <w:sz w:val="24"/>
      <w:lang w:val="en-US" w:eastAsia="zh-CN" w:bidi="ar-SA"/>
    </w:rPr>
  </w:style>
  <w:style w:type="character" w:customStyle="1" w:styleId="245">
    <w:name w:val="批注文字 Char"/>
    <w:qFormat/>
    <w:uiPriority w:val="0"/>
    <w:rPr>
      <w:rFonts w:ascii="Times New Roman" w:hAnsi="Times New Roman" w:eastAsia="宋体" w:cs="Times New Roman"/>
      <w:kern w:val="2"/>
      <w:sz w:val="21"/>
      <w:szCs w:val="24"/>
    </w:rPr>
  </w:style>
  <w:style w:type="character" w:customStyle="1" w:styleId="246">
    <w:name w:val="bds_more7"/>
    <w:qFormat/>
    <w:uiPriority w:val="0"/>
    <w:rPr>
      <w:rFonts w:ascii="Times New Roman" w:hAnsi="Times New Roman" w:eastAsia="宋体" w:cs="Times New Roman"/>
    </w:rPr>
  </w:style>
  <w:style w:type="character" w:customStyle="1" w:styleId="247">
    <w:name w:val="标题 1 Char"/>
    <w:qFormat/>
    <w:uiPriority w:val="0"/>
    <w:rPr>
      <w:rFonts w:ascii="Cambria" w:hAnsi="Cambria" w:eastAsia="宋体" w:cs="Times New Roman"/>
      <w:b/>
      <w:bCs/>
      <w:kern w:val="32"/>
      <w:sz w:val="32"/>
      <w:szCs w:val="32"/>
    </w:rPr>
  </w:style>
  <w:style w:type="character" w:customStyle="1" w:styleId="248">
    <w:name w:val="Char Char14"/>
    <w:qFormat/>
    <w:uiPriority w:val="0"/>
    <w:rPr>
      <w:rFonts w:ascii="Arial" w:hAnsi="Arial" w:eastAsia="黑体" w:cs="Times New Roman"/>
      <w:b/>
      <w:bCs/>
      <w:sz w:val="28"/>
      <w:szCs w:val="28"/>
      <w:lang w:val="en-US" w:eastAsia="zh-CN" w:bidi="ar-SA"/>
    </w:rPr>
  </w:style>
  <w:style w:type="character" w:customStyle="1" w:styleId="249">
    <w:name w:val="Font Style121"/>
    <w:unhideWhenUsed/>
    <w:qFormat/>
    <w:uiPriority w:val="0"/>
    <w:rPr>
      <w:rFonts w:hint="eastAsia" w:ascii="宋体" w:hAnsi="宋体" w:eastAsia="宋体" w:cs="Times New Roman"/>
      <w:spacing w:val="-10"/>
      <w:sz w:val="30"/>
    </w:rPr>
  </w:style>
  <w:style w:type="character" w:customStyle="1" w:styleId="250">
    <w:name w:val="Font Style125"/>
    <w:unhideWhenUsed/>
    <w:qFormat/>
    <w:uiPriority w:val="0"/>
    <w:rPr>
      <w:rFonts w:hint="eastAsia" w:ascii="宋体" w:hAnsi="宋体" w:eastAsia="宋体" w:cs="Times New Roman"/>
      <w:b/>
      <w:sz w:val="26"/>
    </w:rPr>
  </w:style>
  <w:style w:type="character" w:customStyle="1" w:styleId="251">
    <w:name w:val="批注框文本 字符"/>
    <w:link w:val="29"/>
    <w:semiHidden/>
    <w:qFormat/>
    <w:uiPriority w:val="0"/>
    <w:rPr>
      <w:rFonts w:ascii="Calibri" w:hAnsi="Calibri" w:eastAsia="宋体" w:cs="Times New Roman"/>
      <w:kern w:val="2"/>
      <w:sz w:val="18"/>
      <w:szCs w:val="18"/>
      <w:lang w:val="en-US" w:eastAsia="zh-CN" w:bidi="ar-SA"/>
    </w:rPr>
  </w:style>
  <w:style w:type="character" w:customStyle="1" w:styleId="252">
    <w:name w:val="页眉 字符"/>
    <w:link w:val="31"/>
    <w:qFormat/>
    <w:uiPriority w:val="0"/>
    <w:rPr>
      <w:rFonts w:ascii="Times New Roman" w:hAnsi="Times New Roman" w:eastAsia="宋体" w:cs="Times New Roman"/>
      <w:kern w:val="2"/>
      <w:sz w:val="18"/>
      <w:szCs w:val="18"/>
      <w:lang w:val="en-US" w:eastAsia="zh-CN" w:bidi="ar-SA"/>
    </w:rPr>
  </w:style>
  <w:style w:type="character" w:customStyle="1" w:styleId="253">
    <w:name w:val="Font Style124"/>
    <w:unhideWhenUsed/>
    <w:qFormat/>
    <w:uiPriority w:val="0"/>
    <w:rPr>
      <w:rFonts w:hint="eastAsia" w:ascii="宋体" w:hAnsi="宋体" w:eastAsia="宋体" w:cs="Times New Roman"/>
      <w:spacing w:val="30"/>
      <w:sz w:val="24"/>
    </w:rPr>
  </w:style>
  <w:style w:type="character" w:customStyle="1" w:styleId="254">
    <w:name w:val="Font Style127"/>
    <w:unhideWhenUsed/>
    <w:qFormat/>
    <w:uiPriority w:val="0"/>
    <w:rPr>
      <w:rFonts w:hint="eastAsia" w:ascii="Times New Roman" w:hAnsi="Times New Roman" w:eastAsia="Times New Roman" w:cs="Times New Roman"/>
      <w:sz w:val="20"/>
    </w:rPr>
  </w:style>
  <w:style w:type="character" w:customStyle="1" w:styleId="255">
    <w:name w:val="批注文字 字符"/>
    <w:link w:val="15"/>
    <w:qFormat/>
    <w:uiPriority w:val="0"/>
    <w:rPr>
      <w:rFonts w:ascii="Times New Roman" w:hAnsi="Times New Roman" w:eastAsia="宋体" w:cs="Times New Roman"/>
      <w:kern w:val="2"/>
      <w:sz w:val="21"/>
      <w:szCs w:val="24"/>
      <w:lang w:val="en-US" w:eastAsia="zh-CN" w:bidi="ar-SA"/>
    </w:rPr>
  </w:style>
  <w:style w:type="character" w:customStyle="1" w:styleId="256">
    <w:name w:val="标题 字符"/>
    <w:link w:val="43"/>
    <w:qFormat/>
    <w:uiPriority w:val="0"/>
    <w:rPr>
      <w:rFonts w:ascii="Cambria" w:hAnsi="Cambria" w:eastAsia="宋体" w:cs="Times New Roman"/>
      <w:b/>
      <w:kern w:val="2"/>
      <w:sz w:val="32"/>
      <w:szCs w:val="24"/>
      <w:lang w:val="en-US" w:eastAsia="zh-CN" w:bidi="ar-SA"/>
    </w:rPr>
  </w:style>
  <w:style w:type="character" w:customStyle="1" w:styleId="257">
    <w:name w:val="2 级标题 Char"/>
    <w:link w:val="190"/>
    <w:qFormat/>
    <w:uiPriority w:val="0"/>
    <w:rPr>
      <w:rFonts w:ascii="Cambria" w:hAnsi="Cambria" w:eastAsia="宋体" w:cs="Times New Roman"/>
      <w:b/>
      <w:bCs/>
      <w:sz w:val="32"/>
      <w:szCs w:val="32"/>
      <w:lang w:val="en-US" w:eastAsia="zh-CN" w:bidi="ar-SA"/>
    </w:rPr>
  </w:style>
  <w:style w:type="character" w:customStyle="1" w:styleId="258">
    <w:name w:val="font01"/>
    <w:basedOn w:val="49"/>
    <w:qFormat/>
    <w:uiPriority w:val="0"/>
    <w:rPr>
      <w:rFonts w:hint="default" w:ascii="微软雅黑" w:hAnsi="微软雅黑" w:eastAsia="微软雅黑" w:cs="微软雅黑"/>
      <w:color w:val="1F497D"/>
      <w:sz w:val="24"/>
      <w:szCs w:val="24"/>
      <w:u w:val="none"/>
    </w:rPr>
  </w:style>
  <w:style w:type="character" w:customStyle="1" w:styleId="259">
    <w:name w:val="sort1"/>
    <w:qFormat/>
    <w:uiPriority w:val="0"/>
    <w:rPr>
      <w:rFonts w:ascii="Times New Roman" w:hAnsi="Times New Roman" w:eastAsia="宋体" w:cs="Times New Roman"/>
    </w:rPr>
  </w:style>
  <w:style w:type="character" w:customStyle="1" w:styleId="260">
    <w:name w:val="Font Style133"/>
    <w:unhideWhenUsed/>
    <w:qFormat/>
    <w:uiPriority w:val="0"/>
    <w:rPr>
      <w:rFonts w:hint="eastAsia" w:ascii="宋体" w:hAnsi="宋体" w:eastAsia="宋体" w:cs="Times New Roman"/>
      <w:spacing w:val="30"/>
      <w:sz w:val="24"/>
    </w:rPr>
  </w:style>
  <w:style w:type="character" w:customStyle="1" w:styleId="261">
    <w:name w:val="bds_more8"/>
    <w:qFormat/>
    <w:uiPriority w:val="0"/>
    <w:rPr>
      <w:rFonts w:ascii="Times New Roman" w:hAnsi="Times New Roman" w:eastAsia="宋体" w:cs="Times New Roman"/>
    </w:rPr>
  </w:style>
  <w:style w:type="character" w:customStyle="1" w:styleId="262">
    <w:name w:val="Font Style116"/>
    <w:unhideWhenUsed/>
    <w:qFormat/>
    <w:uiPriority w:val="0"/>
    <w:rPr>
      <w:rFonts w:hint="eastAsia" w:ascii="宋体" w:hAnsi="宋体" w:eastAsia="宋体" w:cs="Times New Roman"/>
      <w:spacing w:val="-20"/>
      <w:sz w:val="24"/>
    </w:rPr>
  </w:style>
  <w:style w:type="character" w:customStyle="1" w:styleId="263">
    <w:name w:val="批注主题 Char"/>
    <w:qFormat/>
    <w:uiPriority w:val="0"/>
    <w:rPr>
      <w:rFonts w:ascii="Times New Roman" w:hAnsi="Times New Roman" w:eastAsia="宋体" w:cs="Times New Roman"/>
      <w:b/>
      <w:bCs/>
      <w:kern w:val="2"/>
      <w:sz w:val="21"/>
      <w:szCs w:val="24"/>
    </w:rPr>
  </w:style>
  <w:style w:type="character" w:customStyle="1" w:styleId="264">
    <w:name w:val="页脚 字符"/>
    <w:link w:val="30"/>
    <w:qFormat/>
    <w:uiPriority w:val="0"/>
    <w:rPr>
      <w:rFonts w:ascii="Times New Roman" w:hAnsi="Times New Roman" w:eastAsia="宋体" w:cs="Times New Roman"/>
      <w:kern w:val="2"/>
      <w:sz w:val="18"/>
      <w:szCs w:val="18"/>
      <w:lang w:val="en-US" w:eastAsia="zh-CN" w:bidi="ar-SA"/>
    </w:rPr>
  </w:style>
  <w:style w:type="character" w:customStyle="1" w:styleId="265">
    <w:name w:val="标题 1 字符"/>
    <w:link w:val="3"/>
    <w:qFormat/>
    <w:uiPriority w:val="0"/>
    <w:rPr>
      <w:rFonts w:ascii="Times New Roman" w:hAnsi="Times New Roman" w:eastAsia="宋体" w:cs="Times New Roman"/>
      <w:b/>
      <w:bCs/>
      <w:kern w:val="2"/>
      <w:sz w:val="24"/>
      <w:lang w:val="en-US" w:eastAsia="zh-CN" w:bidi="ar-SA"/>
    </w:rPr>
  </w:style>
  <w:style w:type="character" w:customStyle="1" w:styleId="266">
    <w:name w:val="Char Char15"/>
    <w:qFormat/>
    <w:uiPriority w:val="0"/>
    <w:rPr>
      <w:rFonts w:ascii="Times New Roman" w:hAnsi="Times New Roman" w:eastAsia="宋体" w:cs="Times New Roman"/>
      <w:b/>
      <w:bCs/>
      <w:sz w:val="24"/>
      <w:szCs w:val="24"/>
    </w:rPr>
  </w:style>
  <w:style w:type="character" w:customStyle="1" w:styleId="267">
    <w:name w:val="sort"/>
    <w:qFormat/>
    <w:uiPriority w:val="0"/>
    <w:rPr>
      <w:rFonts w:ascii="Times New Roman" w:hAnsi="Times New Roman" w:eastAsia="宋体" w:cs="Times New Roman"/>
      <w:color w:val="FFFFFF"/>
      <w:bdr w:val="single" w:color="auto" w:sz="24" w:space="0"/>
    </w:rPr>
  </w:style>
  <w:style w:type="character" w:customStyle="1" w:styleId="268">
    <w:name w:val="正文文本缩进 字符"/>
    <w:link w:val="20"/>
    <w:qFormat/>
    <w:uiPriority w:val="0"/>
    <w:rPr>
      <w:rFonts w:ascii="Times New Roman" w:hAnsi="Times New Roman" w:eastAsia="宋体" w:cs="Times New Roman"/>
      <w:kern w:val="2"/>
      <w:sz w:val="21"/>
      <w:szCs w:val="24"/>
      <w:lang w:val="en-US" w:eastAsia="zh-CN" w:bidi="ar-SA"/>
    </w:rPr>
  </w:style>
  <w:style w:type="character" w:customStyle="1" w:styleId="269">
    <w:name w:val="bds_more10"/>
    <w:qFormat/>
    <w:uiPriority w:val="0"/>
    <w:rPr>
      <w:rFonts w:ascii="Times New Roman" w:hAnsi="Times New Roman" w:eastAsia="宋体" w:cs="Times New Roman"/>
    </w:rPr>
  </w:style>
  <w:style w:type="character" w:customStyle="1" w:styleId="270">
    <w:name w:val="Char Char19"/>
    <w:qFormat/>
    <w:uiPriority w:val="0"/>
    <w:rPr>
      <w:rFonts w:ascii="Arial" w:hAnsi="Arial" w:eastAsia="宋体" w:cs="Times New Roman"/>
      <w:b/>
      <w:bCs/>
      <w:kern w:val="2"/>
      <w:sz w:val="24"/>
      <w:szCs w:val="32"/>
      <w:lang w:val="en-US" w:eastAsia="zh-CN" w:bidi="ar-SA"/>
    </w:rPr>
  </w:style>
  <w:style w:type="character" w:customStyle="1" w:styleId="271">
    <w:name w:val="bds_nopic"/>
    <w:qFormat/>
    <w:uiPriority w:val="0"/>
    <w:rPr>
      <w:rFonts w:ascii="Times New Roman" w:hAnsi="Times New Roman" w:eastAsia="宋体" w:cs="Times New Roman"/>
    </w:rPr>
  </w:style>
  <w:style w:type="character" w:customStyle="1" w:styleId="272">
    <w:name w:val="Font Style122"/>
    <w:unhideWhenUsed/>
    <w:qFormat/>
    <w:uiPriority w:val="0"/>
    <w:rPr>
      <w:rFonts w:hint="eastAsia" w:ascii="宋体" w:hAnsi="宋体" w:eastAsia="宋体" w:cs="Times New Roman"/>
      <w:spacing w:val="20"/>
      <w:sz w:val="24"/>
    </w:rPr>
  </w:style>
  <w:style w:type="character" w:customStyle="1" w:styleId="273">
    <w:name w:val="10_2_2"/>
    <w:qFormat/>
    <w:uiPriority w:val="0"/>
    <w:rPr>
      <w:rFonts w:hint="default" w:ascii="Times New Roman" w:hAnsi="Times New Roman" w:eastAsia="宋体" w:cs="Times New Roman"/>
      <w:sz w:val="20"/>
      <w:szCs w:val="20"/>
    </w:rPr>
  </w:style>
  <w:style w:type="character" w:customStyle="1" w:styleId="274">
    <w:name w:val="font81"/>
    <w:qFormat/>
    <w:uiPriority w:val="0"/>
    <w:rPr>
      <w:rFonts w:hint="eastAsia" w:ascii="宋体" w:hAnsi="宋体" w:eastAsia="宋体" w:cs="宋体"/>
      <w:color w:val="000000"/>
      <w:sz w:val="22"/>
      <w:szCs w:val="22"/>
      <w:u w:val="none"/>
    </w:rPr>
  </w:style>
  <w:style w:type="character" w:customStyle="1" w:styleId="275">
    <w:name w:val="标题 3 字符"/>
    <w:link w:val="2"/>
    <w:qFormat/>
    <w:uiPriority w:val="0"/>
    <w:rPr>
      <w:rFonts w:ascii="Times New Roman" w:hAnsi="Times New Roman" w:eastAsia="宋体" w:cs="Times New Roman"/>
      <w:b/>
      <w:bCs/>
      <w:kern w:val="2"/>
      <w:sz w:val="32"/>
      <w:szCs w:val="32"/>
      <w:lang w:val="en-US" w:eastAsia="zh-CN" w:bidi="ar-SA"/>
    </w:rPr>
  </w:style>
  <w:style w:type="character" w:customStyle="1" w:styleId="276">
    <w:name w:val="标题 9 Char"/>
    <w:qFormat/>
    <w:uiPriority w:val="0"/>
    <w:rPr>
      <w:rFonts w:ascii="Arial" w:hAnsi="Arial" w:eastAsia="黑体" w:cs="Times New Roman"/>
      <w:sz w:val="21"/>
      <w:szCs w:val="21"/>
    </w:rPr>
  </w:style>
  <w:style w:type="character" w:customStyle="1" w:styleId="277">
    <w:name w:val="标题 4 Char"/>
    <w:qFormat/>
    <w:uiPriority w:val="0"/>
    <w:rPr>
      <w:rFonts w:ascii="Arial" w:hAnsi="Arial" w:eastAsia="宋体" w:cs="Times New Roman"/>
      <w:b/>
      <w:bCs/>
      <w:szCs w:val="28"/>
    </w:rPr>
  </w:style>
  <w:style w:type="character" w:customStyle="1" w:styleId="278">
    <w:name w:val="HTML 预设格式 字符"/>
    <w:link w:val="40"/>
    <w:qFormat/>
    <w:uiPriority w:val="99"/>
    <w:rPr>
      <w:rFonts w:ascii="Arial" w:hAnsi="Arial" w:eastAsia="宋体" w:cs="Arial"/>
      <w:sz w:val="24"/>
      <w:szCs w:val="24"/>
    </w:rPr>
  </w:style>
  <w:style w:type="character" w:customStyle="1" w:styleId="279">
    <w:name w:val="样式2 Char Char"/>
    <w:qFormat/>
    <w:uiPriority w:val="0"/>
    <w:rPr>
      <w:rFonts w:ascii="Times New Roman" w:hAnsi="Times New Roman" w:eastAsia="宋体" w:cs="Times New Roman"/>
      <w:kern w:val="2"/>
      <w:sz w:val="18"/>
      <w:szCs w:val="18"/>
      <w:lang w:val="en-US" w:eastAsia="zh-CN" w:bidi="ar-SA"/>
    </w:rPr>
  </w:style>
  <w:style w:type="character" w:customStyle="1" w:styleId="280">
    <w:name w:val="标题 8 Char"/>
    <w:qFormat/>
    <w:uiPriority w:val="0"/>
    <w:rPr>
      <w:rFonts w:ascii="Arial" w:hAnsi="Arial" w:eastAsia="黑体" w:cs="Times New Roman"/>
      <w:sz w:val="24"/>
      <w:szCs w:val="24"/>
    </w:rPr>
  </w:style>
  <w:style w:type="character" w:customStyle="1" w:styleId="281">
    <w:name w:val="Char Char17"/>
    <w:qFormat/>
    <w:uiPriority w:val="0"/>
    <w:rPr>
      <w:rFonts w:ascii="宋体" w:hAnsi="Times New Roman" w:eastAsia="宋体" w:cs="Times New Roman"/>
      <w:b/>
      <w:sz w:val="28"/>
      <w:lang w:val="en-US" w:eastAsia="zh-CN" w:bidi="ar-SA"/>
    </w:rPr>
  </w:style>
  <w:style w:type="character" w:customStyle="1" w:styleId="282">
    <w:name w:val="标题 4 字符"/>
    <w:link w:val="5"/>
    <w:qFormat/>
    <w:uiPriority w:val="0"/>
    <w:rPr>
      <w:rFonts w:ascii="Arial" w:hAnsi="Arial" w:eastAsia="黑体" w:cs="Times New Roman"/>
      <w:b/>
      <w:bCs/>
      <w:kern w:val="2"/>
      <w:sz w:val="28"/>
      <w:szCs w:val="28"/>
      <w:lang w:val="en-US" w:eastAsia="zh-CN" w:bidi="ar-SA"/>
    </w:rPr>
  </w:style>
  <w:style w:type="character" w:customStyle="1" w:styleId="283">
    <w:name w:val="正文新 Char"/>
    <w:link w:val="182"/>
    <w:qFormat/>
    <w:uiPriority w:val="0"/>
    <w:rPr>
      <w:rFonts w:ascii="Times New Roman" w:hAnsi="Times New Roman" w:eastAsia="宋体" w:cs="Times New Roman"/>
      <w:kern w:val="2"/>
      <w:sz w:val="18"/>
      <w:szCs w:val="21"/>
      <w:lang w:val="en-US" w:eastAsia="zh-CN" w:bidi="ar-SA"/>
    </w:rPr>
  </w:style>
  <w:style w:type="character" w:customStyle="1" w:styleId="284">
    <w:name w:val="Font Style119"/>
    <w:unhideWhenUsed/>
    <w:qFormat/>
    <w:uiPriority w:val="0"/>
    <w:rPr>
      <w:rFonts w:hint="eastAsia" w:ascii="宋体" w:hAnsi="宋体" w:eastAsia="宋体" w:cs="Times New Roman"/>
      <w:sz w:val="24"/>
    </w:rPr>
  </w:style>
  <w:style w:type="character" w:customStyle="1" w:styleId="285">
    <w:name w:val="Footer Char"/>
    <w:qFormat/>
    <w:uiPriority w:val="0"/>
    <w:rPr>
      <w:rFonts w:ascii="Times New Roman" w:hAnsi="Times New Roman" w:eastAsia="宋体" w:cs="Times New Roman"/>
      <w:sz w:val="18"/>
      <w:szCs w:val="18"/>
    </w:rPr>
  </w:style>
  <w:style w:type="character" w:customStyle="1" w:styleId="286">
    <w:name w:val="标题 8 字符"/>
    <w:link w:val="9"/>
    <w:qFormat/>
    <w:uiPriority w:val="0"/>
    <w:rPr>
      <w:rFonts w:ascii="Arial" w:hAnsi="Arial" w:eastAsia="黑体" w:cs="Times New Roman"/>
      <w:sz w:val="24"/>
      <w:szCs w:val="24"/>
      <w:lang w:val="en-US" w:eastAsia="zh-CN" w:bidi="ar-SA"/>
    </w:rPr>
  </w:style>
  <w:style w:type="character" w:customStyle="1" w:styleId="287">
    <w:name w:val="zzi1"/>
    <w:qFormat/>
    <w:uiPriority w:val="0"/>
    <w:rPr>
      <w:rFonts w:ascii="Tahoma" w:hAnsi="Tahoma" w:eastAsia="宋体" w:cs="仿宋_GB2312"/>
      <w:sz w:val="22"/>
      <w:szCs w:val="22"/>
    </w:rPr>
  </w:style>
  <w:style w:type="character" w:customStyle="1" w:styleId="288">
    <w:name w:val="ca-11"/>
    <w:qFormat/>
    <w:uiPriority w:val="0"/>
    <w:rPr>
      <w:rFonts w:hint="eastAsia" w:ascii="宋体" w:hAnsi="宋体" w:eastAsia="宋体" w:cs="Times New Roman"/>
      <w:sz w:val="24"/>
      <w:szCs w:val="24"/>
    </w:rPr>
  </w:style>
  <w:style w:type="character" w:customStyle="1" w:styleId="289">
    <w:name w:val="sidecatalog-index2"/>
    <w:qFormat/>
    <w:uiPriority w:val="0"/>
    <w:rPr>
      <w:rFonts w:ascii="Arail" w:hAnsi="Arail" w:eastAsia="Arail" w:cs="Arail"/>
      <w:color w:val="999999"/>
      <w:sz w:val="21"/>
      <w:szCs w:val="21"/>
    </w:rPr>
  </w:style>
  <w:style w:type="character" w:customStyle="1" w:styleId="290">
    <w:name w:val="标题 3 Char"/>
    <w:qFormat/>
    <w:uiPriority w:val="0"/>
    <w:rPr>
      <w:rFonts w:ascii="Times New Roman" w:hAnsi="Times New Roman" w:eastAsia="宋体" w:cs="Times New Roman"/>
      <w:b/>
      <w:bCs/>
      <w:sz w:val="24"/>
      <w:szCs w:val="24"/>
    </w:rPr>
  </w:style>
  <w:style w:type="character" w:customStyle="1" w:styleId="291">
    <w:name w:val="Font Style115"/>
    <w:unhideWhenUsed/>
    <w:qFormat/>
    <w:uiPriority w:val="0"/>
    <w:rPr>
      <w:rFonts w:hint="eastAsia" w:ascii="Times New Roman" w:hAnsi="Times New Roman" w:eastAsia="Times New Roman" w:cs="Times New Roman"/>
      <w:sz w:val="16"/>
    </w:rPr>
  </w:style>
  <w:style w:type="character" w:customStyle="1" w:styleId="292">
    <w:name w:val="标题 6 字符"/>
    <w:link w:val="7"/>
    <w:qFormat/>
    <w:uiPriority w:val="0"/>
    <w:rPr>
      <w:rFonts w:ascii="Arial" w:hAnsi="Arial" w:eastAsia="黑体" w:cs="Times New Roman"/>
      <w:b/>
      <w:bCs/>
      <w:sz w:val="24"/>
      <w:szCs w:val="24"/>
      <w:lang w:val="en-US" w:eastAsia="zh-CN" w:bidi="ar-SA"/>
    </w:rPr>
  </w:style>
  <w:style w:type="character" w:customStyle="1" w:styleId="293">
    <w:name w:val="font51"/>
    <w:basedOn w:val="49"/>
    <w:qFormat/>
    <w:uiPriority w:val="0"/>
    <w:rPr>
      <w:rFonts w:hint="eastAsia" w:ascii="宋体" w:hAnsi="宋体" w:eastAsia="宋体" w:cs="宋体"/>
      <w:b/>
      <w:color w:val="000000"/>
      <w:sz w:val="22"/>
      <w:szCs w:val="22"/>
      <w:u w:val="none"/>
    </w:rPr>
  </w:style>
  <w:style w:type="character" w:customStyle="1" w:styleId="294">
    <w:name w:val="font21"/>
    <w:basedOn w:val="49"/>
    <w:qFormat/>
    <w:uiPriority w:val="0"/>
    <w:rPr>
      <w:rFonts w:hint="eastAsia" w:ascii="宋体" w:hAnsi="宋体" w:eastAsia="宋体" w:cs="宋体"/>
      <w:color w:val="333333"/>
      <w:sz w:val="18"/>
      <w:szCs w:val="18"/>
      <w:u w:val="none"/>
      <w:vertAlign w:val="superscript"/>
    </w:rPr>
  </w:style>
  <w:style w:type="character" w:customStyle="1" w:styleId="295">
    <w:name w:val="p0 Char Char"/>
    <w:qFormat/>
    <w:uiPriority w:val="0"/>
    <w:rPr>
      <w:rFonts w:ascii="Times New Roman" w:hAnsi="Times New Roman" w:eastAsia="宋体" w:cs="Times New Roman"/>
      <w:kern w:val="2"/>
      <w:sz w:val="21"/>
      <w:szCs w:val="21"/>
      <w:lang w:val="en-US" w:eastAsia="zh-CN" w:bidi="ar-SA"/>
    </w:rPr>
  </w:style>
  <w:style w:type="character" w:customStyle="1" w:styleId="296">
    <w:name w:val="标题 Char"/>
    <w:qFormat/>
    <w:uiPriority w:val="0"/>
    <w:rPr>
      <w:rFonts w:ascii="Cambria" w:hAnsi="Cambria" w:eastAsia="宋体" w:cs="Times New Roman"/>
      <w:b/>
      <w:kern w:val="2"/>
      <w:sz w:val="32"/>
      <w:szCs w:val="24"/>
    </w:rPr>
  </w:style>
  <w:style w:type="character" w:customStyle="1" w:styleId="297">
    <w:name w:val="纯文本 Char Char Char2"/>
    <w:qFormat/>
    <w:uiPriority w:val="0"/>
    <w:rPr>
      <w:rFonts w:ascii="Times New Roman" w:hAnsi="Times New Roman" w:eastAsia="宋体" w:cs="Times New Roman"/>
      <w:kern w:val="2"/>
      <w:sz w:val="24"/>
      <w:lang w:val="en-US" w:eastAsia="zh-CN" w:bidi="ar-SA"/>
    </w:rPr>
  </w:style>
  <w:style w:type="character" w:customStyle="1" w:styleId="298">
    <w:name w:val="polysemyred"/>
    <w:qFormat/>
    <w:uiPriority w:val="0"/>
    <w:rPr>
      <w:rFonts w:ascii="Times New Roman" w:hAnsi="Times New Roman" w:eastAsia="宋体" w:cs="Times New Roman"/>
      <w:color w:val="FF6666"/>
      <w:sz w:val="18"/>
      <w:szCs w:val="18"/>
    </w:rPr>
  </w:style>
  <w:style w:type="character" w:customStyle="1" w:styleId="299">
    <w:name w:val="纯文本 字符"/>
    <w:link w:val="25"/>
    <w:qFormat/>
    <w:uiPriority w:val="0"/>
    <w:rPr>
      <w:rFonts w:ascii="Times New Roman" w:hAnsi="Times New Roman" w:eastAsia="宋体" w:cs="Times New Roman"/>
      <w:kern w:val="2"/>
      <w:sz w:val="24"/>
      <w:lang w:val="en-US" w:eastAsia="zh-CN" w:bidi="ar-SA"/>
    </w:rPr>
  </w:style>
  <w:style w:type="character" w:customStyle="1" w:styleId="300">
    <w:name w:val="breakword"/>
    <w:qFormat/>
    <w:uiPriority w:val="99"/>
    <w:rPr>
      <w:rFonts w:ascii="宋体" w:hAnsi="宋体" w:eastAsia="宋体" w:cs="Times New Roman"/>
      <w:sz w:val="24"/>
    </w:rPr>
  </w:style>
  <w:style w:type="character" w:customStyle="1" w:styleId="301">
    <w:name w:val="正文文本缩进 3 字符"/>
    <w:link w:val="37"/>
    <w:qFormat/>
    <w:uiPriority w:val="0"/>
    <w:rPr>
      <w:rFonts w:ascii="Times New Roman" w:hAnsi="Times New Roman" w:eastAsia="宋体" w:cs="Times New Roman"/>
      <w:kern w:val="2"/>
      <w:sz w:val="16"/>
      <w:szCs w:val="16"/>
      <w:lang w:val="en-US" w:eastAsia="zh-CN" w:bidi="ar-SA"/>
    </w:rPr>
  </w:style>
  <w:style w:type="character" w:customStyle="1" w:styleId="302">
    <w:name w:val="bds_more6"/>
    <w:qFormat/>
    <w:uiPriority w:val="0"/>
    <w:rPr>
      <w:rFonts w:hint="eastAsia" w:ascii="宋体" w:hAnsi="宋体" w:eastAsia="宋体" w:cs="宋体"/>
    </w:rPr>
  </w:style>
  <w:style w:type="character" w:customStyle="1" w:styleId="303">
    <w:name w:val="bds_more9"/>
    <w:qFormat/>
    <w:uiPriority w:val="0"/>
    <w:rPr>
      <w:rFonts w:ascii="Times New Roman" w:hAnsi="Times New Roman" w:eastAsia="宋体" w:cs="Times New Roman"/>
    </w:rPr>
  </w:style>
  <w:style w:type="character" w:customStyle="1" w:styleId="304">
    <w:name w:val="标题 2 字符"/>
    <w:link w:val="4"/>
    <w:qFormat/>
    <w:uiPriority w:val="0"/>
    <w:rPr>
      <w:rFonts w:ascii="Arial" w:hAnsi="Arial" w:eastAsia="宋体" w:cs="Times New Roman"/>
      <w:b/>
      <w:bCs/>
      <w:kern w:val="2"/>
      <w:sz w:val="24"/>
      <w:szCs w:val="32"/>
      <w:lang w:val="en-US" w:eastAsia="zh-CN" w:bidi="ar-SA"/>
    </w:rPr>
  </w:style>
  <w:style w:type="character" w:customStyle="1" w:styleId="305">
    <w:name w:val="Font Style94"/>
    <w:unhideWhenUsed/>
    <w:qFormat/>
    <w:uiPriority w:val="0"/>
    <w:rPr>
      <w:rFonts w:hint="eastAsia" w:ascii="Times New Roman" w:hAnsi="Times New Roman" w:eastAsia="Times New Roman" w:cs="Times New Roman"/>
      <w:sz w:val="28"/>
    </w:rPr>
  </w:style>
  <w:style w:type="character" w:customStyle="1" w:styleId="306">
    <w:name w:val="Font Style86"/>
    <w:unhideWhenUsed/>
    <w:qFormat/>
    <w:uiPriority w:val="0"/>
    <w:rPr>
      <w:rFonts w:hint="eastAsia" w:ascii="黑体" w:hAnsi="黑体" w:eastAsia="黑体" w:cs="Times New Roman"/>
      <w:spacing w:val="10"/>
      <w:sz w:val="30"/>
    </w:rPr>
  </w:style>
  <w:style w:type="character" w:customStyle="1" w:styleId="307">
    <w:name w:val="Font Style123"/>
    <w:unhideWhenUsed/>
    <w:qFormat/>
    <w:uiPriority w:val="0"/>
    <w:rPr>
      <w:rFonts w:hint="eastAsia" w:ascii="宋体" w:hAnsi="宋体" w:eastAsia="宋体" w:cs="Times New Roman"/>
      <w:b/>
      <w:sz w:val="32"/>
    </w:rPr>
  </w:style>
  <w:style w:type="character" w:customStyle="1" w:styleId="308">
    <w:name w:val="标题 9 字符"/>
    <w:link w:val="10"/>
    <w:qFormat/>
    <w:uiPriority w:val="0"/>
    <w:rPr>
      <w:rFonts w:ascii="Arial" w:hAnsi="Arial" w:eastAsia="黑体" w:cs="Times New Roman"/>
      <w:sz w:val="21"/>
      <w:szCs w:val="21"/>
      <w:lang w:val="en-US" w:eastAsia="zh-CN" w:bidi="ar-SA"/>
    </w:rPr>
  </w:style>
  <w:style w:type="character" w:customStyle="1" w:styleId="309">
    <w:name w:val="页眉 Char"/>
    <w:qFormat/>
    <w:uiPriority w:val="99"/>
    <w:rPr>
      <w:rFonts w:ascii="Times New Roman" w:hAnsi="Times New Roman" w:eastAsia="宋体" w:cs="Times New Roman"/>
      <w:kern w:val="2"/>
      <w:sz w:val="18"/>
      <w:szCs w:val="18"/>
    </w:rPr>
  </w:style>
  <w:style w:type="character" w:customStyle="1" w:styleId="310">
    <w:name w:val="bds_nopic2"/>
    <w:qFormat/>
    <w:uiPriority w:val="0"/>
    <w:rPr>
      <w:rFonts w:ascii="Times New Roman" w:hAnsi="Times New Roman" w:eastAsia="宋体" w:cs="Times New Roman"/>
    </w:rPr>
  </w:style>
  <w:style w:type="character" w:customStyle="1" w:styleId="311">
    <w:name w:val="Font Style105"/>
    <w:unhideWhenUsed/>
    <w:qFormat/>
    <w:uiPriority w:val="0"/>
    <w:rPr>
      <w:rFonts w:hint="eastAsia" w:ascii="Times New Roman" w:hAnsi="Times New Roman" w:eastAsia="Times New Roman" w:cs="Times New Roman"/>
      <w:w w:val="60"/>
      <w:sz w:val="26"/>
    </w:rPr>
  </w:style>
  <w:style w:type="character" w:customStyle="1" w:styleId="312">
    <w:name w:val="标题 5 字符"/>
    <w:link w:val="6"/>
    <w:qFormat/>
    <w:uiPriority w:val="0"/>
    <w:rPr>
      <w:rFonts w:ascii="Times New Roman" w:hAnsi="Times New Roman" w:eastAsia="宋体" w:cs="Times New Roman"/>
      <w:b/>
      <w:bCs/>
      <w:sz w:val="28"/>
      <w:szCs w:val="28"/>
      <w:lang w:val="en-US" w:eastAsia="zh-CN" w:bidi="ar-SA"/>
    </w:rPr>
  </w:style>
  <w:style w:type="character" w:customStyle="1" w:styleId="313">
    <w:name w:val="polysemyexp"/>
    <w:qFormat/>
    <w:uiPriority w:val="0"/>
    <w:rPr>
      <w:rFonts w:ascii="Times New Roman" w:hAnsi="Times New Roman" w:eastAsia="宋体" w:cs="Times New Roman"/>
      <w:color w:val="AAAAAA"/>
      <w:sz w:val="18"/>
      <w:szCs w:val="18"/>
    </w:rPr>
  </w:style>
  <w:style w:type="character" w:customStyle="1" w:styleId="314">
    <w:name w:val="正文缩进 Char1"/>
    <w:link w:val="193"/>
    <w:qFormat/>
    <w:uiPriority w:val="0"/>
    <w:rPr>
      <w:rFonts w:ascii="宋体" w:hAnsi="Times New Roman" w:eastAsia="宋体" w:cs="Times New Roman"/>
      <w:sz w:val="24"/>
      <w:lang w:bidi="ar-SA"/>
    </w:rPr>
  </w:style>
  <w:style w:type="character" w:customStyle="1" w:styleId="315">
    <w:name w:val="纯文本 Char1 Char Char Char"/>
    <w:semiHidden/>
    <w:qFormat/>
    <w:uiPriority w:val="0"/>
    <w:rPr>
      <w:rFonts w:ascii="宋体" w:hAnsi="Courier New" w:eastAsia="宋体" w:cs="Times New Roman"/>
      <w:kern w:val="2"/>
      <w:sz w:val="24"/>
      <w:szCs w:val="24"/>
      <w:lang w:val="en-US" w:eastAsia="zh-CN" w:bidi="ar-SA"/>
    </w:rPr>
  </w:style>
  <w:style w:type="character" w:customStyle="1" w:styleId="316">
    <w:name w:val="批注主题 字符"/>
    <w:link w:val="44"/>
    <w:qFormat/>
    <w:uiPriority w:val="0"/>
    <w:rPr>
      <w:rFonts w:ascii="Times New Roman" w:hAnsi="Times New Roman" w:eastAsia="宋体" w:cs="Times New Roman"/>
      <w:b/>
      <w:bCs/>
      <w:kern w:val="2"/>
      <w:sz w:val="21"/>
      <w:szCs w:val="24"/>
      <w:lang w:val="en-US" w:eastAsia="zh-CN" w:bidi="ar-SA"/>
    </w:rPr>
  </w:style>
  <w:style w:type="character" w:customStyle="1" w:styleId="317">
    <w:name w:val="font41"/>
    <w:basedOn w:val="49"/>
    <w:qFormat/>
    <w:uiPriority w:val="0"/>
    <w:rPr>
      <w:rFonts w:hint="default" w:ascii="Arial Unicode MS" w:hAnsi="Arial Unicode MS" w:eastAsia="Arial Unicode MS" w:cs="Arial Unicode MS"/>
      <w:color w:val="000000"/>
      <w:sz w:val="20"/>
      <w:szCs w:val="20"/>
      <w:u w:val="none"/>
    </w:rPr>
  </w:style>
  <w:style w:type="character" w:customStyle="1" w:styleId="318">
    <w:name w:val="页脚 Char"/>
    <w:qFormat/>
    <w:uiPriority w:val="99"/>
    <w:rPr>
      <w:rFonts w:ascii="Times New Roman" w:hAnsi="Times New Roman" w:eastAsia="宋体" w:cs="Times New Roman"/>
      <w:kern w:val="2"/>
      <w:sz w:val="18"/>
      <w:szCs w:val="18"/>
    </w:rPr>
  </w:style>
  <w:style w:type="character" w:customStyle="1" w:styleId="319">
    <w:name w:val="Font Style126"/>
    <w:unhideWhenUsed/>
    <w:qFormat/>
    <w:uiPriority w:val="0"/>
    <w:rPr>
      <w:rFonts w:hint="eastAsia" w:ascii="宋体" w:hAnsi="宋体" w:eastAsia="宋体" w:cs="Times New Roman"/>
      <w:b/>
      <w:spacing w:val="-30"/>
      <w:sz w:val="28"/>
    </w:rPr>
  </w:style>
  <w:style w:type="character" w:customStyle="1" w:styleId="320">
    <w:name w:val="Font Style134"/>
    <w:unhideWhenUsed/>
    <w:qFormat/>
    <w:uiPriority w:val="0"/>
    <w:rPr>
      <w:rFonts w:hint="eastAsia" w:ascii="宋体" w:hAnsi="宋体" w:eastAsia="宋体" w:cs="Times New Roman"/>
      <w:spacing w:val="20"/>
      <w:sz w:val="22"/>
    </w:rPr>
  </w:style>
  <w:style w:type="character" w:customStyle="1" w:styleId="321">
    <w:name w:val="desc"/>
    <w:qFormat/>
    <w:uiPriority w:val="0"/>
    <w:rPr>
      <w:rFonts w:ascii="Times New Roman" w:hAnsi="Times New Roman" w:eastAsia="宋体" w:cs="Times New Roman"/>
      <w:color w:val="000000"/>
      <w:sz w:val="18"/>
      <w:szCs w:val="18"/>
    </w:rPr>
  </w:style>
  <w:style w:type="character" w:customStyle="1" w:styleId="322">
    <w:name w:val="Header Char"/>
    <w:qFormat/>
    <w:uiPriority w:val="0"/>
    <w:rPr>
      <w:rFonts w:ascii="Times New Roman" w:hAnsi="Times New Roman" w:eastAsia="宋体" w:cs="Times New Roman"/>
      <w:sz w:val="18"/>
      <w:szCs w:val="18"/>
    </w:rPr>
  </w:style>
  <w:style w:type="character" w:customStyle="1" w:styleId="323">
    <w:name w:val="纯文本 Char1"/>
    <w:link w:val="137"/>
    <w:qFormat/>
    <w:uiPriority w:val="0"/>
    <w:rPr>
      <w:rFonts w:ascii="宋体" w:hAnsi="Courier New" w:eastAsia="宋体" w:cs="Times New Roman"/>
      <w:lang w:bidi="ar-SA"/>
    </w:rPr>
  </w:style>
  <w:style w:type="character" w:customStyle="1" w:styleId="324">
    <w:name w:val="Font Style90"/>
    <w:unhideWhenUsed/>
    <w:qFormat/>
    <w:uiPriority w:val="0"/>
    <w:rPr>
      <w:rFonts w:hint="eastAsia" w:ascii="宋体" w:hAnsi="宋体" w:eastAsia="宋体" w:cs="Times New Roman"/>
      <w:b/>
      <w:spacing w:val="-20"/>
      <w:sz w:val="40"/>
    </w:rPr>
  </w:style>
  <w:style w:type="paragraph" w:customStyle="1" w:styleId="325">
    <w:name w:val="99-标书-正文"/>
    <w:qFormat/>
    <w:uiPriority w:val="0"/>
    <w:pPr>
      <w:spacing w:line="360" w:lineRule="auto"/>
      <w:ind w:firstLine="480" w:firstLineChars="200"/>
      <w:jc w:val="both"/>
    </w:pPr>
    <w:rPr>
      <w:rFonts w:ascii="宋体" w:hAnsi="宋体" w:eastAsia="宋体" w:cs="Times New Roman"/>
      <w:color w:val="000000"/>
      <w:sz w:val="24"/>
      <w:szCs w:val="21"/>
      <w:lang w:val="en-US" w:eastAsia="zh-CN" w:bidi="ar-SA"/>
    </w:rPr>
  </w:style>
  <w:style w:type="paragraph" w:customStyle="1" w:styleId="326">
    <w:name w:val="_Style 14"/>
    <w:basedOn w:val="1"/>
    <w:next w:val="194"/>
    <w:qFormat/>
    <w:uiPriority w:val="99"/>
    <w:pPr>
      <w:ind w:firstLine="420" w:firstLineChars="200"/>
    </w:pPr>
  </w:style>
  <w:style w:type="paragraph" w:customStyle="1" w:styleId="327">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8">
    <w:name w:val="正文2"/>
    <w:basedOn w:val="1"/>
    <w:qFormat/>
    <w:uiPriority w:val="0"/>
    <w:pPr>
      <w:ind w:firstLine="420"/>
    </w:pPr>
    <w:rPr>
      <w:rFonts w:ascii="等线" w:hAnsi="等线"/>
    </w:rPr>
  </w:style>
  <w:style w:type="character" w:customStyle="1" w:styleId="329">
    <w:name w:val="样式 仿宋"/>
    <w:qFormat/>
    <w:uiPriority w:val="0"/>
    <w:rPr>
      <w:rFonts w:ascii="仿宋" w:hAnsi="仿宋" w:eastAsia="仿宋"/>
      <w:kern w:val="1"/>
    </w:rPr>
  </w:style>
  <w:style w:type="paragraph" w:customStyle="1" w:styleId="330">
    <w:name w:val="Heading #1|1"/>
    <w:basedOn w:val="1"/>
    <w:qFormat/>
    <w:uiPriority w:val="0"/>
    <w:pPr>
      <w:spacing w:before="140" w:after="120"/>
      <w:jc w:val="center"/>
      <w:outlineLvl w:val="0"/>
    </w:pPr>
    <w:rPr>
      <w:rFonts w:ascii="宋体" w:hAnsi="宋体" w:cs="宋体"/>
      <w:sz w:val="30"/>
      <w:szCs w:val="30"/>
      <w:lang w:val="zh-TW" w:eastAsia="zh-TW" w:bidi="zh-TW"/>
    </w:rPr>
  </w:style>
  <w:style w:type="paragraph" w:customStyle="1" w:styleId="331">
    <w:name w:val="Other|1"/>
    <w:basedOn w:val="1"/>
    <w:qFormat/>
    <w:uiPriority w:val="0"/>
    <w:pPr>
      <w:spacing w:line="316" w:lineRule="exact"/>
    </w:pPr>
    <w:rPr>
      <w:rFonts w:ascii="宋体" w:hAnsi="宋体" w:cs="宋体"/>
      <w:sz w:val="19"/>
      <w:szCs w:val="19"/>
      <w:lang w:val="zh-TW" w:eastAsia="zh-TW" w:bidi="zh-TW"/>
    </w:rPr>
  </w:style>
  <w:style w:type="paragraph" w:customStyle="1" w:styleId="332">
    <w:name w:val="Style1"/>
    <w:basedOn w:val="1"/>
    <w:qFormat/>
    <w:uiPriority w:val="0"/>
    <w:pPr>
      <w:widowControl/>
      <w:tabs>
        <w:tab w:val="left" w:pos="-720"/>
      </w:tabs>
    </w:pPr>
    <w:rPr>
      <w:spacing w:val="-3"/>
      <w:kern w:val="0"/>
      <w:sz w:val="24"/>
      <w:szCs w:val="20"/>
      <w:lang w:val="en-AU"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94</Pages>
  <Words>45987</Words>
  <Characters>53480</Characters>
  <Lines>423</Lines>
  <Paragraphs>119</Paragraphs>
  <TotalTime>7</TotalTime>
  <ScaleCrop>false</ScaleCrop>
  <LinksUpToDate>false</LinksUpToDate>
  <CharactersWithSpaces>57281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2020-09-18T10:15:00Z</dcterms:created>
  <dc:creator>M</dc:creator>
  <cp:lastModifiedBy>.</cp:lastModifiedBy>
  <cp:lastPrinted>2023-04-11T13:41:00Z</cp:lastPrinted>
  <dcterms:modified xsi:type="dcterms:W3CDTF">2023-08-10T13:12:57Z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8C2474E6A77444AF96AB0F575B847CDB_13</vt:lpwstr>
  </property>
  <property fmtid="{D5CDD505-2E9C-101B-9397-08002B2CF9AE}" pid="4" name="KSOSaveFontToCloudKey">
    <vt:lpwstr>244531287_cloud</vt:lpwstr>
  </property>
</Properties>
</file>